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D42ED"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F9FADC4" w:rsidR="00AD3606" w:rsidRPr="007D42ED" w:rsidRDefault="00AD3606" w:rsidP="00472BAD">
            <w:pPr>
              <w:tabs>
                <w:tab w:val="left" w:pos="851"/>
              </w:tabs>
              <w:spacing w:before="0" w:line="240" w:lineRule="atLeast"/>
              <w:jc w:val="right"/>
              <w:rPr>
                <w:b/>
                <w:lang w:val="it-IT"/>
              </w:rPr>
            </w:pPr>
            <w:r w:rsidRPr="007D42ED">
              <w:rPr>
                <w:b/>
                <w:lang w:val="it-IT"/>
              </w:rPr>
              <w:t>Document C</w:t>
            </w:r>
            <w:r w:rsidR="00A52C84" w:rsidRPr="007D42ED">
              <w:rPr>
                <w:b/>
                <w:lang w:val="it-IT"/>
              </w:rPr>
              <w:t>WG-</w:t>
            </w:r>
            <w:r w:rsidR="009F347C" w:rsidRPr="007D42ED">
              <w:rPr>
                <w:b/>
                <w:lang w:val="it-IT"/>
              </w:rPr>
              <w:t>FHR</w:t>
            </w:r>
            <w:r w:rsidR="00A52C84" w:rsidRPr="007D42ED">
              <w:rPr>
                <w:b/>
                <w:lang w:val="it-IT"/>
              </w:rPr>
              <w:t>-</w:t>
            </w:r>
            <w:r w:rsidR="00413A13">
              <w:rPr>
                <w:b/>
                <w:lang w:val="it-IT"/>
              </w:rPr>
              <w:t>22</w:t>
            </w:r>
            <w:r w:rsidRPr="007D42ED">
              <w:rPr>
                <w:b/>
                <w:lang w:val="it-IT"/>
              </w:rPr>
              <w:t>/</w:t>
            </w:r>
            <w:r w:rsidR="004F2912">
              <w:rPr>
                <w:b/>
                <w:lang w:val="it-IT"/>
              </w:rPr>
              <w:t>24</w:t>
            </w:r>
          </w:p>
        </w:tc>
      </w:tr>
      <w:tr w:rsidR="00AD3606" w:rsidRPr="007D42ED" w14:paraId="789B45BA" w14:textId="77777777" w:rsidTr="00AD3606">
        <w:trPr>
          <w:cantSplit/>
        </w:trPr>
        <w:tc>
          <w:tcPr>
            <w:tcW w:w="3969" w:type="dxa"/>
            <w:vMerge/>
          </w:tcPr>
          <w:p w14:paraId="3F3D4E17" w14:textId="77777777" w:rsidR="00AD3606" w:rsidRPr="007D42ED"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0C17EF3C" w:rsidR="00AD3606" w:rsidRPr="007D42ED" w:rsidRDefault="00437BCD" w:rsidP="00AD3606">
            <w:pPr>
              <w:tabs>
                <w:tab w:val="left" w:pos="851"/>
              </w:tabs>
              <w:spacing w:before="0"/>
              <w:jc w:val="right"/>
              <w:rPr>
                <w:b/>
              </w:rPr>
            </w:pPr>
            <w:r>
              <w:rPr>
                <w:b/>
              </w:rPr>
              <w:t>23 December 2025</w:t>
            </w:r>
          </w:p>
        </w:tc>
      </w:tr>
      <w:tr w:rsidR="00AD3606" w:rsidRPr="007D42ED" w14:paraId="58A84C4A" w14:textId="77777777" w:rsidTr="00AD3606">
        <w:trPr>
          <w:cantSplit/>
          <w:trHeight w:val="23"/>
        </w:trPr>
        <w:tc>
          <w:tcPr>
            <w:tcW w:w="3969" w:type="dxa"/>
            <w:vMerge/>
          </w:tcPr>
          <w:p w14:paraId="77CEDDAA" w14:textId="77777777" w:rsidR="00AD3606" w:rsidRPr="007D42ED"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7D42ED" w:rsidRDefault="00891503" w:rsidP="00AD3606">
            <w:pPr>
              <w:tabs>
                <w:tab w:val="left" w:pos="851"/>
              </w:tabs>
              <w:spacing w:before="0" w:line="240" w:lineRule="atLeast"/>
              <w:jc w:val="right"/>
              <w:rPr>
                <w:b/>
              </w:rPr>
            </w:pPr>
            <w:r w:rsidRPr="007D42ED">
              <w:rPr>
                <w:b/>
              </w:rPr>
              <w:t>English</w:t>
            </w:r>
            <w:r w:rsidR="009B2D4B" w:rsidRPr="007D42ED">
              <w:rPr>
                <w:b/>
              </w:rPr>
              <w:t xml:space="preserve"> only</w:t>
            </w:r>
          </w:p>
        </w:tc>
      </w:tr>
      <w:tr w:rsidR="00472BAD" w:rsidRPr="007D42ED" w14:paraId="12C5EF5F" w14:textId="77777777" w:rsidTr="00AD3606">
        <w:trPr>
          <w:cantSplit/>
          <w:trHeight w:val="23"/>
        </w:trPr>
        <w:tc>
          <w:tcPr>
            <w:tcW w:w="3969" w:type="dxa"/>
          </w:tcPr>
          <w:p w14:paraId="4B839BA2" w14:textId="77777777" w:rsidR="00472BAD" w:rsidRPr="007D42ED" w:rsidRDefault="00472BAD" w:rsidP="00AD3606">
            <w:pPr>
              <w:tabs>
                <w:tab w:val="left" w:pos="851"/>
              </w:tabs>
              <w:spacing w:line="240" w:lineRule="atLeast"/>
              <w:rPr>
                <w:b/>
              </w:rPr>
            </w:pPr>
          </w:p>
        </w:tc>
        <w:tc>
          <w:tcPr>
            <w:tcW w:w="5245" w:type="dxa"/>
          </w:tcPr>
          <w:p w14:paraId="12F66D25" w14:textId="77777777" w:rsidR="00472BAD" w:rsidRPr="007D42ED" w:rsidRDefault="00472BAD" w:rsidP="00AD3606">
            <w:pPr>
              <w:tabs>
                <w:tab w:val="left" w:pos="851"/>
              </w:tabs>
              <w:spacing w:before="0" w:line="240" w:lineRule="atLeast"/>
              <w:jc w:val="right"/>
              <w:rPr>
                <w:b/>
              </w:rPr>
            </w:pPr>
          </w:p>
        </w:tc>
      </w:tr>
      <w:tr w:rsidR="00AD3606" w:rsidRPr="007D42ED" w14:paraId="27000B2A" w14:textId="77777777" w:rsidTr="00AD3606">
        <w:trPr>
          <w:cantSplit/>
        </w:trPr>
        <w:tc>
          <w:tcPr>
            <w:tcW w:w="9214" w:type="dxa"/>
            <w:gridSpan w:val="2"/>
            <w:tcMar>
              <w:left w:w="0" w:type="dxa"/>
            </w:tcMar>
          </w:tcPr>
          <w:p w14:paraId="4E7CDB90" w14:textId="3E4EDBAA" w:rsidR="00AD3606" w:rsidRPr="007D42ED" w:rsidRDefault="00437BCD" w:rsidP="00676C7D">
            <w:pPr>
              <w:pStyle w:val="Source"/>
              <w:framePr w:hSpace="0" w:wrap="auto" w:vAnchor="margin" w:hAnchor="text" w:xAlign="left" w:yAlign="inline"/>
            </w:pPr>
            <w:bookmarkStart w:id="8" w:name="dsource" w:colFirst="0" w:colLast="0"/>
            <w:bookmarkEnd w:id="7"/>
            <w:r>
              <w:t xml:space="preserve">Report by the Chair of the </w:t>
            </w:r>
            <w:r w:rsidRPr="00A94517">
              <w:t>Member States Advisory Group (MSAG)</w:t>
            </w:r>
          </w:p>
        </w:tc>
      </w:tr>
      <w:tr w:rsidR="00AD3606" w:rsidRPr="007D42ED" w14:paraId="2340750D" w14:textId="77777777" w:rsidTr="00AD3606">
        <w:trPr>
          <w:cantSplit/>
        </w:trPr>
        <w:tc>
          <w:tcPr>
            <w:tcW w:w="9214" w:type="dxa"/>
            <w:gridSpan w:val="2"/>
            <w:tcMar>
              <w:left w:w="0" w:type="dxa"/>
            </w:tcMar>
          </w:tcPr>
          <w:p w14:paraId="47B91AA8" w14:textId="3351FD8D" w:rsidR="00AD3606" w:rsidRPr="007D42ED" w:rsidRDefault="00627268" w:rsidP="00437BCD">
            <w:pPr>
              <w:pStyle w:val="Subtitle"/>
              <w:framePr w:hSpace="0" w:wrap="auto" w:xAlign="left" w:yAlign="inline"/>
            </w:pPr>
            <w:bookmarkStart w:id="9" w:name="dtitle1" w:colFirst="0" w:colLast="0"/>
            <w:bookmarkEnd w:id="8"/>
            <w:r>
              <w:t xml:space="preserve">Report on the Member States Advisory Group (MSAG) activities </w:t>
            </w:r>
            <w:r w:rsidRPr="00EF24EF">
              <w:t>and</w:t>
            </w:r>
            <w:r>
              <w:t xml:space="preserve"> outcomes since the 21st meeting of the ITU Council Working Group on financial and human resources </w:t>
            </w:r>
            <w:r w:rsidR="00437BCD">
              <w:t>(CWG-FHR)</w:t>
            </w:r>
          </w:p>
        </w:tc>
      </w:tr>
      <w:tr w:rsidR="00AD3606" w:rsidRPr="007D42E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7D42ED" w:rsidRDefault="00F16BAB" w:rsidP="00F16BAB">
            <w:pPr>
              <w:spacing w:before="160"/>
              <w:rPr>
                <w:b/>
                <w:bCs/>
                <w:sz w:val="26"/>
                <w:szCs w:val="26"/>
              </w:rPr>
            </w:pPr>
            <w:r w:rsidRPr="007D42ED">
              <w:rPr>
                <w:b/>
                <w:bCs/>
                <w:sz w:val="26"/>
                <w:szCs w:val="26"/>
              </w:rPr>
              <w:t>Purpose</w:t>
            </w:r>
          </w:p>
          <w:p w14:paraId="2E09FE8B" w14:textId="2891412C" w:rsidR="00AD3606" w:rsidRPr="00437BCD" w:rsidRDefault="00437BCD" w:rsidP="00437BCD">
            <w:pPr>
              <w:spacing w:before="160"/>
              <w:jc w:val="both"/>
              <w:rPr>
                <w:szCs w:val="24"/>
              </w:rPr>
            </w:pPr>
            <w:r>
              <w:rPr>
                <w:szCs w:val="24"/>
              </w:rPr>
              <w:t>Report on the Member States Advisory Group (MSAG) activities and outcomes since the 21</w:t>
            </w:r>
            <w:r w:rsidRPr="00437BCD">
              <w:rPr>
                <w:szCs w:val="24"/>
                <w:vertAlign w:val="superscript"/>
              </w:rPr>
              <w:t>st</w:t>
            </w:r>
            <w:r>
              <w:rPr>
                <w:szCs w:val="24"/>
              </w:rPr>
              <w:t xml:space="preserve"> Meeting of the ITU Council Working Group on Financial and Human Resources (CWG-FHR)</w:t>
            </w:r>
          </w:p>
          <w:p w14:paraId="5076D5C4" w14:textId="28F00572" w:rsidR="00AD3606" w:rsidRPr="007D42ED" w:rsidRDefault="00AD3606" w:rsidP="00F16BAB">
            <w:pPr>
              <w:spacing w:before="160"/>
              <w:rPr>
                <w:b/>
                <w:bCs/>
                <w:sz w:val="26"/>
                <w:szCs w:val="26"/>
              </w:rPr>
            </w:pPr>
            <w:r w:rsidRPr="007D42ED">
              <w:rPr>
                <w:b/>
                <w:bCs/>
                <w:sz w:val="26"/>
                <w:szCs w:val="26"/>
              </w:rPr>
              <w:t>Action required</w:t>
            </w:r>
          </w:p>
          <w:p w14:paraId="53A776F1" w14:textId="116C64CC" w:rsidR="00891503" w:rsidRPr="007D42ED" w:rsidRDefault="002D5DBD" w:rsidP="00F16BAB">
            <w:pPr>
              <w:spacing w:before="160"/>
            </w:pPr>
            <w:r w:rsidRPr="007D42ED">
              <w:t xml:space="preserve">The Council Working Group on financial and human resources is invited to </w:t>
            </w:r>
            <w:r w:rsidR="00437BCD" w:rsidRPr="00D97387">
              <w:rPr>
                <w:b/>
                <w:bCs/>
              </w:rPr>
              <w:t>consider</w:t>
            </w:r>
            <w:r w:rsidR="00437BCD">
              <w:t xml:space="preserve"> the Report.</w:t>
            </w:r>
          </w:p>
          <w:p w14:paraId="6B8F565E" w14:textId="77777777" w:rsidR="000A57A6" w:rsidRPr="007D42ED" w:rsidRDefault="000A57A6">
            <w:r w:rsidRPr="007D42ED">
              <w:t>_______________</w:t>
            </w:r>
          </w:p>
          <w:p w14:paraId="00DEE14C" w14:textId="3474349E" w:rsidR="00AD3606" w:rsidRPr="00A419B9" w:rsidRDefault="00AD3606" w:rsidP="00F16BAB">
            <w:pPr>
              <w:spacing w:before="160"/>
              <w:rPr>
                <w:b/>
                <w:bCs/>
                <w:i/>
                <w:iCs/>
                <w:sz w:val="26"/>
                <w:szCs w:val="26"/>
              </w:rPr>
            </w:pPr>
            <w:r w:rsidRPr="007D42ED">
              <w:rPr>
                <w:b/>
                <w:bCs/>
                <w:sz w:val="26"/>
                <w:szCs w:val="26"/>
              </w:rPr>
              <w:t>References</w:t>
            </w:r>
            <w:r w:rsidR="002D5DBD" w:rsidRPr="007D42ED">
              <w:rPr>
                <w:b/>
                <w:bCs/>
                <w:sz w:val="26"/>
                <w:szCs w:val="26"/>
              </w:rPr>
              <w:t xml:space="preserve"> </w:t>
            </w:r>
          </w:p>
          <w:p w14:paraId="0175CD6C" w14:textId="0BC5BBE3" w:rsidR="00AD3606" w:rsidRPr="007D42ED" w:rsidRDefault="00437BCD" w:rsidP="00F16BAB">
            <w:pPr>
              <w:spacing w:after="160"/>
              <w:rPr>
                <w:i/>
                <w:iCs/>
                <w:sz w:val="22"/>
                <w:szCs w:val="22"/>
              </w:rPr>
            </w:pPr>
            <w:hyperlink r:id="rId11" w:history="1">
              <w:r w:rsidRPr="00382CC1">
                <w:rPr>
                  <w:rStyle w:val="Hyperlink"/>
                  <w:i/>
                  <w:iCs/>
                  <w:sz w:val="22"/>
                  <w:szCs w:val="22"/>
                </w:rPr>
                <w:t>Resolution 212 (Rev. Bucharest, 2022)</w:t>
              </w:r>
            </w:hyperlink>
            <w:r w:rsidRPr="00382CC1">
              <w:rPr>
                <w:i/>
                <w:iCs/>
                <w:sz w:val="22"/>
                <w:szCs w:val="22"/>
              </w:rPr>
              <w:t xml:space="preserve"> of the Plenipotentiary Conference; Council Decisions </w:t>
            </w:r>
            <w:hyperlink r:id="rId12" w:history="1">
              <w:r w:rsidRPr="00382CC1">
                <w:rPr>
                  <w:rStyle w:val="Hyperlink"/>
                  <w:bCs/>
                  <w:i/>
                  <w:iCs/>
                  <w:sz w:val="22"/>
                  <w:szCs w:val="22"/>
                </w:rPr>
                <w:t>588 (C16)</w:t>
              </w:r>
            </w:hyperlink>
            <w:r w:rsidRPr="00382CC1">
              <w:rPr>
                <w:i/>
                <w:iCs/>
                <w:sz w:val="22"/>
                <w:szCs w:val="22"/>
              </w:rPr>
              <w:t xml:space="preserve">, </w:t>
            </w:r>
            <w:hyperlink r:id="rId13" w:history="1">
              <w:r w:rsidRPr="00382CC1">
                <w:rPr>
                  <w:rStyle w:val="Hyperlink"/>
                  <w:bCs/>
                  <w:i/>
                  <w:iCs/>
                  <w:sz w:val="22"/>
                  <w:szCs w:val="22"/>
                </w:rPr>
                <w:t>619 (C19, last amended C21)</w:t>
              </w:r>
            </w:hyperlink>
            <w:r w:rsidRPr="00382CC1">
              <w:rPr>
                <w:i/>
                <w:iCs/>
                <w:sz w:val="22"/>
                <w:szCs w:val="22"/>
              </w:rPr>
              <w:t xml:space="preserve"> and </w:t>
            </w:r>
            <w:hyperlink r:id="rId14" w:history="1">
              <w:r w:rsidRPr="00382CC1">
                <w:rPr>
                  <w:rStyle w:val="Hyperlink"/>
                  <w:bCs/>
                  <w:i/>
                  <w:iCs/>
                  <w:sz w:val="22"/>
                  <w:szCs w:val="22"/>
                </w:rPr>
                <w:t>640 (C24)</w:t>
              </w:r>
            </w:hyperlink>
          </w:p>
        </w:tc>
      </w:tr>
    </w:tbl>
    <w:p w14:paraId="4CDB8B60" w14:textId="77777777" w:rsidR="00E227F3" w:rsidRPr="004F2912"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4F2912"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4F2912">
        <w:br w:type="page"/>
      </w:r>
    </w:p>
    <w:p w14:paraId="1E6A1C62" w14:textId="77777777" w:rsidR="00413A13" w:rsidRPr="00C350D1" w:rsidRDefault="00413A13" w:rsidP="00413A13">
      <w:pPr>
        <w:pStyle w:val="Heading1"/>
      </w:pPr>
      <w:bookmarkStart w:id="11" w:name="_Toc162545900"/>
      <w:bookmarkStart w:id="12" w:name="_Toc162545461"/>
      <w:bookmarkStart w:id="13" w:name="_Toc162545409"/>
      <w:bookmarkStart w:id="14" w:name="_Toc162544758"/>
      <w:bookmarkStart w:id="15" w:name="_Ref151538007"/>
      <w:bookmarkStart w:id="16" w:name="_Hlk163201308"/>
      <w:bookmarkEnd w:id="5"/>
      <w:bookmarkEnd w:id="10"/>
      <w:r w:rsidRPr="00C350D1">
        <w:lastRenderedPageBreak/>
        <w:t>1</w:t>
      </w:r>
      <w:r w:rsidRPr="00C350D1">
        <w:tab/>
      </w:r>
      <w:bookmarkEnd w:id="11"/>
      <w:bookmarkEnd w:id="12"/>
      <w:bookmarkEnd w:id="13"/>
      <w:bookmarkEnd w:id="14"/>
      <w:bookmarkEnd w:id="15"/>
      <w:r w:rsidRPr="00C350D1">
        <w:t>MSAG</w:t>
      </w:r>
      <w:r>
        <w:t>’</w:t>
      </w:r>
      <w:r w:rsidRPr="00C350D1">
        <w:t>s activities</w:t>
      </w:r>
    </w:p>
    <w:p w14:paraId="4F1DFE2F" w14:textId="0BFF6DE2" w:rsidR="00114CED" w:rsidRDefault="00413A13" w:rsidP="00114CED">
      <w:pPr>
        <w:spacing w:before="160"/>
        <w:jc w:val="both"/>
        <w:rPr>
          <w:szCs w:val="24"/>
        </w:rPr>
      </w:pPr>
      <w:r w:rsidRPr="00437D28">
        <w:t xml:space="preserve">Between the </w:t>
      </w:r>
      <w:r w:rsidR="00114CED">
        <w:rPr>
          <w:szCs w:val="24"/>
        </w:rPr>
        <w:t>21</w:t>
      </w:r>
      <w:r w:rsidR="00114CED" w:rsidRPr="00437BCD">
        <w:rPr>
          <w:szCs w:val="24"/>
          <w:vertAlign w:val="superscript"/>
        </w:rPr>
        <w:t>st</w:t>
      </w:r>
      <w:r w:rsidR="00114CED">
        <w:rPr>
          <w:szCs w:val="24"/>
        </w:rPr>
        <w:t xml:space="preserve"> Meeting of the ITU Council Working Group on Financial and Human Resources (CWG-FHR), in September 2025, and its 22</w:t>
      </w:r>
      <w:r w:rsidR="00114CED" w:rsidRPr="00114CED">
        <w:rPr>
          <w:szCs w:val="24"/>
          <w:vertAlign w:val="superscript"/>
        </w:rPr>
        <w:t>nd</w:t>
      </w:r>
      <w:r w:rsidR="00114CED">
        <w:rPr>
          <w:szCs w:val="24"/>
        </w:rPr>
        <w:t xml:space="preserve"> Meeting, in January 2026, the Member States Advisory Group on the HQ Premises Project (MSAG) continued its work through its 39</w:t>
      </w:r>
      <w:r w:rsidR="00114CED" w:rsidRPr="00114CED">
        <w:rPr>
          <w:szCs w:val="24"/>
          <w:vertAlign w:val="superscript"/>
        </w:rPr>
        <w:t>th</w:t>
      </w:r>
      <w:r w:rsidR="00114CED">
        <w:rPr>
          <w:szCs w:val="24"/>
        </w:rPr>
        <w:t xml:space="preserve"> and 40 meetings, held virtually in October and December 2025, in line with its established working modalities and mandate. The Group maintained regular engagement, consistent with Council guidance and previously adopted decisions.</w:t>
      </w:r>
    </w:p>
    <w:p w14:paraId="399B9EC7" w14:textId="2B42FC8C" w:rsidR="00114CED" w:rsidRDefault="00114CED" w:rsidP="00114CED">
      <w:pPr>
        <w:spacing w:before="160"/>
        <w:jc w:val="both"/>
        <w:rPr>
          <w:szCs w:val="24"/>
        </w:rPr>
      </w:pPr>
      <w:r>
        <w:rPr>
          <w:szCs w:val="24"/>
        </w:rPr>
        <w:t xml:space="preserve">Throughout the meetings, a standing agenda item was dedicated to updates from the secretariat. The Deputy Secretary-General and the Head of the Building Project and Facilities Management Division (BPFMD), supported by relevant BPFMD staff, presented comprehensive progress reports on the project status, next steps, and preparatory work for the concept design phase. Particular attention was given to the presentation and analysis of alternative architectural scenarios for the new building, including its functional layout, connectivity with existing ITU buildings, sustainability considerations, cost implications, </w:t>
      </w:r>
      <w:r w:rsidR="00D97387">
        <w:rPr>
          <w:szCs w:val="24"/>
        </w:rPr>
        <w:t>and</w:t>
      </w:r>
      <w:r>
        <w:rPr>
          <w:szCs w:val="24"/>
        </w:rPr>
        <w:t xml:space="preserve"> compliance with regulatory and sponsorship requirements. Following detailed discussions and clarifications, the secretariat indicated the intention to proceed with the architect-recommended scenario.</w:t>
      </w:r>
    </w:p>
    <w:p w14:paraId="6665CD6A" w14:textId="3DB0BEAF" w:rsidR="00114CED" w:rsidRDefault="00114CED" w:rsidP="00114CED">
      <w:pPr>
        <w:spacing w:before="160"/>
        <w:jc w:val="both"/>
        <w:rPr>
          <w:szCs w:val="24"/>
        </w:rPr>
      </w:pPr>
      <w:r>
        <w:rPr>
          <w:szCs w:val="24"/>
        </w:rPr>
        <w:t xml:space="preserve">Risk management, which will be </w:t>
      </w:r>
      <w:r w:rsidR="00910F77">
        <w:rPr>
          <w:szCs w:val="24"/>
        </w:rPr>
        <w:t xml:space="preserve">the </w:t>
      </w:r>
      <w:r>
        <w:rPr>
          <w:szCs w:val="24"/>
        </w:rPr>
        <w:t>focus of the following specific topic, was further strengthened</w:t>
      </w:r>
      <w:r w:rsidR="009E5F91">
        <w:rPr>
          <w:szCs w:val="24"/>
        </w:rPr>
        <w:t xml:space="preserve">, with the Group agreeing on the importance of maintaining the risk register as a regular agenda item. </w:t>
      </w:r>
      <w:r w:rsidR="001A31AD">
        <w:rPr>
          <w:szCs w:val="24"/>
        </w:rPr>
        <w:t>The secretariat committed to updating and present the register, including strategic risks, in order to support the MSAG and its reports.</w:t>
      </w:r>
    </w:p>
    <w:p w14:paraId="5114A6D5" w14:textId="71681AE3" w:rsidR="00114CED" w:rsidRDefault="00883607" w:rsidP="00114CED">
      <w:pPr>
        <w:spacing w:before="160"/>
        <w:jc w:val="both"/>
        <w:rPr>
          <w:szCs w:val="24"/>
        </w:rPr>
      </w:pPr>
      <w:r>
        <w:rPr>
          <w:szCs w:val="24"/>
        </w:rPr>
        <w:t xml:space="preserve">Business continuity planning remained a key area </w:t>
      </w:r>
      <w:r w:rsidR="00910F77">
        <w:rPr>
          <w:szCs w:val="24"/>
        </w:rPr>
        <w:t xml:space="preserve">of </w:t>
      </w:r>
      <w:r>
        <w:rPr>
          <w:szCs w:val="24"/>
        </w:rPr>
        <w:t xml:space="preserve">focus. Updates on anticipated construction impacts were provided, and mitigation measures under consideration were also outlined. </w:t>
      </w:r>
    </w:p>
    <w:p w14:paraId="35458EBB" w14:textId="69967B54" w:rsidR="00883607" w:rsidRDefault="00883607" w:rsidP="00114CED">
      <w:pPr>
        <w:spacing w:before="160"/>
        <w:jc w:val="both"/>
        <w:rPr>
          <w:szCs w:val="24"/>
        </w:rPr>
      </w:pPr>
      <w:r>
        <w:rPr>
          <w:szCs w:val="24"/>
        </w:rPr>
        <w:t>In addition, the Group addressed procedural matters related to MSAG membership, clarifying the formal nomination process for representatives and alte</w:t>
      </w:r>
      <w:r w:rsidR="0033609E">
        <w:rPr>
          <w:szCs w:val="24"/>
        </w:rPr>
        <w:t>r</w:t>
      </w:r>
      <w:r>
        <w:rPr>
          <w:szCs w:val="24"/>
        </w:rPr>
        <w:t xml:space="preserve">nates by regional organizations, in order to ensure continuity and compliance with the MSAG ToR and applicable Resolutions and Decisions. The Chair underscored </w:t>
      </w:r>
      <w:r w:rsidR="00D97387">
        <w:rPr>
          <w:szCs w:val="24"/>
        </w:rPr>
        <w:t>that</w:t>
      </w:r>
      <w:r>
        <w:rPr>
          <w:szCs w:val="24"/>
        </w:rPr>
        <w:t xml:space="preserve"> newly designated representatives might participate provisionally while formal nomination letters were finalized.</w:t>
      </w:r>
    </w:p>
    <w:p w14:paraId="257674B4" w14:textId="7D83B021" w:rsidR="00A514A4" w:rsidRPr="00DE28E5" w:rsidRDefault="00883607" w:rsidP="00DE28E5">
      <w:pPr>
        <w:spacing w:before="160"/>
        <w:jc w:val="both"/>
        <w:rPr>
          <w:szCs w:val="24"/>
        </w:rPr>
      </w:pPr>
      <w:r>
        <w:rPr>
          <w:szCs w:val="24"/>
        </w:rPr>
        <w:t xml:space="preserve">Overall, during this reporting period, MSAG continued to fulfil its advisory role by reviewing progress, providing feedback and guidance to the secretariat, and ensuring that key issues related to project governance, risk management, and business continuity were duly examined, without identifying the need for additional formal recommendations. </w:t>
      </w:r>
      <w:bookmarkEnd w:id="16"/>
    </w:p>
    <w:p w14:paraId="535B9E9D" w14:textId="737F256D" w:rsidR="0033609E" w:rsidRDefault="0033609E" w:rsidP="00DE28E5">
      <w:pPr>
        <w:pStyle w:val="Heading1"/>
      </w:pPr>
      <w:r w:rsidRPr="00DE28E5">
        <w:t>2</w:t>
      </w:r>
      <w:r w:rsidR="00910F77">
        <w:tab/>
      </w:r>
      <w:r w:rsidR="00DE28E5" w:rsidRPr="00DE28E5">
        <w:t>Strategic risks</w:t>
      </w:r>
    </w:p>
    <w:p w14:paraId="260C7C95" w14:textId="7C0AFE26" w:rsidR="00DE28E5" w:rsidRPr="008E556B" w:rsidRDefault="001D597C" w:rsidP="001D597C">
      <w:pPr>
        <w:spacing w:before="160"/>
        <w:jc w:val="both"/>
        <w:rPr>
          <w:spacing w:val="-2"/>
          <w:szCs w:val="24"/>
        </w:rPr>
      </w:pPr>
      <w:r w:rsidRPr="008E556B">
        <w:rPr>
          <w:spacing w:val="-2"/>
          <w:szCs w:val="24"/>
        </w:rPr>
        <w:t>D</w:t>
      </w:r>
      <w:r w:rsidR="003857B5" w:rsidRPr="008E556B">
        <w:rPr>
          <w:spacing w:val="-2"/>
          <w:szCs w:val="24"/>
        </w:rPr>
        <w:t>uring the 21</w:t>
      </w:r>
      <w:r w:rsidR="003857B5" w:rsidRPr="008E556B">
        <w:rPr>
          <w:spacing w:val="-2"/>
          <w:szCs w:val="24"/>
          <w:vertAlign w:val="superscript"/>
        </w:rPr>
        <w:t>st</w:t>
      </w:r>
      <w:r w:rsidR="003857B5" w:rsidRPr="008E556B">
        <w:rPr>
          <w:spacing w:val="-2"/>
          <w:szCs w:val="24"/>
        </w:rPr>
        <w:t xml:space="preserve"> </w:t>
      </w:r>
      <w:r w:rsidR="00910F77" w:rsidRPr="008E556B">
        <w:rPr>
          <w:spacing w:val="-2"/>
          <w:szCs w:val="24"/>
        </w:rPr>
        <w:t>m</w:t>
      </w:r>
      <w:r w:rsidR="003857B5" w:rsidRPr="008E556B">
        <w:rPr>
          <w:spacing w:val="-2"/>
          <w:szCs w:val="24"/>
        </w:rPr>
        <w:t>eeting of the CWG-FHR</w:t>
      </w:r>
      <w:r w:rsidRPr="008E556B">
        <w:rPr>
          <w:spacing w:val="-2"/>
          <w:szCs w:val="24"/>
        </w:rPr>
        <w:t xml:space="preserve">, as addressed in the discussion on the </w:t>
      </w:r>
      <w:r w:rsidR="00910F77" w:rsidRPr="008E556B">
        <w:rPr>
          <w:spacing w:val="-2"/>
          <w:szCs w:val="24"/>
        </w:rPr>
        <w:t>c</w:t>
      </w:r>
      <w:r w:rsidRPr="008E556B">
        <w:rPr>
          <w:spacing w:val="-2"/>
          <w:szCs w:val="24"/>
        </w:rPr>
        <w:t>ontribution by South Africa – Update on the Union’s Headquarters Premises Project (Doc</w:t>
      </w:r>
      <w:r w:rsidR="008E556B">
        <w:rPr>
          <w:spacing w:val="-2"/>
          <w:szCs w:val="24"/>
        </w:rPr>
        <w:t>.</w:t>
      </w:r>
      <w:r w:rsidRPr="008E556B">
        <w:rPr>
          <w:spacing w:val="-2"/>
          <w:szCs w:val="24"/>
        </w:rPr>
        <w:t xml:space="preserve"> </w:t>
      </w:r>
      <w:hyperlink r:id="rId15" w:history="1">
        <w:r w:rsidRPr="008E556B">
          <w:rPr>
            <w:rStyle w:val="Hyperlink"/>
            <w:spacing w:val="-2"/>
            <w:szCs w:val="24"/>
          </w:rPr>
          <w:t>CWG-FHR-21/18</w:t>
        </w:r>
      </w:hyperlink>
      <w:r w:rsidRPr="008E556B">
        <w:rPr>
          <w:spacing w:val="-2"/>
          <w:szCs w:val="24"/>
        </w:rPr>
        <w:t xml:space="preserve">), the MSAG Chair compromised to the Chair of the CWG-FHR to report strategic risks at future Council and CWG-FHR meetings. As </w:t>
      </w:r>
      <w:r w:rsidR="00A5586F" w:rsidRPr="008E556B">
        <w:rPr>
          <w:spacing w:val="-2"/>
          <w:szCs w:val="24"/>
        </w:rPr>
        <w:t xml:space="preserve">a </w:t>
      </w:r>
      <w:r w:rsidRPr="008E556B">
        <w:rPr>
          <w:spacing w:val="-2"/>
          <w:szCs w:val="24"/>
        </w:rPr>
        <w:t>result</w:t>
      </w:r>
      <w:r w:rsidR="00A5586F" w:rsidRPr="008E556B">
        <w:rPr>
          <w:spacing w:val="-2"/>
          <w:szCs w:val="24"/>
        </w:rPr>
        <w:t>,</w:t>
      </w:r>
      <w:r w:rsidRPr="008E556B">
        <w:rPr>
          <w:spacing w:val="-2"/>
          <w:szCs w:val="24"/>
        </w:rPr>
        <w:t xml:space="preserve"> the MSAG Chair suggested the agenda item on risk management in the MSAG meetings, and besides engaged with the Secretariat and the BPFMD to have more information and detailed information on the matter.</w:t>
      </w:r>
    </w:p>
    <w:p w14:paraId="75331E2F" w14:textId="163D9466" w:rsidR="001D597C" w:rsidRDefault="00570FE3" w:rsidP="00A5586F">
      <w:pPr>
        <w:pStyle w:val="Heading2"/>
      </w:pPr>
      <w:r>
        <w:lastRenderedPageBreak/>
        <w:t>2.1</w:t>
      </w:r>
      <w:r w:rsidR="00A5586F">
        <w:tab/>
      </w:r>
      <w:r>
        <w:t xml:space="preserve">On </w:t>
      </w:r>
      <w:r w:rsidR="00A5586F">
        <w:t xml:space="preserve">project </w:t>
      </w:r>
      <w:r>
        <w:t>development</w:t>
      </w:r>
    </w:p>
    <w:p w14:paraId="168D1EDE" w14:textId="2E778891" w:rsidR="00570FE3" w:rsidRPr="00570FE3" w:rsidRDefault="00570FE3" w:rsidP="00570FE3">
      <w:pPr>
        <w:spacing w:before="160"/>
        <w:jc w:val="both"/>
        <w:rPr>
          <w:szCs w:val="24"/>
        </w:rPr>
      </w:pPr>
      <w:r w:rsidRPr="00570FE3">
        <w:rPr>
          <w:szCs w:val="24"/>
        </w:rPr>
        <w:t>The ITU Headquarters project continues to progress according to plan and remains within the approved budget. A Planning and Design firm was appointed in June 2025, enabling the successful completion of the feasibility study (Stage 1) in December 2025. Three scenarios were developed and presented to MSAG, none of which raised objections. Scenario 1, recommended by the architects, received broad support from the project team and all stakeholders, including the Steering Committee, Subject Matter Experts, staff, and MSAG.</w:t>
      </w:r>
    </w:p>
    <w:p w14:paraId="1689A0A4" w14:textId="3ABEFDB7" w:rsidR="00570FE3" w:rsidRPr="00570FE3" w:rsidRDefault="00570FE3" w:rsidP="00570FE3">
      <w:pPr>
        <w:spacing w:before="160"/>
        <w:jc w:val="both"/>
        <w:rPr>
          <w:szCs w:val="24"/>
        </w:rPr>
      </w:pPr>
      <w:r w:rsidRPr="00570FE3">
        <w:rPr>
          <w:szCs w:val="24"/>
        </w:rPr>
        <w:t>Following this, the concept design phase (Stage 2) commenced in December 2025 based on the selected Scenario 1. This stage will further refine the design and provide increased technical and functional detail. MSAG has been duly informed of this progression. In parallel, Project Management services were strengthened. As the existing contract with Hill International was six years old and tied to a previous scope and design, ITU initiated a new procurement process in May 2025 in line with UN procurement rules, prioritizing experience in Geneva and with other international organizations. After technical and financial evaluations, the ITU Contracts Committee endorsed the award of the contract to a new provider, with transition and handover completed in December 2025.</w:t>
      </w:r>
    </w:p>
    <w:p w14:paraId="2A784F26" w14:textId="38E46EB3" w:rsidR="00570FE3" w:rsidRPr="001D597C" w:rsidRDefault="00570FE3" w:rsidP="00570FE3">
      <w:pPr>
        <w:spacing w:before="160"/>
        <w:jc w:val="both"/>
        <w:rPr>
          <w:szCs w:val="24"/>
        </w:rPr>
      </w:pPr>
      <w:r w:rsidRPr="00570FE3">
        <w:rPr>
          <w:szCs w:val="24"/>
        </w:rPr>
        <w:t>From a financial and governance perspective, the project remains within the approved budget ceiling, despite the withdrawal of UAE sponsorship and the return of CHF 5 million. The Host Country continues its support through the Swiss loan, which will be formally repurposed once the concept design is finalized. To further reinforce governance and oversight, ITU is in the process of recruiting an external project advisor to support the Secretary-General and Deputy Secretary-General.</w:t>
      </w:r>
    </w:p>
    <w:p w14:paraId="493A8533" w14:textId="67871560" w:rsidR="00DE28E5" w:rsidRDefault="00201315" w:rsidP="00A5586F">
      <w:pPr>
        <w:pStyle w:val="Heading2"/>
      </w:pPr>
      <w:r>
        <w:t>2.2</w:t>
      </w:r>
      <w:r w:rsidR="00A5586F">
        <w:tab/>
      </w:r>
      <w:r>
        <w:t xml:space="preserve">On </w:t>
      </w:r>
      <w:r w:rsidR="00A5586F">
        <w:t>risk register</w:t>
      </w:r>
    </w:p>
    <w:p w14:paraId="7BA69619" w14:textId="0749CD68" w:rsidR="00201315" w:rsidRDefault="00201315" w:rsidP="00201315">
      <w:pPr>
        <w:jc w:val="both"/>
      </w:pPr>
      <w:r>
        <w:t>Risks for the ITU Headquarters project are actively monitored, regularly updated, and supported by reserve funds that at this point are sufficient to address short-term needs. The current Risk Register reflects the close of Stage 1 and was prepared by the outgoing Project Management (PM) services firm. It generally follows SIA planning principles and appropriately recognizes the higher level of uncertainty typical of early project phases. As the project transitions to Stage 2, this baseline provides a structured starting point while acknowledging that further refinement is required.</w:t>
      </w:r>
    </w:p>
    <w:p w14:paraId="6564F57B" w14:textId="3559C4A8" w:rsidR="00201315" w:rsidRDefault="00201315" w:rsidP="00201315">
      <w:pPr>
        <w:jc w:val="both"/>
      </w:pPr>
      <w:r>
        <w:t>One of the priorities identified by the incumbent PM services is a comprehensive review of the Risk Register. This review will reassess risks with a fresh perspective, drawing on the new team’s experience in the Geneva market and aligning the register with the project’s progression into Stage 2. The concept design phase will introduce greater technical and programmatic detail, enabling a more thorough and evidence-based reassessment of risks. As key assumptions are validated and design certainty increases, a certain level of uncertainty is expected to decrease, particularly ahead of Council-26.</w:t>
      </w:r>
    </w:p>
    <w:p w14:paraId="6D2A4DF1" w14:textId="77777777" w:rsidR="00201315" w:rsidRDefault="00201315" w:rsidP="00201315">
      <w:pPr>
        <w:jc w:val="both"/>
      </w:pPr>
      <w:r>
        <w:t>Stage 2 will also provide increased flexibility to define and implement mitigation measures at an early stage, before risks materialize into cost or schedule impacts. Initial design work will allow mitigation strategies to be embedded directly into project solutions, rather than treated as reactive measures. This approach supports stronger cost control, schedule stability, and governance discipline as the project advances toward procurement and construction readiness.</w:t>
      </w:r>
    </w:p>
    <w:p w14:paraId="27849CB6" w14:textId="77777777" w:rsidR="00201315" w:rsidRDefault="00201315" w:rsidP="008E556B">
      <w:pPr>
        <w:jc w:val="both"/>
      </w:pPr>
      <w:r>
        <w:lastRenderedPageBreak/>
        <w:t>The main risks identified by the PM services are assessed using Expected Monetary Value (EMV), based on probability and impact, and are grouped into the following categories:</w:t>
      </w:r>
    </w:p>
    <w:p w14:paraId="3C874BC2" w14:textId="7DCC423C" w:rsidR="00201315" w:rsidRDefault="00AF360D" w:rsidP="008E556B">
      <w:pPr>
        <w:pStyle w:val="enumlev1"/>
        <w:jc w:val="both"/>
      </w:pPr>
      <w:r>
        <w:t>–</w:t>
      </w:r>
      <w:r>
        <w:tab/>
      </w:r>
      <w:r w:rsidR="00201315">
        <w:t>Risk Category 1 – Business Continuity:</w:t>
      </w:r>
    </w:p>
    <w:p w14:paraId="2D7229BE" w14:textId="5DB6ED95" w:rsidR="00201315" w:rsidRDefault="00AF360D" w:rsidP="008E556B">
      <w:pPr>
        <w:pStyle w:val="enumlev1"/>
        <w:jc w:val="both"/>
      </w:pPr>
      <w:r>
        <w:tab/>
      </w:r>
      <w:r w:rsidR="00201315">
        <w:t>Delays in construction could result in noise and dust nuisance affecting meetings in other ITU buildings.</w:t>
      </w:r>
    </w:p>
    <w:p w14:paraId="0FB836D1" w14:textId="4DC5434C" w:rsidR="00201315" w:rsidRDefault="00AF360D" w:rsidP="008E556B">
      <w:pPr>
        <w:pStyle w:val="enumlev1"/>
        <w:jc w:val="both"/>
      </w:pPr>
      <w:r>
        <w:tab/>
      </w:r>
      <w:r w:rsidR="00201315">
        <w:t>Mitigation: Business continuity planning is underway.</w:t>
      </w:r>
    </w:p>
    <w:p w14:paraId="291BACC5" w14:textId="501E877D" w:rsidR="00201315" w:rsidRDefault="00AF360D" w:rsidP="008E556B">
      <w:pPr>
        <w:pStyle w:val="enumlev1"/>
        <w:jc w:val="both"/>
      </w:pPr>
      <w:r>
        <w:t>–</w:t>
      </w:r>
      <w:r>
        <w:tab/>
      </w:r>
      <w:r w:rsidR="00201315">
        <w:t>Risk Category 2 – External Risks:</w:t>
      </w:r>
    </w:p>
    <w:p w14:paraId="25BFC7ED" w14:textId="23B3901B" w:rsidR="00201315" w:rsidRDefault="00AF360D" w:rsidP="008E556B">
      <w:pPr>
        <w:pStyle w:val="enumlev1"/>
        <w:jc w:val="both"/>
      </w:pPr>
      <w:r>
        <w:tab/>
      </w:r>
      <w:r w:rsidR="00201315">
        <w:t>Security measures cannot be implemented in the public domain, and there may be misalignment with the Swiss Mission’s scope for peripheral security.</w:t>
      </w:r>
    </w:p>
    <w:p w14:paraId="49659814" w14:textId="3AAC18F3" w:rsidR="00201315" w:rsidRDefault="00AF360D" w:rsidP="008E556B">
      <w:pPr>
        <w:pStyle w:val="enumlev1"/>
        <w:jc w:val="both"/>
      </w:pPr>
      <w:r>
        <w:tab/>
      </w:r>
      <w:r w:rsidR="00201315">
        <w:t>Mitigation: Regular coordination with Swiss authorities is ongoing to address peripheral security matters.</w:t>
      </w:r>
    </w:p>
    <w:p w14:paraId="59880DF5" w14:textId="5286CF72" w:rsidR="00201315" w:rsidRDefault="00AF360D" w:rsidP="008E556B">
      <w:pPr>
        <w:pStyle w:val="enumlev1"/>
        <w:jc w:val="both"/>
      </w:pPr>
      <w:r>
        <w:t>–</w:t>
      </w:r>
      <w:r>
        <w:tab/>
      </w:r>
      <w:r w:rsidR="00201315">
        <w:t>Risk Category 3 – Core Project Management:</w:t>
      </w:r>
    </w:p>
    <w:p w14:paraId="538C4FE9" w14:textId="77460481" w:rsidR="00201315" w:rsidRDefault="00AF360D" w:rsidP="008E556B">
      <w:pPr>
        <w:pStyle w:val="enumlev1"/>
        <w:jc w:val="both"/>
      </w:pPr>
      <w:r>
        <w:tab/>
      </w:r>
      <w:r w:rsidR="00201315">
        <w:t>Scope creep arising from additional demands.</w:t>
      </w:r>
    </w:p>
    <w:p w14:paraId="48E28AAA" w14:textId="5427CE16" w:rsidR="00201315" w:rsidRDefault="00AF360D" w:rsidP="008E556B">
      <w:pPr>
        <w:pStyle w:val="enumlev1"/>
        <w:jc w:val="both"/>
      </w:pPr>
      <w:r>
        <w:tab/>
      </w:r>
      <w:r w:rsidR="00201315">
        <w:t>Mitigation: Maintain oversight through the established governance framework and apply a design-to-cost approach.</w:t>
      </w:r>
    </w:p>
    <w:p w14:paraId="35EE809D" w14:textId="35569EA4" w:rsidR="00201315" w:rsidRDefault="00AF360D" w:rsidP="008E556B">
      <w:pPr>
        <w:pStyle w:val="enumlev1"/>
        <w:jc w:val="both"/>
      </w:pPr>
      <w:r>
        <w:t>–</w:t>
      </w:r>
      <w:r>
        <w:tab/>
      </w:r>
      <w:r w:rsidR="00201315">
        <w:t>Risk Category 4 – Procurement and Contract Management:</w:t>
      </w:r>
    </w:p>
    <w:p w14:paraId="19C8CD3F" w14:textId="1619FA56" w:rsidR="00201315" w:rsidRDefault="00AF360D" w:rsidP="008E556B">
      <w:pPr>
        <w:pStyle w:val="enumlev1"/>
        <w:jc w:val="both"/>
      </w:pPr>
      <w:r>
        <w:tab/>
      </w:r>
      <w:r w:rsidR="00201315">
        <w:t>Contractual terms for the Design &amp; Build (D&amp;B) contractor may lead to cost increases.</w:t>
      </w:r>
    </w:p>
    <w:p w14:paraId="4776A4EE" w14:textId="7DA56EA2" w:rsidR="00201315" w:rsidRDefault="00AF360D" w:rsidP="008E556B">
      <w:pPr>
        <w:pStyle w:val="enumlev1"/>
        <w:jc w:val="both"/>
      </w:pPr>
      <w:r>
        <w:tab/>
      </w:r>
      <w:r w:rsidR="00201315">
        <w:t>Mitigation: Align new contracts and procurement processes with industry standards. Architect recommendations include:</w:t>
      </w:r>
    </w:p>
    <w:p w14:paraId="2DA21D66" w14:textId="786FA714" w:rsidR="00201315" w:rsidRDefault="00AF360D" w:rsidP="008E556B">
      <w:pPr>
        <w:pStyle w:val="enumlev2"/>
        <w:jc w:val="both"/>
      </w:pPr>
      <w:r>
        <w:t>•</w:t>
      </w:r>
      <w:r>
        <w:tab/>
      </w:r>
      <w:r w:rsidR="00201315">
        <w:t>D&amp;B contractors are familiar with SIA standards; deviations may increase cost and risk.</w:t>
      </w:r>
    </w:p>
    <w:p w14:paraId="3F4E8ADA" w14:textId="1D5E5DDE" w:rsidR="00201315" w:rsidRDefault="00AF360D" w:rsidP="008E556B">
      <w:pPr>
        <w:pStyle w:val="enumlev2"/>
        <w:jc w:val="both"/>
      </w:pPr>
      <w:r>
        <w:t>•</w:t>
      </w:r>
      <w:r>
        <w:tab/>
      </w:r>
      <w:r w:rsidR="00201315">
        <w:t>Insurance requirements should be transparent and equitable.</w:t>
      </w:r>
    </w:p>
    <w:p w14:paraId="43319AE5" w14:textId="1D6A7C99" w:rsidR="00201315" w:rsidRDefault="00AF360D" w:rsidP="008E556B">
      <w:pPr>
        <w:pStyle w:val="enumlev2"/>
        <w:jc w:val="both"/>
      </w:pPr>
      <w:r>
        <w:t>•</w:t>
      </w:r>
      <w:r>
        <w:tab/>
      </w:r>
      <w:r w:rsidR="00201315">
        <w:t>Clearly define service limits and responsibilities among the D&amp;B contractor, subcontractors, and PM team.</w:t>
      </w:r>
    </w:p>
    <w:p w14:paraId="61102AE4" w14:textId="39E9A139" w:rsidR="00201315" w:rsidRDefault="00AF360D" w:rsidP="008E556B">
      <w:pPr>
        <w:pStyle w:val="enumlev2"/>
        <w:jc w:val="both"/>
      </w:pPr>
      <w:r>
        <w:t>•</w:t>
      </w:r>
      <w:r>
        <w:tab/>
      </w:r>
      <w:r w:rsidR="00201315">
        <w:t>Offer a fair payment schedule to reduce contractor financial risk.</w:t>
      </w:r>
    </w:p>
    <w:p w14:paraId="444A55A7" w14:textId="3F2CB8CB" w:rsidR="00201315" w:rsidRDefault="00AF360D" w:rsidP="008E556B">
      <w:pPr>
        <w:pStyle w:val="enumlev2"/>
        <w:jc w:val="both"/>
      </w:pPr>
      <w:r>
        <w:t>•</w:t>
      </w:r>
      <w:r>
        <w:tab/>
      </w:r>
      <w:r w:rsidR="00201315">
        <w:t>Avoid transferring unmanageable risks (e.g., unforeseen geology or soil contamination) while expecting competitive bids.</w:t>
      </w:r>
    </w:p>
    <w:p w14:paraId="72C4C5ED" w14:textId="7B698360" w:rsidR="00201315" w:rsidRDefault="00AF360D" w:rsidP="008E556B">
      <w:pPr>
        <w:pStyle w:val="enumlev2"/>
        <w:jc w:val="both"/>
      </w:pPr>
      <w:r>
        <w:t>•</w:t>
      </w:r>
      <w:r>
        <w:tab/>
      </w:r>
      <w:r w:rsidR="00201315">
        <w:t>Clarify treatment of extraordinary events (e.g., natural disasters, pandemics, general strikes) in relation to the guaranteed maximum price.</w:t>
      </w:r>
    </w:p>
    <w:p w14:paraId="01EA0246" w14:textId="3A8E8CED" w:rsidR="00201315" w:rsidRDefault="00AF360D" w:rsidP="008E556B">
      <w:pPr>
        <w:pStyle w:val="enumlev1"/>
        <w:jc w:val="both"/>
      </w:pPr>
      <w:r>
        <w:t>–</w:t>
      </w:r>
      <w:r>
        <w:tab/>
      </w:r>
      <w:r w:rsidR="00201315">
        <w:t>Risk Category 5 – Programme / Scope of Project:</w:t>
      </w:r>
    </w:p>
    <w:p w14:paraId="0965DD92" w14:textId="1B6436F1" w:rsidR="00201315" w:rsidRDefault="00AF360D" w:rsidP="008E556B">
      <w:pPr>
        <w:pStyle w:val="enumlev2"/>
        <w:jc w:val="both"/>
      </w:pPr>
      <w:r>
        <w:t>•</w:t>
      </w:r>
      <w:r>
        <w:tab/>
      </w:r>
      <w:r w:rsidR="00201315">
        <w:t>Funding gap due to the UAE's withdrawal of sponsorship.</w:t>
      </w:r>
    </w:p>
    <w:p w14:paraId="23F1EEFA" w14:textId="06C2FE86" w:rsidR="00201315" w:rsidRDefault="00AF360D" w:rsidP="008E556B">
      <w:pPr>
        <w:pStyle w:val="enumlev2"/>
        <w:jc w:val="both"/>
      </w:pPr>
      <w:r>
        <w:tab/>
      </w:r>
      <w:r>
        <w:tab/>
      </w:r>
      <w:r w:rsidR="00201315">
        <w:t>Mitigation: Explore new sponsorship opportunities as the design evolves, alternative funding sources, or scope adjustments for elements outside the Council decision.</w:t>
      </w:r>
    </w:p>
    <w:p w14:paraId="1369BB7D" w14:textId="199E6DF7" w:rsidR="00201315" w:rsidRDefault="00AF360D" w:rsidP="008E556B">
      <w:pPr>
        <w:pStyle w:val="enumlev2"/>
        <w:jc w:val="both"/>
      </w:pPr>
      <w:r>
        <w:t>•</w:t>
      </w:r>
      <w:r>
        <w:tab/>
      </w:r>
      <w:r w:rsidR="00201315">
        <w:t>Increased security requirements compared to initial assumptions.</w:t>
      </w:r>
    </w:p>
    <w:p w14:paraId="5A4A6A5C" w14:textId="46A90D38" w:rsidR="00201315" w:rsidRDefault="00AF360D" w:rsidP="008E556B">
      <w:pPr>
        <w:pStyle w:val="enumlev2"/>
        <w:jc w:val="both"/>
      </w:pPr>
      <w:r>
        <w:tab/>
      </w:r>
      <w:r>
        <w:tab/>
      </w:r>
      <w:r w:rsidR="00201315">
        <w:t>Mitigation: Address peripheral security and integrate key requirements into the design.</w:t>
      </w:r>
    </w:p>
    <w:p w14:paraId="73DF399A" w14:textId="14C99DF5" w:rsidR="00201315" w:rsidRDefault="00AF360D" w:rsidP="008E556B">
      <w:pPr>
        <w:pStyle w:val="enumlev2"/>
        <w:jc w:val="both"/>
      </w:pPr>
      <w:r>
        <w:t>•</w:t>
      </w:r>
      <w:r>
        <w:tab/>
      </w:r>
      <w:r w:rsidR="00201315">
        <w:t>Temporary heating and cooling for Montbrillant during construction, similar to current arrangements at Varembé.</w:t>
      </w:r>
    </w:p>
    <w:p w14:paraId="55B1B9F0" w14:textId="20D8BDCA" w:rsidR="00201315" w:rsidRDefault="00AF360D" w:rsidP="008E556B">
      <w:pPr>
        <w:pStyle w:val="enumlev2"/>
        <w:jc w:val="both"/>
      </w:pPr>
      <w:r>
        <w:tab/>
      </w:r>
      <w:r>
        <w:tab/>
      </w:r>
      <w:r w:rsidR="00201315">
        <w:t>Mitigation: Engage with the local energy supplier (SIG) during the next stage.</w:t>
      </w:r>
    </w:p>
    <w:p w14:paraId="1E3702BB" w14:textId="2B88C402" w:rsidR="00201315" w:rsidRDefault="00AF360D" w:rsidP="008E556B">
      <w:pPr>
        <w:pStyle w:val="enumlev2"/>
        <w:jc w:val="both"/>
      </w:pPr>
      <w:r>
        <w:lastRenderedPageBreak/>
        <w:t>•</w:t>
      </w:r>
      <w:r>
        <w:tab/>
      </w:r>
      <w:r w:rsidR="00201315">
        <w:t>Design risk and contingencies.</w:t>
      </w:r>
    </w:p>
    <w:p w14:paraId="3F7091E8" w14:textId="44B788F4" w:rsidR="00201315" w:rsidRDefault="00AF360D" w:rsidP="008E556B">
      <w:pPr>
        <w:pStyle w:val="enumlev2"/>
        <w:jc w:val="both"/>
      </w:pPr>
      <w:r>
        <w:tab/>
      </w:r>
      <w:r>
        <w:tab/>
      </w:r>
      <w:r w:rsidR="00201315">
        <w:t>Mitigation: Maintain governance oversight and apply a design-to-cost approach.</w:t>
      </w:r>
    </w:p>
    <w:p w14:paraId="5C9A402E" w14:textId="51A262D9" w:rsidR="00201315" w:rsidRDefault="00AF360D" w:rsidP="008E556B">
      <w:pPr>
        <w:pStyle w:val="enumlev1"/>
        <w:jc w:val="both"/>
      </w:pPr>
      <w:r>
        <w:t>–</w:t>
      </w:r>
      <w:r>
        <w:tab/>
      </w:r>
      <w:r w:rsidR="00201315">
        <w:t>Risk Category – Change Management:</w:t>
      </w:r>
    </w:p>
    <w:p w14:paraId="249D08D1" w14:textId="500DCAB0" w:rsidR="00201315" w:rsidRDefault="00AF360D" w:rsidP="008E556B">
      <w:pPr>
        <w:pStyle w:val="enumlev1"/>
        <w:jc w:val="both"/>
      </w:pPr>
      <w:r>
        <w:tab/>
      </w:r>
      <w:r w:rsidR="00201315">
        <w:t>Changes during construction may lead to cost and schedule increases.</w:t>
      </w:r>
    </w:p>
    <w:p w14:paraId="050E9620" w14:textId="3C2597CE" w:rsidR="00201315" w:rsidRDefault="00AF360D" w:rsidP="008E556B">
      <w:pPr>
        <w:pStyle w:val="enumlev1"/>
        <w:jc w:val="both"/>
      </w:pPr>
      <w:r>
        <w:tab/>
      </w:r>
      <w:r w:rsidR="00201315">
        <w:t>Mitigation: While not an imminent risk, the D&amp;B contract will clearly define the change-order process, and all changes will be subject to internal ITU approvals in line with the project governance framework.</w:t>
      </w:r>
    </w:p>
    <w:p w14:paraId="3F07F01E" w14:textId="76703AA2" w:rsidR="001C033D" w:rsidRDefault="001C033D" w:rsidP="00A5586F">
      <w:pPr>
        <w:pStyle w:val="Heading2"/>
      </w:pPr>
      <w:r>
        <w:t>2.3</w:t>
      </w:r>
      <w:r w:rsidR="00A5586F">
        <w:tab/>
      </w:r>
      <w:r>
        <w:t>Considerations of the MSAG Chair</w:t>
      </w:r>
    </w:p>
    <w:p w14:paraId="0E03DAC2" w14:textId="77777777" w:rsidR="00594FC2" w:rsidRDefault="00594FC2" w:rsidP="00594FC2">
      <w:pPr>
        <w:jc w:val="both"/>
      </w:pPr>
      <w:r w:rsidRPr="00594FC2">
        <w:t>Due to the sponsorship perspective alteration, there is a current gap between the Expected Monetary Value (EMV) to cover project risks after mitigation and the Available funds.</w:t>
      </w:r>
    </w:p>
    <w:p w14:paraId="3EE9240B" w14:textId="77777777" w:rsidR="00594FC2" w:rsidRDefault="00594FC2" w:rsidP="00594FC2">
      <w:pPr>
        <w:jc w:val="both"/>
      </w:pPr>
      <w:r w:rsidRPr="00594FC2">
        <w:t xml:space="preserve">However, at this stage of the Project, there is no urgency in addressing the situation immediately since i) the incumbent PM services is preparing a comprehensive review of the Risk Register that might have a different EMV; ii) the majority of risks to be covered relate to later stages of the Project; and iii) a new sponsorship fund might be found. </w:t>
      </w:r>
    </w:p>
    <w:p w14:paraId="49AEB4AE" w14:textId="7D276251" w:rsidR="001C033D" w:rsidRPr="00DE28E5" w:rsidRDefault="00594FC2" w:rsidP="00594FC2">
      <w:pPr>
        <w:jc w:val="both"/>
      </w:pPr>
      <w:r w:rsidRPr="00594FC2">
        <w:t xml:space="preserve">Besides that, at this stage, the scope of the Project and its budgetary aspects still can be reviewed by the Council and PP-26 if this gap remains and if there will be a consensus about the need to keep it considered in the Available funds. Finally, as the Project advances, some of the risks </w:t>
      </w:r>
      <w:r>
        <w:t xml:space="preserve">may </w:t>
      </w:r>
      <w:r w:rsidRPr="00594FC2">
        <w:t>disappear due to the conclusion of phases to which they are automatically linked.</w:t>
      </w:r>
    </w:p>
    <w:p w14:paraId="532C4A2C" w14:textId="77777777" w:rsidR="00BC1E4E" w:rsidRDefault="00BC1E4E" w:rsidP="00BC1E4E">
      <w:pPr>
        <w:pStyle w:val="Heading1"/>
      </w:pPr>
      <w:r w:rsidRPr="00C70984">
        <w:t>3</w:t>
      </w:r>
      <w:r>
        <w:tab/>
        <w:t>Other topics</w:t>
      </w:r>
    </w:p>
    <w:p w14:paraId="7B003CE0" w14:textId="5C5807E0" w:rsidR="00BC1E4E" w:rsidRDefault="00BC1E4E" w:rsidP="00A5586F">
      <w:pPr>
        <w:jc w:val="both"/>
      </w:pPr>
      <w:r w:rsidRPr="007B2E94">
        <w:t xml:space="preserve">The </w:t>
      </w:r>
      <w:r>
        <w:t>s</w:t>
      </w:r>
      <w:r w:rsidRPr="007B2E94">
        <w:t xml:space="preserve">ummaries of the MSAG </w:t>
      </w:r>
      <w:r>
        <w:t>m</w:t>
      </w:r>
      <w:r w:rsidRPr="007B2E94">
        <w:t>eetings, as well as all the working documents, presentations, and contributions, are published in the MSAG SharePoint and are accessible to all Member States.</w:t>
      </w:r>
    </w:p>
    <w:p w14:paraId="3EBB2A4E" w14:textId="77777777" w:rsidR="00A5586F" w:rsidRDefault="00A5586F" w:rsidP="00A5586F">
      <w:pPr>
        <w:jc w:val="both"/>
      </w:pPr>
    </w:p>
    <w:p w14:paraId="1F9849C5" w14:textId="2D52DB03" w:rsidR="00A5586F" w:rsidRPr="004F2912" w:rsidRDefault="00A5586F" w:rsidP="00A5586F">
      <w:pPr>
        <w:jc w:val="center"/>
      </w:pPr>
      <w:r>
        <w:t>______________</w:t>
      </w:r>
    </w:p>
    <w:sectPr w:rsidR="00A5586F" w:rsidRPr="004F2912" w:rsidSect="00AD3606">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49D2" w14:textId="77777777" w:rsidR="00C13498" w:rsidRDefault="00C13498">
      <w:r>
        <w:separator/>
      </w:r>
    </w:p>
  </w:endnote>
  <w:endnote w:type="continuationSeparator" w:id="0">
    <w:p w14:paraId="1B5DA597" w14:textId="77777777" w:rsidR="00C13498" w:rsidRDefault="00C1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53D64B0F"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3E2EF3">
            <w:rPr>
              <w:bCs/>
            </w:rPr>
            <w:t>22</w:t>
          </w:r>
          <w:r w:rsidR="00A52C84" w:rsidRPr="00623AE3">
            <w:rPr>
              <w:bCs/>
            </w:rPr>
            <w:t>/</w:t>
          </w:r>
          <w:r w:rsidR="00D97387">
            <w:rPr>
              <w:bCs/>
            </w:rPr>
            <w:t>24</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4719E1F3" w:rsidR="00EE49E8" w:rsidRDefault="00A52C84" w:rsidP="00EE49E8">
          <w:pPr>
            <w:pStyle w:val="Header"/>
            <w:jc w:val="left"/>
            <w:rPr>
              <w:noProof/>
            </w:rPr>
          </w:pPr>
          <w:hyperlink r:id="rId1" w:history="1">
            <w:r w:rsidRPr="003E2EF3">
              <w:rPr>
                <w:rStyle w:val="Hyperlink"/>
              </w:rPr>
              <w:t>council.itu.int/working-groups</w:t>
            </w:r>
          </w:hyperlink>
        </w:p>
      </w:tc>
      <w:tc>
        <w:tcPr>
          <w:tcW w:w="6957" w:type="dxa"/>
        </w:tcPr>
        <w:p w14:paraId="3F62E0D8" w14:textId="43A2165F"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3E2EF3">
            <w:rPr>
              <w:bCs/>
            </w:rPr>
            <w:t>22</w:t>
          </w:r>
          <w:r w:rsidRPr="00623AE3">
            <w:rPr>
              <w:bCs/>
            </w:rPr>
            <w:t>/</w:t>
          </w:r>
          <w:r w:rsidR="00D97387">
            <w:rPr>
              <w:bCs/>
            </w:rPr>
            <w:t>24</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DDC4" w14:textId="77777777" w:rsidR="00C13498" w:rsidRDefault="00C13498">
      <w:r>
        <w:t>____________________</w:t>
      </w:r>
    </w:p>
  </w:footnote>
  <w:footnote w:type="continuationSeparator" w:id="0">
    <w:p w14:paraId="7A4DD715" w14:textId="77777777" w:rsidR="00C13498" w:rsidRDefault="00C13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7"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7"/>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0C6C"/>
    <w:rsid w:val="000210D4"/>
    <w:rsid w:val="00022A8E"/>
    <w:rsid w:val="00063016"/>
    <w:rsid w:val="00066795"/>
    <w:rsid w:val="00076AF6"/>
    <w:rsid w:val="00085CF2"/>
    <w:rsid w:val="000A57A6"/>
    <w:rsid w:val="000B1705"/>
    <w:rsid w:val="000D75B2"/>
    <w:rsid w:val="001121F5"/>
    <w:rsid w:val="00114CED"/>
    <w:rsid w:val="00130599"/>
    <w:rsid w:val="001400DC"/>
    <w:rsid w:val="00140CE1"/>
    <w:rsid w:val="001751FF"/>
    <w:rsid w:val="0017539C"/>
    <w:rsid w:val="00175AC2"/>
    <w:rsid w:val="0017609F"/>
    <w:rsid w:val="0019628A"/>
    <w:rsid w:val="001A31AD"/>
    <w:rsid w:val="001A7D1D"/>
    <w:rsid w:val="001B51DD"/>
    <w:rsid w:val="001C033D"/>
    <w:rsid w:val="001C628E"/>
    <w:rsid w:val="001D597C"/>
    <w:rsid w:val="001E0F7B"/>
    <w:rsid w:val="001E0FBE"/>
    <w:rsid w:val="00201315"/>
    <w:rsid w:val="002119FD"/>
    <w:rsid w:val="002130E0"/>
    <w:rsid w:val="00215A2C"/>
    <w:rsid w:val="002404ED"/>
    <w:rsid w:val="00244F7F"/>
    <w:rsid w:val="00260ACE"/>
    <w:rsid w:val="00264425"/>
    <w:rsid w:val="00265875"/>
    <w:rsid w:val="0027303B"/>
    <w:rsid w:val="0028109B"/>
    <w:rsid w:val="002A2188"/>
    <w:rsid w:val="002B1F58"/>
    <w:rsid w:val="002C1C7A"/>
    <w:rsid w:val="002C54E2"/>
    <w:rsid w:val="002D5DBD"/>
    <w:rsid w:val="0030160F"/>
    <w:rsid w:val="003058DA"/>
    <w:rsid w:val="00320223"/>
    <w:rsid w:val="00322D0D"/>
    <w:rsid w:val="0033609E"/>
    <w:rsid w:val="003515F5"/>
    <w:rsid w:val="00361465"/>
    <w:rsid w:val="003857B5"/>
    <w:rsid w:val="003877F5"/>
    <w:rsid w:val="003942D4"/>
    <w:rsid w:val="003958A8"/>
    <w:rsid w:val="003A0FF4"/>
    <w:rsid w:val="003B6D23"/>
    <w:rsid w:val="003C2533"/>
    <w:rsid w:val="003D55B9"/>
    <w:rsid w:val="003D5A7F"/>
    <w:rsid w:val="003E2EF3"/>
    <w:rsid w:val="004016E2"/>
    <w:rsid w:val="0040435A"/>
    <w:rsid w:val="00413A13"/>
    <w:rsid w:val="00416A24"/>
    <w:rsid w:val="00431D9E"/>
    <w:rsid w:val="00433CE8"/>
    <w:rsid w:val="00434A5C"/>
    <w:rsid w:val="00437BCD"/>
    <w:rsid w:val="004544D9"/>
    <w:rsid w:val="00472BAD"/>
    <w:rsid w:val="00484009"/>
    <w:rsid w:val="00490E72"/>
    <w:rsid w:val="00491157"/>
    <w:rsid w:val="004921C8"/>
    <w:rsid w:val="00495B0B"/>
    <w:rsid w:val="004A1B8B"/>
    <w:rsid w:val="004D1851"/>
    <w:rsid w:val="004D599D"/>
    <w:rsid w:val="004E2037"/>
    <w:rsid w:val="004E2EA5"/>
    <w:rsid w:val="004E3AEB"/>
    <w:rsid w:val="004F2912"/>
    <w:rsid w:val="004F5EC4"/>
    <w:rsid w:val="0050223C"/>
    <w:rsid w:val="005243FF"/>
    <w:rsid w:val="00564FBC"/>
    <w:rsid w:val="00570FE3"/>
    <w:rsid w:val="005800BC"/>
    <w:rsid w:val="00582442"/>
    <w:rsid w:val="00594FC2"/>
    <w:rsid w:val="005A335D"/>
    <w:rsid w:val="005E2BD5"/>
    <w:rsid w:val="005F3269"/>
    <w:rsid w:val="00623AE3"/>
    <w:rsid w:val="00627268"/>
    <w:rsid w:val="0064737F"/>
    <w:rsid w:val="006535F1"/>
    <w:rsid w:val="0065557D"/>
    <w:rsid w:val="00660D50"/>
    <w:rsid w:val="00662984"/>
    <w:rsid w:val="006716BB"/>
    <w:rsid w:val="00676C7D"/>
    <w:rsid w:val="006B1859"/>
    <w:rsid w:val="006B6680"/>
    <w:rsid w:val="006B6DCC"/>
    <w:rsid w:val="00702DEF"/>
    <w:rsid w:val="00706861"/>
    <w:rsid w:val="0075051B"/>
    <w:rsid w:val="00775655"/>
    <w:rsid w:val="00793188"/>
    <w:rsid w:val="00794D34"/>
    <w:rsid w:val="007D42ED"/>
    <w:rsid w:val="00804EAC"/>
    <w:rsid w:val="00813E5E"/>
    <w:rsid w:val="0083581B"/>
    <w:rsid w:val="00863874"/>
    <w:rsid w:val="00864AFF"/>
    <w:rsid w:val="00865925"/>
    <w:rsid w:val="00883607"/>
    <w:rsid w:val="00891503"/>
    <w:rsid w:val="008964B4"/>
    <w:rsid w:val="008A4C6B"/>
    <w:rsid w:val="008A6D05"/>
    <w:rsid w:val="008B4A6A"/>
    <w:rsid w:val="008C7E27"/>
    <w:rsid w:val="008E556B"/>
    <w:rsid w:val="008F7448"/>
    <w:rsid w:val="0090147A"/>
    <w:rsid w:val="00910F77"/>
    <w:rsid w:val="009173EF"/>
    <w:rsid w:val="00932906"/>
    <w:rsid w:val="00961B0B"/>
    <w:rsid w:val="00962D33"/>
    <w:rsid w:val="00971C28"/>
    <w:rsid w:val="009B2D4B"/>
    <w:rsid w:val="009B38C3"/>
    <w:rsid w:val="009B558B"/>
    <w:rsid w:val="009C253A"/>
    <w:rsid w:val="009E17BD"/>
    <w:rsid w:val="009E485A"/>
    <w:rsid w:val="009E5F91"/>
    <w:rsid w:val="009F347C"/>
    <w:rsid w:val="00A04CEC"/>
    <w:rsid w:val="00A27F92"/>
    <w:rsid w:val="00A32257"/>
    <w:rsid w:val="00A34664"/>
    <w:rsid w:val="00A36D20"/>
    <w:rsid w:val="00A419B9"/>
    <w:rsid w:val="00A467DF"/>
    <w:rsid w:val="00A514A4"/>
    <w:rsid w:val="00A52C84"/>
    <w:rsid w:val="00A55622"/>
    <w:rsid w:val="00A5586F"/>
    <w:rsid w:val="00A83502"/>
    <w:rsid w:val="00A94376"/>
    <w:rsid w:val="00AD15B3"/>
    <w:rsid w:val="00AD3606"/>
    <w:rsid w:val="00AD4A3D"/>
    <w:rsid w:val="00AD7200"/>
    <w:rsid w:val="00AF360D"/>
    <w:rsid w:val="00AF6E49"/>
    <w:rsid w:val="00B01BD6"/>
    <w:rsid w:val="00B04A67"/>
    <w:rsid w:val="00B0583C"/>
    <w:rsid w:val="00B358B2"/>
    <w:rsid w:val="00B40A81"/>
    <w:rsid w:val="00B44910"/>
    <w:rsid w:val="00B72267"/>
    <w:rsid w:val="00B76EB6"/>
    <w:rsid w:val="00B7737B"/>
    <w:rsid w:val="00B824C8"/>
    <w:rsid w:val="00B84B9D"/>
    <w:rsid w:val="00BC1E4E"/>
    <w:rsid w:val="00BC251A"/>
    <w:rsid w:val="00BD032B"/>
    <w:rsid w:val="00BD1693"/>
    <w:rsid w:val="00BE2640"/>
    <w:rsid w:val="00C01189"/>
    <w:rsid w:val="00C04C8D"/>
    <w:rsid w:val="00C13498"/>
    <w:rsid w:val="00C374DE"/>
    <w:rsid w:val="00C47AD4"/>
    <w:rsid w:val="00C52D81"/>
    <w:rsid w:val="00C55198"/>
    <w:rsid w:val="00C73E9F"/>
    <w:rsid w:val="00CA6393"/>
    <w:rsid w:val="00CA7CB8"/>
    <w:rsid w:val="00CB18FF"/>
    <w:rsid w:val="00CD0C08"/>
    <w:rsid w:val="00CE03FB"/>
    <w:rsid w:val="00CE433C"/>
    <w:rsid w:val="00CF0161"/>
    <w:rsid w:val="00CF33F3"/>
    <w:rsid w:val="00D06183"/>
    <w:rsid w:val="00D22C42"/>
    <w:rsid w:val="00D35411"/>
    <w:rsid w:val="00D464CC"/>
    <w:rsid w:val="00D53C61"/>
    <w:rsid w:val="00D65041"/>
    <w:rsid w:val="00D73A09"/>
    <w:rsid w:val="00D97387"/>
    <w:rsid w:val="00DB00D5"/>
    <w:rsid w:val="00DB1936"/>
    <w:rsid w:val="00DB384B"/>
    <w:rsid w:val="00DC4C0B"/>
    <w:rsid w:val="00DE28E5"/>
    <w:rsid w:val="00DF0189"/>
    <w:rsid w:val="00E03C3D"/>
    <w:rsid w:val="00E06FD5"/>
    <w:rsid w:val="00E10E80"/>
    <w:rsid w:val="00E124F0"/>
    <w:rsid w:val="00E227F3"/>
    <w:rsid w:val="00E321E1"/>
    <w:rsid w:val="00E545C6"/>
    <w:rsid w:val="00E60F04"/>
    <w:rsid w:val="00E65B24"/>
    <w:rsid w:val="00E854E4"/>
    <w:rsid w:val="00E86DBF"/>
    <w:rsid w:val="00E9087A"/>
    <w:rsid w:val="00EB0D6F"/>
    <w:rsid w:val="00EB2232"/>
    <w:rsid w:val="00EC5337"/>
    <w:rsid w:val="00ED454D"/>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97FC3686-DC24-4161-9A61-4F908BC5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CED"/>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paragraph" w:customStyle="1" w:styleId="Reasons">
    <w:name w:val="Reasons"/>
    <w:basedOn w:val="Normal"/>
    <w:qFormat/>
    <w:rsid w:val="000A57A6"/>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rsid w:val="007D42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1-CL-C-0099/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16-CL-C-0124/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212-E.pdf" TargetMode="External"/><Relationship Id="rId5" Type="http://schemas.openxmlformats.org/officeDocument/2006/relationships/numbering" Target="numbering.xml"/><Relationship Id="rId15" Type="http://schemas.openxmlformats.org/officeDocument/2006/relationships/hyperlink" Target="https://www.itu.int/md/S25-CWGFHR21-C-0018/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CL-C-0132/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5AED0024D4C4B908559843DB30158" ma:contentTypeVersion="2" ma:contentTypeDescription="Create a new document." ma:contentTypeScope="" ma:versionID="31a26b5e6a84297540fb9bcd5875ca00">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d648448f94c3d58177b40b5933f2d41a"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BD498-0D57-4EC9-9A52-4067CF92760E}">
  <ds:schemaRefs>
    <ds:schemaRef ds:uri="http://schemas.openxmlformats.org/package/2006/metadata/core-properties"/>
    <ds:schemaRef ds:uri="http://purl.org/dc/dcmitype/"/>
    <ds:schemaRef ds:uri="http://purl.org/dc/elements/1.1/"/>
    <ds:schemaRef ds:uri="http://www.w3.org/XML/1998/namespace"/>
    <ds:schemaRef ds:uri="http://purl.org/dc/terms/"/>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1aaea1ea-72e4-4374-b05e-72e2f16fb7ae"/>
  </ds:schemaRefs>
</ds:datastoreItem>
</file>

<file path=customXml/itemProps2.xml><?xml version="1.0" encoding="utf-8"?>
<ds:datastoreItem xmlns:ds="http://schemas.openxmlformats.org/officeDocument/2006/customXml" ds:itemID="{C2630F73-6879-451D-AD6E-220D14EE1EEE}">
  <ds:schemaRefs>
    <ds:schemaRef ds:uri="http://schemas.microsoft.com/sharepoint/v3/contenttype/forms"/>
  </ds:schemaRefs>
</ds:datastoreItem>
</file>

<file path=customXml/itemProps3.xml><?xml version="1.0" encoding="utf-8"?>
<ds:datastoreItem xmlns:ds="http://schemas.openxmlformats.org/officeDocument/2006/customXml" ds:itemID="{FCEEC66B-F427-4DD7-A919-87366E1B7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1643</Words>
  <Characters>10054</Characters>
  <Application>Microsoft Office Word</Application>
  <DocSecurity>0</DocSecurity>
  <Lines>182</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11618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Member States Advisory Group (MSAG) activities and outcomes since the 21st meeting of the ITU Council Working Group on financial and human resources (CWG-FHR)</dc:title>
  <dc:subject>ITU Council Working Group on Financial and Human Resources</dc:subject>
  <cp:keywords>CWG-FHR; C26; Council-26</cp:keywords>
  <dc:description/>
  <dcterms:created xsi:type="dcterms:W3CDTF">2025-12-24T07:16:00Z</dcterms:created>
  <dcterms:modified xsi:type="dcterms:W3CDTF">2025-12-24T07:30:00Z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1669004f-1849-4979-b589-882412e26261</vt:lpwstr>
  </property>
  <property fmtid="{D5CDD505-2E9C-101B-9397-08002B2CF9AE}" pid="3" name="ContentTypeId">
    <vt:lpwstr>0x01010041A5AED0024D4C4B908559843DB30158</vt:lpwstr>
  </property>
</Properties>
</file>