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42ED"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7DBBD26" w:rsidR="00AD3606" w:rsidRPr="007D42ED" w:rsidRDefault="00AD3606" w:rsidP="00472BAD">
            <w:pPr>
              <w:tabs>
                <w:tab w:val="left" w:pos="851"/>
              </w:tabs>
              <w:spacing w:before="0" w:line="240" w:lineRule="atLeast"/>
              <w:jc w:val="right"/>
              <w:rPr>
                <w:b/>
                <w:lang w:val="it-IT"/>
              </w:rPr>
            </w:pPr>
            <w:r w:rsidRPr="007D42ED">
              <w:rPr>
                <w:b/>
                <w:lang w:val="it-IT"/>
              </w:rPr>
              <w:t>Document C</w:t>
            </w:r>
            <w:r w:rsidR="00A52C84" w:rsidRPr="007D42ED">
              <w:rPr>
                <w:b/>
                <w:lang w:val="it-IT"/>
              </w:rPr>
              <w:t>WG-</w:t>
            </w:r>
            <w:r w:rsidR="009F347C" w:rsidRPr="007D42ED">
              <w:rPr>
                <w:b/>
                <w:lang w:val="it-IT"/>
              </w:rPr>
              <w:t>FHR</w:t>
            </w:r>
            <w:r w:rsidR="00A52C84" w:rsidRPr="007D42ED">
              <w:rPr>
                <w:b/>
                <w:lang w:val="it-IT"/>
              </w:rPr>
              <w:t>-</w:t>
            </w:r>
            <w:r w:rsidR="003E2EF3" w:rsidRPr="007D42ED">
              <w:rPr>
                <w:b/>
                <w:lang w:val="it-IT"/>
              </w:rPr>
              <w:t>22</w:t>
            </w:r>
            <w:r w:rsidRPr="007D42ED">
              <w:rPr>
                <w:b/>
                <w:lang w:val="it-IT"/>
              </w:rPr>
              <w:t>/</w:t>
            </w:r>
            <w:r w:rsidR="00414FF3">
              <w:rPr>
                <w:b/>
                <w:lang w:val="it-IT"/>
              </w:rPr>
              <w:t>23</w:t>
            </w:r>
          </w:p>
        </w:tc>
      </w:tr>
      <w:tr w:rsidR="00AD3606" w:rsidRPr="007D42ED" w14:paraId="789B45BA" w14:textId="77777777" w:rsidTr="00AD3606">
        <w:trPr>
          <w:cantSplit/>
        </w:trPr>
        <w:tc>
          <w:tcPr>
            <w:tcW w:w="3969" w:type="dxa"/>
            <w:vMerge/>
          </w:tcPr>
          <w:p w14:paraId="3F3D4E17" w14:textId="77777777" w:rsidR="00AD3606" w:rsidRPr="007D42ED"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60BF4413" w:rsidR="00AD3606" w:rsidRPr="007D42ED" w:rsidRDefault="00414FF3" w:rsidP="00AD3606">
            <w:pPr>
              <w:tabs>
                <w:tab w:val="left" w:pos="851"/>
              </w:tabs>
              <w:spacing w:before="0"/>
              <w:jc w:val="right"/>
              <w:rPr>
                <w:b/>
              </w:rPr>
            </w:pPr>
            <w:r>
              <w:rPr>
                <w:b/>
              </w:rPr>
              <w:t>22 December 2025</w:t>
            </w:r>
          </w:p>
        </w:tc>
      </w:tr>
      <w:tr w:rsidR="00AD3606" w:rsidRPr="007D42ED" w14:paraId="58A84C4A" w14:textId="77777777" w:rsidTr="00AD3606">
        <w:trPr>
          <w:cantSplit/>
          <w:trHeight w:val="23"/>
        </w:trPr>
        <w:tc>
          <w:tcPr>
            <w:tcW w:w="3969" w:type="dxa"/>
            <w:vMerge/>
          </w:tcPr>
          <w:p w14:paraId="77CEDDAA" w14:textId="77777777" w:rsidR="00AD3606" w:rsidRPr="007D42ED"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D42ED" w:rsidRDefault="00891503" w:rsidP="00AD3606">
            <w:pPr>
              <w:tabs>
                <w:tab w:val="left" w:pos="851"/>
              </w:tabs>
              <w:spacing w:before="0" w:line="240" w:lineRule="atLeast"/>
              <w:jc w:val="right"/>
              <w:rPr>
                <w:b/>
              </w:rPr>
            </w:pPr>
            <w:r w:rsidRPr="007D42ED">
              <w:rPr>
                <w:b/>
              </w:rPr>
              <w:t>English</w:t>
            </w:r>
            <w:r w:rsidR="009B2D4B" w:rsidRPr="007D42ED">
              <w:rPr>
                <w:b/>
              </w:rPr>
              <w:t xml:space="preserve"> only</w:t>
            </w:r>
          </w:p>
        </w:tc>
      </w:tr>
      <w:tr w:rsidR="00472BAD" w:rsidRPr="007D42ED" w14:paraId="12C5EF5F" w14:textId="77777777" w:rsidTr="00AD3606">
        <w:trPr>
          <w:cantSplit/>
          <w:trHeight w:val="23"/>
        </w:trPr>
        <w:tc>
          <w:tcPr>
            <w:tcW w:w="3969" w:type="dxa"/>
          </w:tcPr>
          <w:p w14:paraId="4B839BA2" w14:textId="77777777" w:rsidR="00472BAD" w:rsidRPr="007D42ED" w:rsidRDefault="00472BAD" w:rsidP="00AD3606">
            <w:pPr>
              <w:tabs>
                <w:tab w:val="left" w:pos="851"/>
              </w:tabs>
              <w:spacing w:line="240" w:lineRule="atLeast"/>
              <w:rPr>
                <w:b/>
              </w:rPr>
            </w:pPr>
          </w:p>
        </w:tc>
        <w:tc>
          <w:tcPr>
            <w:tcW w:w="5245" w:type="dxa"/>
          </w:tcPr>
          <w:p w14:paraId="12F66D25" w14:textId="77777777" w:rsidR="00472BAD" w:rsidRPr="007D42ED" w:rsidRDefault="00472BAD" w:rsidP="00AD3606">
            <w:pPr>
              <w:tabs>
                <w:tab w:val="left" w:pos="851"/>
              </w:tabs>
              <w:spacing w:before="0" w:line="240" w:lineRule="atLeast"/>
              <w:jc w:val="right"/>
              <w:rPr>
                <w:b/>
              </w:rPr>
            </w:pPr>
          </w:p>
        </w:tc>
      </w:tr>
      <w:tr w:rsidR="00AD3606" w:rsidRPr="007D42ED" w14:paraId="27000B2A" w14:textId="77777777" w:rsidTr="00AD3606">
        <w:trPr>
          <w:cantSplit/>
        </w:trPr>
        <w:tc>
          <w:tcPr>
            <w:tcW w:w="9214" w:type="dxa"/>
            <w:gridSpan w:val="2"/>
            <w:tcMar>
              <w:left w:w="0" w:type="dxa"/>
            </w:tcMar>
          </w:tcPr>
          <w:p w14:paraId="4E7CDB90" w14:textId="73B46027" w:rsidR="00AD3606" w:rsidRPr="007D42ED" w:rsidRDefault="00B01BD6" w:rsidP="00676C7D">
            <w:pPr>
              <w:pStyle w:val="Source"/>
              <w:framePr w:hSpace="0" w:wrap="auto" w:vAnchor="margin" w:hAnchor="text" w:xAlign="left" w:yAlign="inline"/>
            </w:pPr>
            <w:bookmarkStart w:id="8" w:name="dsource" w:colFirst="0" w:colLast="0"/>
            <w:bookmarkEnd w:id="7"/>
            <w:r w:rsidRPr="007D42ED">
              <w:t xml:space="preserve">Contribution </w:t>
            </w:r>
            <w:r w:rsidR="002D5DBD" w:rsidRPr="007D42ED">
              <w:t>by</w:t>
            </w:r>
            <w:r w:rsidRPr="007D42ED">
              <w:t xml:space="preserve"> </w:t>
            </w:r>
            <w:r w:rsidR="00D1112B">
              <w:t>Switzerland</w:t>
            </w:r>
          </w:p>
        </w:tc>
      </w:tr>
      <w:tr w:rsidR="00AD3606" w:rsidRPr="007D42ED" w14:paraId="2340750D" w14:textId="77777777" w:rsidTr="00AD3606">
        <w:trPr>
          <w:cantSplit/>
        </w:trPr>
        <w:tc>
          <w:tcPr>
            <w:tcW w:w="9214" w:type="dxa"/>
            <w:gridSpan w:val="2"/>
            <w:tcMar>
              <w:left w:w="0" w:type="dxa"/>
            </w:tcMar>
          </w:tcPr>
          <w:p w14:paraId="47B91AA8" w14:textId="13522692" w:rsidR="00AD3606" w:rsidRPr="007D42ED" w:rsidRDefault="00414FF3" w:rsidP="00676C7D">
            <w:pPr>
              <w:pStyle w:val="Subtitle"/>
              <w:framePr w:hSpace="0" w:wrap="auto" w:xAlign="left" w:yAlign="inline"/>
            </w:pPr>
            <w:bookmarkStart w:id="9" w:name="dtitle1" w:colFirst="0" w:colLast="0"/>
            <w:bookmarkEnd w:id="8"/>
            <w:r w:rsidRPr="00414FF3">
              <w:t>ALLOCATION OF HOST COUNTRY EXTRAORDINARY SUPPORT TO ENSURE CONTINUITY OF ITU CONFERENCE ACTIVITIES IN SWITZERLAND DURING THE HEADQUARTERS/</w:t>
            </w:r>
            <w:proofErr w:type="spellStart"/>
            <w:r w:rsidRPr="00414FF3">
              <w:t>CICG</w:t>
            </w:r>
            <w:proofErr w:type="spellEnd"/>
            <w:r w:rsidRPr="00414FF3">
              <w:t xml:space="preserve"> CONSTRUCTION PERIOD</w:t>
            </w:r>
          </w:p>
        </w:tc>
      </w:tr>
      <w:tr w:rsidR="00AD3606" w:rsidRPr="007D42E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7D42ED" w:rsidRDefault="00F16BAB" w:rsidP="00F16BAB">
            <w:pPr>
              <w:spacing w:before="160"/>
              <w:rPr>
                <w:b/>
                <w:bCs/>
                <w:sz w:val="26"/>
                <w:szCs w:val="26"/>
              </w:rPr>
            </w:pPr>
            <w:r w:rsidRPr="007D42ED">
              <w:rPr>
                <w:b/>
                <w:bCs/>
                <w:sz w:val="26"/>
                <w:szCs w:val="26"/>
              </w:rPr>
              <w:t>Purpose</w:t>
            </w:r>
          </w:p>
          <w:p w14:paraId="2E09FE8B" w14:textId="46AE972C" w:rsidR="00AD3606" w:rsidRPr="007D42ED" w:rsidRDefault="00414FF3" w:rsidP="00414FF3">
            <w:pPr>
              <w:spacing w:before="0" w:after="120"/>
              <w:jc w:val="both"/>
            </w:pPr>
            <w:r>
              <w:t xml:space="preserve">This contribution informs the Council Working Group on </w:t>
            </w:r>
            <w:r>
              <w:t xml:space="preserve">financial and human resources </w:t>
            </w:r>
            <w:r>
              <w:t>(CWG</w:t>
            </w:r>
            <w:r>
              <w:noBreakHyphen/>
            </w:r>
            <w:r>
              <w:t xml:space="preserve">FHR) of the exceptional support measures adopted by Switzerland as Host Country to strengthen the resilience of international organisations in Geneva and support business continuity during the current financial challenges affecting the multilateral system. It proposes that the corresponding support granted to the ITU be allocated to the “Business Continuity for Meetings” Fund, which was set up by </w:t>
            </w:r>
            <w:hyperlink r:id="rId8">
              <w:r w:rsidRPr="29E56004">
                <w:rPr>
                  <w:rStyle w:val="Hyperlink"/>
                </w:rPr>
                <w:t>Decision 1434</w:t>
              </w:r>
            </w:hyperlink>
            <w:r>
              <w:t xml:space="preserve"> in order to ensure the continuity of ITU’s conference activities in Switzerland during the construction phase of the new headquarters building and the renovation of the Geneva International Conference Centre (</w:t>
            </w:r>
            <w:proofErr w:type="spellStart"/>
            <w:r>
              <w:t>CICG</w:t>
            </w:r>
            <w:proofErr w:type="spellEnd"/>
            <w:r>
              <w:t>).</w:t>
            </w:r>
          </w:p>
          <w:p w14:paraId="5076D5C4" w14:textId="28F00572" w:rsidR="00AD3606" w:rsidRPr="007D42ED" w:rsidRDefault="00AD3606" w:rsidP="00F16BAB">
            <w:pPr>
              <w:spacing w:before="160"/>
              <w:rPr>
                <w:b/>
                <w:bCs/>
                <w:sz w:val="26"/>
                <w:szCs w:val="26"/>
              </w:rPr>
            </w:pPr>
            <w:r w:rsidRPr="007D42ED">
              <w:rPr>
                <w:b/>
                <w:bCs/>
                <w:sz w:val="26"/>
                <w:szCs w:val="26"/>
              </w:rPr>
              <w:t>Action required</w:t>
            </w:r>
          </w:p>
          <w:p w14:paraId="53A776F1" w14:textId="12D1B6C9" w:rsidR="00891503" w:rsidRPr="007D42ED" w:rsidRDefault="00414FF3" w:rsidP="005B7F67">
            <w:pPr>
              <w:spacing w:before="160"/>
              <w:jc w:val="both"/>
            </w:pPr>
            <w:r w:rsidRPr="00414FF3">
              <w:t xml:space="preserve">The Council Working Group on </w:t>
            </w:r>
            <w:r w:rsidR="005B7F67" w:rsidRPr="00414FF3">
              <w:t xml:space="preserve">financial and human resources </w:t>
            </w:r>
            <w:r w:rsidRPr="00414FF3">
              <w:t xml:space="preserve">is invited to </w:t>
            </w:r>
            <w:r w:rsidRPr="00414FF3">
              <w:rPr>
                <w:b/>
                <w:bCs/>
              </w:rPr>
              <w:t>approve</w:t>
            </w:r>
            <w:r w:rsidRPr="00414FF3">
              <w:t xml:space="preserve"> the proposal outlined in this contribution.</w:t>
            </w:r>
          </w:p>
          <w:p w14:paraId="0175CD6C" w14:textId="46DB08DB" w:rsidR="00AD3606" w:rsidRPr="007D42ED" w:rsidRDefault="00AD3606" w:rsidP="00F16BAB">
            <w:pPr>
              <w:spacing w:after="160"/>
              <w:rPr>
                <w:i/>
                <w:iCs/>
                <w:sz w:val="22"/>
                <w:szCs w:val="22"/>
              </w:rPr>
            </w:pPr>
          </w:p>
        </w:tc>
      </w:tr>
    </w:tbl>
    <w:p w14:paraId="4CDB8B60" w14:textId="77777777" w:rsidR="00E227F3" w:rsidRPr="005B7F6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5B7F67"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B7F67">
        <w:br w:type="page"/>
      </w:r>
    </w:p>
    <w:bookmarkEnd w:id="5"/>
    <w:bookmarkEnd w:id="10"/>
    <w:p w14:paraId="464CB437" w14:textId="77777777" w:rsidR="00D1112B" w:rsidRPr="00290E22" w:rsidRDefault="00D1112B" w:rsidP="005B7F67">
      <w:pPr>
        <w:pStyle w:val="Headingb"/>
      </w:pPr>
      <w:r w:rsidRPr="00290E22">
        <w:lastRenderedPageBreak/>
        <w:t>Background</w:t>
      </w:r>
    </w:p>
    <w:p w14:paraId="07AA6E43" w14:textId="77777777" w:rsidR="00D1112B" w:rsidRPr="00290E22" w:rsidRDefault="00D1112B" w:rsidP="005B7F67">
      <w:pPr>
        <w:jc w:val="both"/>
      </w:pPr>
      <w:r>
        <w:t>During its June 2025 session, the ITU Council examined several documents relating to the ITU headquarters project and its financial and operational implications. Subsequent reports of the Secretariat to CWG-FHR have highlighted the challenges for ITU resulting from the pressure on conference-facility availability in Geneva between 2028 and 2030 due to simultaneous renovation projects, the financial implications of relying on external meeting-room rentals, and the need for financially realistic modalities to uphold business continuity.</w:t>
      </w:r>
    </w:p>
    <w:p w14:paraId="3054B05F" w14:textId="77777777" w:rsidR="00D1112B" w:rsidRDefault="00D1112B" w:rsidP="005B7F67">
      <w:pPr>
        <w:jc w:val="both"/>
      </w:pPr>
      <w:r>
        <w:t xml:space="preserve">Meanwhile, Switzerland has adopted a two-year emergency package intended to support the stability, resilience and operational continuity of international organisations headquartered in Switzerland during the current financial challenges. </w:t>
      </w:r>
    </w:p>
    <w:p w14:paraId="3BFEF08C" w14:textId="77777777" w:rsidR="00D1112B" w:rsidRDefault="00D1112B" w:rsidP="005B7F67">
      <w:pPr>
        <w:jc w:val="both"/>
      </w:pPr>
      <w:r>
        <w:t>In the framework of this emergency package, ITU will benefit from a two-year waiver (in 2025 and 2026) of repayments on the eligible real-estate loans previously granted by the Swiss Confederation. This support measure constitutes a genuine subvention, as it will take the form of an outright cancellation of two years of repayments. It is not a deferral, as no reimbursement will be requested for the waived instalments.</w:t>
      </w:r>
    </w:p>
    <w:p w14:paraId="3E5F0200" w14:textId="59417A88" w:rsidR="00D1112B" w:rsidRDefault="00D1112B" w:rsidP="005B7F67">
      <w:pPr>
        <w:jc w:val="both"/>
      </w:pPr>
      <w:r>
        <w:t xml:space="preserve">For the ITU, the value of this support amounts to </w:t>
      </w:r>
      <w:r w:rsidRPr="1B81627C">
        <w:rPr>
          <w:b/>
          <w:bCs/>
        </w:rPr>
        <w:t>CHF 2</w:t>
      </w:r>
      <w:r w:rsidR="005B7F67">
        <w:rPr>
          <w:b/>
          <w:bCs/>
        </w:rPr>
        <w:t> </w:t>
      </w:r>
      <w:r w:rsidRPr="1B81627C">
        <w:rPr>
          <w:b/>
          <w:bCs/>
        </w:rPr>
        <w:t>782</w:t>
      </w:r>
      <w:r w:rsidR="005B7F67">
        <w:rPr>
          <w:b/>
          <w:bCs/>
        </w:rPr>
        <w:t> </w:t>
      </w:r>
      <w:r w:rsidRPr="1B81627C">
        <w:rPr>
          <w:b/>
          <w:bCs/>
        </w:rPr>
        <w:t>600</w:t>
      </w:r>
      <w:r>
        <w:t>, corresponding to the 2025 and 2026 repayment of previous real estate loans granted in 1986 and 1996. In other words, for two financial years, ITU is going to make savings (as compared to the budgeted costs) in the height of CHF 1</w:t>
      </w:r>
      <w:r w:rsidR="005B7F67">
        <w:t> </w:t>
      </w:r>
      <w:r>
        <w:t>391</w:t>
      </w:r>
      <w:r w:rsidR="005B7F67">
        <w:t> </w:t>
      </w:r>
      <w:r>
        <w:t xml:space="preserve">300 p.a. </w:t>
      </w:r>
    </w:p>
    <w:p w14:paraId="5DDC9D5A" w14:textId="77777777" w:rsidR="00D1112B" w:rsidRDefault="00D1112B" w:rsidP="005B7F67">
      <w:pPr>
        <w:jc w:val="both"/>
      </w:pPr>
      <w:r>
        <w:t>The purpose of this support by the Host Country is to enable the ITU to continue building up the reserve that will finance the uninterrupted conduct of ITU meetings in Switzerland during the construction phase. The objective of this contribution is to formalise the earmarking of these savings in ITU’s books to cover the costs arising from holding meetings in Switzerland while the headquarters buildings and the CICG are partially or fully unavailable.</w:t>
      </w:r>
    </w:p>
    <w:p w14:paraId="738D805A" w14:textId="77777777" w:rsidR="00D1112B" w:rsidRPr="00BD3877" w:rsidRDefault="00D1112B" w:rsidP="00C25EBF">
      <w:pPr>
        <w:pStyle w:val="Headingb"/>
      </w:pPr>
      <w:r w:rsidRPr="00BD3877">
        <w:t>Proposal</w:t>
      </w:r>
    </w:p>
    <w:p w14:paraId="1681E3CD" w14:textId="77777777" w:rsidR="00D1112B" w:rsidRPr="00655EA3" w:rsidRDefault="00D1112B" w:rsidP="008E3DAD">
      <w:pPr>
        <w:spacing w:before="0" w:after="120"/>
        <w:jc w:val="both"/>
      </w:pPr>
      <w:r w:rsidRPr="00655EA3">
        <w:t>Switzerland proposes that CWG-FHR:</w:t>
      </w:r>
    </w:p>
    <w:p w14:paraId="100CE08E" w14:textId="20F139CB" w:rsidR="00D1112B" w:rsidRDefault="00C25EBF" w:rsidP="00C25EBF">
      <w:pPr>
        <w:pStyle w:val="enumlev1"/>
        <w:jc w:val="both"/>
      </w:pPr>
      <w:r>
        <w:t>–</w:t>
      </w:r>
      <w:r>
        <w:tab/>
      </w:r>
      <w:r w:rsidR="00D1112B">
        <w:t>Take note of the exceptional support measure extended by the Host Country to ITU and of the purpose it is meant to serve.</w:t>
      </w:r>
    </w:p>
    <w:p w14:paraId="590F5A16" w14:textId="0EE4DFE3" w:rsidR="00D1112B" w:rsidRPr="00655EA3" w:rsidRDefault="00C25EBF" w:rsidP="00C25EBF">
      <w:pPr>
        <w:pStyle w:val="enumlev1"/>
        <w:jc w:val="both"/>
      </w:pPr>
      <w:r>
        <w:t>–</w:t>
      </w:r>
      <w:r>
        <w:tab/>
      </w:r>
      <w:r w:rsidR="00D1112B">
        <w:t xml:space="preserve">Invite the Council to officially allocate the CHF 2,782,600 in savings resulting from the Host Country’s waiver of annual repayments on the eligible real-estate loans granted to ITU through </w:t>
      </w:r>
      <w:proofErr w:type="spellStart"/>
      <w:r w:rsidR="00D1112B">
        <w:t>FIPOI</w:t>
      </w:r>
      <w:proofErr w:type="spellEnd"/>
      <w:r w:rsidR="00D1112B">
        <w:t xml:space="preserve"> for the years 2025 and 2026 to the Fund dedicated to ensuring the continuity of meetings in Switzerland during the demolition and construction period of the new ITU headquarters and the renovation of the </w:t>
      </w:r>
      <w:proofErr w:type="spellStart"/>
      <w:r w:rsidR="00D1112B">
        <w:t>CICG</w:t>
      </w:r>
      <w:proofErr w:type="spellEnd"/>
      <w:r w:rsidR="00D1112B">
        <w:t>. This includes, inter alia, the financing of additional costs linked to hosting meetings in Switzerland outside the ITU premises and outside the CICG when necessary.</w:t>
      </w:r>
    </w:p>
    <w:p w14:paraId="3CFFE82B" w14:textId="6EEF989F" w:rsidR="00D1112B" w:rsidRPr="00BD3877" w:rsidRDefault="00D1112B" w:rsidP="00C25EBF">
      <w:pPr>
        <w:pStyle w:val="Headingb"/>
      </w:pPr>
      <w:r w:rsidRPr="00BD3877">
        <w:t xml:space="preserve">Action </w:t>
      </w:r>
      <w:r w:rsidR="00414FF3" w:rsidRPr="00BD3877">
        <w:t>requested</w:t>
      </w:r>
    </w:p>
    <w:p w14:paraId="16A4A5CD" w14:textId="1D764346" w:rsidR="00414FF3" w:rsidRDefault="00D1112B" w:rsidP="00C25EBF">
      <w:pPr>
        <w:jc w:val="both"/>
      </w:pPr>
      <w:r>
        <w:t>The Council Working Group on Financial and Human Resources is invited to approve the proposal outlined in this contribution.</w:t>
      </w:r>
    </w:p>
    <w:p w14:paraId="55327CBE" w14:textId="77777777" w:rsidR="00414FF3" w:rsidRDefault="00414FF3" w:rsidP="00414FF3">
      <w:pPr>
        <w:spacing w:before="0" w:after="120"/>
        <w:jc w:val="both"/>
      </w:pPr>
    </w:p>
    <w:p w14:paraId="2A30366C" w14:textId="6E250679" w:rsidR="00414FF3" w:rsidRDefault="00414FF3" w:rsidP="00414FF3">
      <w:pPr>
        <w:jc w:val="center"/>
      </w:pPr>
      <w:r>
        <w:t>______________</w:t>
      </w:r>
    </w:p>
    <w:sectPr w:rsidR="00414FF3"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AFC0DE9"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414FF3">
            <w:rPr>
              <w:bCs/>
            </w:rPr>
            <w:t>23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r w:rsidRPr="003E2EF3">
              <w:rPr>
                <w:rStyle w:val="Hyperlink"/>
              </w:rPr>
              <w:t>council.itu.int/working-groups</w:t>
            </w:r>
          </w:hyperlink>
        </w:p>
      </w:tc>
      <w:tc>
        <w:tcPr>
          <w:tcW w:w="6957" w:type="dxa"/>
        </w:tcPr>
        <w:p w14:paraId="3F62E0D8" w14:textId="4D8C2A6C"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414FF3">
            <w:rPr>
              <w:bCs/>
            </w:rPr>
            <w:t>23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CB81E92"/>
    <w:multiLevelType w:val="hybridMultilevel"/>
    <w:tmpl w:val="16A8AE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54225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2A8E"/>
    <w:rsid w:val="00063016"/>
    <w:rsid w:val="00066795"/>
    <w:rsid w:val="00076AF6"/>
    <w:rsid w:val="00085CF2"/>
    <w:rsid w:val="000A57A6"/>
    <w:rsid w:val="000B1705"/>
    <w:rsid w:val="000D75B2"/>
    <w:rsid w:val="001121F5"/>
    <w:rsid w:val="00130599"/>
    <w:rsid w:val="001400DC"/>
    <w:rsid w:val="00140CE1"/>
    <w:rsid w:val="001751FF"/>
    <w:rsid w:val="0017539C"/>
    <w:rsid w:val="00175AC2"/>
    <w:rsid w:val="0017609F"/>
    <w:rsid w:val="0019628A"/>
    <w:rsid w:val="001A7D1D"/>
    <w:rsid w:val="001B51DD"/>
    <w:rsid w:val="001C628E"/>
    <w:rsid w:val="001E0F7B"/>
    <w:rsid w:val="001E0FBE"/>
    <w:rsid w:val="002119FD"/>
    <w:rsid w:val="002130E0"/>
    <w:rsid w:val="00215A2C"/>
    <w:rsid w:val="002404ED"/>
    <w:rsid w:val="00244F7F"/>
    <w:rsid w:val="00260ACE"/>
    <w:rsid w:val="00264425"/>
    <w:rsid w:val="00265875"/>
    <w:rsid w:val="0027303B"/>
    <w:rsid w:val="0028109B"/>
    <w:rsid w:val="002A2188"/>
    <w:rsid w:val="002B1F58"/>
    <w:rsid w:val="002C1C7A"/>
    <w:rsid w:val="002C54E2"/>
    <w:rsid w:val="002D5DBD"/>
    <w:rsid w:val="0030160F"/>
    <w:rsid w:val="003058DA"/>
    <w:rsid w:val="00320223"/>
    <w:rsid w:val="00322D0D"/>
    <w:rsid w:val="003515F5"/>
    <w:rsid w:val="00361465"/>
    <w:rsid w:val="003877F5"/>
    <w:rsid w:val="003942D4"/>
    <w:rsid w:val="003958A8"/>
    <w:rsid w:val="003B6D23"/>
    <w:rsid w:val="003C2533"/>
    <w:rsid w:val="003D55B9"/>
    <w:rsid w:val="003D5A7F"/>
    <w:rsid w:val="003E2EF3"/>
    <w:rsid w:val="004016E2"/>
    <w:rsid w:val="0040435A"/>
    <w:rsid w:val="004107D1"/>
    <w:rsid w:val="00414D30"/>
    <w:rsid w:val="00414FF3"/>
    <w:rsid w:val="00416A24"/>
    <w:rsid w:val="00431D9E"/>
    <w:rsid w:val="00433CE8"/>
    <w:rsid w:val="00434A5C"/>
    <w:rsid w:val="00452F02"/>
    <w:rsid w:val="004544D9"/>
    <w:rsid w:val="00472BAD"/>
    <w:rsid w:val="00484009"/>
    <w:rsid w:val="00490E72"/>
    <w:rsid w:val="00491157"/>
    <w:rsid w:val="004921C8"/>
    <w:rsid w:val="00495B0B"/>
    <w:rsid w:val="004A1B8B"/>
    <w:rsid w:val="004D1851"/>
    <w:rsid w:val="004D599D"/>
    <w:rsid w:val="004E2037"/>
    <w:rsid w:val="004E2EA5"/>
    <w:rsid w:val="004E3AEB"/>
    <w:rsid w:val="004F5EC4"/>
    <w:rsid w:val="0050223C"/>
    <w:rsid w:val="005243FF"/>
    <w:rsid w:val="00564FBC"/>
    <w:rsid w:val="005800BC"/>
    <w:rsid w:val="00582442"/>
    <w:rsid w:val="005A335D"/>
    <w:rsid w:val="005B7F67"/>
    <w:rsid w:val="005E2BD5"/>
    <w:rsid w:val="005F3269"/>
    <w:rsid w:val="00623AE3"/>
    <w:rsid w:val="0064737F"/>
    <w:rsid w:val="006535F1"/>
    <w:rsid w:val="0065557D"/>
    <w:rsid w:val="00660D50"/>
    <w:rsid w:val="00662984"/>
    <w:rsid w:val="006716BB"/>
    <w:rsid w:val="00676C7D"/>
    <w:rsid w:val="006B1859"/>
    <w:rsid w:val="006B6680"/>
    <w:rsid w:val="006B6DCC"/>
    <w:rsid w:val="00702DEF"/>
    <w:rsid w:val="00706861"/>
    <w:rsid w:val="0075051B"/>
    <w:rsid w:val="00775655"/>
    <w:rsid w:val="00793188"/>
    <w:rsid w:val="00794D34"/>
    <w:rsid w:val="007D42ED"/>
    <w:rsid w:val="00804EAC"/>
    <w:rsid w:val="00813E5E"/>
    <w:rsid w:val="0083581B"/>
    <w:rsid w:val="00863874"/>
    <w:rsid w:val="00864AFF"/>
    <w:rsid w:val="00865925"/>
    <w:rsid w:val="00891503"/>
    <w:rsid w:val="008964B4"/>
    <w:rsid w:val="008A4C6B"/>
    <w:rsid w:val="008B4A6A"/>
    <w:rsid w:val="008C7E27"/>
    <w:rsid w:val="008E1614"/>
    <w:rsid w:val="008F7448"/>
    <w:rsid w:val="0090147A"/>
    <w:rsid w:val="009173EF"/>
    <w:rsid w:val="00932906"/>
    <w:rsid w:val="00961B0B"/>
    <w:rsid w:val="00962D33"/>
    <w:rsid w:val="00971C28"/>
    <w:rsid w:val="009B2D4B"/>
    <w:rsid w:val="009B38C3"/>
    <w:rsid w:val="009B558B"/>
    <w:rsid w:val="009C253A"/>
    <w:rsid w:val="009E17BD"/>
    <w:rsid w:val="009E485A"/>
    <w:rsid w:val="009F347C"/>
    <w:rsid w:val="00A04CEC"/>
    <w:rsid w:val="00A27F92"/>
    <w:rsid w:val="00A32257"/>
    <w:rsid w:val="00A34664"/>
    <w:rsid w:val="00A36D20"/>
    <w:rsid w:val="00A419B9"/>
    <w:rsid w:val="00A467DF"/>
    <w:rsid w:val="00A514A4"/>
    <w:rsid w:val="00A52C84"/>
    <w:rsid w:val="00A55622"/>
    <w:rsid w:val="00A7360B"/>
    <w:rsid w:val="00A83502"/>
    <w:rsid w:val="00A94376"/>
    <w:rsid w:val="00AD15B3"/>
    <w:rsid w:val="00AD226A"/>
    <w:rsid w:val="00AD3606"/>
    <w:rsid w:val="00AD4A3D"/>
    <w:rsid w:val="00AF6E49"/>
    <w:rsid w:val="00B01BD6"/>
    <w:rsid w:val="00B04A67"/>
    <w:rsid w:val="00B04C13"/>
    <w:rsid w:val="00B0583C"/>
    <w:rsid w:val="00B358B2"/>
    <w:rsid w:val="00B40A81"/>
    <w:rsid w:val="00B44910"/>
    <w:rsid w:val="00B72267"/>
    <w:rsid w:val="00B76EB6"/>
    <w:rsid w:val="00B7737B"/>
    <w:rsid w:val="00B824C8"/>
    <w:rsid w:val="00B84B9D"/>
    <w:rsid w:val="00BC251A"/>
    <w:rsid w:val="00BD032B"/>
    <w:rsid w:val="00BD1693"/>
    <w:rsid w:val="00BE2640"/>
    <w:rsid w:val="00C01189"/>
    <w:rsid w:val="00C25EBF"/>
    <w:rsid w:val="00C374DE"/>
    <w:rsid w:val="00C47AD4"/>
    <w:rsid w:val="00C52D81"/>
    <w:rsid w:val="00C55198"/>
    <w:rsid w:val="00CA6393"/>
    <w:rsid w:val="00CA7CB8"/>
    <w:rsid w:val="00CB18FF"/>
    <w:rsid w:val="00CD0C08"/>
    <w:rsid w:val="00CE03FB"/>
    <w:rsid w:val="00CE433C"/>
    <w:rsid w:val="00CF0161"/>
    <w:rsid w:val="00CF33F3"/>
    <w:rsid w:val="00D06183"/>
    <w:rsid w:val="00D1112B"/>
    <w:rsid w:val="00D22C42"/>
    <w:rsid w:val="00D464CC"/>
    <w:rsid w:val="00D53C61"/>
    <w:rsid w:val="00D65041"/>
    <w:rsid w:val="00DA6D37"/>
    <w:rsid w:val="00DB00D5"/>
    <w:rsid w:val="00DB1936"/>
    <w:rsid w:val="00DB384B"/>
    <w:rsid w:val="00DF0189"/>
    <w:rsid w:val="00E03C3D"/>
    <w:rsid w:val="00E06FD5"/>
    <w:rsid w:val="00E10E80"/>
    <w:rsid w:val="00E124F0"/>
    <w:rsid w:val="00E227F3"/>
    <w:rsid w:val="00E321E1"/>
    <w:rsid w:val="00E545C6"/>
    <w:rsid w:val="00E60F04"/>
    <w:rsid w:val="00E65B24"/>
    <w:rsid w:val="00E854E4"/>
    <w:rsid w:val="00E86DBF"/>
    <w:rsid w:val="00E9087A"/>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C64C5388-35C2-4EB9-B8ED-C721404F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paragraph" w:styleId="ListParagraph">
    <w:name w:val="List Paragraph"/>
    <w:basedOn w:val="Normal"/>
    <w:uiPriority w:val="34"/>
    <w:qFormat/>
    <w:rsid w:val="00D11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8/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598</Words>
  <Characters>3465</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Allocation of host country extraordinary support to ensure continuity of ITU conference activities in Switzerland during the Headquarters/CICG construction period</vt:lpstr>
    </vt:vector>
  </TitlesOfParts>
  <Manager/>
  <Company/>
  <LinksUpToDate>false</LinksUpToDate>
  <CharactersWithSpaces>4040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of host country extraordinary support to ensure continuity of ITU conference activities in Switzerland during the Headquarters/CICG construction period</dc:title>
  <dc:subject>ITU Council Working Group on Financial and Human Resources</dc:subject>
  <cp:keywords>CWG-FHR; C26; Council-26</cp:keywords>
  <dc:description/>
  <dcterms:created xsi:type="dcterms:W3CDTF">2025-12-22T06:42:00Z</dcterms:created>
  <dcterms:modified xsi:type="dcterms:W3CDTF">2025-12-22T06:59:00Z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ies>
</file>