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E2D9B"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343D703" w:rsidR="00AD3606" w:rsidRPr="00A94376" w:rsidRDefault="00AD3606" w:rsidP="00472BAD">
            <w:pPr>
              <w:tabs>
                <w:tab w:val="left" w:pos="851"/>
              </w:tabs>
              <w:spacing w:before="0" w:line="240" w:lineRule="atLeast"/>
              <w:jc w:val="right"/>
              <w:rPr>
                <w:b/>
                <w:lang w:val="it-IT"/>
              </w:rPr>
            </w:pPr>
            <w:r w:rsidRPr="00A94376">
              <w:rPr>
                <w:b/>
                <w:lang w:val="it-IT"/>
              </w:rPr>
              <w:t xml:space="preserve">Document </w:t>
            </w:r>
            <w:r w:rsidRPr="00FB0CFF">
              <w:rPr>
                <w:b/>
                <w:lang w:val="it-IT"/>
              </w:rPr>
              <w:t>C</w:t>
            </w:r>
            <w:r w:rsidR="00A52C84" w:rsidRPr="00FB0CFF">
              <w:rPr>
                <w:b/>
                <w:lang w:val="it-IT"/>
              </w:rPr>
              <w:t>WG-</w:t>
            </w:r>
            <w:r w:rsidR="009F347C" w:rsidRPr="00FB0CFF">
              <w:rPr>
                <w:b/>
                <w:lang w:val="it-IT"/>
              </w:rPr>
              <w:t>FHR</w:t>
            </w:r>
            <w:r w:rsidR="00A52C84" w:rsidRPr="00FB0CFF">
              <w:rPr>
                <w:b/>
                <w:lang w:val="it-IT"/>
              </w:rPr>
              <w:t>-</w:t>
            </w:r>
            <w:r w:rsidR="005B296F" w:rsidRPr="00FB0CFF">
              <w:rPr>
                <w:rFonts w:hint="eastAsia"/>
                <w:b/>
                <w:lang w:val="it-IT" w:eastAsia="zh-CN"/>
              </w:rPr>
              <w:t>2</w:t>
            </w:r>
            <w:r w:rsidR="00745D22" w:rsidRPr="00FB0CFF">
              <w:rPr>
                <w:rFonts w:hint="eastAsia"/>
                <w:b/>
                <w:lang w:val="it-IT" w:eastAsia="zh-CN"/>
              </w:rPr>
              <w:t>2</w:t>
            </w:r>
            <w:r w:rsidRPr="00FB0CFF">
              <w:rPr>
                <w:b/>
                <w:lang w:val="it-IT"/>
              </w:rPr>
              <w:t>/</w:t>
            </w:r>
            <w:r w:rsidR="00FB0CFF" w:rsidRPr="00FB0CFF">
              <w:rPr>
                <w:b/>
                <w:lang w:val="it-IT" w:eastAsia="zh-CN"/>
              </w:rPr>
              <w:t>21</w:t>
            </w:r>
            <w:r w:rsidR="004F6127" w:rsidRPr="00FB0CFF">
              <w:rPr>
                <w:b/>
                <w:lang w:val="it-IT"/>
              </w:rPr>
              <w:t>-E</w:t>
            </w:r>
          </w:p>
        </w:tc>
      </w:tr>
      <w:tr w:rsidR="00AD3606" w:rsidRPr="00A94376" w14:paraId="789B45BA" w14:textId="77777777" w:rsidTr="00AD3606">
        <w:trPr>
          <w:cantSplit/>
        </w:trPr>
        <w:tc>
          <w:tcPr>
            <w:tcW w:w="3969" w:type="dxa"/>
            <w:vMerge/>
          </w:tcPr>
          <w:p w14:paraId="3F3D4E17" w14:textId="77777777" w:rsidR="00AD3606" w:rsidRPr="009B2D4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4FAAB01A" w:rsidR="00AD3606" w:rsidRPr="00A94376" w:rsidRDefault="00FB0CFF" w:rsidP="00AD3606">
            <w:pPr>
              <w:tabs>
                <w:tab w:val="left" w:pos="851"/>
              </w:tabs>
              <w:spacing w:before="0"/>
              <w:jc w:val="right"/>
              <w:rPr>
                <w:b/>
                <w:lang w:eastAsia="zh-CN"/>
              </w:rPr>
            </w:pPr>
            <w:r>
              <w:rPr>
                <w:b/>
                <w:lang w:eastAsia="zh-CN"/>
              </w:rPr>
              <w:t>12 December</w:t>
            </w:r>
            <w:r w:rsidR="00AD3606" w:rsidRPr="00A94376">
              <w:rPr>
                <w:b/>
              </w:rPr>
              <w:t xml:space="preserve"> 202</w:t>
            </w:r>
            <w:r>
              <w:rPr>
                <w:b/>
              </w:rPr>
              <w:t>5</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E85629" w:rsidRDefault="00891503" w:rsidP="00AD3606">
            <w:pPr>
              <w:tabs>
                <w:tab w:val="left" w:pos="851"/>
              </w:tabs>
              <w:spacing w:before="0" w:line="240" w:lineRule="atLeast"/>
              <w:jc w:val="right"/>
              <w:rPr>
                <w:b/>
              </w:rPr>
            </w:pPr>
            <w:r>
              <w:rPr>
                <w:b/>
              </w:rPr>
              <w:t>English</w:t>
            </w:r>
            <w:r w:rsidR="009B2D4B">
              <w:rPr>
                <w:b/>
              </w:rPr>
              <w:t xml:space="preserve">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5FC95432" w:rsidR="00AD3606" w:rsidRPr="00676C7D" w:rsidRDefault="007B39A3" w:rsidP="007E6252">
            <w:pPr>
              <w:pStyle w:val="Source"/>
              <w:framePr w:hSpace="0" w:wrap="auto" w:vAnchor="margin" w:hAnchor="text" w:xAlign="left" w:yAlign="inline"/>
            </w:pPr>
            <w:bookmarkStart w:id="8" w:name="dsource" w:colFirst="0" w:colLast="0"/>
            <w:bookmarkEnd w:id="7"/>
            <w:r>
              <w:t>Report</w:t>
            </w:r>
            <w:r w:rsidRPr="002C54E2">
              <w:t xml:space="preserve"> </w:t>
            </w:r>
            <w:r>
              <w:t>by</w:t>
            </w:r>
            <w:r w:rsidRPr="002C54E2">
              <w:t xml:space="preserve"> </w:t>
            </w:r>
            <w:r>
              <w:t>the</w:t>
            </w:r>
            <w:r w:rsidRPr="002C54E2">
              <w:t xml:space="preserve"> </w:t>
            </w:r>
            <w:r w:rsidR="00A35DA0">
              <w:t>Secretary-General</w:t>
            </w:r>
          </w:p>
        </w:tc>
      </w:tr>
      <w:tr w:rsidR="00AD3606" w:rsidRPr="00813E5E" w14:paraId="2340750D" w14:textId="77777777" w:rsidTr="00AD3606">
        <w:trPr>
          <w:cantSplit/>
        </w:trPr>
        <w:tc>
          <w:tcPr>
            <w:tcW w:w="9214" w:type="dxa"/>
            <w:gridSpan w:val="2"/>
            <w:tcMar>
              <w:left w:w="0" w:type="dxa"/>
            </w:tcMar>
          </w:tcPr>
          <w:p w14:paraId="47B91AA8" w14:textId="6232C769" w:rsidR="00AD3606" w:rsidRPr="00676C7D" w:rsidRDefault="005834BF" w:rsidP="007E6252">
            <w:pPr>
              <w:pStyle w:val="Subtitle"/>
              <w:framePr w:hSpace="0" w:wrap="auto" w:xAlign="left" w:yAlign="inline"/>
              <w:rPr>
                <w:lang w:eastAsia="zh-CN"/>
              </w:rPr>
            </w:pPr>
            <w:bookmarkStart w:id="9" w:name="dtitle1" w:colFirst="0" w:colLast="0"/>
            <w:bookmarkStart w:id="10" w:name="_Hlk216688116"/>
            <w:bookmarkEnd w:id="8"/>
            <w:r>
              <w:rPr>
                <w:lang w:eastAsia="zh-CN"/>
              </w:rPr>
              <w:t>UPDATE ON BUDGET 2026-2027</w:t>
            </w:r>
            <w:bookmarkEnd w:id="10"/>
          </w:p>
        </w:tc>
      </w:tr>
      <w:tr w:rsidR="00AD3606" w:rsidRPr="00113421"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A0EDF">
            <w:pPr>
              <w:spacing w:before="160"/>
              <w:jc w:val="both"/>
              <w:rPr>
                <w:b/>
                <w:bCs/>
                <w:sz w:val="26"/>
                <w:szCs w:val="26"/>
              </w:rPr>
            </w:pPr>
            <w:r w:rsidRPr="00F16BAB">
              <w:rPr>
                <w:b/>
                <w:bCs/>
                <w:sz w:val="26"/>
                <w:szCs w:val="26"/>
              </w:rPr>
              <w:t>Purpose</w:t>
            </w:r>
          </w:p>
          <w:p w14:paraId="6933CD4C" w14:textId="3236900F" w:rsidR="00284925" w:rsidRPr="00752A6B" w:rsidRDefault="007B39A3" w:rsidP="00FA0EDF">
            <w:pPr>
              <w:jc w:val="both"/>
              <w:rPr>
                <w:rFonts w:asciiTheme="minorHAnsi" w:eastAsia="Calibri" w:hAnsiTheme="minorHAnsi" w:cstheme="minorHAnsi"/>
                <w:szCs w:val="24"/>
              </w:rPr>
            </w:pPr>
            <w:r w:rsidRPr="00D7405A">
              <w:rPr>
                <w:rFonts w:asciiTheme="minorHAnsi" w:eastAsia="Calibri" w:hAnsiTheme="minorHAnsi" w:cstheme="minorHAnsi"/>
              </w:rPr>
              <w:t xml:space="preserve">At </w:t>
            </w:r>
            <w:r w:rsidR="004051DC">
              <w:rPr>
                <w:rFonts w:asciiTheme="minorHAnsi" w:eastAsia="Calibri" w:hAnsiTheme="minorHAnsi" w:cstheme="minorHAnsi"/>
              </w:rPr>
              <w:t>the</w:t>
            </w:r>
            <w:r w:rsidRPr="00D7405A">
              <w:rPr>
                <w:rFonts w:asciiTheme="minorHAnsi" w:eastAsia="Calibri" w:hAnsiTheme="minorHAnsi" w:cstheme="minorHAnsi"/>
              </w:rPr>
              <w:t xml:space="preserve"> </w:t>
            </w:r>
            <w:r w:rsidR="002435DB" w:rsidRPr="00D7405A">
              <w:rPr>
                <w:rFonts w:asciiTheme="minorHAnsi" w:hAnsiTheme="minorHAnsi" w:cstheme="minorHAnsi"/>
                <w:lang w:eastAsia="zh-CN"/>
              </w:rPr>
              <w:t>2025</w:t>
            </w:r>
            <w:r w:rsidRPr="00D7405A">
              <w:rPr>
                <w:rFonts w:asciiTheme="minorHAnsi" w:eastAsia="Calibri" w:hAnsiTheme="minorHAnsi" w:cstheme="minorHAnsi"/>
              </w:rPr>
              <w:t xml:space="preserve"> session</w:t>
            </w:r>
            <w:r w:rsidR="004051DC">
              <w:rPr>
                <w:rFonts w:asciiTheme="minorHAnsi" w:eastAsia="Calibri" w:hAnsiTheme="minorHAnsi" w:cstheme="minorHAnsi"/>
              </w:rPr>
              <w:t xml:space="preserve"> of Council</w:t>
            </w:r>
            <w:r w:rsidRPr="00D7405A">
              <w:rPr>
                <w:rFonts w:asciiTheme="minorHAnsi" w:eastAsia="Calibri" w:hAnsiTheme="minorHAnsi" w:cstheme="minorHAnsi"/>
              </w:rPr>
              <w:t xml:space="preserve">, the </w:t>
            </w:r>
            <w:r w:rsidR="00FB0CFF">
              <w:rPr>
                <w:rFonts w:asciiTheme="minorHAnsi" w:eastAsia="Calibri" w:hAnsiTheme="minorHAnsi" w:cstheme="minorHAnsi"/>
              </w:rPr>
              <w:t>s</w:t>
            </w:r>
            <w:r w:rsidR="005834BF">
              <w:rPr>
                <w:rFonts w:asciiTheme="minorHAnsi" w:eastAsia="Calibri" w:hAnsiTheme="minorHAnsi" w:cstheme="minorHAnsi"/>
              </w:rPr>
              <w:t xml:space="preserve">ecretariat submitted the Draft Biennial Budget of the Union for </w:t>
            </w:r>
            <w:r w:rsidR="004051DC">
              <w:rPr>
                <w:rFonts w:asciiTheme="minorHAnsi" w:eastAsia="Calibri" w:hAnsiTheme="minorHAnsi" w:cstheme="minorHAnsi"/>
              </w:rPr>
              <w:t xml:space="preserve">the period </w:t>
            </w:r>
            <w:r w:rsidR="005834BF">
              <w:rPr>
                <w:rFonts w:asciiTheme="minorHAnsi" w:eastAsia="Calibri" w:hAnsiTheme="minorHAnsi" w:cstheme="minorHAnsi"/>
              </w:rPr>
              <w:t>2026-2027</w:t>
            </w:r>
            <w:r w:rsidR="004051DC">
              <w:rPr>
                <w:rFonts w:asciiTheme="minorHAnsi" w:eastAsia="Calibri" w:hAnsiTheme="minorHAnsi" w:cstheme="minorHAnsi"/>
              </w:rPr>
              <w:t xml:space="preserve"> for consideration and approval by the Council</w:t>
            </w:r>
            <w:r w:rsidR="00A5632C">
              <w:rPr>
                <w:rFonts w:asciiTheme="minorHAnsi" w:eastAsia="Calibri" w:hAnsiTheme="minorHAnsi" w:cstheme="minorHAnsi"/>
              </w:rPr>
              <w:t xml:space="preserve"> in </w:t>
            </w:r>
            <w:r w:rsidR="00456232">
              <w:rPr>
                <w:rFonts w:asciiTheme="minorHAnsi" w:eastAsia="Calibri" w:hAnsiTheme="minorHAnsi" w:cstheme="minorHAnsi"/>
              </w:rPr>
              <w:t>D</w:t>
            </w:r>
            <w:r w:rsidR="00A5632C" w:rsidRPr="00FB0CFF">
              <w:rPr>
                <w:rFonts w:asciiTheme="minorHAnsi" w:eastAsia="Calibri" w:hAnsiTheme="minorHAnsi" w:cstheme="minorHAnsi"/>
              </w:rPr>
              <w:t xml:space="preserve">ocument </w:t>
            </w:r>
            <w:hyperlink r:id="rId11" w:history="1">
              <w:r w:rsidR="00A5632C" w:rsidRPr="00FB0CFF">
                <w:rPr>
                  <w:rStyle w:val="Hyperlink"/>
                  <w:rFonts w:asciiTheme="minorHAnsi" w:eastAsia="Calibri" w:hAnsiTheme="minorHAnsi" w:cstheme="minorHAnsi"/>
                </w:rPr>
                <w:t>C25/47</w:t>
              </w:r>
            </w:hyperlink>
            <w:r w:rsidR="004051DC">
              <w:rPr>
                <w:rFonts w:asciiTheme="minorHAnsi" w:eastAsia="Calibri" w:hAnsiTheme="minorHAnsi" w:cstheme="minorHAnsi"/>
              </w:rPr>
              <w:t xml:space="preserve">. The draft Budget </w:t>
            </w:r>
            <w:r w:rsidR="00A5632C">
              <w:rPr>
                <w:rFonts w:asciiTheme="minorHAnsi" w:eastAsia="Calibri" w:hAnsiTheme="minorHAnsi" w:cstheme="minorHAnsi"/>
              </w:rPr>
              <w:t xml:space="preserve">was </w:t>
            </w:r>
            <w:r w:rsidR="00661DEE">
              <w:rPr>
                <w:rFonts w:asciiTheme="minorHAnsi" w:eastAsia="Calibri" w:hAnsiTheme="minorHAnsi" w:cstheme="minorHAnsi"/>
              </w:rPr>
              <w:t>approved by Council with a shortfall of MCHF</w:t>
            </w:r>
            <w:r w:rsidR="00FB0CFF">
              <w:rPr>
                <w:rFonts w:asciiTheme="minorHAnsi" w:eastAsia="Calibri" w:hAnsiTheme="minorHAnsi" w:cstheme="minorHAnsi"/>
              </w:rPr>
              <w:t> </w:t>
            </w:r>
            <w:r w:rsidR="00661DEE">
              <w:rPr>
                <w:rFonts w:asciiTheme="minorHAnsi" w:eastAsia="Calibri" w:hAnsiTheme="minorHAnsi" w:cstheme="minorHAnsi"/>
              </w:rPr>
              <w:t xml:space="preserve">6.008 below the approved expenses, which </w:t>
            </w:r>
            <w:r w:rsidR="00D5780D">
              <w:rPr>
                <w:rFonts w:asciiTheme="minorHAnsi" w:eastAsia="Calibri" w:hAnsiTheme="minorHAnsi" w:cstheme="minorHAnsi"/>
              </w:rPr>
              <w:t xml:space="preserve">shortfall was balanced with a corresponding </w:t>
            </w:r>
            <w:r w:rsidR="006469AA">
              <w:rPr>
                <w:rFonts w:asciiTheme="minorHAnsi" w:eastAsia="Calibri" w:hAnsiTheme="minorHAnsi" w:cstheme="minorHAnsi"/>
              </w:rPr>
              <w:t>g</w:t>
            </w:r>
            <w:r w:rsidR="00D5780D">
              <w:rPr>
                <w:rFonts w:asciiTheme="minorHAnsi" w:eastAsia="Calibri" w:hAnsiTheme="minorHAnsi" w:cstheme="minorHAnsi"/>
              </w:rPr>
              <w:t xml:space="preserve">lobal </w:t>
            </w:r>
            <w:r w:rsidR="006469AA">
              <w:rPr>
                <w:rFonts w:asciiTheme="minorHAnsi" w:eastAsia="Calibri" w:hAnsiTheme="minorHAnsi" w:cstheme="minorHAnsi"/>
              </w:rPr>
              <w:t>r</w:t>
            </w:r>
            <w:r w:rsidR="00D5780D">
              <w:rPr>
                <w:rFonts w:asciiTheme="minorHAnsi" w:eastAsia="Calibri" w:hAnsiTheme="minorHAnsi" w:cstheme="minorHAnsi"/>
              </w:rPr>
              <w:t>eduction</w:t>
            </w:r>
            <w:r w:rsidR="006469AA">
              <w:rPr>
                <w:rFonts w:asciiTheme="minorHAnsi" w:eastAsia="Calibri" w:hAnsiTheme="minorHAnsi" w:cstheme="minorHAnsi"/>
              </w:rPr>
              <w:t xml:space="preserve"> included </w:t>
            </w:r>
            <w:r w:rsidR="002930FE">
              <w:rPr>
                <w:rFonts w:asciiTheme="minorHAnsi" w:eastAsia="Calibri" w:hAnsiTheme="minorHAnsi" w:cstheme="minorHAnsi"/>
              </w:rPr>
              <w:t>as an expense in the budget</w:t>
            </w:r>
            <w:r w:rsidR="00D5780D">
              <w:rPr>
                <w:rFonts w:asciiTheme="minorHAnsi" w:eastAsia="Calibri" w:hAnsiTheme="minorHAnsi" w:cstheme="minorHAnsi"/>
              </w:rPr>
              <w:t xml:space="preserve">. The </w:t>
            </w:r>
            <w:r w:rsidR="00FB0CFF">
              <w:rPr>
                <w:rFonts w:asciiTheme="minorHAnsi" w:eastAsia="Calibri" w:hAnsiTheme="minorHAnsi" w:cstheme="minorHAnsi"/>
              </w:rPr>
              <w:t>s</w:t>
            </w:r>
            <w:r w:rsidR="00D5780D">
              <w:rPr>
                <w:rFonts w:asciiTheme="minorHAnsi" w:eastAsia="Calibri" w:hAnsiTheme="minorHAnsi" w:cstheme="minorHAnsi"/>
              </w:rPr>
              <w:t xml:space="preserve">ecretariat was directed to </w:t>
            </w:r>
            <w:r w:rsidR="002C7EDD">
              <w:rPr>
                <w:rFonts w:asciiTheme="minorHAnsi" w:eastAsia="Calibri" w:hAnsiTheme="minorHAnsi" w:cstheme="minorHAnsi"/>
              </w:rPr>
              <w:t>report back to</w:t>
            </w:r>
            <w:r w:rsidR="00D5780D">
              <w:rPr>
                <w:rFonts w:asciiTheme="minorHAnsi" w:eastAsia="Calibri" w:hAnsiTheme="minorHAnsi" w:cstheme="minorHAnsi"/>
              </w:rPr>
              <w:t xml:space="preserve"> the Council Working Group on </w:t>
            </w:r>
            <w:r w:rsidR="00FB0CFF">
              <w:rPr>
                <w:rFonts w:asciiTheme="minorHAnsi" w:eastAsia="Calibri" w:hAnsiTheme="minorHAnsi" w:cstheme="minorHAnsi"/>
              </w:rPr>
              <w:t xml:space="preserve">financial </w:t>
            </w:r>
            <w:r w:rsidR="00D5780D">
              <w:rPr>
                <w:rFonts w:asciiTheme="minorHAnsi" w:eastAsia="Calibri" w:hAnsiTheme="minorHAnsi" w:cstheme="minorHAnsi"/>
              </w:rPr>
              <w:t xml:space="preserve">and </w:t>
            </w:r>
            <w:r w:rsidR="00FB0CFF">
              <w:rPr>
                <w:rFonts w:asciiTheme="minorHAnsi" w:eastAsia="Calibri" w:hAnsiTheme="minorHAnsi" w:cstheme="minorHAnsi"/>
              </w:rPr>
              <w:t xml:space="preserve">human resources </w:t>
            </w:r>
            <w:r w:rsidR="00D5780D">
              <w:rPr>
                <w:rFonts w:asciiTheme="minorHAnsi" w:eastAsia="Calibri" w:hAnsiTheme="minorHAnsi" w:cstheme="minorHAnsi"/>
              </w:rPr>
              <w:t>(CWG-</w:t>
            </w:r>
            <w:r w:rsidR="00D5780D" w:rsidRPr="00752A6B">
              <w:rPr>
                <w:rFonts w:asciiTheme="minorHAnsi" w:eastAsia="Calibri" w:hAnsiTheme="minorHAnsi" w:cstheme="minorHAnsi"/>
                <w:szCs w:val="24"/>
              </w:rPr>
              <w:t>FHR)</w:t>
            </w:r>
            <w:r w:rsidR="008B6B43">
              <w:rPr>
                <w:rFonts w:asciiTheme="minorHAnsi" w:eastAsia="Calibri" w:hAnsiTheme="minorHAnsi" w:cstheme="minorHAnsi"/>
                <w:szCs w:val="24"/>
              </w:rPr>
              <w:t xml:space="preserve"> at its next session</w:t>
            </w:r>
            <w:r w:rsidR="00D5780D" w:rsidRPr="00752A6B">
              <w:rPr>
                <w:rFonts w:asciiTheme="minorHAnsi" w:eastAsia="Calibri" w:hAnsiTheme="minorHAnsi" w:cstheme="minorHAnsi"/>
                <w:szCs w:val="24"/>
              </w:rPr>
              <w:t xml:space="preserve"> on the measures taken by the </w:t>
            </w:r>
            <w:r w:rsidR="00FB0CFF">
              <w:rPr>
                <w:rFonts w:asciiTheme="minorHAnsi" w:eastAsia="Calibri" w:hAnsiTheme="minorHAnsi" w:cstheme="minorHAnsi"/>
                <w:szCs w:val="24"/>
              </w:rPr>
              <w:t>s</w:t>
            </w:r>
            <w:r w:rsidR="00D5780D" w:rsidRPr="00752A6B">
              <w:rPr>
                <w:rFonts w:asciiTheme="minorHAnsi" w:eastAsia="Calibri" w:hAnsiTheme="minorHAnsi" w:cstheme="minorHAnsi"/>
                <w:szCs w:val="24"/>
              </w:rPr>
              <w:t>ecretariat to</w:t>
            </w:r>
            <w:r w:rsidR="006469AA" w:rsidRPr="00752A6B">
              <w:rPr>
                <w:rFonts w:asciiTheme="minorHAnsi" w:eastAsia="Calibri" w:hAnsiTheme="minorHAnsi" w:cstheme="minorHAnsi"/>
                <w:szCs w:val="24"/>
              </w:rPr>
              <w:t xml:space="preserve"> reduce its detailed expenses by MCHF</w:t>
            </w:r>
            <w:r w:rsidR="00FB0CFF">
              <w:rPr>
                <w:rFonts w:asciiTheme="minorHAnsi" w:eastAsia="Calibri" w:hAnsiTheme="minorHAnsi" w:cstheme="minorHAnsi"/>
                <w:szCs w:val="24"/>
              </w:rPr>
              <w:t> </w:t>
            </w:r>
            <w:r w:rsidR="006469AA" w:rsidRPr="00752A6B">
              <w:rPr>
                <w:rFonts w:asciiTheme="minorHAnsi" w:eastAsia="Calibri" w:hAnsiTheme="minorHAnsi" w:cstheme="minorHAnsi"/>
                <w:szCs w:val="24"/>
              </w:rPr>
              <w:t xml:space="preserve">6.008 to absorb the global reduction. </w:t>
            </w:r>
          </w:p>
          <w:p w14:paraId="5076D5C4" w14:textId="28F00572" w:rsidR="00AD3606" w:rsidRPr="00752A6B" w:rsidRDefault="00AD3606" w:rsidP="00FA0EDF">
            <w:pPr>
              <w:spacing w:before="160"/>
              <w:jc w:val="both"/>
              <w:rPr>
                <w:rFonts w:asciiTheme="minorHAnsi" w:hAnsiTheme="minorHAnsi" w:cstheme="minorHAnsi"/>
                <w:b/>
                <w:bCs/>
                <w:szCs w:val="24"/>
              </w:rPr>
            </w:pPr>
            <w:r w:rsidRPr="00752A6B">
              <w:rPr>
                <w:rFonts w:asciiTheme="minorHAnsi" w:hAnsiTheme="minorHAnsi" w:cstheme="minorHAnsi"/>
                <w:b/>
                <w:bCs/>
                <w:szCs w:val="24"/>
              </w:rPr>
              <w:t>Action required</w:t>
            </w:r>
          </w:p>
          <w:p w14:paraId="53A776F1" w14:textId="0EFFD199" w:rsidR="00891503" w:rsidRPr="00752A6B" w:rsidRDefault="00C009FB" w:rsidP="00FA0EDF">
            <w:pPr>
              <w:jc w:val="both"/>
              <w:rPr>
                <w:rFonts w:asciiTheme="minorHAnsi" w:eastAsia="Calibri" w:hAnsiTheme="minorHAnsi" w:cstheme="minorHAnsi"/>
                <w:szCs w:val="24"/>
              </w:rPr>
            </w:pPr>
            <w:r w:rsidRPr="00752A6B">
              <w:rPr>
                <w:rFonts w:asciiTheme="minorHAnsi" w:eastAsia="Calibri" w:hAnsiTheme="minorHAnsi" w:cstheme="minorHAnsi"/>
                <w:szCs w:val="24"/>
              </w:rPr>
              <w:t xml:space="preserve">The </w:t>
            </w:r>
            <w:r w:rsidR="00FB0CFF">
              <w:rPr>
                <w:rFonts w:asciiTheme="minorHAnsi" w:eastAsia="Calibri" w:hAnsiTheme="minorHAnsi" w:cstheme="minorHAnsi"/>
                <w:szCs w:val="24"/>
              </w:rPr>
              <w:t>Council Working Group on financial and human resources</w:t>
            </w:r>
            <w:r w:rsidRPr="00752A6B">
              <w:rPr>
                <w:rFonts w:asciiTheme="minorHAnsi" w:eastAsia="Calibri" w:hAnsiTheme="minorHAnsi" w:cstheme="minorHAnsi"/>
                <w:szCs w:val="24"/>
              </w:rPr>
              <w:t xml:space="preserve"> is invited to </w:t>
            </w:r>
            <w:r w:rsidR="00563864" w:rsidRPr="00752A6B">
              <w:rPr>
                <w:rFonts w:asciiTheme="minorHAnsi" w:hAnsiTheme="minorHAnsi" w:cstheme="minorHAnsi"/>
                <w:b/>
                <w:bCs/>
                <w:szCs w:val="24"/>
                <w:lang w:eastAsia="zh-CN"/>
              </w:rPr>
              <w:t xml:space="preserve">take note </w:t>
            </w:r>
            <w:r w:rsidR="00563864" w:rsidRPr="00FB0CFF">
              <w:rPr>
                <w:rFonts w:asciiTheme="minorHAnsi" w:hAnsiTheme="minorHAnsi" w:cstheme="minorHAnsi"/>
                <w:szCs w:val="24"/>
                <w:lang w:eastAsia="zh-CN"/>
              </w:rPr>
              <w:t xml:space="preserve">of </w:t>
            </w:r>
            <w:r w:rsidR="002930FE" w:rsidRPr="00752A6B">
              <w:rPr>
                <w:rFonts w:asciiTheme="minorHAnsi" w:hAnsiTheme="minorHAnsi" w:cstheme="minorHAnsi"/>
                <w:szCs w:val="24"/>
                <w:lang w:eastAsia="zh-CN"/>
              </w:rPr>
              <w:t xml:space="preserve">this update on the measures adopted by the </w:t>
            </w:r>
            <w:r w:rsidR="00FB0CFF" w:rsidRPr="00752A6B">
              <w:rPr>
                <w:rFonts w:asciiTheme="minorHAnsi" w:hAnsiTheme="minorHAnsi" w:cstheme="minorHAnsi"/>
                <w:szCs w:val="24"/>
                <w:lang w:eastAsia="zh-CN"/>
              </w:rPr>
              <w:t>s</w:t>
            </w:r>
            <w:r w:rsidR="002930FE" w:rsidRPr="00752A6B">
              <w:rPr>
                <w:rFonts w:asciiTheme="minorHAnsi" w:hAnsiTheme="minorHAnsi" w:cstheme="minorHAnsi"/>
                <w:szCs w:val="24"/>
                <w:lang w:eastAsia="zh-CN"/>
              </w:rPr>
              <w:t xml:space="preserve">ecretariat for the 2026-2027 biennium period to reduce expenses and </w:t>
            </w:r>
            <w:r w:rsidR="00A75D67" w:rsidRPr="00752A6B">
              <w:rPr>
                <w:rFonts w:asciiTheme="minorHAnsi" w:hAnsiTheme="minorHAnsi" w:cstheme="minorHAnsi"/>
                <w:szCs w:val="24"/>
                <w:lang w:eastAsia="zh-CN"/>
              </w:rPr>
              <w:t>achieve the global reduction included in the budget</w:t>
            </w:r>
            <w:r w:rsidRPr="00752A6B">
              <w:rPr>
                <w:rFonts w:asciiTheme="minorHAnsi" w:eastAsia="Calibri" w:hAnsiTheme="minorHAnsi" w:cstheme="minorHAnsi"/>
                <w:szCs w:val="24"/>
              </w:rPr>
              <w:t>.</w:t>
            </w:r>
          </w:p>
          <w:p w14:paraId="6E1DE0F3" w14:textId="77777777" w:rsidR="00C009FB" w:rsidRPr="00752A6B" w:rsidRDefault="00C009FB" w:rsidP="00FA0EDF">
            <w:pPr>
              <w:spacing w:before="160"/>
              <w:jc w:val="both"/>
              <w:rPr>
                <w:rFonts w:asciiTheme="minorHAnsi" w:hAnsiTheme="minorHAnsi" w:cstheme="minorHAnsi"/>
                <w:b/>
                <w:bCs/>
                <w:szCs w:val="24"/>
              </w:rPr>
            </w:pPr>
            <w:r w:rsidRPr="00752A6B">
              <w:rPr>
                <w:rFonts w:asciiTheme="minorHAnsi" w:hAnsiTheme="minorHAnsi" w:cstheme="minorHAnsi"/>
                <w:b/>
                <w:bCs/>
                <w:szCs w:val="24"/>
              </w:rPr>
              <w:t>Relevant link with the Strategic Plan(s)</w:t>
            </w:r>
          </w:p>
          <w:p w14:paraId="0B4BAACA" w14:textId="7AF5AD40" w:rsidR="00C009FB" w:rsidRPr="00752A6B" w:rsidRDefault="001B6E07" w:rsidP="00FA0EDF">
            <w:pPr>
              <w:jc w:val="both"/>
              <w:rPr>
                <w:rFonts w:asciiTheme="minorHAnsi" w:hAnsiTheme="minorHAnsi" w:cstheme="minorHAnsi"/>
                <w:szCs w:val="24"/>
                <w:lang w:val="en-US"/>
              </w:rPr>
            </w:pPr>
            <w:r w:rsidRPr="00752A6B">
              <w:rPr>
                <w:rFonts w:asciiTheme="minorHAnsi" w:hAnsiTheme="minorHAnsi" w:cstheme="minorHAnsi"/>
                <w:szCs w:val="24"/>
                <w:lang w:val="en-US"/>
              </w:rPr>
              <w:t xml:space="preserve">The </w:t>
            </w:r>
            <w:r w:rsidR="00752A6B">
              <w:rPr>
                <w:rFonts w:asciiTheme="minorHAnsi" w:hAnsiTheme="minorHAnsi" w:cstheme="minorHAnsi"/>
                <w:szCs w:val="24"/>
                <w:lang w:val="en-US"/>
              </w:rPr>
              <w:t>Biennial B</w:t>
            </w:r>
            <w:r w:rsidRPr="00752A6B">
              <w:rPr>
                <w:rFonts w:asciiTheme="minorHAnsi" w:hAnsiTheme="minorHAnsi" w:cstheme="minorHAnsi"/>
                <w:szCs w:val="24"/>
                <w:lang w:val="en-US"/>
              </w:rPr>
              <w:t xml:space="preserve">udget for 2026-2027 provides funding for the goals and thematic priorities </w:t>
            </w:r>
            <w:r w:rsidR="00752A6B" w:rsidRPr="00752A6B">
              <w:rPr>
                <w:rFonts w:asciiTheme="minorHAnsi" w:hAnsiTheme="minorHAnsi" w:cstheme="minorHAnsi"/>
                <w:szCs w:val="24"/>
                <w:lang w:val="en-US"/>
              </w:rPr>
              <w:t>as set out in</w:t>
            </w:r>
            <w:r w:rsidRPr="00752A6B">
              <w:rPr>
                <w:rFonts w:asciiTheme="minorHAnsi" w:hAnsiTheme="minorHAnsi" w:cstheme="minorHAnsi"/>
                <w:szCs w:val="24"/>
                <w:lang w:val="en-US"/>
              </w:rPr>
              <w:t xml:space="preserve"> the Strategic Plan </w:t>
            </w:r>
            <w:r w:rsidR="00752A6B" w:rsidRPr="00752A6B">
              <w:rPr>
                <w:rFonts w:asciiTheme="minorHAnsi" w:hAnsiTheme="minorHAnsi" w:cstheme="minorHAnsi"/>
                <w:szCs w:val="24"/>
                <w:lang w:val="en-US"/>
              </w:rPr>
              <w:t>2024-2027 and is aligned with the Financial Plan 2024-2027</w:t>
            </w:r>
            <w:r w:rsidRPr="00752A6B">
              <w:rPr>
                <w:rFonts w:asciiTheme="minorHAnsi" w:hAnsiTheme="minorHAnsi" w:cstheme="minorHAnsi"/>
                <w:szCs w:val="24"/>
                <w:lang w:val="en-US"/>
              </w:rPr>
              <w:t>.</w:t>
            </w:r>
          </w:p>
          <w:p w14:paraId="70E3B90F" w14:textId="77777777" w:rsidR="00C009FB" w:rsidRPr="00752A6B" w:rsidRDefault="00C009FB" w:rsidP="00FA0EDF">
            <w:pPr>
              <w:spacing w:before="160" w:line="259" w:lineRule="auto"/>
              <w:jc w:val="both"/>
              <w:rPr>
                <w:rFonts w:asciiTheme="minorHAnsi" w:hAnsiTheme="minorHAnsi" w:cstheme="minorHAnsi"/>
                <w:b/>
                <w:bCs/>
                <w:szCs w:val="24"/>
              </w:rPr>
            </w:pPr>
            <w:r w:rsidRPr="00752A6B">
              <w:rPr>
                <w:rFonts w:asciiTheme="minorHAnsi" w:hAnsiTheme="minorHAnsi" w:cstheme="minorHAnsi"/>
                <w:b/>
                <w:bCs/>
                <w:szCs w:val="24"/>
              </w:rPr>
              <w:t>Financial implications</w:t>
            </w:r>
          </w:p>
          <w:p w14:paraId="657DF520" w14:textId="2CF9BF05" w:rsidR="00A75D67" w:rsidRPr="00752A6B" w:rsidRDefault="00A75D67" w:rsidP="00FA0EDF">
            <w:pPr>
              <w:spacing w:after="120"/>
              <w:jc w:val="both"/>
              <w:rPr>
                <w:rFonts w:asciiTheme="minorHAnsi" w:hAnsiTheme="minorHAnsi" w:cstheme="minorHAnsi"/>
                <w:szCs w:val="24"/>
              </w:rPr>
            </w:pPr>
            <w:r w:rsidRPr="00752A6B">
              <w:rPr>
                <w:rFonts w:asciiTheme="minorHAnsi" w:hAnsiTheme="minorHAnsi" w:cstheme="minorHAnsi"/>
                <w:szCs w:val="24"/>
              </w:rPr>
              <w:t>Reduction in ITU expenses for the period 2026-2027 as by MCHF</w:t>
            </w:r>
            <w:r w:rsidR="00456232">
              <w:rPr>
                <w:rFonts w:asciiTheme="minorHAnsi" w:hAnsiTheme="minorHAnsi" w:cstheme="minorHAnsi"/>
                <w:szCs w:val="24"/>
              </w:rPr>
              <w:t> </w:t>
            </w:r>
            <w:r w:rsidRPr="00752A6B">
              <w:rPr>
                <w:rFonts w:asciiTheme="minorHAnsi" w:hAnsiTheme="minorHAnsi" w:cstheme="minorHAnsi"/>
                <w:szCs w:val="24"/>
              </w:rPr>
              <w:t xml:space="preserve">6.008 </w:t>
            </w:r>
            <w:r w:rsidR="00BD0EBB" w:rsidRPr="00752A6B">
              <w:rPr>
                <w:rFonts w:asciiTheme="minorHAnsi" w:hAnsiTheme="minorHAnsi" w:cstheme="minorHAnsi"/>
                <w:szCs w:val="24"/>
              </w:rPr>
              <w:t>through cost</w:t>
            </w:r>
            <w:r w:rsidRPr="00752A6B">
              <w:rPr>
                <w:rFonts w:asciiTheme="minorHAnsi" w:hAnsiTheme="minorHAnsi" w:cstheme="minorHAnsi"/>
                <w:szCs w:val="24"/>
              </w:rPr>
              <w:t xml:space="preserve"> reductions </w:t>
            </w:r>
            <w:r w:rsidR="00BD0EBB" w:rsidRPr="00752A6B">
              <w:rPr>
                <w:rFonts w:asciiTheme="minorHAnsi" w:hAnsiTheme="minorHAnsi" w:cstheme="minorHAnsi"/>
                <w:szCs w:val="24"/>
              </w:rPr>
              <w:t>detailed in this document</w:t>
            </w:r>
            <w:r w:rsidR="00FB0CFF">
              <w:rPr>
                <w:rFonts w:asciiTheme="minorHAnsi" w:hAnsiTheme="minorHAnsi" w:cstheme="minorHAnsi"/>
                <w:szCs w:val="24"/>
              </w:rPr>
              <w:t>.</w:t>
            </w:r>
          </w:p>
          <w:p w14:paraId="00DEE14C" w14:textId="2BC2A699" w:rsidR="00AD3606" w:rsidRPr="00752A6B" w:rsidRDefault="00AD3606" w:rsidP="00FA0EDF">
            <w:pPr>
              <w:spacing w:before="160" w:after="120"/>
              <w:jc w:val="both"/>
              <w:rPr>
                <w:rFonts w:asciiTheme="minorHAnsi" w:hAnsiTheme="minorHAnsi" w:cstheme="minorHAnsi"/>
                <w:b/>
                <w:bCs/>
                <w:szCs w:val="24"/>
              </w:rPr>
            </w:pPr>
            <w:r w:rsidRPr="00752A6B">
              <w:rPr>
                <w:rFonts w:asciiTheme="minorHAnsi" w:hAnsiTheme="minorHAnsi" w:cstheme="minorHAnsi"/>
                <w:b/>
                <w:bCs/>
                <w:szCs w:val="24"/>
              </w:rPr>
              <w:t>References</w:t>
            </w:r>
          </w:p>
          <w:p w14:paraId="0175CD6C" w14:textId="0520D381" w:rsidR="008B45B7" w:rsidRPr="00FB0CFF" w:rsidRDefault="00060DE7" w:rsidP="00FA0EDF">
            <w:pPr>
              <w:spacing w:before="0" w:after="120"/>
              <w:jc w:val="both"/>
              <w:rPr>
                <w:i/>
                <w:iCs/>
                <w:sz w:val="22"/>
                <w:szCs w:val="22"/>
                <w:lang w:val="en-US"/>
              </w:rPr>
            </w:pPr>
            <w:hyperlink r:id="rId12" w:history="1">
              <w:r w:rsidR="00FB0CFF" w:rsidRPr="00FB0CFF">
                <w:rPr>
                  <w:rStyle w:val="Hyperlink"/>
                  <w:rFonts w:asciiTheme="minorHAnsi" w:hAnsiTheme="minorHAnsi" w:cstheme="minorHAnsi"/>
                  <w:i/>
                  <w:iCs/>
                  <w:sz w:val="22"/>
                  <w:szCs w:val="22"/>
                </w:rPr>
                <w:t>Council R</w:t>
              </w:r>
              <w:r w:rsidRPr="00FB0CFF">
                <w:rPr>
                  <w:rStyle w:val="Hyperlink"/>
                  <w:rFonts w:asciiTheme="minorHAnsi" w:hAnsiTheme="minorHAnsi" w:cstheme="minorHAnsi"/>
                  <w:i/>
                  <w:iCs/>
                  <w:sz w:val="22"/>
                  <w:szCs w:val="22"/>
                </w:rPr>
                <w:t>esolution</w:t>
              </w:r>
              <w:r w:rsidR="00BD0EBB" w:rsidRPr="00FB0CFF">
                <w:rPr>
                  <w:rStyle w:val="Hyperlink"/>
                  <w:rFonts w:asciiTheme="minorHAnsi" w:hAnsiTheme="minorHAnsi" w:cstheme="minorHAnsi"/>
                  <w:i/>
                  <w:iCs/>
                  <w:sz w:val="22"/>
                  <w:szCs w:val="22"/>
                </w:rPr>
                <w:t xml:space="preserve"> 14</w:t>
              </w:r>
              <w:r w:rsidR="00942434" w:rsidRPr="00FB0CFF">
                <w:rPr>
                  <w:rStyle w:val="Hyperlink"/>
                  <w:rFonts w:asciiTheme="minorHAnsi" w:hAnsiTheme="minorHAnsi" w:cstheme="minorHAnsi"/>
                  <w:i/>
                  <w:iCs/>
                  <w:sz w:val="22"/>
                  <w:szCs w:val="22"/>
                </w:rPr>
                <w:t>35</w:t>
              </w:r>
            </w:hyperlink>
            <w:r w:rsidR="00FB0CFF" w:rsidRPr="00FB0CFF">
              <w:rPr>
                <w:i/>
                <w:iCs/>
                <w:sz w:val="22"/>
                <w:szCs w:val="22"/>
              </w:rPr>
              <w:t xml:space="preserve">, </w:t>
            </w:r>
            <w:hyperlink r:id="rId13" w:history="1">
              <w:r w:rsidR="00FB0CFF" w:rsidRPr="00FB0CFF">
                <w:rPr>
                  <w:rStyle w:val="Hyperlink"/>
                  <w:rFonts w:asciiTheme="minorHAnsi" w:hAnsiTheme="minorHAnsi" w:cstheme="minorHAnsi"/>
                  <w:i/>
                  <w:iCs/>
                  <w:sz w:val="22"/>
                  <w:szCs w:val="22"/>
                </w:rPr>
                <w:t>Council D</w:t>
              </w:r>
              <w:r w:rsidR="006377D6" w:rsidRPr="00FB0CFF">
                <w:rPr>
                  <w:rStyle w:val="Hyperlink"/>
                  <w:rFonts w:asciiTheme="minorHAnsi" w:hAnsiTheme="minorHAnsi" w:cstheme="minorHAnsi"/>
                  <w:i/>
                  <w:iCs/>
                  <w:sz w:val="22"/>
                  <w:szCs w:val="22"/>
                </w:rPr>
                <w:t>ecision 482 (modified 2025)</w:t>
              </w:r>
            </w:hyperlink>
            <w:r w:rsidR="00FB0CFF" w:rsidRPr="00FB0CFF">
              <w:rPr>
                <w:i/>
                <w:iCs/>
                <w:sz w:val="22"/>
                <w:szCs w:val="22"/>
              </w:rPr>
              <w:t xml:space="preserve">; </w:t>
            </w:r>
            <w:hyperlink r:id="rId14" w:history="1">
              <w:r w:rsidR="008B45B7" w:rsidRPr="00FB0CFF">
                <w:rPr>
                  <w:rStyle w:val="Hyperlink"/>
                  <w:rFonts w:eastAsia="Calibri"/>
                  <w:i/>
                  <w:iCs/>
                  <w:sz w:val="22"/>
                  <w:szCs w:val="22"/>
                </w:rPr>
                <w:t>Decision 5</w:t>
              </w:r>
            </w:hyperlink>
            <w:r w:rsidR="008B45B7" w:rsidRPr="00FB0CFF">
              <w:rPr>
                <w:rFonts w:asciiTheme="minorHAnsi" w:eastAsia="Times New Roman" w:hAnsiTheme="minorHAnsi" w:cstheme="minorHAnsi"/>
                <w:i/>
                <w:iCs/>
                <w:sz w:val="22"/>
                <w:szCs w:val="22"/>
                <w:lang w:val="en-US"/>
              </w:rPr>
              <w:t xml:space="preserve"> (Rev. Bucharest, 2022) of the Plenipotentiary Conference</w:t>
            </w:r>
          </w:p>
        </w:tc>
      </w:tr>
    </w:tbl>
    <w:p w14:paraId="1D7ED322" w14:textId="77777777" w:rsidR="0090147A" w:rsidRPr="00113421" w:rsidRDefault="0090147A" w:rsidP="00FA0EDF">
      <w:pPr>
        <w:tabs>
          <w:tab w:val="clear" w:pos="567"/>
          <w:tab w:val="clear" w:pos="1134"/>
          <w:tab w:val="clear" w:pos="1701"/>
          <w:tab w:val="clear" w:pos="2268"/>
          <w:tab w:val="clear" w:pos="2835"/>
        </w:tabs>
        <w:overflowPunct/>
        <w:autoSpaceDE/>
        <w:autoSpaceDN/>
        <w:adjustRightInd/>
        <w:spacing w:before="0"/>
        <w:jc w:val="both"/>
        <w:textAlignment w:val="auto"/>
        <w:rPr>
          <w:b/>
          <w:sz w:val="20"/>
        </w:rPr>
      </w:pPr>
      <w:bookmarkStart w:id="11" w:name="_Hlk133421428"/>
      <w:bookmarkEnd w:id="2"/>
      <w:bookmarkEnd w:id="3"/>
      <w:bookmarkEnd w:id="4"/>
      <w:bookmarkEnd w:id="9"/>
      <w:r w:rsidRPr="00113421">
        <w:rPr>
          <w:sz w:val="20"/>
        </w:rPr>
        <w:br w:type="page"/>
      </w:r>
    </w:p>
    <w:bookmarkEnd w:id="5"/>
    <w:bookmarkEnd w:id="11"/>
    <w:p w14:paraId="2985E9C2" w14:textId="53A85D34" w:rsidR="00C009FB" w:rsidRDefault="3350ABCB" w:rsidP="00FA0EDF">
      <w:pPr>
        <w:pStyle w:val="Heading1"/>
        <w:tabs>
          <w:tab w:val="clear" w:pos="567"/>
          <w:tab w:val="clear" w:pos="1134"/>
          <w:tab w:val="clear" w:pos="1701"/>
          <w:tab w:val="clear" w:pos="2268"/>
          <w:tab w:val="clear" w:pos="2835"/>
        </w:tabs>
        <w:spacing w:before="120" w:after="120"/>
        <w:ind w:left="0" w:firstLine="0"/>
        <w:jc w:val="both"/>
      </w:pPr>
      <w:r>
        <w:lastRenderedPageBreak/>
        <w:t>1</w:t>
      </w:r>
      <w:r w:rsidR="00C009FB">
        <w:tab/>
      </w:r>
      <w:r>
        <w:t>Background</w:t>
      </w:r>
    </w:p>
    <w:p w14:paraId="511A58CF" w14:textId="479A9C5B" w:rsidR="00FB131D" w:rsidRDefault="00284925" w:rsidP="00FA0EDF">
      <w:pPr>
        <w:tabs>
          <w:tab w:val="clear" w:pos="567"/>
          <w:tab w:val="clear" w:pos="1134"/>
          <w:tab w:val="clear" w:pos="1701"/>
          <w:tab w:val="clear" w:pos="2268"/>
          <w:tab w:val="clear" w:pos="2835"/>
        </w:tabs>
        <w:spacing w:after="120"/>
        <w:jc w:val="both"/>
        <w:rPr>
          <w:rFonts w:asciiTheme="minorHAnsi" w:eastAsia="Calibri" w:hAnsiTheme="minorHAnsi" w:cstheme="minorHAnsi"/>
        </w:rPr>
      </w:pPr>
      <w:r w:rsidRPr="00D7405A">
        <w:rPr>
          <w:rFonts w:asciiTheme="minorHAnsi" w:eastAsia="Calibri" w:hAnsiTheme="minorHAnsi" w:cstheme="minorHAnsi"/>
        </w:rPr>
        <w:t xml:space="preserve">At </w:t>
      </w:r>
      <w:r>
        <w:rPr>
          <w:rFonts w:asciiTheme="minorHAnsi" w:eastAsia="Calibri" w:hAnsiTheme="minorHAnsi" w:cstheme="minorHAnsi"/>
        </w:rPr>
        <w:t>the</w:t>
      </w:r>
      <w:r w:rsidRPr="00D7405A">
        <w:rPr>
          <w:rFonts w:asciiTheme="minorHAnsi" w:eastAsia="Calibri" w:hAnsiTheme="minorHAnsi" w:cstheme="minorHAnsi"/>
        </w:rPr>
        <w:t xml:space="preserve"> </w:t>
      </w:r>
      <w:r w:rsidRPr="00D7405A">
        <w:rPr>
          <w:rFonts w:asciiTheme="minorHAnsi" w:hAnsiTheme="minorHAnsi" w:cstheme="minorHAnsi"/>
          <w:lang w:eastAsia="zh-CN"/>
        </w:rPr>
        <w:t>2025</w:t>
      </w:r>
      <w:r w:rsidRPr="00D7405A">
        <w:rPr>
          <w:rFonts w:asciiTheme="minorHAnsi" w:eastAsia="Calibri" w:hAnsiTheme="minorHAnsi" w:cstheme="minorHAnsi"/>
        </w:rPr>
        <w:t xml:space="preserve"> session</w:t>
      </w:r>
      <w:r>
        <w:rPr>
          <w:rFonts w:asciiTheme="minorHAnsi" w:eastAsia="Calibri" w:hAnsiTheme="minorHAnsi" w:cstheme="minorHAnsi"/>
        </w:rPr>
        <w:t xml:space="preserve"> of Council</w:t>
      </w:r>
      <w:r w:rsidRPr="00D7405A">
        <w:rPr>
          <w:rFonts w:asciiTheme="minorHAnsi" w:eastAsia="Calibri" w:hAnsiTheme="minorHAnsi" w:cstheme="minorHAnsi"/>
        </w:rPr>
        <w:t xml:space="preserve">, the </w:t>
      </w:r>
      <w:r w:rsidR="00FB0CFF">
        <w:rPr>
          <w:rFonts w:asciiTheme="minorHAnsi" w:eastAsia="Calibri" w:hAnsiTheme="minorHAnsi" w:cstheme="minorHAnsi"/>
        </w:rPr>
        <w:t>s</w:t>
      </w:r>
      <w:r>
        <w:rPr>
          <w:rFonts w:asciiTheme="minorHAnsi" w:eastAsia="Calibri" w:hAnsiTheme="minorHAnsi" w:cstheme="minorHAnsi"/>
        </w:rPr>
        <w:t xml:space="preserve">ecretariat submitted the Draft Biennial Budget of the Union for the period 2026-2027 for consideration and approval by the Council in </w:t>
      </w:r>
      <w:r w:rsidR="00367798" w:rsidRPr="00FB0CFF">
        <w:rPr>
          <w:rFonts w:asciiTheme="minorHAnsi" w:eastAsia="Calibri" w:hAnsiTheme="minorHAnsi" w:cstheme="minorHAnsi"/>
        </w:rPr>
        <w:t>D</w:t>
      </w:r>
      <w:r w:rsidRPr="00FB0CFF">
        <w:rPr>
          <w:rFonts w:asciiTheme="minorHAnsi" w:eastAsia="Calibri" w:hAnsiTheme="minorHAnsi" w:cstheme="minorHAnsi"/>
        </w:rPr>
        <w:t xml:space="preserve">ocument </w:t>
      </w:r>
      <w:hyperlink r:id="rId15" w:history="1">
        <w:r w:rsidRPr="00FB0CFF">
          <w:rPr>
            <w:rStyle w:val="Hyperlink"/>
            <w:rFonts w:asciiTheme="minorHAnsi" w:eastAsia="Calibri" w:hAnsiTheme="minorHAnsi" w:cstheme="minorHAnsi"/>
          </w:rPr>
          <w:t>C25/47</w:t>
        </w:r>
      </w:hyperlink>
      <w:r>
        <w:rPr>
          <w:rFonts w:asciiTheme="minorHAnsi" w:eastAsia="Calibri" w:hAnsiTheme="minorHAnsi" w:cstheme="minorHAnsi"/>
        </w:rPr>
        <w:t xml:space="preserve">. The draft Budget was balanced based on estimated revenues from cost recovery of </w:t>
      </w:r>
      <w:r w:rsidRPr="00456232">
        <w:rPr>
          <w:rFonts w:asciiTheme="minorHAnsi" w:eastAsia="Calibri" w:hAnsiTheme="minorHAnsi" w:cstheme="minorHAnsi"/>
          <w:spacing w:val="-2"/>
        </w:rPr>
        <w:t>MCHF</w:t>
      </w:r>
      <w:r w:rsidR="00456232" w:rsidRPr="00456232">
        <w:rPr>
          <w:rFonts w:asciiTheme="minorHAnsi" w:eastAsia="Calibri" w:hAnsiTheme="minorHAnsi" w:cstheme="minorHAnsi"/>
          <w:spacing w:val="-2"/>
        </w:rPr>
        <w:t> </w:t>
      </w:r>
      <w:r w:rsidRPr="00456232">
        <w:rPr>
          <w:rFonts w:asciiTheme="minorHAnsi" w:eastAsia="Calibri" w:hAnsiTheme="minorHAnsi" w:cstheme="minorHAnsi"/>
          <w:spacing w:val="-2"/>
        </w:rPr>
        <w:t xml:space="preserve">67.334 aligned with a proposal by the </w:t>
      </w:r>
      <w:r w:rsidR="00456232" w:rsidRPr="00456232">
        <w:rPr>
          <w:rFonts w:asciiTheme="minorHAnsi" w:eastAsia="Calibri" w:hAnsiTheme="minorHAnsi" w:cstheme="minorHAnsi"/>
          <w:spacing w:val="-2"/>
        </w:rPr>
        <w:t>s</w:t>
      </w:r>
      <w:r w:rsidRPr="00456232">
        <w:rPr>
          <w:rFonts w:asciiTheme="minorHAnsi" w:eastAsia="Calibri" w:hAnsiTheme="minorHAnsi" w:cstheme="minorHAnsi"/>
          <w:spacing w:val="-2"/>
        </w:rPr>
        <w:t xml:space="preserve">ecretariat in Document </w:t>
      </w:r>
      <w:hyperlink r:id="rId16" w:history="1">
        <w:r w:rsidRPr="00456232">
          <w:rPr>
            <w:rStyle w:val="Hyperlink"/>
            <w:rFonts w:asciiTheme="minorHAnsi" w:eastAsia="Calibri" w:hAnsiTheme="minorHAnsi" w:cstheme="minorHAnsi"/>
            <w:spacing w:val="-2"/>
          </w:rPr>
          <w:t>C25/</w:t>
        </w:r>
        <w:r w:rsidR="006F5517" w:rsidRPr="00456232">
          <w:rPr>
            <w:rStyle w:val="Hyperlink"/>
            <w:rFonts w:asciiTheme="minorHAnsi" w:eastAsia="Calibri" w:hAnsiTheme="minorHAnsi" w:cstheme="minorHAnsi"/>
            <w:spacing w:val="-2"/>
          </w:rPr>
          <w:t>64</w:t>
        </w:r>
      </w:hyperlink>
      <w:r w:rsidRPr="00456232">
        <w:rPr>
          <w:rFonts w:asciiTheme="minorHAnsi" w:eastAsia="Calibri" w:hAnsiTheme="minorHAnsi" w:cstheme="minorHAnsi"/>
          <w:spacing w:val="-2"/>
        </w:rPr>
        <w:t xml:space="preserve"> for an increase in Satellite Network Filing</w:t>
      </w:r>
      <w:r w:rsidR="00456232" w:rsidRPr="00456232">
        <w:rPr>
          <w:rFonts w:asciiTheme="minorHAnsi" w:eastAsia="Calibri" w:hAnsiTheme="minorHAnsi" w:cstheme="minorHAnsi"/>
          <w:spacing w:val="-2"/>
        </w:rPr>
        <w:t xml:space="preserve"> (SNF)</w:t>
      </w:r>
      <w:r w:rsidRPr="00456232">
        <w:rPr>
          <w:rFonts w:asciiTheme="minorHAnsi" w:eastAsia="Calibri" w:hAnsiTheme="minorHAnsi" w:cstheme="minorHAnsi"/>
          <w:spacing w:val="-2"/>
        </w:rPr>
        <w:t xml:space="preserve"> Fees</w:t>
      </w:r>
      <w:r w:rsidR="002232E7" w:rsidRPr="00456232">
        <w:rPr>
          <w:rFonts w:asciiTheme="minorHAnsi" w:eastAsia="Calibri" w:hAnsiTheme="minorHAnsi" w:cstheme="minorHAnsi"/>
          <w:spacing w:val="-2"/>
        </w:rPr>
        <w:t xml:space="preserve"> to address </w:t>
      </w:r>
      <w:r w:rsidR="002B2744" w:rsidRPr="00456232">
        <w:rPr>
          <w:rFonts w:asciiTheme="minorHAnsi" w:eastAsia="Calibri" w:hAnsiTheme="minorHAnsi" w:cstheme="minorHAnsi"/>
          <w:spacing w:val="-2"/>
        </w:rPr>
        <w:t>shortfalls in cost recovery</w:t>
      </w:r>
      <w:r w:rsidRPr="00456232">
        <w:rPr>
          <w:rFonts w:asciiTheme="minorHAnsi" w:eastAsia="Calibri" w:hAnsiTheme="minorHAnsi" w:cstheme="minorHAnsi"/>
          <w:spacing w:val="-2"/>
        </w:rPr>
        <w:t xml:space="preserve">. </w:t>
      </w:r>
      <w:r w:rsidR="002B2744" w:rsidRPr="00456232">
        <w:rPr>
          <w:rFonts w:asciiTheme="minorHAnsi" w:eastAsia="Calibri" w:hAnsiTheme="minorHAnsi" w:cstheme="minorHAnsi"/>
          <w:spacing w:val="-2"/>
        </w:rPr>
        <w:t xml:space="preserve">These proposals were considered </w:t>
      </w:r>
      <w:r w:rsidR="002232E7" w:rsidRPr="00456232">
        <w:rPr>
          <w:rFonts w:asciiTheme="minorHAnsi" w:eastAsia="Calibri" w:hAnsiTheme="minorHAnsi" w:cstheme="minorHAnsi"/>
          <w:spacing w:val="-2"/>
        </w:rPr>
        <w:t>alongside proposals submitted by the Expert Group on Decision 482</w:t>
      </w:r>
      <w:r w:rsidR="00456232">
        <w:rPr>
          <w:rFonts w:asciiTheme="minorHAnsi" w:eastAsia="Calibri" w:hAnsiTheme="minorHAnsi" w:cstheme="minorHAnsi"/>
        </w:rPr>
        <w:t xml:space="preserve"> (EG-DEC482)</w:t>
      </w:r>
      <w:r w:rsidR="002B2744">
        <w:rPr>
          <w:rFonts w:asciiTheme="minorHAnsi" w:eastAsia="Calibri" w:hAnsiTheme="minorHAnsi" w:cstheme="minorHAnsi"/>
        </w:rPr>
        <w:t>. The</w:t>
      </w:r>
      <w:r w:rsidR="002C7EDD">
        <w:rPr>
          <w:rFonts w:asciiTheme="minorHAnsi" w:eastAsia="Calibri" w:hAnsiTheme="minorHAnsi" w:cstheme="minorHAnsi"/>
        </w:rPr>
        <w:t xml:space="preserve"> Council considered that</w:t>
      </w:r>
      <w:r w:rsidR="002B2744">
        <w:rPr>
          <w:rFonts w:asciiTheme="minorHAnsi" w:eastAsia="Calibri" w:hAnsiTheme="minorHAnsi" w:cstheme="minorHAnsi"/>
        </w:rPr>
        <w:t>, while some increase was clearly needed,</w:t>
      </w:r>
      <w:r w:rsidR="002C7EDD">
        <w:rPr>
          <w:rFonts w:asciiTheme="minorHAnsi" w:eastAsia="Calibri" w:hAnsiTheme="minorHAnsi" w:cstheme="minorHAnsi"/>
        </w:rPr>
        <w:t xml:space="preserve"> </w:t>
      </w:r>
      <w:r w:rsidR="00A57C42">
        <w:rPr>
          <w:rFonts w:asciiTheme="minorHAnsi" w:eastAsia="Calibri" w:hAnsiTheme="minorHAnsi" w:cstheme="minorHAnsi"/>
        </w:rPr>
        <w:t xml:space="preserve">the </w:t>
      </w:r>
      <w:r w:rsidR="002B2744">
        <w:rPr>
          <w:rFonts w:asciiTheme="minorHAnsi" w:eastAsia="Calibri" w:hAnsiTheme="minorHAnsi" w:cstheme="minorHAnsi"/>
        </w:rPr>
        <w:t xml:space="preserve">secretariat has not justified the costs </w:t>
      </w:r>
      <w:r w:rsidR="0073488F">
        <w:rPr>
          <w:rFonts w:asciiTheme="minorHAnsi" w:eastAsia="Calibri" w:hAnsiTheme="minorHAnsi" w:cstheme="minorHAnsi"/>
        </w:rPr>
        <w:t xml:space="preserve">submitted in </w:t>
      </w:r>
      <w:r w:rsidR="0073488F" w:rsidRPr="00FB0CFF">
        <w:rPr>
          <w:rFonts w:asciiTheme="minorHAnsi" w:eastAsia="Calibri" w:hAnsiTheme="minorHAnsi" w:cstheme="minorHAnsi"/>
        </w:rPr>
        <w:t xml:space="preserve">Document </w:t>
      </w:r>
      <w:hyperlink r:id="rId17" w:history="1">
        <w:r w:rsidR="0073488F" w:rsidRPr="00FB0CFF">
          <w:rPr>
            <w:rStyle w:val="Hyperlink"/>
            <w:rFonts w:asciiTheme="minorHAnsi" w:eastAsia="Calibri" w:hAnsiTheme="minorHAnsi" w:cstheme="minorHAnsi"/>
          </w:rPr>
          <w:t>C2</w:t>
        </w:r>
        <w:r w:rsidR="00FB0CFF" w:rsidRPr="00FB0CFF">
          <w:rPr>
            <w:rStyle w:val="Hyperlink"/>
            <w:rFonts w:asciiTheme="minorHAnsi" w:eastAsia="Calibri" w:hAnsiTheme="minorHAnsi" w:cstheme="minorHAnsi"/>
          </w:rPr>
          <w:t>5</w:t>
        </w:r>
        <w:r w:rsidR="0073488F" w:rsidRPr="00FB0CFF">
          <w:rPr>
            <w:rStyle w:val="Hyperlink"/>
            <w:rFonts w:asciiTheme="minorHAnsi" w:eastAsia="Calibri" w:hAnsiTheme="minorHAnsi" w:cstheme="minorHAnsi"/>
          </w:rPr>
          <w:t>/64</w:t>
        </w:r>
      </w:hyperlink>
      <w:r w:rsidR="00A57C42">
        <w:rPr>
          <w:rFonts w:asciiTheme="minorHAnsi" w:eastAsia="Calibri" w:hAnsiTheme="minorHAnsi" w:cstheme="minorHAnsi"/>
        </w:rPr>
        <w:t xml:space="preserve"> and directed the </w:t>
      </w:r>
      <w:r w:rsidR="00456232">
        <w:rPr>
          <w:rFonts w:asciiTheme="minorHAnsi" w:eastAsia="Calibri" w:hAnsiTheme="minorHAnsi" w:cstheme="minorHAnsi"/>
        </w:rPr>
        <w:t>s</w:t>
      </w:r>
      <w:r w:rsidR="00A57C42">
        <w:rPr>
          <w:rFonts w:asciiTheme="minorHAnsi" w:eastAsia="Calibri" w:hAnsiTheme="minorHAnsi" w:cstheme="minorHAnsi"/>
        </w:rPr>
        <w:t xml:space="preserve">ecretariat to develop a comprehensive review of the methodology for calculation of costs related to SNF (particularly indirect costs). In the interim the Council </w:t>
      </w:r>
      <w:r w:rsidR="002C7EDD">
        <w:rPr>
          <w:rFonts w:asciiTheme="minorHAnsi" w:eastAsia="Calibri" w:hAnsiTheme="minorHAnsi" w:cstheme="minorHAnsi"/>
        </w:rPr>
        <w:t>approved a smaller interim increase</w:t>
      </w:r>
      <w:r w:rsidR="001B4BAB">
        <w:rPr>
          <w:rFonts w:asciiTheme="minorHAnsi" w:eastAsia="Calibri" w:hAnsiTheme="minorHAnsi" w:cstheme="minorHAnsi"/>
        </w:rPr>
        <w:t xml:space="preserve"> in SNF Fees</w:t>
      </w:r>
      <w:r w:rsidR="00FB131D">
        <w:rPr>
          <w:rFonts w:asciiTheme="minorHAnsi" w:eastAsia="Calibri" w:hAnsiTheme="minorHAnsi" w:cstheme="minorHAnsi"/>
        </w:rPr>
        <w:t xml:space="preserve"> of </w:t>
      </w:r>
      <w:r w:rsidR="002232E7">
        <w:rPr>
          <w:rFonts w:asciiTheme="minorHAnsi" w:eastAsia="Calibri" w:hAnsiTheme="minorHAnsi" w:cstheme="minorHAnsi"/>
        </w:rPr>
        <w:t>10.6</w:t>
      </w:r>
      <w:r w:rsidR="00FB131D">
        <w:rPr>
          <w:rFonts w:asciiTheme="minorHAnsi" w:eastAsia="Calibri" w:hAnsiTheme="minorHAnsi" w:cstheme="minorHAnsi"/>
        </w:rPr>
        <w:t xml:space="preserve">% </w:t>
      </w:r>
      <w:r w:rsidR="0073488F">
        <w:rPr>
          <w:rFonts w:asciiTheme="minorHAnsi" w:eastAsia="Calibri" w:hAnsiTheme="minorHAnsi" w:cstheme="minorHAnsi"/>
        </w:rPr>
        <w:t xml:space="preserve">above the proposals </w:t>
      </w:r>
      <w:r w:rsidR="00A932A7">
        <w:rPr>
          <w:rFonts w:asciiTheme="minorHAnsi" w:eastAsia="Calibri" w:hAnsiTheme="minorHAnsi" w:cstheme="minorHAnsi"/>
        </w:rPr>
        <w:t>submitted by EG</w:t>
      </w:r>
      <w:r w:rsidR="00FB0CFF">
        <w:rPr>
          <w:rFonts w:asciiTheme="minorHAnsi" w:eastAsia="Calibri" w:hAnsiTheme="minorHAnsi" w:cstheme="minorHAnsi"/>
        </w:rPr>
        <w:t>-DEC</w:t>
      </w:r>
      <w:r w:rsidR="00A932A7">
        <w:rPr>
          <w:rFonts w:asciiTheme="minorHAnsi" w:eastAsia="Calibri" w:hAnsiTheme="minorHAnsi" w:cstheme="minorHAnsi"/>
        </w:rPr>
        <w:t xml:space="preserve">482, </w:t>
      </w:r>
      <w:r w:rsidR="00FB131D">
        <w:rPr>
          <w:rFonts w:asciiTheme="minorHAnsi" w:eastAsia="Calibri" w:hAnsiTheme="minorHAnsi" w:cstheme="minorHAnsi"/>
        </w:rPr>
        <w:t>for the period 2026</w:t>
      </w:r>
      <w:r w:rsidR="00FB0CFF">
        <w:rPr>
          <w:rFonts w:asciiTheme="minorHAnsi" w:eastAsia="Calibri" w:hAnsiTheme="minorHAnsi" w:cstheme="minorHAnsi"/>
        </w:rPr>
        <w:t>-</w:t>
      </w:r>
      <w:r w:rsidR="00FB131D">
        <w:rPr>
          <w:rFonts w:asciiTheme="minorHAnsi" w:eastAsia="Calibri" w:hAnsiTheme="minorHAnsi" w:cstheme="minorHAnsi"/>
        </w:rPr>
        <w:t>2027</w:t>
      </w:r>
      <w:r w:rsidR="002C7EDD">
        <w:rPr>
          <w:rFonts w:asciiTheme="minorHAnsi" w:eastAsia="Calibri" w:hAnsiTheme="minorHAnsi" w:cstheme="minorHAnsi"/>
        </w:rPr>
        <w:t xml:space="preserve">. </w:t>
      </w:r>
    </w:p>
    <w:p w14:paraId="68D34F63" w14:textId="2EA75AFD" w:rsidR="00284925" w:rsidRDefault="002C7EDD" w:rsidP="00FA0EDF">
      <w:pPr>
        <w:tabs>
          <w:tab w:val="clear" w:pos="567"/>
          <w:tab w:val="clear" w:pos="1134"/>
          <w:tab w:val="clear" w:pos="1701"/>
          <w:tab w:val="clear" w:pos="2268"/>
          <w:tab w:val="clear" w:pos="2835"/>
        </w:tabs>
        <w:spacing w:after="120"/>
        <w:jc w:val="both"/>
        <w:rPr>
          <w:rFonts w:asciiTheme="minorHAnsi" w:eastAsia="Calibri" w:hAnsiTheme="minorHAnsi" w:cstheme="minorHAnsi"/>
        </w:rPr>
      </w:pPr>
      <w:r>
        <w:rPr>
          <w:rFonts w:asciiTheme="minorHAnsi" w:eastAsia="Calibri" w:hAnsiTheme="minorHAnsi" w:cstheme="minorHAnsi"/>
        </w:rPr>
        <w:t xml:space="preserve">As a result, </w:t>
      </w:r>
      <w:r w:rsidR="00FB131D">
        <w:rPr>
          <w:rFonts w:asciiTheme="minorHAnsi" w:eastAsia="Calibri" w:hAnsiTheme="minorHAnsi" w:cstheme="minorHAnsi"/>
        </w:rPr>
        <w:t xml:space="preserve">of these decisions, the Council approved the </w:t>
      </w:r>
      <w:r>
        <w:rPr>
          <w:rFonts w:asciiTheme="minorHAnsi" w:eastAsia="Calibri" w:hAnsiTheme="minorHAnsi" w:cstheme="minorHAnsi"/>
        </w:rPr>
        <w:t xml:space="preserve">biennial budget </w:t>
      </w:r>
      <w:r w:rsidR="00FB131D">
        <w:rPr>
          <w:rFonts w:asciiTheme="minorHAnsi" w:eastAsia="Calibri" w:hAnsiTheme="minorHAnsi" w:cstheme="minorHAnsi"/>
        </w:rPr>
        <w:t xml:space="preserve">for </w:t>
      </w:r>
      <w:r>
        <w:rPr>
          <w:rFonts w:asciiTheme="minorHAnsi" w:eastAsia="Calibri" w:hAnsiTheme="minorHAnsi" w:cstheme="minorHAnsi"/>
        </w:rPr>
        <w:t xml:space="preserve">2026-2027 </w:t>
      </w:r>
      <w:r w:rsidR="00FB131D">
        <w:rPr>
          <w:rFonts w:asciiTheme="minorHAnsi" w:eastAsia="Calibri" w:hAnsiTheme="minorHAnsi" w:cstheme="minorHAnsi"/>
        </w:rPr>
        <w:t xml:space="preserve">at the </w:t>
      </w:r>
      <w:r w:rsidR="00FB131D" w:rsidRPr="00456232">
        <w:rPr>
          <w:rFonts w:asciiTheme="minorHAnsi" w:eastAsia="Calibri" w:hAnsiTheme="minorHAnsi" w:cstheme="minorHAnsi"/>
          <w:spacing w:val="-2"/>
        </w:rPr>
        <w:t xml:space="preserve">expense level </w:t>
      </w:r>
      <w:r w:rsidR="00F34003" w:rsidRPr="00456232">
        <w:rPr>
          <w:rFonts w:asciiTheme="minorHAnsi" w:eastAsia="Calibri" w:hAnsiTheme="minorHAnsi" w:cstheme="minorHAnsi"/>
          <w:spacing w:val="-2"/>
        </w:rPr>
        <w:t xml:space="preserve">proposed but directed the </w:t>
      </w:r>
      <w:r w:rsidR="00456232" w:rsidRPr="00456232">
        <w:rPr>
          <w:rFonts w:asciiTheme="minorHAnsi" w:eastAsia="Calibri" w:hAnsiTheme="minorHAnsi" w:cstheme="minorHAnsi"/>
          <w:spacing w:val="-2"/>
        </w:rPr>
        <w:t>s</w:t>
      </w:r>
      <w:r w:rsidR="00F34003" w:rsidRPr="00456232">
        <w:rPr>
          <w:rFonts w:asciiTheme="minorHAnsi" w:eastAsia="Calibri" w:hAnsiTheme="minorHAnsi" w:cstheme="minorHAnsi"/>
          <w:spacing w:val="-2"/>
        </w:rPr>
        <w:t>ecretariat to reduce its expenses by CHF</w:t>
      </w:r>
      <w:r w:rsidR="00456232" w:rsidRPr="00456232">
        <w:rPr>
          <w:rFonts w:asciiTheme="minorHAnsi" w:eastAsia="Calibri" w:hAnsiTheme="minorHAnsi" w:cstheme="minorHAnsi"/>
          <w:spacing w:val="-2"/>
        </w:rPr>
        <w:t> </w:t>
      </w:r>
      <w:r w:rsidR="00F34003" w:rsidRPr="00456232">
        <w:rPr>
          <w:rFonts w:asciiTheme="minorHAnsi" w:eastAsia="Calibri" w:hAnsiTheme="minorHAnsi" w:cstheme="minorHAnsi"/>
          <w:spacing w:val="-2"/>
        </w:rPr>
        <w:t>6.008</w:t>
      </w:r>
      <w:r w:rsidR="00456232">
        <w:rPr>
          <w:rFonts w:asciiTheme="minorHAnsi" w:eastAsia="Calibri" w:hAnsiTheme="minorHAnsi" w:cstheme="minorHAnsi"/>
          <w:spacing w:val="-2"/>
        </w:rPr>
        <w:t> </w:t>
      </w:r>
      <w:r w:rsidR="00F34003" w:rsidRPr="00456232">
        <w:rPr>
          <w:rFonts w:asciiTheme="minorHAnsi" w:eastAsia="Calibri" w:hAnsiTheme="minorHAnsi" w:cstheme="minorHAnsi"/>
          <w:spacing w:val="-2"/>
        </w:rPr>
        <w:t>million</w:t>
      </w:r>
      <w:r w:rsidR="00F34003">
        <w:rPr>
          <w:rFonts w:asciiTheme="minorHAnsi" w:eastAsia="Calibri" w:hAnsiTheme="minorHAnsi" w:cstheme="minorHAnsi"/>
        </w:rPr>
        <w:t xml:space="preserve"> and</w:t>
      </w:r>
      <w:r w:rsidR="00D0748B">
        <w:rPr>
          <w:rFonts w:asciiTheme="minorHAnsi" w:eastAsia="Calibri" w:hAnsiTheme="minorHAnsi" w:cstheme="minorHAnsi"/>
        </w:rPr>
        <w:t xml:space="preserve"> included a corresponding global reduction figure in the Budget for the purpose of presenting a balanced budget. The </w:t>
      </w:r>
      <w:r w:rsidR="00456232">
        <w:rPr>
          <w:rFonts w:asciiTheme="minorHAnsi" w:eastAsia="Calibri" w:hAnsiTheme="minorHAnsi" w:cstheme="minorHAnsi"/>
        </w:rPr>
        <w:t>s</w:t>
      </w:r>
      <w:r w:rsidR="00D0748B">
        <w:rPr>
          <w:rFonts w:asciiTheme="minorHAnsi" w:eastAsia="Calibri" w:hAnsiTheme="minorHAnsi" w:cstheme="minorHAnsi"/>
        </w:rPr>
        <w:t xml:space="preserve">ecretariat was directed to report back to CWG-FHR on the steps taken to balance the Budget. </w:t>
      </w:r>
    </w:p>
    <w:p w14:paraId="615D03DD" w14:textId="2371B389" w:rsidR="003879F3" w:rsidRDefault="00327DD1" w:rsidP="00FA0EDF">
      <w:pPr>
        <w:pStyle w:val="Heading1"/>
        <w:tabs>
          <w:tab w:val="clear" w:pos="567"/>
          <w:tab w:val="clear" w:pos="1134"/>
          <w:tab w:val="clear" w:pos="1701"/>
          <w:tab w:val="clear" w:pos="2268"/>
          <w:tab w:val="clear" w:pos="2835"/>
        </w:tabs>
        <w:spacing w:after="120"/>
        <w:ind w:left="0" w:firstLine="0"/>
        <w:jc w:val="both"/>
      </w:pPr>
      <w:r>
        <w:rPr>
          <w:rFonts w:hint="eastAsia"/>
          <w:lang w:eastAsia="zh-CN"/>
        </w:rPr>
        <w:t>2</w:t>
      </w:r>
      <w:r w:rsidR="00797A65">
        <w:tab/>
      </w:r>
      <w:r w:rsidR="00D0748B">
        <w:t xml:space="preserve">Approaches Reduction </w:t>
      </w:r>
      <w:r w:rsidR="00A932A7">
        <w:t xml:space="preserve">of </w:t>
      </w:r>
      <w:r w:rsidR="00D0748B">
        <w:t>Expenses for the 2026-2027 Budget</w:t>
      </w:r>
    </w:p>
    <w:p w14:paraId="134B2E6A" w14:textId="4D438C8A" w:rsidR="009003BD" w:rsidRPr="009003BD" w:rsidRDefault="009003BD" w:rsidP="00FA0EDF">
      <w:pPr>
        <w:pStyle w:val="Heading2"/>
        <w:tabs>
          <w:tab w:val="clear" w:pos="567"/>
          <w:tab w:val="clear" w:pos="1134"/>
          <w:tab w:val="clear" w:pos="1701"/>
          <w:tab w:val="clear" w:pos="2268"/>
          <w:tab w:val="clear" w:pos="2835"/>
        </w:tabs>
        <w:spacing w:before="240" w:after="120"/>
        <w:ind w:left="-142" w:firstLine="142"/>
        <w:jc w:val="both"/>
      </w:pPr>
      <w:r w:rsidRPr="009003BD">
        <w:t>2.1</w:t>
      </w:r>
      <w:r w:rsidR="00D53452">
        <w:tab/>
      </w:r>
      <w:r w:rsidRPr="009003BD">
        <w:t>Prioritization and Consolidation through the Operational Planning Exercise</w:t>
      </w:r>
    </w:p>
    <w:p w14:paraId="6E21347F" w14:textId="348D0D60" w:rsidR="009003BD" w:rsidRDefault="00357F6D" w:rsidP="00FA0EDF">
      <w:pPr>
        <w:tabs>
          <w:tab w:val="clear" w:pos="567"/>
          <w:tab w:val="clear" w:pos="1134"/>
          <w:tab w:val="clear" w:pos="1701"/>
          <w:tab w:val="clear" w:pos="2268"/>
          <w:tab w:val="clear" w:pos="2835"/>
        </w:tabs>
        <w:spacing w:after="120"/>
        <w:jc w:val="both"/>
      </w:pPr>
      <w:r>
        <w:t xml:space="preserve">Following Council 2025 the </w:t>
      </w:r>
      <w:r w:rsidR="00456232">
        <w:t>s</w:t>
      </w:r>
      <w:r>
        <w:t xml:space="preserve">ecretariat decided to engage in a comprehensive Operational Planning exercise for 2026 </w:t>
      </w:r>
      <w:r w:rsidR="00615B73">
        <w:t xml:space="preserve">in which an organization wide information collection process was initiated which required </w:t>
      </w:r>
      <w:r w:rsidR="00D675D8">
        <w:t>the Bureau</w:t>
      </w:r>
      <w:r w:rsidR="00456232">
        <w:t>x</w:t>
      </w:r>
      <w:r w:rsidR="00D675D8">
        <w:t xml:space="preserve"> and the General Secretariat (at the Department level) to conduct their planning exercises for 2026 and enter all information related to staff effort and other costs (travel, </w:t>
      </w:r>
      <w:r w:rsidR="009003BD">
        <w:t xml:space="preserve">equipment, and </w:t>
      </w:r>
      <w:r w:rsidR="00D675D8">
        <w:t xml:space="preserve">short term assistance etc) required </w:t>
      </w:r>
      <w:r w:rsidR="009003BD">
        <w:t>to achieve their outputs in 2026.</w:t>
      </w:r>
    </w:p>
    <w:p w14:paraId="5552414C" w14:textId="25106D32" w:rsidR="00AC20C0" w:rsidRDefault="004B7BFE" w:rsidP="00FA0EDF">
      <w:pPr>
        <w:tabs>
          <w:tab w:val="clear" w:pos="567"/>
          <w:tab w:val="clear" w:pos="1134"/>
          <w:tab w:val="clear" w:pos="1701"/>
          <w:tab w:val="clear" w:pos="2268"/>
          <w:tab w:val="clear" w:pos="2835"/>
        </w:tabs>
        <w:spacing w:after="120"/>
        <w:jc w:val="both"/>
      </w:pPr>
      <w:r w:rsidRPr="004B7BFE">
        <w:t xml:space="preserve">The Operational Planning 2026 </w:t>
      </w:r>
      <w:r w:rsidR="009003BD">
        <w:t xml:space="preserve">exercise provides information on the intended use of ITU’s budgeted resources in 2026, giving essential information </w:t>
      </w:r>
      <w:r w:rsidRPr="004B7BFE">
        <w:t>process serves as a crucial mechanism for strategically aligning and prioritising the work of the General Secretariat and the Bureau</w:t>
      </w:r>
      <w:r w:rsidR="00456232">
        <w:t>x</w:t>
      </w:r>
      <w:r w:rsidRPr="004B7BFE">
        <w:t xml:space="preserve"> of the ITU. By systematically assessing organisational objectives, resource allocations, and evolving sectoral demands, the process enables leadership to make informed decisions that ensure the most critical activities are resourced and implemented effectively. This structured approach fosters greater coherence across departments, supports efficient use of funds, and enhances the ITU’s ability to deliver on its strategic priorities for the 2026-2027 period.</w:t>
      </w:r>
      <w:r w:rsidR="00E40263">
        <w:t xml:space="preserve"> This prioritization also allows the organisation to better identify areas where </w:t>
      </w:r>
      <w:r w:rsidR="004F346C">
        <w:t xml:space="preserve">consolidation, coordination and better working methods can enable budgetary </w:t>
      </w:r>
      <w:r w:rsidR="00331C2B">
        <w:t>reductions.</w:t>
      </w:r>
    </w:p>
    <w:p w14:paraId="3AB89DA2" w14:textId="739466D7" w:rsidR="004B7BFE" w:rsidRDefault="00605E16" w:rsidP="00FA0EDF">
      <w:pPr>
        <w:tabs>
          <w:tab w:val="clear" w:pos="567"/>
          <w:tab w:val="clear" w:pos="1134"/>
          <w:tab w:val="clear" w:pos="1701"/>
          <w:tab w:val="clear" w:pos="2268"/>
          <w:tab w:val="clear" w:pos="2835"/>
        </w:tabs>
        <w:spacing w:after="120"/>
        <w:jc w:val="both"/>
      </w:pPr>
      <w:r>
        <w:t>The data collection and consolidation process is ongoing with completion expected by the end of December 2025, however t</w:t>
      </w:r>
      <w:r w:rsidR="00AC20C0">
        <w:t xml:space="preserve">hrough this prioritization ITU has engaged </w:t>
      </w:r>
      <w:r>
        <w:t>in cost containment actions across several</w:t>
      </w:r>
      <w:r w:rsidR="00AC20C0">
        <w:t xml:space="preserve"> areas including:</w:t>
      </w:r>
    </w:p>
    <w:p w14:paraId="78E7965C" w14:textId="5969F775" w:rsidR="00B16D89" w:rsidRDefault="00AC20C0" w:rsidP="00FA0EDF">
      <w:pPr>
        <w:pStyle w:val="ListParagraph"/>
        <w:numPr>
          <w:ilvl w:val="0"/>
          <w:numId w:val="9"/>
        </w:numPr>
        <w:tabs>
          <w:tab w:val="clear" w:pos="567"/>
          <w:tab w:val="clear" w:pos="1134"/>
          <w:tab w:val="clear" w:pos="1701"/>
          <w:tab w:val="clear" w:pos="2268"/>
          <w:tab w:val="clear" w:pos="2835"/>
        </w:tabs>
        <w:spacing w:after="120"/>
        <w:ind w:left="851" w:hanging="567"/>
        <w:contextualSpacing w:val="0"/>
        <w:jc w:val="both"/>
      </w:pPr>
      <w:r>
        <w:t xml:space="preserve">Reduction in the number of ITU </w:t>
      </w:r>
      <w:proofErr w:type="gramStart"/>
      <w:r w:rsidR="00456232">
        <w:t>s</w:t>
      </w:r>
      <w:r w:rsidR="00605E16">
        <w:t>ecretariat initiated</w:t>
      </w:r>
      <w:proofErr w:type="gramEnd"/>
      <w:r w:rsidR="00605E16">
        <w:t xml:space="preserve"> e</w:t>
      </w:r>
      <w:r>
        <w:t>vents</w:t>
      </w:r>
    </w:p>
    <w:p w14:paraId="2156BF3E" w14:textId="59DF3ACC" w:rsidR="00AC20C0" w:rsidRDefault="007766E6" w:rsidP="00FA0EDF">
      <w:pPr>
        <w:pStyle w:val="ListParagraph"/>
        <w:numPr>
          <w:ilvl w:val="0"/>
          <w:numId w:val="9"/>
        </w:numPr>
        <w:tabs>
          <w:tab w:val="clear" w:pos="567"/>
          <w:tab w:val="clear" w:pos="1134"/>
          <w:tab w:val="clear" w:pos="1701"/>
          <w:tab w:val="clear" w:pos="2268"/>
          <w:tab w:val="clear" w:pos="2835"/>
        </w:tabs>
        <w:spacing w:after="120"/>
        <w:ind w:left="851" w:hanging="567"/>
        <w:contextualSpacing w:val="0"/>
        <w:jc w:val="both"/>
      </w:pPr>
      <w:r>
        <w:t>C</w:t>
      </w:r>
      <w:r w:rsidR="00B16D89">
        <w:t xml:space="preserve">onsolidation of </w:t>
      </w:r>
      <w:r w:rsidR="00577E53">
        <w:t xml:space="preserve">targeted </w:t>
      </w:r>
      <w:r w:rsidR="00B16D89">
        <w:t>shared and common services</w:t>
      </w:r>
    </w:p>
    <w:p w14:paraId="0A958DE7" w14:textId="0086EB94" w:rsidR="00803780" w:rsidRDefault="00803780" w:rsidP="00FA0EDF">
      <w:pPr>
        <w:pStyle w:val="ListParagraph"/>
        <w:numPr>
          <w:ilvl w:val="0"/>
          <w:numId w:val="9"/>
        </w:numPr>
        <w:tabs>
          <w:tab w:val="clear" w:pos="567"/>
          <w:tab w:val="clear" w:pos="1134"/>
          <w:tab w:val="clear" w:pos="1701"/>
          <w:tab w:val="clear" w:pos="2268"/>
          <w:tab w:val="clear" w:pos="2835"/>
        </w:tabs>
        <w:spacing w:after="120"/>
        <w:ind w:left="851" w:hanging="567"/>
        <w:contextualSpacing w:val="0"/>
        <w:jc w:val="both"/>
      </w:pPr>
      <w:r>
        <w:lastRenderedPageBreak/>
        <w:t>Consolidation and improved coordination of workstreams on related issues across the Bureau</w:t>
      </w:r>
      <w:r w:rsidR="00456232">
        <w:t>x</w:t>
      </w:r>
      <w:r>
        <w:t xml:space="preserve"> and General Secretariat to improve the use of staff resources across the organization and consolidate outputs where possible.</w:t>
      </w:r>
    </w:p>
    <w:p w14:paraId="2ABF0FF3" w14:textId="61260652" w:rsidR="005230BD" w:rsidRPr="00A932A7" w:rsidRDefault="005230BD" w:rsidP="00FA0EDF">
      <w:pPr>
        <w:tabs>
          <w:tab w:val="clear" w:pos="567"/>
          <w:tab w:val="clear" w:pos="1134"/>
          <w:tab w:val="clear" w:pos="1701"/>
          <w:tab w:val="clear" w:pos="2268"/>
          <w:tab w:val="clear" w:pos="2835"/>
        </w:tabs>
        <w:spacing w:before="240" w:after="240"/>
        <w:jc w:val="both"/>
        <w:rPr>
          <w:b/>
          <w:bCs/>
        </w:rPr>
      </w:pPr>
      <w:r w:rsidRPr="00AC20C0">
        <w:rPr>
          <w:b/>
          <w:bCs/>
        </w:rPr>
        <w:t xml:space="preserve">On this basis, </w:t>
      </w:r>
      <w:r>
        <w:rPr>
          <w:b/>
          <w:bCs/>
        </w:rPr>
        <w:t xml:space="preserve">the revised Budget for the 2026-2027 biennium has been adjusted </w:t>
      </w:r>
      <w:r w:rsidR="00A842B8">
        <w:rPr>
          <w:b/>
          <w:bCs/>
        </w:rPr>
        <w:t xml:space="preserve">to incorporate </w:t>
      </w:r>
      <w:r w:rsidR="00B01F61">
        <w:rPr>
          <w:b/>
          <w:bCs/>
        </w:rPr>
        <w:t xml:space="preserve">cost containment measures of </w:t>
      </w:r>
      <w:r w:rsidR="00402981">
        <w:rPr>
          <w:b/>
          <w:bCs/>
        </w:rPr>
        <w:t>K</w:t>
      </w:r>
      <w:r w:rsidR="00B01F61">
        <w:rPr>
          <w:b/>
          <w:bCs/>
        </w:rPr>
        <w:t>CHF</w:t>
      </w:r>
      <w:r w:rsidR="0064345B">
        <w:rPr>
          <w:b/>
          <w:bCs/>
        </w:rPr>
        <w:t> </w:t>
      </w:r>
      <w:r w:rsidR="00B01F61">
        <w:rPr>
          <w:b/>
          <w:bCs/>
        </w:rPr>
        <w:t>1</w:t>
      </w:r>
      <w:r w:rsidR="0064345B">
        <w:rPr>
          <w:b/>
          <w:bCs/>
        </w:rPr>
        <w:t> </w:t>
      </w:r>
      <w:r w:rsidR="001C1603">
        <w:rPr>
          <w:b/>
          <w:bCs/>
        </w:rPr>
        <w:t>4</w:t>
      </w:r>
      <w:r w:rsidR="00B01F61">
        <w:rPr>
          <w:b/>
          <w:bCs/>
        </w:rPr>
        <w:t>00.</w:t>
      </w:r>
    </w:p>
    <w:p w14:paraId="3854312E" w14:textId="645373E3" w:rsidR="00A932A7" w:rsidRPr="004B7BFE" w:rsidRDefault="007766E6" w:rsidP="00FA0EDF">
      <w:pPr>
        <w:tabs>
          <w:tab w:val="clear" w:pos="567"/>
          <w:tab w:val="clear" w:pos="1134"/>
          <w:tab w:val="clear" w:pos="1701"/>
          <w:tab w:val="clear" w:pos="2268"/>
          <w:tab w:val="clear" w:pos="2835"/>
        </w:tabs>
        <w:spacing w:after="120"/>
        <w:jc w:val="both"/>
      </w:pPr>
      <w:r>
        <w:t>Further information will be provided on this as part of the budget implementation reporting</w:t>
      </w:r>
      <w:r w:rsidR="00F101D6">
        <w:t xml:space="preserve">, and the anticipated savings are reflected in the reductions in travel costs and </w:t>
      </w:r>
      <w:r w:rsidR="00A932A7">
        <w:t>short-term</w:t>
      </w:r>
      <w:r w:rsidR="00F101D6">
        <w:t xml:space="preserve"> services as set out below.</w:t>
      </w:r>
    </w:p>
    <w:p w14:paraId="6BE067D8" w14:textId="61A38EC8" w:rsidR="004D64E1" w:rsidRPr="00E87505" w:rsidRDefault="00D0748B" w:rsidP="00FA0EDF">
      <w:pPr>
        <w:pStyle w:val="Heading2"/>
        <w:tabs>
          <w:tab w:val="clear" w:pos="567"/>
          <w:tab w:val="clear" w:pos="1134"/>
          <w:tab w:val="clear" w:pos="1701"/>
          <w:tab w:val="clear" w:pos="2268"/>
          <w:tab w:val="clear" w:pos="2835"/>
        </w:tabs>
        <w:spacing w:before="240" w:after="120"/>
        <w:ind w:left="0" w:firstLine="0"/>
        <w:jc w:val="both"/>
      </w:pPr>
      <w:r>
        <w:rPr>
          <w:lang w:val="en-US" w:eastAsia="zh-CN"/>
        </w:rPr>
        <w:t>2</w:t>
      </w:r>
      <w:r w:rsidR="00457C01" w:rsidRPr="00E87505">
        <w:rPr>
          <w:rFonts w:hint="eastAsia"/>
          <w:lang w:val="en-US" w:eastAsia="zh-CN"/>
        </w:rPr>
        <w:t>.</w:t>
      </w:r>
      <w:r w:rsidR="00331C2B">
        <w:rPr>
          <w:lang w:val="en-US" w:eastAsia="zh-CN"/>
        </w:rPr>
        <w:t>2</w:t>
      </w:r>
      <w:r w:rsidR="00457C01" w:rsidRPr="00E87505">
        <w:rPr>
          <w:lang w:val="en-US"/>
        </w:rPr>
        <w:tab/>
      </w:r>
      <w:r w:rsidR="00331C2B">
        <w:t>Travel Expenses</w:t>
      </w:r>
    </w:p>
    <w:p w14:paraId="20476DFE" w14:textId="77777777" w:rsidR="00AC20C0" w:rsidRDefault="00C22DDE" w:rsidP="00FA0EDF">
      <w:pPr>
        <w:tabs>
          <w:tab w:val="clear" w:pos="567"/>
          <w:tab w:val="clear" w:pos="1134"/>
          <w:tab w:val="clear" w:pos="1701"/>
          <w:tab w:val="clear" w:pos="2268"/>
          <w:tab w:val="clear" w:pos="2835"/>
        </w:tabs>
        <w:spacing w:after="120"/>
        <w:jc w:val="both"/>
      </w:pPr>
      <w:bookmarkStart w:id="12" w:name="_Hlk213410173"/>
      <w:r>
        <w:t xml:space="preserve">Staff travel is an essential </w:t>
      </w:r>
      <w:r w:rsidR="009B1CBD">
        <w:t xml:space="preserve">element of achieving ITU’s work, through </w:t>
      </w:r>
      <w:r w:rsidR="00D47C61">
        <w:t xml:space="preserve">missions to provide technical, capacity building and other assistance to member states, representation of ITU at key global events related to its mandate, </w:t>
      </w:r>
      <w:r w:rsidR="00D57B9B">
        <w:t xml:space="preserve">operational trips to ensure effective management of ITU’s regional presence, and participation in key United Nations meetings </w:t>
      </w:r>
      <w:r w:rsidR="00AC20C0">
        <w:t>on organizational and programmatic matters pertaining to ITU’s status as a UN Specialized Agency.</w:t>
      </w:r>
    </w:p>
    <w:p w14:paraId="2256FD08" w14:textId="02F21175" w:rsidR="00671DF1" w:rsidRDefault="00AC20C0" w:rsidP="00FA0EDF">
      <w:pPr>
        <w:tabs>
          <w:tab w:val="clear" w:pos="567"/>
          <w:tab w:val="clear" w:pos="1134"/>
          <w:tab w:val="clear" w:pos="1701"/>
          <w:tab w:val="clear" w:pos="2268"/>
          <w:tab w:val="clear" w:pos="2835"/>
        </w:tabs>
        <w:spacing w:after="120"/>
        <w:jc w:val="both"/>
      </w:pPr>
      <w:r>
        <w:t>However, in the current budgetary situation, and aligned with the reduction of costs through prioritization</w:t>
      </w:r>
      <w:r w:rsidR="00F101D6">
        <w:t xml:space="preserve"> as described in 2.1 above</w:t>
      </w:r>
      <w:r w:rsidR="00671DF1">
        <w:t>,</w:t>
      </w:r>
      <w:r>
        <w:t xml:space="preserve"> ITU will reduce staff travel funded by the </w:t>
      </w:r>
      <w:r w:rsidR="00671DF1">
        <w:t xml:space="preserve">ITU through its </w:t>
      </w:r>
      <w:r>
        <w:t xml:space="preserve">regular budget in the 2026-2027 period. This is also connected to </w:t>
      </w:r>
      <w:r w:rsidR="00671DF1">
        <w:t xml:space="preserve">changes in </w:t>
      </w:r>
      <w:r>
        <w:t xml:space="preserve">workplans </w:t>
      </w:r>
      <w:r w:rsidR="00671DF1">
        <w:t>across ITU during</w:t>
      </w:r>
      <w:r>
        <w:t xml:space="preserve"> a biennium in which ITU will host the Plenipotentiary Conference (PP-26) and the World Radiocommunication Conference (WRC-27) as the additional demands on ITU’s membership and other stakeholders resulting from the preparatory processes for these conferences necessitates a sharpened focus </w:t>
      </w:r>
      <w:r w:rsidR="002113EC">
        <w:t>which also requires cuts in staff missions</w:t>
      </w:r>
      <w:r>
        <w:t>.</w:t>
      </w:r>
    </w:p>
    <w:p w14:paraId="14622F0A" w14:textId="2541D13E" w:rsidR="00BF20AC" w:rsidRPr="00A932A7" w:rsidRDefault="002113EC" w:rsidP="00D0552C">
      <w:pPr>
        <w:tabs>
          <w:tab w:val="clear" w:pos="567"/>
          <w:tab w:val="clear" w:pos="1134"/>
          <w:tab w:val="clear" w:pos="1701"/>
          <w:tab w:val="clear" w:pos="2268"/>
          <w:tab w:val="clear" w:pos="2835"/>
        </w:tabs>
        <w:spacing w:before="240" w:after="240"/>
        <w:jc w:val="both"/>
        <w:rPr>
          <w:b/>
          <w:bCs/>
        </w:rPr>
      </w:pPr>
      <w:r w:rsidRPr="00AC20C0">
        <w:rPr>
          <w:b/>
          <w:bCs/>
        </w:rPr>
        <w:t xml:space="preserve">On this basis, </w:t>
      </w:r>
      <w:r>
        <w:rPr>
          <w:b/>
          <w:bCs/>
        </w:rPr>
        <w:t>the revised Budget for the 2026-2027 biennium has been adjusted with a</w:t>
      </w:r>
      <w:r w:rsidRPr="00AC20C0">
        <w:rPr>
          <w:b/>
          <w:bCs/>
        </w:rPr>
        <w:t xml:space="preserve"> reduction of </w:t>
      </w:r>
      <w:r>
        <w:rPr>
          <w:b/>
          <w:bCs/>
        </w:rPr>
        <w:t>15</w:t>
      </w:r>
      <w:r w:rsidRPr="00AC20C0">
        <w:rPr>
          <w:b/>
          <w:bCs/>
        </w:rPr>
        <w:t xml:space="preserve">% in </w:t>
      </w:r>
      <w:r>
        <w:rPr>
          <w:b/>
          <w:bCs/>
        </w:rPr>
        <w:t>travel expenses</w:t>
      </w:r>
      <w:r w:rsidRPr="00AC20C0">
        <w:rPr>
          <w:b/>
          <w:bCs/>
        </w:rPr>
        <w:t>, resulting in savings of KCHF</w:t>
      </w:r>
      <w:r w:rsidR="0064345B">
        <w:rPr>
          <w:b/>
          <w:bCs/>
        </w:rPr>
        <w:t> </w:t>
      </w:r>
      <w:r w:rsidR="00CD45DE">
        <w:rPr>
          <w:b/>
          <w:bCs/>
        </w:rPr>
        <w:t>94</w:t>
      </w:r>
      <w:r w:rsidR="00030B95">
        <w:rPr>
          <w:b/>
          <w:bCs/>
        </w:rPr>
        <w:t>0</w:t>
      </w:r>
      <w:r w:rsidRPr="00AC20C0">
        <w:rPr>
          <w:b/>
          <w:bCs/>
        </w:rPr>
        <w:t xml:space="preserve"> for the period.</w:t>
      </w:r>
    </w:p>
    <w:bookmarkEnd w:id="12"/>
    <w:p w14:paraId="317A62F2" w14:textId="6799B5D0" w:rsidR="008833B0" w:rsidRPr="0065553D" w:rsidRDefault="00331C2B" w:rsidP="00FA0EDF">
      <w:pPr>
        <w:pStyle w:val="Heading2"/>
        <w:tabs>
          <w:tab w:val="clear" w:pos="567"/>
          <w:tab w:val="clear" w:pos="1134"/>
          <w:tab w:val="clear" w:pos="1701"/>
          <w:tab w:val="clear" w:pos="2268"/>
          <w:tab w:val="clear" w:pos="2835"/>
        </w:tabs>
        <w:spacing w:before="240" w:after="120"/>
        <w:ind w:left="0" w:firstLine="0"/>
        <w:jc w:val="both"/>
      </w:pPr>
      <w:r>
        <w:rPr>
          <w:lang w:val="en-US" w:eastAsia="zh-CN"/>
        </w:rPr>
        <w:t>2</w:t>
      </w:r>
      <w:r w:rsidR="00457C01" w:rsidRPr="0065553D">
        <w:rPr>
          <w:rFonts w:hint="eastAsia"/>
          <w:lang w:val="en-US" w:eastAsia="zh-CN"/>
        </w:rPr>
        <w:t>.</w:t>
      </w:r>
      <w:r>
        <w:rPr>
          <w:lang w:val="en-US" w:eastAsia="zh-CN"/>
        </w:rPr>
        <w:t>3</w:t>
      </w:r>
      <w:r w:rsidR="00457C01" w:rsidRPr="0065553D">
        <w:rPr>
          <w:lang w:val="en-US"/>
        </w:rPr>
        <w:tab/>
      </w:r>
      <w:r>
        <w:t>Short Term Consultancies</w:t>
      </w:r>
    </w:p>
    <w:p w14:paraId="677A2F47" w14:textId="3A852E69" w:rsidR="00681711" w:rsidRDefault="00B56792" w:rsidP="00FA0EDF">
      <w:pPr>
        <w:tabs>
          <w:tab w:val="clear" w:pos="567"/>
          <w:tab w:val="clear" w:pos="1134"/>
          <w:tab w:val="clear" w:pos="1701"/>
          <w:tab w:val="clear" w:pos="2268"/>
          <w:tab w:val="clear" w:pos="2835"/>
        </w:tabs>
        <w:spacing w:after="120"/>
        <w:jc w:val="both"/>
      </w:pPr>
      <w:r w:rsidRPr="00B56792">
        <w:t>The ITU engages short-term individual consultancies through Special Service Agreements (SSAs) to obtain specialised expertise and support for specific projects and tasks that may not require permanent staffing. This flexible approach allows the organisation to address targeted needs efficiently, without committing to long-term employment costs. By utilising SSAs, the ITU can scale its workforce in line with fluctuating demands, ensuring resources are allocated only when necessary. Consequently, this method helps reduce overall expenditure, as it avoids the financial obligations associated with full-time positions such as salaries, benefits, and long-term commitments, thereby contributing to budgetary savings for the 2026-2027 period.</w:t>
      </w:r>
    </w:p>
    <w:p w14:paraId="3323E503" w14:textId="32A4AEF7" w:rsidR="0099729E" w:rsidRDefault="00B56792" w:rsidP="00FA0EDF">
      <w:pPr>
        <w:tabs>
          <w:tab w:val="clear" w:pos="567"/>
          <w:tab w:val="clear" w:pos="1134"/>
          <w:tab w:val="clear" w:pos="1701"/>
          <w:tab w:val="clear" w:pos="2268"/>
          <w:tab w:val="clear" w:pos="2835"/>
        </w:tabs>
        <w:spacing w:after="120"/>
        <w:jc w:val="both"/>
      </w:pPr>
      <w:r>
        <w:t xml:space="preserve">Notwithstanding the </w:t>
      </w:r>
      <w:r w:rsidR="00330F63">
        <w:t>reasoning above, ITU recognises that in the current budgetary situation, the</w:t>
      </w:r>
      <w:r w:rsidR="00971E1A">
        <w:t xml:space="preserve">re is a need to encourage discipline in the </w:t>
      </w:r>
      <w:r w:rsidR="00330F63">
        <w:t xml:space="preserve">use of SSAs </w:t>
      </w:r>
      <w:proofErr w:type="gramStart"/>
      <w:r w:rsidR="00971E1A">
        <w:t>and also</w:t>
      </w:r>
      <w:proofErr w:type="gramEnd"/>
      <w:r w:rsidR="00971E1A">
        <w:t xml:space="preserve"> to make cuts based on the</w:t>
      </w:r>
      <w:r w:rsidR="00404A7D">
        <w:t xml:space="preserve"> intent to remove or reduce ITU’s events which are </w:t>
      </w:r>
      <w:r w:rsidR="00722A98">
        <w:t>not connected to essential activities.</w:t>
      </w:r>
      <w:r w:rsidR="0099729E">
        <w:t xml:space="preserve"> Therefore, reductions in the use of SSAs is possible and necessary in alignment with the efforts in 2.1 above to better coordinate the use of ITU staff, the reduction in the number of ITU </w:t>
      </w:r>
      <w:proofErr w:type="gramStart"/>
      <w:r w:rsidR="00456232">
        <w:t>s</w:t>
      </w:r>
      <w:r w:rsidR="0099729E">
        <w:t>ecretariat initiated</w:t>
      </w:r>
      <w:proofErr w:type="gramEnd"/>
      <w:r w:rsidR="0099729E">
        <w:t xml:space="preserve"> events, and the consolidation of shared and common services.</w:t>
      </w:r>
    </w:p>
    <w:p w14:paraId="184DBD6F" w14:textId="7F9AEF6E" w:rsidR="00B56792" w:rsidRDefault="00722A98" w:rsidP="00D0552C">
      <w:pPr>
        <w:keepNext/>
        <w:keepLines/>
        <w:tabs>
          <w:tab w:val="clear" w:pos="567"/>
          <w:tab w:val="clear" w:pos="1134"/>
          <w:tab w:val="clear" w:pos="1701"/>
          <w:tab w:val="clear" w:pos="2268"/>
          <w:tab w:val="clear" w:pos="2835"/>
        </w:tabs>
        <w:spacing w:after="120"/>
        <w:jc w:val="both"/>
      </w:pPr>
      <w:r>
        <w:lastRenderedPageBreak/>
        <w:t xml:space="preserve">This is particularly relevant in a biennium in which ITU will host the Plenipotentiary Conference (PP-26) and the World Radiocommunication Conference (WRC-27) as the additional demands on ITU’s membership and other stakeholders </w:t>
      </w:r>
      <w:r w:rsidR="00D55BE0">
        <w:t xml:space="preserve">resulting from the preparatory processes for these conferences </w:t>
      </w:r>
      <w:r>
        <w:t>necessitates a sharpened focus.</w:t>
      </w:r>
    </w:p>
    <w:p w14:paraId="79C82523" w14:textId="78B6629C" w:rsidR="0099729E" w:rsidRDefault="00D55BE0" w:rsidP="00D0552C">
      <w:pPr>
        <w:tabs>
          <w:tab w:val="clear" w:pos="567"/>
          <w:tab w:val="clear" w:pos="1134"/>
          <w:tab w:val="clear" w:pos="1701"/>
          <w:tab w:val="clear" w:pos="2268"/>
          <w:tab w:val="clear" w:pos="2835"/>
        </w:tabs>
        <w:spacing w:before="240" w:after="240"/>
        <w:jc w:val="both"/>
        <w:rPr>
          <w:b/>
          <w:bCs/>
        </w:rPr>
      </w:pPr>
      <w:r w:rsidRPr="00AC20C0">
        <w:rPr>
          <w:b/>
          <w:bCs/>
        </w:rPr>
        <w:t xml:space="preserve">On this basis, ITU </w:t>
      </w:r>
      <w:r w:rsidR="00B16D89">
        <w:rPr>
          <w:b/>
          <w:bCs/>
        </w:rPr>
        <w:t xml:space="preserve">will </w:t>
      </w:r>
      <w:r w:rsidRPr="00AC20C0">
        <w:rPr>
          <w:b/>
          <w:bCs/>
        </w:rPr>
        <w:t>reduc</w:t>
      </w:r>
      <w:r w:rsidR="00B16D89">
        <w:rPr>
          <w:b/>
          <w:bCs/>
        </w:rPr>
        <w:t>e</w:t>
      </w:r>
      <w:r w:rsidRPr="00AC20C0">
        <w:rPr>
          <w:b/>
          <w:bCs/>
        </w:rPr>
        <w:t xml:space="preserve"> </w:t>
      </w:r>
      <w:r w:rsidR="00B16D89">
        <w:rPr>
          <w:b/>
          <w:bCs/>
        </w:rPr>
        <w:t xml:space="preserve">its budgeted expenses for </w:t>
      </w:r>
      <w:r w:rsidRPr="00AC20C0">
        <w:rPr>
          <w:b/>
          <w:bCs/>
        </w:rPr>
        <w:t>SSAs</w:t>
      </w:r>
      <w:r w:rsidR="00B16D89">
        <w:rPr>
          <w:b/>
          <w:bCs/>
        </w:rPr>
        <w:t xml:space="preserve"> by 10% in the Budget 2026-2027</w:t>
      </w:r>
      <w:r w:rsidR="00C22DDE" w:rsidRPr="00AC20C0">
        <w:rPr>
          <w:b/>
          <w:bCs/>
        </w:rPr>
        <w:t>, resulting in savings of KCHF</w:t>
      </w:r>
      <w:r w:rsidR="0064345B">
        <w:rPr>
          <w:b/>
          <w:bCs/>
        </w:rPr>
        <w:t> </w:t>
      </w:r>
      <w:r w:rsidR="00BD4838">
        <w:rPr>
          <w:b/>
          <w:bCs/>
        </w:rPr>
        <w:t>2</w:t>
      </w:r>
      <w:r w:rsidR="0064345B">
        <w:rPr>
          <w:b/>
          <w:bCs/>
        </w:rPr>
        <w:t> </w:t>
      </w:r>
      <w:r w:rsidR="00BD4838">
        <w:rPr>
          <w:b/>
          <w:bCs/>
        </w:rPr>
        <w:t>100</w:t>
      </w:r>
      <w:r w:rsidR="00C22DDE" w:rsidRPr="00AC20C0">
        <w:rPr>
          <w:b/>
          <w:bCs/>
        </w:rPr>
        <w:t xml:space="preserve"> for the period.</w:t>
      </w:r>
    </w:p>
    <w:p w14:paraId="201377CC" w14:textId="70705672" w:rsidR="0099729E" w:rsidRDefault="0099729E" w:rsidP="00D0552C">
      <w:pPr>
        <w:pStyle w:val="Heading2"/>
        <w:tabs>
          <w:tab w:val="clear" w:pos="567"/>
          <w:tab w:val="clear" w:pos="1134"/>
          <w:tab w:val="clear" w:pos="1701"/>
          <w:tab w:val="clear" w:pos="2268"/>
          <w:tab w:val="clear" w:pos="2835"/>
        </w:tabs>
        <w:spacing w:before="240" w:after="120"/>
        <w:ind w:left="0" w:firstLine="0"/>
        <w:jc w:val="both"/>
      </w:pPr>
      <w:r>
        <w:t>2.4</w:t>
      </w:r>
      <w:r>
        <w:tab/>
        <w:t>Expansion of Automation and the use of A</w:t>
      </w:r>
      <w:r w:rsidR="00456232">
        <w:t>I</w:t>
      </w:r>
      <w:r>
        <w:t xml:space="preserve"> tools</w:t>
      </w:r>
    </w:p>
    <w:p w14:paraId="3690B8B9" w14:textId="668B86F6" w:rsidR="009B0C89" w:rsidRDefault="001F64A1" w:rsidP="00FA0EDF">
      <w:pPr>
        <w:tabs>
          <w:tab w:val="clear" w:pos="567"/>
          <w:tab w:val="clear" w:pos="1134"/>
          <w:tab w:val="clear" w:pos="1701"/>
          <w:tab w:val="clear" w:pos="2268"/>
          <w:tab w:val="clear" w:pos="2835"/>
        </w:tabs>
        <w:spacing w:after="120"/>
        <w:jc w:val="both"/>
      </w:pPr>
      <w:r w:rsidRPr="001F64A1">
        <w:t xml:space="preserve">In line with ongoing efforts to optimise resource allocation and enhance operational efficiency, ITU is exploring the expansion of automated and AI-enabled translation and interpretation tools. </w:t>
      </w:r>
      <w:r w:rsidR="009B0C89">
        <w:t>Recognising the limitations due to</w:t>
      </w:r>
      <w:r w:rsidRPr="001F64A1">
        <w:t xml:space="preserve"> existing ITU agreements and </w:t>
      </w:r>
      <w:proofErr w:type="gramStart"/>
      <w:r w:rsidRPr="001F64A1">
        <w:t>taking into account</w:t>
      </w:r>
      <w:proofErr w:type="gramEnd"/>
      <w:r w:rsidRPr="001F64A1">
        <w:t xml:space="preserve"> </w:t>
      </w:r>
      <w:r w:rsidR="0064345B" w:rsidRPr="001F64A1">
        <w:t xml:space="preserve">Member States’ </w:t>
      </w:r>
      <w:r w:rsidRPr="001F64A1">
        <w:t xml:space="preserve">needs and expectations, the organisation aims to leverage technological advances to provide high-quality language services while containing costs. </w:t>
      </w:r>
    </w:p>
    <w:p w14:paraId="03428DDD" w14:textId="735C4A06" w:rsidR="0099729E" w:rsidRDefault="001F64A1" w:rsidP="00FA0EDF">
      <w:pPr>
        <w:tabs>
          <w:tab w:val="clear" w:pos="567"/>
          <w:tab w:val="clear" w:pos="1134"/>
          <w:tab w:val="clear" w:pos="1701"/>
          <w:tab w:val="clear" w:pos="2268"/>
          <w:tab w:val="clear" w:pos="2835"/>
        </w:tabs>
        <w:spacing w:after="120"/>
        <w:jc w:val="both"/>
      </w:pPr>
      <w:r w:rsidRPr="001F64A1">
        <w:t>These solutions are intended to supplement, rather than replace, human expertise, ensuring accessibility and inclusivity across ITU’s global activities. By adopting innovative approaches in language support, ITU seeks to facilitate effective communication among its diverse membership, particularly during major conferences and meetings, while contributing to the broader goals of digital transformation and fiscal responsibility.</w:t>
      </w:r>
    </w:p>
    <w:p w14:paraId="77B02110" w14:textId="1B24B1EF" w:rsidR="009B0C89" w:rsidRDefault="009B0C89" w:rsidP="00D0552C">
      <w:pPr>
        <w:tabs>
          <w:tab w:val="clear" w:pos="567"/>
          <w:tab w:val="clear" w:pos="1134"/>
          <w:tab w:val="clear" w:pos="1701"/>
          <w:tab w:val="clear" w:pos="2268"/>
          <w:tab w:val="clear" w:pos="2835"/>
        </w:tabs>
        <w:spacing w:before="240" w:after="240"/>
        <w:jc w:val="both"/>
        <w:rPr>
          <w:b/>
          <w:bCs/>
        </w:rPr>
      </w:pPr>
      <w:r w:rsidRPr="00AC20C0">
        <w:rPr>
          <w:b/>
          <w:bCs/>
        </w:rPr>
        <w:t xml:space="preserve">On this basis, ITU </w:t>
      </w:r>
      <w:r>
        <w:rPr>
          <w:b/>
          <w:bCs/>
        </w:rPr>
        <w:t xml:space="preserve">will </w:t>
      </w:r>
      <w:r w:rsidRPr="00AC20C0">
        <w:rPr>
          <w:b/>
          <w:bCs/>
        </w:rPr>
        <w:t>reduc</w:t>
      </w:r>
      <w:r>
        <w:rPr>
          <w:b/>
          <w:bCs/>
        </w:rPr>
        <w:t>e</w:t>
      </w:r>
      <w:r w:rsidRPr="00AC20C0">
        <w:rPr>
          <w:b/>
          <w:bCs/>
        </w:rPr>
        <w:t xml:space="preserve"> </w:t>
      </w:r>
      <w:r>
        <w:rPr>
          <w:b/>
          <w:bCs/>
        </w:rPr>
        <w:t xml:space="preserve">its budgeted expenses </w:t>
      </w:r>
      <w:r w:rsidR="6F35FA14" w:rsidRPr="20ECB493">
        <w:rPr>
          <w:b/>
          <w:bCs/>
        </w:rPr>
        <w:t xml:space="preserve">to account </w:t>
      </w:r>
      <w:r>
        <w:rPr>
          <w:b/>
          <w:bCs/>
        </w:rPr>
        <w:t xml:space="preserve">for </w:t>
      </w:r>
      <w:r w:rsidR="00D02C6B">
        <w:rPr>
          <w:b/>
          <w:bCs/>
        </w:rPr>
        <w:t xml:space="preserve">automation </w:t>
      </w:r>
      <w:r w:rsidR="775588C2" w:rsidRPr="20ECB493">
        <w:rPr>
          <w:b/>
          <w:bCs/>
        </w:rPr>
        <w:t>using</w:t>
      </w:r>
      <w:r w:rsidR="00D02C6B">
        <w:rPr>
          <w:b/>
          <w:bCs/>
        </w:rPr>
        <w:t xml:space="preserve"> AI tools</w:t>
      </w:r>
      <w:r>
        <w:rPr>
          <w:b/>
          <w:bCs/>
        </w:rPr>
        <w:t xml:space="preserve"> </w:t>
      </w:r>
      <w:r w:rsidR="5A1F4B8A" w:rsidRPr="20ECB493">
        <w:rPr>
          <w:b/>
          <w:bCs/>
        </w:rPr>
        <w:t>and remote working</w:t>
      </w:r>
      <w:r w:rsidR="337B5710" w:rsidRPr="20ECB493">
        <w:rPr>
          <w:b/>
          <w:bCs/>
        </w:rPr>
        <w:t xml:space="preserve"> methods,</w:t>
      </w:r>
      <w:r w:rsidR="5A1F4B8A" w:rsidRPr="20ECB493">
        <w:rPr>
          <w:b/>
          <w:bCs/>
        </w:rPr>
        <w:t xml:space="preserve"> </w:t>
      </w:r>
      <w:r w:rsidRPr="20ECB493">
        <w:rPr>
          <w:b/>
          <w:bCs/>
        </w:rPr>
        <w:t>in</w:t>
      </w:r>
      <w:r>
        <w:rPr>
          <w:b/>
          <w:bCs/>
        </w:rPr>
        <w:t xml:space="preserve"> 2026-2027</w:t>
      </w:r>
      <w:r w:rsidRPr="00AC20C0">
        <w:rPr>
          <w:b/>
          <w:bCs/>
        </w:rPr>
        <w:t>, resulting in savings of KCHF</w:t>
      </w:r>
      <w:r w:rsidR="0064345B">
        <w:rPr>
          <w:b/>
          <w:bCs/>
        </w:rPr>
        <w:t> </w:t>
      </w:r>
      <w:r w:rsidR="00B52950">
        <w:rPr>
          <w:b/>
          <w:bCs/>
        </w:rPr>
        <w:t>1</w:t>
      </w:r>
      <w:r w:rsidR="0064345B">
        <w:rPr>
          <w:b/>
          <w:bCs/>
        </w:rPr>
        <w:t> </w:t>
      </w:r>
      <w:r w:rsidR="001C1603">
        <w:rPr>
          <w:b/>
          <w:bCs/>
        </w:rPr>
        <w:t>6</w:t>
      </w:r>
      <w:r w:rsidR="00B52950">
        <w:rPr>
          <w:b/>
          <w:bCs/>
        </w:rPr>
        <w:t>00</w:t>
      </w:r>
      <w:r w:rsidRPr="00AC20C0">
        <w:rPr>
          <w:b/>
          <w:bCs/>
        </w:rPr>
        <w:t xml:space="preserve"> for the period.</w:t>
      </w:r>
    </w:p>
    <w:p w14:paraId="48386250" w14:textId="3ADCAC67" w:rsidR="009B0C89" w:rsidRDefault="009B0C89" w:rsidP="00D0552C">
      <w:pPr>
        <w:pStyle w:val="Heading1"/>
        <w:tabs>
          <w:tab w:val="clear" w:pos="567"/>
          <w:tab w:val="clear" w:pos="1134"/>
          <w:tab w:val="clear" w:pos="1701"/>
          <w:tab w:val="clear" w:pos="2268"/>
          <w:tab w:val="clear" w:pos="2835"/>
        </w:tabs>
        <w:spacing w:after="120"/>
        <w:ind w:left="0" w:firstLine="0"/>
        <w:jc w:val="both"/>
      </w:pPr>
      <w:r>
        <w:t>3.</w:t>
      </w:r>
      <w:r>
        <w:tab/>
        <w:t>Revised ITU Budget 2026-2027</w:t>
      </w:r>
    </w:p>
    <w:p w14:paraId="18FE5642" w14:textId="25F45B53" w:rsidR="009B0C89" w:rsidRDefault="5A58DE10" w:rsidP="00FA0EDF">
      <w:pPr>
        <w:tabs>
          <w:tab w:val="clear" w:pos="567"/>
          <w:tab w:val="clear" w:pos="1134"/>
          <w:tab w:val="clear" w:pos="1701"/>
          <w:tab w:val="clear" w:pos="2268"/>
          <w:tab w:val="clear" w:pos="2835"/>
        </w:tabs>
        <w:spacing w:after="120"/>
        <w:jc w:val="both"/>
      </w:pPr>
      <w:r>
        <w:t>Based on</w:t>
      </w:r>
      <w:r w:rsidR="009B0C89">
        <w:t xml:space="preserve"> the previous section, the </w:t>
      </w:r>
      <w:r w:rsidR="00852ADE">
        <w:t>expenses in the ITU Budget 2026-2027 will be revised as set out below, with the global reduction of MCHF</w:t>
      </w:r>
      <w:r w:rsidR="0064345B">
        <w:t> </w:t>
      </w:r>
      <w:r w:rsidR="00852ADE">
        <w:t>6.008 removed and reflected in corresponding adjustments to the expenses of each Bureau</w:t>
      </w:r>
      <w:r w:rsidR="007B077E">
        <w:t>.</w:t>
      </w:r>
    </w:p>
    <w:p w14:paraId="44A2DC0D" w14:textId="2AC51C4C" w:rsidR="0087602C" w:rsidRPr="0087602C" w:rsidRDefault="0087602C" w:rsidP="00D0552C">
      <w:pPr>
        <w:keepNext/>
        <w:tabs>
          <w:tab w:val="clear" w:pos="567"/>
          <w:tab w:val="clear" w:pos="1134"/>
          <w:tab w:val="clear" w:pos="1701"/>
          <w:tab w:val="clear" w:pos="2268"/>
          <w:tab w:val="clear" w:pos="2835"/>
        </w:tabs>
        <w:spacing w:before="360" w:after="120"/>
        <w:jc w:val="both"/>
        <w:rPr>
          <w:b/>
          <w:bCs/>
        </w:rPr>
      </w:pPr>
      <w:r w:rsidRPr="0087602C">
        <w:rPr>
          <w:b/>
          <w:bCs/>
        </w:rPr>
        <w:t>Approved budget by Council 2025</w:t>
      </w:r>
    </w:p>
    <w:p w14:paraId="75198869" w14:textId="29FCAD7C" w:rsidR="009B0C89" w:rsidRDefault="00C15F2C" w:rsidP="00FA0EDF">
      <w:pPr>
        <w:tabs>
          <w:tab w:val="clear" w:pos="567"/>
          <w:tab w:val="clear" w:pos="1134"/>
          <w:tab w:val="clear" w:pos="1701"/>
          <w:tab w:val="clear" w:pos="2268"/>
          <w:tab w:val="clear" w:pos="2835"/>
        </w:tabs>
        <w:spacing w:after="120"/>
        <w:jc w:val="both"/>
      </w:pPr>
      <w:r w:rsidRPr="00C15F2C">
        <w:rPr>
          <w:noProof/>
        </w:rPr>
        <w:drawing>
          <wp:inline distT="0" distB="0" distL="0" distR="0" wp14:anchorId="5D983DD8" wp14:editId="1A1B1CDA">
            <wp:extent cx="5859118" cy="1812445"/>
            <wp:effectExtent l="0" t="0" r="8890" b="0"/>
            <wp:docPr id="1331060669"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60669" name="Picture 1" descr="A close-up of a card&#10;&#10;AI-generated content may be incorrect."/>
                    <pic:cNvPicPr/>
                  </pic:nvPicPr>
                  <pic:blipFill>
                    <a:blip r:embed="rId18"/>
                    <a:stretch>
                      <a:fillRect/>
                    </a:stretch>
                  </pic:blipFill>
                  <pic:spPr>
                    <a:xfrm>
                      <a:off x="0" y="0"/>
                      <a:ext cx="5866081" cy="1814599"/>
                    </a:xfrm>
                    <a:prstGeom prst="rect">
                      <a:avLst/>
                    </a:prstGeom>
                  </pic:spPr>
                </pic:pic>
              </a:graphicData>
            </a:graphic>
          </wp:inline>
        </w:drawing>
      </w:r>
    </w:p>
    <w:p w14:paraId="27168161" w14:textId="77777777" w:rsidR="00F205D9" w:rsidRDefault="00F205D9" w:rsidP="00FA0EDF">
      <w:pPr>
        <w:tabs>
          <w:tab w:val="clear" w:pos="567"/>
          <w:tab w:val="clear" w:pos="1134"/>
          <w:tab w:val="clear" w:pos="1701"/>
          <w:tab w:val="clear" w:pos="2268"/>
          <w:tab w:val="clear" w:pos="2835"/>
        </w:tabs>
        <w:overflowPunct/>
        <w:autoSpaceDE/>
        <w:autoSpaceDN/>
        <w:adjustRightInd/>
        <w:spacing w:after="120"/>
        <w:jc w:val="both"/>
        <w:textAlignment w:val="auto"/>
        <w:rPr>
          <w:b/>
          <w:bCs/>
        </w:rPr>
      </w:pPr>
      <w:r>
        <w:rPr>
          <w:b/>
          <w:bCs/>
        </w:rPr>
        <w:br w:type="page"/>
      </w:r>
    </w:p>
    <w:p w14:paraId="3750A33F" w14:textId="0BBB6101" w:rsidR="003A3727" w:rsidRDefault="003A3727" w:rsidP="00FA0EDF">
      <w:pPr>
        <w:tabs>
          <w:tab w:val="clear" w:pos="567"/>
          <w:tab w:val="clear" w:pos="1134"/>
          <w:tab w:val="clear" w:pos="1701"/>
          <w:tab w:val="clear" w:pos="2268"/>
          <w:tab w:val="clear" w:pos="2835"/>
        </w:tabs>
        <w:spacing w:after="120"/>
        <w:jc w:val="both"/>
        <w:rPr>
          <w:b/>
          <w:bCs/>
        </w:rPr>
      </w:pPr>
      <w:r w:rsidRPr="00CD3630">
        <w:rPr>
          <w:b/>
          <w:bCs/>
        </w:rPr>
        <w:lastRenderedPageBreak/>
        <w:t>Proposed revised budget by Bureaux</w:t>
      </w:r>
    </w:p>
    <w:p w14:paraId="0112FE47" w14:textId="3A9F465D" w:rsidR="00CD3630" w:rsidRDefault="00527DC5" w:rsidP="00FA0EDF">
      <w:pPr>
        <w:tabs>
          <w:tab w:val="clear" w:pos="567"/>
          <w:tab w:val="clear" w:pos="1134"/>
          <w:tab w:val="clear" w:pos="1701"/>
          <w:tab w:val="clear" w:pos="2268"/>
          <w:tab w:val="clear" w:pos="2835"/>
        </w:tabs>
        <w:spacing w:after="120"/>
        <w:jc w:val="both"/>
      </w:pPr>
      <w:r w:rsidRPr="00527DC5">
        <w:rPr>
          <w:noProof/>
        </w:rPr>
        <w:drawing>
          <wp:inline distT="0" distB="0" distL="0" distR="0" wp14:anchorId="0B5B3288" wp14:editId="53BB8A87">
            <wp:extent cx="5869116" cy="1744318"/>
            <wp:effectExtent l="0" t="0" r="0" b="8890"/>
            <wp:docPr id="986529964" name="Picture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29964" name="Picture 1" descr="A white rectangular box with black text&#10;&#10;AI-generated content may be incorrect."/>
                    <pic:cNvPicPr/>
                  </pic:nvPicPr>
                  <pic:blipFill>
                    <a:blip r:embed="rId19"/>
                    <a:stretch>
                      <a:fillRect/>
                    </a:stretch>
                  </pic:blipFill>
                  <pic:spPr>
                    <a:xfrm>
                      <a:off x="0" y="0"/>
                      <a:ext cx="5915828" cy="1758201"/>
                    </a:xfrm>
                    <a:prstGeom prst="rect">
                      <a:avLst/>
                    </a:prstGeom>
                  </pic:spPr>
                </pic:pic>
              </a:graphicData>
            </a:graphic>
          </wp:inline>
        </w:drawing>
      </w:r>
    </w:p>
    <w:p w14:paraId="3DF89D57" w14:textId="7E957330" w:rsidR="00C15F2C" w:rsidRPr="001F64A1" w:rsidRDefault="00924250" w:rsidP="00D0552C">
      <w:pPr>
        <w:tabs>
          <w:tab w:val="clear" w:pos="567"/>
          <w:tab w:val="clear" w:pos="1134"/>
          <w:tab w:val="clear" w:pos="1701"/>
          <w:tab w:val="clear" w:pos="2268"/>
          <w:tab w:val="clear" w:pos="2835"/>
        </w:tabs>
        <w:spacing w:before="480" w:after="120"/>
        <w:jc w:val="both"/>
      </w:pPr>
      <w:r>
        <w:t xml:space="preserve">As noted in the revised tables, the </w:t>
      </w:r>
      <w:r w:rsidR="005A6D51">
        <w:t xml:space="preserve">General Secretariat </w:t>
      </w:r>
      <w:r w:rsidR="0BC10F91">
        <w:t>expenses are reduced by</w:t>
      </w:r>
      <w:r w:rsidR="005A6D51">
        <w:t xml:space="preserve"> </w:t>
      </w:r>
      <w:r w:rsidR="002346C8">
        <w:t xml:space="preserve">almost </w:t>
      </w:r>
      <w:r w:rsidR="005A6D51">
        <w:t>CHF</w:t>
      </w:r>
      <w:r w:rsidR="007F4F6D">
        <w:t xml:space="preserve"> 3.9 million, </w:t>
      </w:r>
      <w:r w:rsidR="00123589">
        <w:t xml:space="preserve">which is driven by </w:t>
      </w:r>
      <w:r w:rsidR="002C77D0">
        <w:t>cost containment measures, synergy of automation of processes through AI</w:t>
      </w:r>
      <w:r w:rsidR="002346C8">
        <w:t xml:space="preserve"> and remote working</w:t>
      </w:r>
      <w:r w:rsidR="002C77D0">
        <w:t xml:space="preserve">, </w:t>
      </w:r>
      <w:r w:rsidR="00123589">
        <w:t xml:space="preserve">SSA reductions, </w:t>
      </w:r>
      <w:r w:rsidR="002C77D0">
        <w:t xml:space="preserve">and </w:t>
      </w:r>
      <w:r w:rsidR="008D67F1">
        <w:t>travel costs</w:t>
      </w:r>
      <w:r w:rsidR="00A14B31">
        <w:t>.</w:t>
      </w:r>
      <w:r w:rsidR="00734D87">
        <w:t xml:space="preserve"> The </w:t>
      </w:r>
      <w:r w:rsidR="33F0F728">
        <w:t>B</w:t>
      </w:r>
      <w:r w:rsidR="00734D87">
        <w:t>ureau</w:t>
      </w:r>
      <w:r w:rsidR="00456232">
        <w:t>x</w:t>
      </w:r>
      <w:r w:rsidR="00734D87">
        <w:t xml:space="preserve"> </w:t>
      </w:r>
      <w:r w:rsidR="169EC333">
        <w:t>budgets are collectively reduced by</w:t>
      </w:r>
      <w:r w:rsidR="00904845">
        <w:t xml:space="preserve"> CHF</w:t>
      </w:r>
      <w:r w:rsidR="00581273">
        <w:t xml:space="preserve"> 2.1 million based on the major drivers </w:t>
      </w:r>
      <w:r w:rsidR="00DC3D31">
        <w:t xml:space="preserve">of SSA reductions, travel costs and to a lesser extent the </w:t>
      </w:r>
      <w:r w:rsidR="00F43E89">
        <w:t>automation of processes through AI.</w:t>
      </w:r>
    </w:p>
    <w:p w14:paraId="070190E9" w14:textId="156A023F" w:rsidR="00933D78" w:rsidRPr="00D5200B" w:rsidRDefault="00D5200B" w:rsidP="00D5200B">
      <w:pPr>
        <w:spacing w:before="840"/>
        <w:jc w:val="center"/>
      </w:pPr>
      <w:r>
        <w:t>______________</w:t>
      </w:r>
    </w:p>
    <w:sectPr w:rsidR="00933D78" w:rsidRPr="00D5200B" w:rsidSect="00AD3606">
      <w:footerReference w:type="default" r:id="rId20"/>
      <w:headerReference w:type="first" r:id="rId21"/>
      <w:footerReference w:type="first" r:id="rId2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6311" w14:textId="77777777" w:rsidR="00F02AF8" w:rsidRDefault="00F02AF8">
      <w:r>
        <w:separator/>
      </w:r>
    </w:p>
  </w:endnote>
  <w:endnote w:type="continuationSeparator" w:id="0">
    <w:p w14:paraId="069698A8" w14:textId="77777777" w:rsidR="00F02AF8" w:rsidRDefault="00F02AF8">
      <w:r>
        <w:continuationSeparator/>
      </w:r>
    </w:p>
  </w:endnote>
  <w:endnote w:type="continuationNotice" w:id="1">
    <w:p w14:paraId="58253595" w14:textId="77777777" w:rsidR="00F02AF8" w:rsidRDefault="00F02A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Look w:val="04A0" w:firstRow="1" w:lastRow="0" w:firstColumn="1" w:lastColumn="0" w:noHBand="0" w:noVBand="1"/>
    </w:tblPr>
    <w:tblGrid>
      <w:gridCol w:w="1803"/>
      <w:gridCol w:w="8261"/>
    </w:tblGrid>
    <w:tr w:rsidR="00EE49E8" w:rsidRPr="00784011" w14:paraId="07402CB9" w14:textId="77777777" w:rsidTr="009F4280">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78E6B9C0" w:rsidR="00EE49E8" w:rsidRPr="00E06FD5" w:rsidRDefault="00EE49E8" w:rsidP="007B39A3">
          <w:pPr>
            <w:pStyle w:val="Header"/>
            <w:tabs>
              <w:tab w:val="left" w:pos="6306"/>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6C18AC">
            <w:rPr>
              <w:rFonts w:eastAsiaTheme="minorEastAsia" w:hint="eastAsia"/>
              <w:bCs/>
              <w:lang w:eastAsia="zh-CN"/>
            </w:rPr>
            <w:t>2</w:t>
          </w:r>
          <w:r w:rsidR="00FB0CFF">
            <w:rPr>
              <w:rFonts w:eastAsiaTheme="minorEastAsia"/>
              <w:bCs/>
              <w:lang w:eastAsia="zh-CN"/>
            </w:rPr>
            <w:t>2</w:t>
          </w:r>
          <w:r w:rsidR="00A52C84" w:rsidRPr="00623AE3">
            <w:rPr>
              <w:bCs/>
            </w:rPr>
            <w:t>/</w:t>
          </w:r>
          <w:r w:rsidR="00FB0CFF">
            <w:rPr>
              <w:rFonts w:eastAsiaTheme="minorEastAsia"/>
              <w:bCs/>
              <w:lang w:eastAsia="zh-CN"/>
            </w:rPr>
            <w:t>21</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9C253A">
            <w:rPr>
              <w:color w:val="0070C0"/>
            </w:rPr>
            <w:t>https://council.itu.int/working-groups</w:t>
          </w:r>
        </w:p>
      </w:tc>
      <w:tc>
        <w:tcPr>
          <w:tcW w:w="6957" w:type="dxa"/>
        </w:tcPr>
        <w:p w14:paraId="3F62E0D8" w14:textId="1FC38343" w:rsidR="00EE49E8" w:rsidRPr="00E06FD5" w:rsidRDefault="00EE49E8" w:rsidP="007B39A3">
          <w:pPr>
            <w:pStyle w:val="Header"/>
            <w:tabs>
              <w:tab w:val="left" w:pos="5002"/>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C91FD5">
            <w:rPr>
              <w:rFonts w:eastAsiaTheme="minorEastAsia" w:hint="eastAsia"/>
              <w:bCs/>
              <w:lang w:eastAsia="zh-CN"/>
            </w:rPr>
            <w:t>22</w:t>
          </w:r>
          <w:r w:rsidR="00A35DA0">
            <w:rPr>
              <w:bCs/>
            </w:rPr>
            <w:t>/</w:t>
          </w:r>
          <w:r w:rsidR="00FB0CFF">
            <w:rPr>
              <w:rFonts w:eastAsiaTheme="minorEastAsia"/>
              <w:bCs/>
              <w:lang w:eastAsia="zh-CN"/>
            </w:rPr>
            <w:t>21</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848D" w14:textId="77777777" w:rsidR="00F02AF8" w:rsidRDefault="00F02AF8">
      <w:r>
        <w:t>____________________</w:t>
      </w:r>
    </w:p>
  </w:footnote>
  <w:footnote w:type="continuationSeparator" w:id="0">
    <w:p w14:paraId="6C9C9CC7" w14:textId="77777777" w:rsidR="00F02AF8" w:rsidRDefault="00F02AF8">
      <w:r>
        <w:continuationSeparator/>
      </w:r>
    </w:p>
  </w:footnote>
  <w:footnote w:type="continuationNotice" w:id="1">
    <w:p w14:paraId="1A0EB896" w14:textId="77777777" w:rsidR="00F02AF8" w:rsidRDefault="00F02AF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3" w:name="_Hlk133422111"/>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7437E"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4CE6B"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43ACB197" w:rsidR="00130599" w:rsidRDefault="00130599" w:rsidP="00130599">
                          <w:pPr>
                            <w:spacing w:before="0"/>
                            <w:rPr>
                              <w:lang w:eastAsia="zh-CN"/>
                            </w:rPr>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76E8A">
                            <w:rPr>
                              <w:rFonts w:hint="eastAsia"/>
                              <w:sz w:val="20"/>
                              <w:lang w:eastAsia="zh-CN"/>
                            </w:rPr>
                            <w:t>T</w:t>
                          </w:r>
                          <w:r w:rsidR="00A76E8A" w:rsidRPr="00A76E8A">
                            <w:rPr>
                              <w:sz w:val="20"/>
                            </w:rPr>
                            <w:t>wenty-</w:t>
                          </w:r>
                          <w:r w:rsidR="00201412">
                            <w:rPr>
                              <w:rFonts w:hint="eastAsia"/>
                              <w:sz w:val="20"/>
                              <w:lang w:eastAsia="zh-CN"/>
                            </w:rPr>
                            <w:t>second</w:t>
                          </w:r>
                          <w:r w:rsidRPr="00130599">
                            <w:rPr>
                              <w:sz w:val="20"/>
                            </w:rPr>
                            <w:t xml:space="preserve"> meeting </w:t>
                          </w:r>
                          <w:r w:rsidR="00A94376">
                            <w:rPr>
                              <w:sz w:val="20"/>
                            </w:rPr>
                            <w:t>–</w:t>
                          </w:r>
                          <w:r w:rsidR="00B358B2">
                            <w:rPr>
                              <w:sz w:val="20"/>
                            </w:rPr>
                            <w:t xml:space="preserve"> </w:t>
                          </w:r>
                          <w:r w:rsidR="001245A1">
                            <w:rPr>
                              <w:sz w:val="20"/>
                            </w:rPr>
                            <w:t>f</w:t>
                          </w:r>
                          <w:r w:rsidR="00E03C3D">
                            <w:rPr>
                              <w:sz w:val="20"/>
                            </w:rPr>
                            <w:t xml:space="preserve">rom </w:t>
                          </w:r>
                          <w:r w:rsidR="00B118B8">
                            <w:rPr>
                              <w:rFonts w:hint="eastAsia"/>
                              <w:sz w:val="20"/>
                              <w:lang w:eastAsia="zh-CN"/>
                            </w:rPr>
                            <w:t>1</w:t>
                          </w:r>
                          <w:r w:rsidR="00201412">
                            <w:rPr>
                              <w:rFonts w:hint="eastAsia"/>
                              <w:sz w:val="20"/>
                              <w:lang w:eastAsia="zh-CN"/>
                            </w:rPr>
                            <w:t>2</w:t>
                          </w:r>
                          <w:r w:rsidR="00E03C3D">
                            <w:rPr>
                              <w:sz w:val="20"/>
                            </w:rPr>
                            <w:t xml:space="preserve"> to</w:t>
                          </w:r>
                          <w:r w:rsidR="009F7ADE">
                            <w:rPr>
                              <w:rFonts w:hint="eastAsia"/>
                              <w:sz w:val="20"/>
                              <w:lang w:eastAsia="zh-CN"/>
                            </w:rPr>
                            <w:t xml:space="preserve"> </w:t>
                          </w:r>
                          <w:r w:rsidR="00201412">
                            <w:rPr>
                              <w:rFonts w:hint="eastAsia"/>
                              <w:sz w:val="20"/>
                              <w:lang w:eastAsia="zh-CN"/>
                            </w:rPr>
                            <w:t>23</w:t>
                          </w:r>
                          <w:r w:rsidR="00B118B8">
                            <w:rPr>
                              <w:rFonts w:hint="eastAsia"/>
                              <w:sz w:val="20"/>
                              <w:lang w:eastAsia="zh-CN"/>
                            </w:rPr>
                            <w:t xml:space="preserve"> </w:t>
                          </w:r>
                          <w:r w:rsidR="00201412">
                            <w:rPr>
                              <w:rFonts w:hint="eastAsia"/>
                              <w:sz w:val="20"/>
                              <w:lang w:eastAsia="zh-CN"/>
                            </w:rPr>
                            <w:t>January</w:t>
                          </w:r>
                          <w:r w:rsidR="002632C5">
                            <w:rPr>
                              <w:rFonts w:hint="eastAsia"/>
                              <w:sz w:val="20"/>
                              <w:lang w:eastAsia="zh-CN"/>
                            </w:rPr>
                            <w:t xml:space="preserve"> </w:t>
                          </w:r>
                          <w:r w:rsidR="00E03C3D">
                            <w:rPr>
                              <w:sz w:val="20"/>
                            </w:rPr>
                            <w:t>202</w:t>
                          </w:r>
                          <w:r w:rsidR="00201412">
                            <w:rPr>
                              <w:rFonts w:hint="eastAsia"/>
                              <w:sz w:val="20"/>
                              <w:lang w:eastAsia="zh-CN"/>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43ACB197" w:rsidR="00130599" w:rsidRDefault="00130599" w:rsidP="00130599">
                    <w:pPr>
                      <w:spacing w:before="0"/>
                      <w:rPr>
                        <w:lang w:eastAsia="zh-CN"/>
                      </w:rPr>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76E8A">
                      <w:rPr>
                        <w:rFonts w:hint="eastAsia"/>
                        <w:sz w:val="20"/>
                        <w:lang w:eastAsia="zh-CN"/>
                      </w:rPr>
                      <w:t>T</w:t>
                    </w:r>
                    <w:r w:rsidR="00A76E8A" w:rsidRPr="00A76E8A">
                      <w:rPr>
                        <w:sz w:val="20"/>
                      </w:rPr>
                      <w:t>wenty-</w:t>
                    </w:r>
                    <w:r w:rsidR="00201412">
                      <w:rPr>
                        <w:rFonts w:hint="eastAsia"/>
                        <w:sz w:val="20"/>
                        <w:lang w:eastAsia="zh-CN"/>
                      </w:rPr>
                      <w:t>second</w:t>
                    </w:r>
                    <w:r w:rsidRPr="00130599">
                      <w:rPr>
                        <w:sz w:val="20"/>
                      </w:rPr>
                      <w:t xml:space="preserve"> meeting </w:t>
                    </w:r>
                    <w:r w:rsidR="00A94376">
                      <w:rPr>
                        <w:sz w:val="20"/>
                      </w:rPr>
                      <w:t>–</w:t>
                    </w:r>
                    <w:r w:rsidR="00B358B2">
                      <w:rPr>
                        <w:sz w:val="20"/>
                      </w:rPr>
                      <w:t xml:space="preserve"> </w:t>
                    </w:r>
                    <w:r w:rsidR="001245A1">
                      <w:rPr>
                        <w:sz w:val="20"/>
                      </w:rPr>
                      <w:t>f</w:t>
                    </w:r>
                    <w:r w:rsidR="00E03C3D">
                      <w:rPr>
                        <w:sz w:val="20"/>
                      </w:rPr>
                      <w:t xml:space="preserve">rom </w:t>
                    </w:r>
                    <w:r w:rsidR="00B118B8">
                      <w:rPr>
                        <w:rFonts w:hint="eastAsia"/>
                        <w:sz w:val="20"/>
                        <w:lang w:eastAsia="zh-CN"/>
                      </w:rPr>
                      <w:t>1</w:t>
                    </w:r>
                    <w:r w:rsidR="00201412">
                      <w:rPr>
                        <w:rFonts w:hint="eastAsia"/>
                        <w:sz w:val="20"/>
                        <w:lang w:eastAsia="zh-CN"/>
                      </w:rPr>
                      <w:t>2</w:t>
                    </w:r>
                    <w:r w:rsidR="00E03C3D">
                      <w:rPr>
                        <w:sz w:val="20"/>
                      </w:rPr>
                      <w:t xml:space="preserve"> to</w:t>
                    </w:r>
                    <w:r w:rsidR="009F7ADE">
                      <w:rPr>
                        <w:rFonts w:hint="eastAsia"/>
                        <w:sz w:val="20"/>
                        <w:lang w:eastAsia="zh-CN"/>
                      </w:rPr>
                      <w:t xml:space="preserve"> </w:t>
                    </w:r>
                    <w:r w:rsidR="00201412">
                      <w:rPr>
                        <w:rFonts w:hint="eastAsia"/>
                        <w:sz w:val="20"/>
                        <w:lang w:eastAsia="zh-CN"/>
                      </w:rPr>
                      <w:t>23</w:t>
                    </w:r>
                    <w:r w:rsidR="00B118B8">
                      <w:rPr>
                        <w:rFonts w:hint="eastAsia"/>
                        <w:sz w:val="20"/>
                        <w:lang w:eastAsia="zh-CN"/>
                      </w:rPr>
                      <w:t xml:space="preserve"> </w:t>
                    </w:r>
                    <w:r w:rsidR="00201412">
                      <w:rPr>
                        <w:rFonts w:hint="eastAsia"/>
                        <w:sz w:val="20"/>
                        <w:lang w:eastAsia="zh-CN"/>
                      </w:rPr>
                      <w:t>January</w:t>
                    </w:r>
                    <w:r w:rsidR="002632C5">
                      <w:rPr>
                        <w:rFonts w:hint="eastAsia"/>
                        <w:sz w:val="20"/>
                        <w:lang w:eastAsia="zh-CN"/>
                      </w:rPr>
                      <w:t xml:space="preserve"> </w:t>
                    </w:r>
                    <w:r w:rsidR="00E03C3D">
                      <w:rPr>
                        <w:sz w:val="20"/>
                      </w:rPr>
                      <w:t>202</w:t>
                    </w:r>
                    <w:r w:rsidR="00201412">
                      <w:rPr>
                        <w:rFonts w:hint="eastAsia"/>
                        <w:sz w:val="20"/>
                        <w:lang w:eastAsia="zh-CN"/>
                      </w:rPr>
                      <w:t>6</w:t>
                    </w:r>
                  </w:p>
                </w:txbxContent>
              </v:textbox>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9Mmmn3FcPGCqL8" int2:id="aSGbrwf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927CAF"/>
    <w:multiLevelType w:val="multilevel"/>
    <w:tmpl w:val="2B10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17426"/>
    <w:multiLevelType w:val="hybridMultilevel"/>
    <w:tmpl w:val="58067208"/>
    <w:lvl w:ilvl="0" w:tplc="28C6BF8A">
      <w:start w:val="1"/>
      <w:numFmt w:val="decimal"/>
      <w:lvlText w:val="%1."/>
      <w:lvlJc w:val="left"/>
      <w:pPr>
        <w:ind w:left="720" w:hanging="360"/>
      </w:pPr>
    </w:lvl>
    <w:lvl w:ilvl="1" w:tplc="A4422ADA">
      <w:start w:val="1"/>
      <w:numFmt w:val="lowerLetter"/>
      <w:lvlText w:val="%2."/>
      <w:lvlJc w:val="left"/>
      <w:pPr>
        <w:ind w:left="1440" w:hanging="360"/>
      </w:pPr>
    </w:lvl>
    <w:lvl w:ilvl="2" w:tplc="539CE66A">
      <w:start w:val="1"/>
      <w:numFmt w:val="lowerRoman"/>
      <w:lvlText w:val="%3."/>
      <w:lvlJc w:val="right"/>
      <w:pPr>
        <w:ind w:left="2160" w:hanging="180"/>
      </w:pPr>
    </w:lvl>
    <w:lvl w:ilvl="3" w:tplc="FE549030">
      <w:start w:val="1"/>
      <w:numFmt w:val="decimal"/>
      <w:lvlText w:val="%4."/>
      <w:lvlJc w:val="left"/>
      <w:pPr>
        <w:ind w:left="2880" w:hanging="360"/>
      </w:pPr>
    </w:lvl>
    <w:lvl w:ilvl="4" w:tplc="0916CF38">
      <w:start w:val="1"/>
      <w:numFmt w:val="lowerLetter"/>
      <w:lvlText w:val="%5."/>
      <w:lvlJc w:val="left"/>
      <w:pPr>
        <w:ind w:left="3600" w:hanging="360"/>
      </w:pPr>
    </w:lvl>
    <w:lvl w:ilvl="5" w:tplc="2CA403EA">
      <w:start w:val="1"/>
      <w:numFmt w:val="lowerRoman"/>
      <w:lvlText w:val="%6."/>
      <w:lvlJc w:val="right"/>
      <w:pPr>
        <w:ind w:left="4320" w:hanging="180"/>
      </w:pPr>
    </w:lvl>
    <w:lvl w:ilvl="6" w:tplc="8164427A">
      <w:start w:val="1"/>
      <w:numFmt w:val="decimal"/>
      <w:lvlText w:val="%7."/>
      <w:lvlJc w:val="left"/>
      <w:pPr>
        <w:ind w:left="5040" w:hanging="360"/>
      </w:pPr>
    </w:lvl>
    <w:lvl w:ilvl="7" w:tplc="CE505546">
      <w:start w:val="1"/>
      <w:numFmt w:val="lowerLetter"/>
      <w:lvlText w:val="%8."/>
      <w:lvlJc w:val="left"/>
      <w:pPr>
        <w:ind w:left="5760" w:hanging="360"/>
      </w:pPr>
    </w:lvl>
    <w:lvl w:ilvl="8" w:tplc="DC1EF5D8">
      <w:start w:val="1"/>
      <w:numFmt w:val="lowerRoman"/>
      <w:lvlText w:val="%9."/>
      <w:lvlJc w:val="right"/>
      <w:pPr>
        <w:ind w:left="6480" w:hanging="180"/>
      </w:pPr>
    </w:lvl>
  </w:abstractNum>
  <w:abstractNum w:abstractNumId="3" w15:restartNumberingAfterBreak="0">
    <w:nsid w:val="0B2E1EF4"/>
    <w:multiLevelType w:val="hybridMultilevel"/>
    <w:tmpl w:val="6A58320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FDE339F"/>
    <w:multiLevelType w:val="hybridMultilevel"/>
    <w:tmpl w:val="2F7C0A3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 w15:restartNumberingAfterBreak="0">
    <w:nsid w:val="37AA39F7"/>
    <w:multiLevelType w:val="hybridMultilevel"/>
    <w:tmpl w:val="F20EBF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9B9407D"/>
    <w:multiLevelType w:val="hybridMultilevel"/>
    <w:tmpl w:val="91EE0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E23E64"/>
    <w:multiLevelType w:val="hybridMultilevel"/>
    <w:tmpl w:val="9B78B7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7B036CF9"/>
    <w:multiLevelType w:val="multilevel"/>
    <w:tmpl w:val="A23E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0"/>
  </w:num>
  <w:num w:numId="2" w16cid:durableId="801118283">
    <w:abstractNumId w:val="6"/>
  </w:num>
  <w:num w:numId="3" w16cid:durableId="4600036">
    <w:abstractNumId w:val="2"/>
  </w:num>
  <w:num w:numId="4" w16cid:durableId="1387028480">
    <w:abstractNumId w:val="8"/>
  </w:num>
  <w:num w:numId="5" w16cid:durableId="1358123888">
    <w:abstractNumId w:val="7"/>
  </w:num>
  <w:num w:numId="6" w16cid:durableId="1047291960">
    <w:abstractNumId w:val="1"/>
  </w:num>
  <w:num w:numId="7" w16cid:durableId="1415282133">
    <w:abstractNumId w:val="4"/>
  </w:num>
  <w:num w:numId="8" w16cid:durableId="1777360862">
    <w:abstractNumId w:val="3"/>
  </w:num>
  <w:num w:numId="9" w16cid:durableId="698706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NotTrackFormatting/>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NTMxNDQzt7QwMjZX0lEKTi0uzszPAykwqgUApGnVZSwAAAA="/>
  </w:docVars>
  <w:rsids>
    <w:rsidRoot w:val="004016E2"/>
    <w:rsid w:val="00000C49"/>
    <w:rsid w:val="000033D8"/>
    <w:rsid w:val="00006ACE"/>
    <w:rsid w:val="000158A0"/>
    <w:rsid w:val="00017577"/>
    <w:rsid w:val="00020409"/>
    <w:rsid w:val="00020BC5"/>
    <w:rsid w:val="000210D4"/>
    <w:rsid w:val="00022D2C"/>
    <w:rsid w:val="00024F8C"/>
    <w:rsid w:val="000272DC"/>
    <w:rsid w:val="00030B95"/>
    <w:rsid w:val="00031DDE"/>
    <w:rsid w:val="000327E0"/>
    <w:rsid w:val="00033148"/>
    <w:rsid w:val="0004102F"/>
    <w:rsid w:val="0004501B"/>
    <w:rsid w:val="00054224"/>
    <w:rsid w:val="0005575A"/>
    <w:rsid w:val="00060DE7"/>
    <w:rsid w:val="00063016"/>
    <w:rsid w:val="00065963"/>
    <w:rsid w:val="00065ECC"/>
    <w:rsid w:val="00066795"/>
    <w:rsid w:val="000670FD"/>
    <w:rsid w:val="000705C4"/>
    <w:rsid w:val="00075DDE"/>
    <w:rsid w:val="00076AF6"/>
    <w:rsid w:val="00080246"/>
    <w:rsid w:val="00082957"/>
    <w:rsid w:val="000835DE"/>
    <w:rsid w:val="00084889"/>
    <w:rsid w:val="00085CF2"/>
    <w:rsid w:val="000949EC"/>
    <w:rsid w:val="00095ED6"/>
    <w:rsid w:val="000A0720"/>
    <w:rsid w:val="000B1705"/>
    <w:rsid w:val="000B2CC0"/>
    <w:rsid w:val="000C1782"/>
    <w:rsid w:val="000C456B"/>
    <w:rsid w:val="000C4AC7"/>
    <w:rsid w:val="000D29CA"/>
    <w:rsid w:val="000D75B2"/>
    <w:rsid w:val="000E0A4B"/>
    <w:rsid w:val="000E0E2A"/>
    <w:rsid w:val="000E2243"/>
    <w:rsid w:val="000E7326"/>
    <w:rsid w:val="0010272C"/>
    <w:rsid w:val="0010511F"/>
    <w:rsid w:val="001121F5"/>
    <w:rsid w:val="00113308"/>
    <w:rsid w:val="00113421"/>
    <w:rsid w:val="00115D04"/>
    <w:rsid w:val="001218DC"/>
    <w:rsid w:val="00123589"/>
    <w:rsid w:val="001245A1"/>
    <w:rsid w:val="00124E1C"/>
    <w:rsid w:val="00125FD6"/>
    <w:rsid w:val="00126015"/>
    <w:rsid w:val="001261AF"/>
    <w:rsid w:val="00127D3C"/>
    <w:rsid w:val="00127E5D"/>
    <w:rsid w:val="00130599"/>
    <w:rsid w:val="001308DC"/>
    <w:rsid w:val="001320F4"/>
    <w:rsid w:val="00133BEA"/>
    <w:rsid w:val="00136C01"/>
    <w:rsid w:val="0013799C"/>
    <w:rsid w:val="001400DC"/>
    <w:rsid w:val="00140CE1"/>
    <w:rsid w:val="00141E6B"/>
    <w:rsid w:val="0014464B"/>
    <w:rsid w:val="00144C65"/>
    <w:rsid w:val="0015036B"/>
    <w:rsid w:val="00150E68"/>
    <w:rsid w:val="00151916"/>
    <w:rsid w:val="0015252D"/>
    <w:rsid w:val="001555B2"/>
    <w:rsid w:val="0016101A"/>
    <w:rsid w:val="001613C2"/>
    <w:rsid w:val="00162D12"/>
    <w:rsid w:val="00166E05"/>
    <w:rsid w:val="00170F4F"/>
    <w:rsid w:val="00171C27"/>
    <w:rsid w:val="001751FF"/>
    <w:rsid w:val="0017539C"/>
    <w:rsid w:val="00175AC2"/>
    <w:rsid w:val="0017609F"/>
    <w:rsid w:val="001814D9"/>
    <w:rsid w:val="00181B43"/>
    <w:rsid w:val="00182AA0"/>
    <w:rsid w:val="00184D00"/>
    <w:rsid w:val="001870FA"/>
    <w:rsid w:val="0019044B"/>
    <w:rsid w:val="0019628A"/>
    <w:rsid w:val="001A0700"/>
    <w:rsid w:val="001A1357"/>
    <w:rsid w:val="001A1368"/>
    <w:rsid w:val="001A7D1D"/>
    <w:rsid w:val="001B186D"/>
    <w:rsid w:val="001B4BAB"/>
    <w:rsid w:val="001B51DD"/>
    <w:rsid w:val="001B6E07"/>
    <w:rsid w:val="001C0FFE"/>
    <w:rsid w:val="001C15F3"/>
    <w:rsid w:val="001C1603"/>
    <w:rsid w:val="001C1D43"/>
    <w:rsid w:val="001C628E"/>
    <w:rsid w:val="001C6338"/>
    <w:rsid w:val="001C6423"/>
    <w:rsid w:val="001D507E"/>
    <w:rsid w:val="001D6B75"/>
    <w:rsid w:val="001E0F7B"/>
    <w:rsid w:val="001E0FBE"/>
    <w:rsid w:val="001E2F61"/>
    <w:rsid w:val="001E7C50"/>
    <w:rsid w:val="001F0188"/>
    <w:rsid w:val="001F3556"/>
    <w:rsid w:val="001F47E9"/>
    <w:rsid w:val="001F5852"/>
    <w:rsid w:val="001F64A1"/>
    <w:rsid w:val="00201412"/>
    <w:rsid w:val="00206D3A"/>
    <w:rsid w:val="002113EC"/>
    <w:rsid w:val="002119FD"/>
    <w:rsid w:val="002123BB"/>
    <w:rsid w:val="00212618"/>
    <w:rsid w:val="002130E0"/>
    <w:rsid w:val="00215A2C"/>
    <w:rsid w:val="00217C85"/>
    <w:rsid w:val="00221346"/>
    <w:rsid w:val="002232E7"/>
    <w:rsid w:val="00227BDA"/>
    <w:rsid w:val="00227DCD"/>
    <w:rsid w:val="00230A77"/>
    <w:rsid w:val="0023272B"/>
    <w:rsid w:val="00232A80"/>
    <w:rsid w:val="002335A0"/>
    <w:rsid w:val="002346C8"/>
    <w:rsid w:val="00235C9C"/>
    <w:rsid w:val="00237B17"/>
    <w:rsid w:val="002404ED"/>
    <w:rsid w:val="00240F96"/>
    <w:rsid w:val="0024206E"/>
    <w:rsid w:val="00242B07"/>
    <w:rsid w:val="00242EEE"/>
    <w:rsid w:val="002435DB"/>
    <w:rsid w:val="00244F7F"/>
    <w:rsid w:val="00245652"/>
    <w:rsid w:val="00246A99"/>
    <w:rsid w:val="00246F8A"/>
    <w:rsid w:val="00252AE1"/>
    <w:rsid w:val="002551B2"/>
    <w:rsid w:val="0025729D"/>
    <w:rsid w:val="00260ACE"/>
    <w:rsid w:val="00262CE9"/>
    <w:rsid w:val="002632C5"/>
    <w:rsid w:val="00264425"/>
    <w:rsid w:val="00264A87"/>
    <w:rsid w:val="00264FA5"/>
    <w:rsid w:val="00265875"/>
    <w:rsid w:val="00270BF0"/>
    <w:rsid w:val="00272740"/>
    <w:rsid w:val="0027303B"/>
    <w:rsid w:val="00273B1C"/>
    <w:rsid w:val="0027493B"/>
    <w:rsid w:val="00280B9E"/>
    <w:rsid w:val="0028109B"/>
    <w:rsid w:val="002815C5"/>
    <w:rsid w:val="00284925"/>
    <w:rsid w:val="00286BA0"/>
    <w:rsid w:val="002877BE"/>
    <w:rsid w:val="00287985"/>
    <w:rsid w:val="00291A0D"/>
    <w:rsid w:val="002930FE"/>
    <w:rsid w:val="002A2188"/>
    <w:rsid w:val="002A4A7C"/>
    <w:rsid w:val="002A5059"/>
    <w:rsid w:val="002B1F58"/>
    <w:rsid w:val="002B2744"/>
    <w:rsid w:val="002B5C8D"/>
    <w:rsid w:val="002B7E07"/>
    <w:rsid w:val="002C02DF"/>
    <w:rsid w:val="002C1C7A"/>
    <w:rsid w:val="002C54E2"/>
    <w:rsid w:val="002C77D0"/>
    <w:rsid w:val="002C7EDD"/>
    <w:rsid w:val="002D1222"/>
    <w:rsid w:val="002E0A32"/>
    <w:rsid w:val="002E375F"/>
    <w:rsid w:val="002E504C"/>
    <w:rsid w:val="002E67DE"/>
    <w:rsid w:val="002EC15F"/>
    <w:rsid w:val="0030160F"/>
    <w:rsid w:val="0030443C"/>
    <w:rsid w:val="00307507"/>
    <w:rsid w:val="0031178F"/>
    <w:rsid w:val="00312060"/>
    <w:rsid w:val="00315370"/>
    <w:rsid w:val="003157D6"/>
    <w:rsid w:val="00320223"/>
    <w:rsid w:val="00320B61"/>
    <w:rsid w:val="00321921"/>
    <w:rsid w:val="00322D0D"/>
    <w:rsid w:val="0032335F"/>
    <w:rsid w:val="00324104"/>
    <w:rsid w:val="00325040"/>
    <w:rsid w:val="00327DD1"/>
    <w:rsid w:val="00330F63"/>
    <w:rsid w:val="00331B75"/>
    <w:rsid w:val="00331C2B"/>
    <w:rsid w:val="003333A3"/>
    <w:rsid w:val="003370DA"/>
    <w:rsid w:val="00340FC8"/>
    <w:rsid w:val="0034570F"/>
    <w:rsid w:val="00350BEC"/>
    <w:rsid w:val="00351C05"/>
    <w:rsid w:val="00357F6D"/>
    <w:rsid w:val="00361465"/>
    <w:rsid w:val="0036704D"/>
    <w:rsid w:val="00367798"/>
    <w:rsid w:val="00372777"/>
    <w:rsid w:val="0037499C"/>
    <w:rsid w:val="00381C0A"/>
    <w:rsid w:val="003826BF"/>
    <w:rsid w:val="003863D3"/>
    <w:rsid w:val="003877F5"/>
    <w:rsid w:val="003879F3"/>
    <w:rsid w:val="003942D4"/>
    <w:rsid w:val="003958A8"/>
    <w:rsid w:val="00397362"/>
    <w:rsid w:val="003A1CD7"/>
    <w:rsid w:val="003A3727"/>
    <w:rsid w:val="003B0EF6"/>
    <w:rsid w:val="003B289A"/>
    <w:rsid w:val="003B397D"/>
    <w:rsid w:val="003B4C63"/>
    <w:rsid w:val="003C157E"/>
    <w:rsid w:val="003C2533"/>
    <w:rsid w:val="003C792D"/>
    <w:rsid w:val="003D06A2"/>
    <w:rsid w:val="003D0F35"/>
    <w:rsid w:val="003D2C04"/>
    <w:rsid w:val="003D4ADF"/>
    <w:rsid w:val="003D50AC"/>
    <w:rsid w:val="003D55B9"/>
    <w:rsid w:val="003D5A7F"/>
    <w:rsid w:val="003E2D9B"/>
    <w:rsid w:val="003E36CE"/>
    <w:rsid w:val="003E41F5"/>
    <w:rsid w:val="003E424F"/>
    <w:rsid w:val="003E4327"/>
    <w:rsid w:val="003E4F0D"/>
    <w:rsid w:val="003F1103"/>
    <w:rsid w:val="003F5BB4"/>
    <w:rsid w:val="003F7D6A"/>
    <w:rsid w:val="004016E2"/>
    <w:rsid w:val="004017A5"/>
    <w:rsid w:val="004020C4"/>
    <w:rsid w:val="004024E1"/>
    <w:rsid w:val="00402981"/>
    <w:rsid w:val="0040435A"/>
    <w:rsid w:val="00404A7D"/>
    <w:rsid w:val="004051DC"/>
    <w:rsid w:val="00406FD5"/>
    <w:rsid w:val="00407A52"/>
    <w:rsid w:val="00413817"/>
    <w:rsid w:val="00415B55"/>
    <w:rsid w:val="00416A24"/>
    <w:rsid w:val="0042331A"/>
    <w:rsid w:val="00427375"/>
    <w:rsid w:val="00431165"/>
    <w:rsid w:val="00431D9E"/>
    <w:rsid w:val="00433460"/>
    <w:rsid w:val="00433CE8"/>
    <w:rsid w:val="00434A5C"/>
    <w:rsid w:val="004453AD"/>
    <w:rsid w:val="004473D8"/>
    <w:rsid w:val="004478B7"/>
    <w:rsid w:val="00447936"/>
    <w:rsid w:val="004544D9"/>
    <w:rsid w:val="00456232"/>
    <w:rsid w:val="00457C01"/>
    <w:rsid w:val="00465240"/>
    <w:rsid w:val="0046541A"/>
    <w:rsid w:val="00466737"/>
    <w:rsid w:val="004675C7"/>
    <w:rsid w:val="00470572"/>
    <w:rsid w:val="00472BAD"/>
    <w:rsid w:val="00474649"/>
    <w:rsid w:val="004751FF"/>
    <w:rsid w:val="00481D72"/>
    <w:rsid w:val="004826BD"/>
    <w:rsid w:val="00484009"/>
    <w:rsid w:val="00490E72"/>
    <w:rsid w:val="00491157"/>
    <w:rsid w:val="004921C8"/>
    <w:rsid w:val="004947BE"/>
    <w:rsid w:val="00495B0B"/>
    <w:rsid w:val="004960F9"/>
    <w:rsid w:val="004A1B8B"/>
    <w:rsid w:val="004A46AF"/>
    <w:rsid w:val="004A60C8"/>
    <w:rsid w:val="004B4883"/>
    <w:rsid w:val="004B4E65"/>
    <w:rsid w:val="004B70D5"/>
    <w:rsid w:val="004B736B"/>
    <w:rsid w:val="004B76DC"/>
    <w:rsid w:val="004B7BFE"/>
    <w:rsid w:val="004C21E5"/>
    <w:rsid w:val="004C3C51"/>
    <w:rsid w:val="004C4EAE"/>
    <w:rsid w:val="004C560B"/>
    <w:rsid w:val="004D1851"/>
    <w:rsid w:val="004D599D"/>
    <w:rsid w:val="004D64E1"/>
    <w:rsid w:val="004E2037"/>
    <w:rsid w:val="004E2EA5"/>
    <w:rsid w:val="004E30DA"/>
    <w:rsid w:val="004E3AEB"/>
    <w:rsid w:val="004E4343"/>
    <w:rsid w:val="004E6A1E"/>
    <w:rsid w:val="004E7830"/>
    <w:rsid w:val="004F1AB8"/>
    <w:rsid w:val="004F346C"/>
    <w:rsid w:val="004F540F"/>
    <w:rsid w:val="004F5EB1"/>
    <w:rsid w:val="004F6127"/>
    <w:rsid w:val="00500A10"/>
    <w:rsid w:val="0050223C"/>
    <w:rsid w:val="00510BD4"/>
    <w:rsid w:val="00512478"/>
    <w:rsid w:val="00513CFE"/>
    <w:rsid w:val="005230BD"/>
    <w:rsid w:val="005243FF"/>
    <w:rsid w:val="00524BF3"/>
    <w:rsid w:val="00527644"/>
    <w:rsid w:val="00527DC5"/>
    <w:rsid w:val="00533185"/>
    <w:rsid w:val="00542283"/>
    <w:rsid w:val="0054249E"/>
    <w:rsid w:val="0055158A"/>
    <w:rsid w:val="005535E4"/>
    <w:rsid w:val="00554A60"/>
    <w:rsid w:val="00563864"/>
    <w:rsid w:val="00564FBC"/>
    <w:rsid w:val="00567122"/>
    <w:rsid w:val="00575818"/>
    <w:rsid w:val="00577E53"/>
    <w:rsid w:val="005800BC"/>
    <w:rsid w:val="00581273"/>
    <w:rsid w:val="00582442"/>
    <w:rsid w:val="005834BF"/>
    <w:rsid w:val="005860A5"/>
    <w:rsid w:val="0058682A"/>
    <w:rsid w:val="005868EE"/>
    <w:rsid w:val="00591F68"/>
    <w:rsid w:val="0059508F"/>
    <w:rsid w:val="00595C4C"/>
    <w:rsid w:val="005965FD"/>
    <w:rsid w:val="005A01AC"/>
    <w:rsid w:val="005A24F3"/>
    <w:rsid w:val="005A335D"/>
    <w:rsid w:val="005A6D51"/>
    <w:rsid w:val="005A77CA"/>
    <w:rsid w:val="005B097C"/>
    <w:rsid w:val="005B0DA6"/>
    <w:rsid w:val="005B296F"/>
    <w:rsid w:val="005B3409"/>
    <w:rsid w:val="005B4934"/>
    <w:rsid w:val="005B5728"/>
    <w:rsid w:val="005B6167"/>
    <w:rsid w:val="005C2113"/>
    <w:rsid w:val="005C3B09"/>
    <w:rsid w:val="005C490C"/>
    <w:rsid w:val="005C7789"/>
    <w:rsid w:val="005D1CD2"/>
    <w:rsid w:val="005D2FE3"/>
    <w:rsid w:val="005D5C4F"/>
    <w:rsid w:val="005E2BD5"/>
    <w:rsid w:val="005F3269"/>
    <w:rsid w:val="005F55C5"/>
    <w:rsid w:val="005F5F70"/>
    <w:rsid w:val="00602397"/>
    <w:rsid w:val="006039A7"/>
    <w:rsid w:val="00605DA3"/>
    <w:rsid w:val="00605E16"/>
    <w:rsid w:val="006077F8"/>
    <w:rsid w:val="00610097"/>
    <w:rsid w:val="00610640"/>
    <w:rsid w:val="006154AA"/>
    <w:rsid w:val="00615B73"/>
    <w:rsid w:val="00616412"/>
    <w:rsid w:val="00616B68"/>
    <w:rsid w:val="00616DE1"/>
    <w:rsid w:val="00623AE3"/>
    <w:rsid w:val="006308A0"/>
    <w:rsid w:val="006377D6"/>
    <w:rsid w:val="0064345B"/>
    <w:rsid w:val="00643908"/>
    <w:rsid w:val="006469AA"/>
    <w:rsid w:val="0064737F"/>
    <w:rsid w:val="006535F1"/>
    <w:rsid w:val="00654B37"/>
    <w:rsid w:val="0065553D"/>
    <w:rsid w:val="0065557D"/>
    <w:rsid w:val="00660D50"/>
    <w:rsid w:val="00661DEE"/>
    <w:rsid w:val="00662984"/>
    <w:rsid w:val="00671133"/>
    <w:rsid w:val="006716BB"/>
    <w:rsid w:val="00671DF1"/>
    <w:rsid w:val="00672D70"/>
    <w:rsid w:val="00676226"/>
    <w:rsid w:val="006762A0"/>
    <w:rsid w:val="00676C7D"/>
    <w:rsid w:val="00681711"/>
    <w:rsid w:val="0068363B"/>
    <w:rsid w:val="00683EE5"/>
    <w:rsid w:val="00690D90"/>
    <w:rsid w:val="006939F0"/>
    <w:rsid w:val="00693ADA"/>
    <w:rsid w:val="00697A26"/>
    <w:rsid w:val="006A033D"/>
    <w:rsid w:val="006A5872"/>
    <w:rsid w:val="006A58D3"/>
    <w:rsid w:val="006A70E5"/>
    <w:rsid w:val="006B1859"/>
    <w:rsid w:val="006B6680"/>
    <w:rsid w:val="006B6DCC"/>
    <w:rsid w:val="006C18AC"/>
    <w:rsid w:val="006C2F80"/>
    <w:rsid w:val="006C57F8"/>
    <w:rsid w:val="006D1C40"/>
    <w:rsid w:val="006D30F4"/>
    <w:rsid w:val="006E2F04"/>
    <w:rsid w:val="006E613D"/>
    <w:rsid w:val="006E6420"/>
    <w:rsid w:val="006F063C"/>
    <w:rsid w:val="006F4BF0"/>
    <w:rsid w:val="006F5517"/>
    <w:rsid w:val="00700790"/>
    <w:rsid w:val="00701B73"/>
    <w:rsid w:val="00702DEF"/>
    <w:rsid w:val="00704D79"/>
    <w:rsid w:val="00706861"/>
    <w:rsid w:val="00707987"/>
    <w:rsid w:val="007103AB"/>
    <w:rsid w:val="00722A98"/>
    <w:rsid w:val="00722C8A"/>
    <w:rsid w:val="007255CB"/>
    <w:rsid w:val="00726469"/>
    <w:rsid w:val="00731373"/>
    <w:rsid w:val="0073250A"/>
    <w:rsid w:val="0073461C"/>
    <w:rsid w:val="0073488F"/>
    <w:rsid w:val="00734D87"/>
    <w:rsid w:val="00741122"/>
    <w:rsid w:val="00742D85"/>
    <w:rsid w:val="00742F56"/>
    <w:rsid w:val="007455BC"/>
    <w:rsid w:val="00745D22"/>
    <w:rsid w:val="0075051B"/>
    <w:rsid w:val="00752A6B"/>
    <w:rsid w:val="007579D0"/>
    <w:rsid w:val="00762022"/>
    <w:rsid w:val="00767130"/>
    <w:rsid w:val="007725F5"/>
    <w:rsid w:val="00772C3D"/>
    <w:rsid w:val="00775655"/>
    <w:rsid w:val="007766E6"/>
    <w:rsid w:val="00783E98"/>
    <w:rsid w:val="007841DF"/>
    <w:rsid w:val="0078684B"/>
    <w:rsid w:val="00793188"/>
    <w:rsid w:val="00794D34"/>
    <w:rsid w:val="0079637B"/>
    <w:rsid w:val="00796713"/>
    <w:rsid w:val="00796809"/>
    <w:rsid w:val="00797A65"/>
    <w:rsid w:val="007A0736"/>
    <w:rsid w:val="007A3ECA"/>
    <w:rsid w:val="007A42E5"/>
    <w:rsid w:val="007B077E"/>
    <w:rsid w:val="007B1590"/>
    <w:rsid w:val="007B2521"/>
    <w:rsid w:val="007B2C70"/>
    <w:rsid w:val="007B310F"/>
    <w:rsid w:val="007B39A3"/>
    <w:rsid w:val="007B3CDA"/>
    <w:rsid w:val="007D0959"/>
    <w:rsid w:val="007D2998"/>
    <w:rsid w:val="007D6315"/>
    <w:rsid w:val="007D7B7F"/>
    <w:rsid w:val="007E6252"/>
    <w:rsid w:val="007F4F6D"/>
    <w:rsid w:val="0080240C"/>
    <w:rsid w:val="00803780"/>
    <w:rsid w:val="008062AC"/>
    <w:rsid w:val="00810577"/>
    <w:rsid w:val="00813E5E"/>
    <w:rsid w:val="008170F1"/>
    <w:rsid w:val="00820E7F"/>
    <w:rsid w:val="00823EFA"/>
    <w:rsid w:val="00826046"/>
    <w:rsid w:val="00826C5F"/>
    <w:rsid w:val="00830A42"/>
    <w:rsid w:val="00833B6A"/>
    <w:rsid w:val="0083581B"/>
    <w:rsid w:val="00843178"/>
    <w:rsid w:val="00852ADE"/>
    <w:rsid w:val="008546A7"/>
    <w:rsid w:val="0085741F"/>
    <w:rsid w:val="00860C97"/>
    <w:rsid w:val="008624DA"/>
    <w:rsid w:val="00863874"/>
    <w:rsid w:val="0086388E"/>
    <w:rsid w:val="00864AFF"/>
    <w:rsid w:val="00865925"/>
    <w:rsid w:val="008662C2"/>
    <w:rsid w:val="00870134"/>
    <w:rsid w:val="00873474"/>
    <w:rsid w:val="00874289"/>
    <w:rsid w:val="0087602C"/>
    <w:rsid w:val="00883279"/>
    <w:rsid w:val="0088334B"/>
    <w:rsid w:val="008833B0"/>
    <w:rsid w:val="008842C5"/>
    <w:rsid w:val="00891503"/>
    <w:rsid w:val="008929AA"/>
    <w:rsid w:val="008956F9"/>
    <w:rsid w:val="008A191C"/>
    <w:rsid w:val="008A3E08"/>
    <w:rsid w:val="008A5796"/>
    <w:rsid w:val="008B2A61"/>
    <w:rsid w:val="008B45B7"/>
    <w:rsid w:val="008B4A6A"/>
    <w:rsid w:val="008B4FA2"/>
    <w:rsid w:val="008B6B43"/>
    <w:rsid w:val="008C62EB"/>
    <w:rsid w:val="008C7E27"/>
    <w:rsid w:val="008D210D"/>
    <w:rsid w:val="008D6710"/>
    <w:rsid w:val="008D67F1"/>
    <w:rsid w:val="008D7DC0"/>
    <w:rsid w:val="008E2D79"/>
    <w:rsid w:val="008F7448"/>
    <w:rsid w:val="009003BD"/>
    <w:rsid w:val="00901317"/>
    <w:rsid w:val="0090147A"/>
    <w:rsid w:val="00904845"/>
    <w:rsid w:val="0090614D"/>
    <w:rsid w:val="009068BD"/>
    <w:rsid w:val="00907827"/>
    <w:rsid w:val="00910B6F"/>
    <w:rsid w:val="00911A1B"/>
    <w:rsid w:val="009130C8"/>
    <w:rsid w:val="009173EF"/>
    <w:rsid w:val="00924250"/>
    <w:rsid w:val="009304D5"/>
    <w:rsid w:val="00932192"/>
    <w:rsid w:val="00932906"/>
    <w:rsid w:val="00933A20"/>
    <w:rsid w:val="00933D78"/>
    <w:rsid w:val="0093438D"/>
    <w:rsid w:val="00942434"/>
    <w:rsid w:val="009427CA"/>
    <w:rsid w:val="009444EA"/>
    <w:rsid w:val="00950A39"/>
    <w:rsid w:val="009515CD"/>
    <w:rsid w:val="00953AB0"/>
    <w:rsid w:val="00953E4E"/>
    <w:rsid w:val="00961A04"/>
    <w:rsid w:val="00961B0B"/>
    <w:rsid w:val="00962A05"/>
    <w:rsid w:val="00962D33"/>
    <w:rsid w:val="009661D5"/>
    <w:rsid w:val="00971A5F"/>
    <w:rsid w:val="00971C28"/>
    <w:rsid w:val="00971E1A"/>
    <w:rsid w:val="00972036"/>
    <w:rsid w:val="00975151"/>
    <w:rsid w:val="00976E2A"/>
    <w:rsid w:val="00981EB8"/>
    <w:rsid w:val="00983486"/>
    <w:rsid w:val="009847ED"/>
    <w:rsid w:val="00992B9E"/>
    <w:rsid w:val="00993EBE"/>
    <w:rsid w:val="0099729E"/>
    <w:rsid w:val="00997FF3"/>
    <w:rsid w:val="009A029D"/>
    <w:rsid w:val="009A047A"/>
    <w:rsid w:val="009A4092"/>
    <w:rsid w:val="009A7B5E"/>
    <w:rsid w:val="009B0C89"/>
    <w:rsid w:val="009B1CBD"/>
    <w:rsid w:val="009B2D4B"/>
    <w:rsid w:val="009B38C3"/>
    <w:rsid w:val="009B44D0"/>
    <w:rsid w:val="009C253A"/>
    <w:rsid w:val="009C45DC"/>
    <w:rsid w:val="009C6D99"/>
    <w:rsid w:val="009D6C9A"/>
    <w:rsid w:val="009E17BD"/>
    <w:rsid w:val="009E485A"/>
    <w:rsid w:val="009E5560"/>
    <w:rsid w:val="009F075E"/>
    <w:rsid w:val="009F0D36"/>
    <w:rsid w:val="009F347C"/>
    <w:rsid w:val="009F4280"/>
    <w:rsid w:val="009F6559"/>
    <w:rsid w:val="009F7ADE"/>
    <w:rsid w:val="00A04CEC"/>
    <w:rsid w:val="00A14B31"/>
    <w:rsid w:val="00A27F92"/>
    <w:rsid w:val="00A32257"/>
    <w:rsid w:val="00A3227A"/>
    <w:rsid w:val="00A34664"/>
    <w:rsid w:val="00A34AA5"/>
    <w:rsid w:val="00A35DA0"/>
    <w:rsid w:val="00A36D20"/>
    <w:rsid w:val="00A37CDB"/>
    <w:rsid w:val="00A41649"/>
    <w:rsid w:val="00A421BC"/>
    <w:rsid w:val="00A42207"/>
    <w:rsid w:val="00A44F41"/>
    <w:rsid w:val="00A514A4"/>
    <w:rsid w:val="00A52C84"/>
    <w:rsid w:val="00A55622"/>
    <w:rsid w:val="00A5632C"/>
    <w:rsid w:val="00A57C42"/>
    <w:rsid w:val="00A644C7"/>
    <w:rsid w:val="00A742EF"/>
    <w:rsid w:val="00A7442D"/>
    <w:rsid w:val="00A75D67"/>
    <w:rsid w:val="00A76E8A"/>
    <w:rsid w:val="00A772C7"/>
    <w:rsid w:val="00A77A0A"/>
    <w:rsid w:val="00A8242E"/>
    <w:rsid w:val="00A83502"/>
    <w:rsid w:val="00A84079"/>
    <w:rsid w:val="00A842B8"/>
    <w:rsid w:val="00A8574E"/>
    <w:rsid w:val="00A85E86"/>
    <w:rsid w:val="00A91A12"/>
    <w:rsid w:val="00A931EB"/>
    <w:rsid w:val="00A932A7"/>
    <w:rsid w:val="00A94376"/>
    <w:rsid w:val="00A94757"/>
    <w:rsid w:val="00A9518B"/>
    <w:rsid w:val="00A97F29"/>
    <w:rsid w:val="00AA1B8F"/>
    <w:rsid w:val="00AA528C"/>
    <w:rsid w:val="00AA6C7B"/>
    <w:rsid w:val="00AB2662"/>
    <w:rsid w:val="00AC20C0"/>
    <w:rsid w:val="00AC7F78"/>
    <w:rsid w:val="00AD15B3"/>
    <w:rsid w:val="00AD294C"/>
    <w:rsid w:val="00AD3606"/>
    <w:rsid w:val="00AD4A3D"/>
    <w:rsid w:val="00AE0B58"/>
    <w:rsid w:val="00AE16D1"/>
    <w:rsid w:val="00AE587C"/>
    <w:rsid w:val="00AE6DD1"/>
    <w:rsid w:val="00AE7CE9"/>
    <w:rsid w:val="00AF1B30"/>
    <w:rsid w:val="00AF1DF1"/>
    <w:rsid w:val="00AF2E52"/>
    <w:rsid w:val="00AF5235"/>
    <w:rsid w:val="00AF5B3E"/>
    <w:rsid w:val="00AF6E49"/>
    <w:rsid w:val="00B0016F"/>
    <w:rsid w:val="00B01F61"/>
    <w:rsid w:val="00B04A67"/>
    <w:rsid w:val="00B04F36"/>
    <w:rsid w:val="00B0583C"/>
    <w:rsid w:val="00B06347"/>
    <w:rsid w:val="00B06888"/>
    <w:rsid w:val="00B118B8"/>
    <w:rsid w:val="00B11E37"/>
    <w:rsid w:val="00B13BBB"/>
    <w:rsid w:val="00B16267"/>
    <w:rsid w:val="00B16D89"/>
    <w:rsid w:val="00B20AD9"/>
    <w:rsid w:val="00B20F94"/>
    <w:rsid w:val="00B21BB8"/>
    <w:rsid w:val="00B25225"/>
    <w:rsid w:val="00B358B2"/>
    <w:rsid w:val="00B37D51"/>
    <w:rsid w:val="00B40636"/>
    <w:rsid w:val="00B40A81"/>
    <w:rsid w:val="00B40D53"/>
    <w:rsid w:val="00B419FD"/>
    <w:rsid w:val="00B44499"/>
    <w:rsid w:val="00B44910"/>
    <w:rsid w:val="00B52075"/>
    <w:rsid w:val="00B52950"/>
    <w:rsid w:val="00B56792"/>
    <w:rsid w:val="00B60109"/>
    <w:rsid w:val="00B60991"/>
    <w:rsid w:val="00B61FD6"/>
    <w:rsid w:val="00B72267"/>
    <w:rsid w:val="00B729D0"/>
    <w:rsid w:val="00B73545"/>
    <w:rsid w:val="00B76EB6"/>
    <w:rsid w:val="00B7737B"/>
    <w:rsid w:val="00B8191B"/>
    <w:rsid w:val="00B824C8"/>
    <w:rsid w:val="00B83EB1"/>
    <w:rsid w:val="00B8483D"/>
    <w:rsid w:val="00B84B9D"/>
    <w:rsid w:val="00B92EA3"/>
    <w:rsid w:val="00B93030"/>
    <w:rsid w:val="00B96B66"/>
    <w:rsid w:val="00B9755F"/>
    <w:rsid w:val="00BA06DA"/>
    <w:rsid w:val="00BA18E6"/>
    <w:rsid w:val="00BA30E6"/>
    <w:rsid w:val="00BA5573"/>
    <w:rsid w:val="00BA71E1"/>
    <w:rsid w:val="00BB6C67"/>
    <w:rsid w:val="00BC251A"/>
    <w:rsid w:val="00BC2D6F"/>
    <w:rsid w:val="00BC2EDF"/>
    <w:rsid w:val="00BC3CD7"/>
    <w:rsid w:val="00BC6E9B"/>
    <w:rsid w:val="00BD032B"/>
    <w:rsid w:val="00BD0EBB"/>
    <w:rsid w:val="00BD1693"/>
    <w:rsid w:val="00BD4838"/>
    <w:rsid w:val="00BE2640"/>
    <w:rsid w:val="00BF20AC"/>
    <w:rsid w:val="00BF69B8"/>
    <w:rsid w:val="00C009FB"/>
    <w:rsid w:val="00C01189"/>
    <w:rsid w:val="00C019F3"/>
    <w:rsid w:val="00C023CA"/>
    <w:rsid w:val="00C036B8"/>
    <w:rsid w:val="00C15130"/>
    <w:rsid w:val="00C15F2C"/>
    <w:rsid w:val="00C22DDE"/>
    <w:rsid w:val="00C243F8"/>
    <w:rsid w:val="00C2570B"/>
    <w:rsid w:val="00C32048"/>
    <w:rsid w:val="00C34712"/>
    <w:rsid w:val="00C349D4"/>
    <w:rsid w:val="00C374DE"/>
    <w:rsid w:val="00C404D7"/>
    <w:rsid w:val="00C41829"/>
    <w:rsid w:val="00C41C49"/>
    <w:rsid w:val="00C441CF"/>
    <w:rsid w:val="00C457F8"/>
    <w:rsid w:val="00C45B5D"/>
    <w:rsid w:val="00C45F52"/>
    <w:rsid w:val="00C4676A"/>
    <w:rsid w:val="00C4697E"/>
    <w:rsid w:val="00C476DD"/>
    <w:rsid w:val="00C47AD4"/>
    <w:rsid w:val="00C51E56"/>
    <w:rsid w:val="00C52D81"/>
    <w:rsid w:val="00C55198"/>
    <w:rsid w:val="00C608B3"/>
    <w:rsid w:val="00C67810"/>
    <w:rsid w:val="00C72FEF"/>
    <w:rsid w:val="00C74293"/>
    <w:rsid w:val="00C75B21"/>
    <w:rsid w:val="00C77804"/>
    <w:rsid w:val="00C91FCB"/>
    <w:rsid w:val="00C91FD5"/>
    <w:rsid w:val="00C92187"/>
    <w:rsid w:val="00C961A4"/>
    <w:rsid w:val="00CA5BDB"/>
    <w:rsid w:val="00CA6393"/>
    <w:rsid w:val="00CA7CB8"/>
    <w:rsid w:val="00CB18FF"/>
    <w:rsid w:val="00CB65F1"/>
    <w:rsid w:val="00CC198A"/>
    <w:rsid w:val="00CC325B"/>
    <w:rsid w:val="00CD0C08"/>
    <w:rsid w:val="00CD3630"/>
    <w:rsid w:val="00CD3EA2"/>
    <w:rsid w:val="00CD45DE"/>
    <w:rsid w:val="00CD4EC2"/>
    <w:rsid w:val="00CD6665"/>
    <w:rsid w:val="00CE02C6"/>
    <w:rsid w:val="00CE03FB"/>
    <w:rsid w:val="00CE433C"/>
    <w:rsid w:val="00CE4DBB"/>
    <w:rsid w:val="00CF0161"/>
    <w:rsid w:val="00CF2B63"/>
    <w:rsid w:val="00CF33F3"/>
    <w:rsid w:val="00D02C6B"/>
    <w:rsid w:val="00D0552C"/>
    <w:rsid w:val="00D06183"/>
    <w:rsid w:val="00D0748B"/>
    <w:rsid w:val="00D2042C"/>
    <w:rsid w:val="00D22154"/>
    <w:rsid w:val="00D22C42"/>
    <w:rsid w:val="00D249F6"/>
    <w:rsid w:val="00D25864"/>
    <w:rsid w:val="00D31D5D"/>
    <w:rsid w:val="00D35E9E"/>
    <w:rsid w:val="00D36EDD"/>
    <w:rsid w:val="00D453AA"/>
    <w:rsid w:val="00D464CC"/>
    <w:rsid w:val="00D47C61"/>
    <w:rsid w:val="00D5200B"/>
    <w:rsid w:val="00D53452"/>
    <w:rsid w:val="00D5384C"/>
    <w:rsid w:val="00D55BE0"/>
    <w:rsid w:val="00D5780D"/>
    <w:rsid w:val="00D57B9B"/>
    <w:rsid w:val="00D65041"/>
    <w:rsid w:val="00D65D8F"/>
    <w:rsid w:val="00D675D8"/>
    <w:rsid w:val="00D7405A"/>
    <w:rsid w:val="00D7446A"/>
    <w:rsid w:val="00D83ACE"/>
    <w:rsid w:val="00D8665E"/>
    <w:rsid w:val="00D87864"/>
    <w:rsid w:val="00D90BB4"/>
    <w:rsid w:val="00D90D51"/>
    <w:rsid w:val="00D92516"/>
    <w:rsid w:val="00D93E78"/>
    <w:rsid w:val="00D93EF6"/>
    <w:rsid w:val="00D967D0"/>
    <w:rsid w:val="00DA1985"/>
    <w:rsid w:val="00DA1F58"/>
    <w:rsid w:val="00DA20D4"/>
    <w:rsid w:val="00DA57E3"/>
    <w:rsid w:val="00DB00D5"/>
    <w:rsid w:val="00DB08B0"/>
    <w:rsid w:val="00DB1936"/>
    <w:rsid w:val="00DB384B"/>
    <w:rsid w:val="00DB5F28"/>
    <w:rsid w:val="00DB6482"/>
    <w:rsid w:val="00DC11CD"/>
    <w:rsid w:val="00DC2F25"/>
    <w:rsid w:val="00DC3D31"/>
    <w:rsid w:val="00DC4831"/>
    <w:rsid w:val="00DD1344"/>
    <w:rsid w:val="00DD541F"/>
    <w:rsid w:val="00DD5BEF"/>
    <w:rsid w:val="00DE5DB5"/>
    <w:rsid w:val="00DE6473"/>
    <w:rsid w:val="00DE749F"/>
    <w:rsid w:val="00DF0189"/>
    <w:rsid w:val="00DF333B"/>
    <w:rsid w:val="00E03C3D"/>
    <w:rsid w:val="00E052FB"/>
    <w:rsid w:val="00E05C6C"/>
    <w:rsid w:val="00E06FD5"/>
    <w:rsid w:val="00E07B7A"/>
    <w:rsid w:val="00E10E80"/>
    <w:rsid w:val="00E124F0"/>
    <w:rsid w:val="00E15A47"/>
    <w:rsid w:val="00E15D29"/>
    <w:rsid w:val="00E227F3"/>
    <w:rsid w:val="00E23EF4"/>
    <w:rsid w:val="00E3504A"/>
    <w:rsid w:val="00E365F2"/>
    <w:rsid w:val="00E40263"/>
    <w:rsid w:val="00E42D74"/>
    <w:rsid w:val="00E447A9"/>
    <w:rsid w:val="00E47EE5"/>
    <w:rsid w:val="00E5005A"/>
    <w:rsid w:val="00E51D4E"/>
    <w:rsid w:val="00E545C6"/>
    <w:rsid w:val="00E55AAD"/>
    <w:rsid w:val="00E60F04"/>
    <w:rsid w:val="00E65B24"/>
    <w:rsid w:val="00E6646A"/>
    <w:rsid w:val="00E71988"/>
    <w:rsid w:val="00E747C3"/>
    <w:rsid w:val="00E75600"/>
    <w:rsid w:val="00E8212D"/>
    <w:rsid w:val="00E854E4"/>
    <w:rsid w:val="00E86DBF"/>
    <w:rsid w:val="00E87505"/>
    <w:rsid w:val="00E961D4"/>
    <w:rsid w:val="00EA04CB"/>
    <w:rsid w:val="00EA3733"/>
    <w:rsid w:val="00EA3CF7"/>
    <w:rsid w:val="00EA65B8"/>
    <w:rsid w:val="00EB0D6F"/>
    <w:rsid w:val="00EB2232"/>
    <w:rsid w:val="00EB415F"/>
    <w:rsid w:val="00EB7752"/>
    <w:rsid w:val="00EC387F"/>
    <w:rsid w:val="00EC5337"/>
    <w:rsid w:val="00ED30A0"/>
    <w:rsid w:val="00ED454D"/>
    <w:rsid w:val="00EE3DF9"/>
    <w:rsid w:val="00EE49E8"/>
    <w:rsid w:val="00EF37CB"/>
    <w:rsid w:val="00EF46E5"/>
    <w:rsid w:val="00EF56D9"/>
    <w:rsid w:val="00F02AF8"/>
    <w:rsid w:val="00F04588"/>
    <w:rsid w:val="00F069D5"/>
    <w:rsid w:val="00F07DF7"/>
    <w:rsid w:val="00F101D6"/>
    <w:rsid w:val="00F16BAB"/>
    <w:rsid w:val="00F205D9"/>
    <w:rsid w:val="00F2150A"/>
    <w:rsid w:val="00F231D8"/>
    <w:rsid w:val="00F231F6"/>
    <w:rsid w:val="00F2437B"/>
    <w:rsid w:val="00F253B4"/>
    <w:rsid w:val="00F30A62"/>
    <w:rsid w:val="00F33EFA"/>
    <w:rsid w:val="00F34003"/>
    <w:rsid w:val="00F40193"/>
    <w:rsid w:val="00F40F4A"/>
    <w:rsid w:val="00F41F6C"/>
    <w:rsid w:val="00F42FE5"/>
    <w:rsid w:val="00F43A29"/>
    <w:rsid w:val="00F43E89"/>
    <w:rsid w:val="00F44C00"/>
    <w:rsid w:val="00F45D2C"/>
    <w:rsid w:val="00F46C5F"/>
    <w:rsid w:val="00F50564"/>
    <w:rsid w:val="00F50E0F"/>
    <w:rsid w:val="00F60B20"/>
    <w:rsid w:val="00F632C0"/>
    <w:rsid w:val="00F6749D"/>
    <w:rsid w:val="00F74694"/>
    <w:rsid w:val="00F77393"/>
    <w:rsid w:val="00F82CE6"/>
    <w:rsid w:val="00F85E1C"/>
    <w:rsid w:val="00F905B2"/>
    <w:rsid w:val="00F920D3"/>
    <w:rsid w:val="00F9372C"/>
    <w:rsid w:val="00F94A63"/>
    <w:rsid w:val="00F95443"/>
    <w:rsid w:val="00FA0EDF"/>
    <w:rsid w:val="00FA1C28"/>
    <w:rsid w:val="00FA20C8"/>
    <w:rsid w:val="00FA2C95"/>
    <w:rsid w:val="00FA411B"/>
    <w:rsid w:val="00FA4C04"/>
    <w:rsid w:val="00FA61C1"/>
    <w:rsid w:val="00FA66B0"/>
    <w:rsid w:val="00FB01F1"/>
    <w:rsid w:val="00FB0CFF"/>
    <w:rsid w:val="00FB1279"/>
    <w:rsid w:val="00FB131D"/>
    <w:rsid w:val="00FB2824"/>
    <w:rsid w:val="00FB37FC"/>
    <w:rsid w:val="00FB3D97"/>
    <w:rsid w:val="00FB6B76"/>
    <w:rsid w:val="00FB7596"/>
    <w:rsid w:val="00FC1014"/>
    <w:rsid w:val="00FC230F"/>
    <w:rsid w:val="00FCFCA2"/>
    <w:rsid w:val="00FD7016"/>
    <w:rsid w:val="00FE1282"/>
    <w:rsid w:val="00FE4077"/>
    <w:rsid w:val="00FE500D"/>
    <w:rsid w:val="00FE6A94"/>
    <w:rsid w:val="00FE77D2"/>
    <w:rsid w:val="00FF0BF0"/>
    <w:rsid w:val="014EF708"/>
    <w:rsid w:val="01820848"/>
    <w:rsid w:val="01D937B2"/>
    <w:rsid w:val="0283B2FE"/>
    <w:rsid w:val="04C4F959"/>
    <w:rsid w:val="056D3ED5"/>
    <w:rsid w:val="0576B247"/>
    <w:rsid w:val="0792A823"/>
    <w:rsid w:val="0954A6B8"/>
    <w:rsid w:val="0AD0C34D"/>
    <w:rsid w:val="0BC10F91"/>
    <w:rsid w:val="0BC92D72"/>
    <w:rsid w:val="0C94415B"/>
    <w:rsid w:val="0CFB0498"/>
    <w:rsid w:val="0D4977CD"/>
    <w:rsid w:val="0D76B5EB"/>
    <w:rsid w:val="0D783B4E"/>
    <w:rsid w:val="0D8C836A"/>
    <w:rsid w:val="0DA97D01"/>
    <w:rsid w:val="0DFA55D8"/>
    <w:rsid w:val="0E9CD4C0"/>
    <w:rsid w:val="0EBE07BA"/>
    <w:rsid w:val="0F8210D8"/>
    <w:rsid w:val="104A962C"/>
    <w:rsid w:val="12182E13"/>
    <w:rsid w:val="130DEF17"/>
    <w:rsid w:val="1383E665"/>
    <w:rsid w:val="14151FA3"/>
    <w:rsid w:val="14EE5C45"/>
    <w:rsid w:val="157777EC"/>
    <w:rsid w:val="1586286C"/>
    <w:rsid w:val="169EC333"/>
    <w:rsid w:val="16D0F4D6"/>
    <w:rsid w:val="1704F414"/>
    <w:rsid w:val="171C639C"/>
    <w:rsid w:val="17D793E6"/>
    <w:rsid w:val="17F82286"/>
    <w:rsid w:val="1A9A77AC"/>
    <w:rsid w:val="1C25BCB6"/>
    <w:rsid w:val="1D102BE5"/>
    <w:rsid w:val="1E16DAC6"/>
    <w:rsid w:val="1E275938"/>
    <w:rsid w:val="1E3C5314"/>
    <w:rsid w:val="1F8E33C6"/>
    <w:rsid w:val="1F929936"/>
    <w:rsid w:val="2060FFD9"/>
    <w:rsid w:val="20DAD391"/>
    <w:rsid w:val="20ECB493"/>
    <w:rsid w:val="20FCFE31"/>
    <w:rsid w:val="215A976E"/>
    <w:rsid w:val="21C74514"/>
    <w:rsid w:val="22EF2F1D"/>
    <w:rsid w:val="23361C35"/>
    <w:rsid w:val="2477605C"/>
    <w:rsid w:val="2567D2E7"/>
    <w:rsid w:val="25A1342A"/>
    <w:rsid w:val="25B76676"/>
    <w:rsid w:val="2634FD32"/>
    <w:rsid w:val="27143D25"/>
    <w:rsid w:val="2A884AEA"/>
    <w:rsid w:val="2AF4155E"/>
    <w:rsid w:val="2B6B34B8"/>
    <w:rsid w:val="2B6F8599"/>
    <w:rsid w:val="2BAE5779"/>
    <w:rsid w:val="2CFF62E5"/>
    <w:rsid w:val="2D60AE3B"/>
    <w:rsid w:val="2EEFD3E0"/>
    <w:rsid w:val="2F2CD503"/>
    <w:rsid w:val="2F816117"/>
    <w:rsid w:val="2F883033"/>
    <w:rsid w:val="302BFF8B"/>
    <w:rsid w:val="307632E8"/>
    <w:rsid w:val="3243F17A"/>
    <w:rsid w:val="32D99D64"/>
    <w:rsid w:val="32DE4501"/>
    <w:rsid w:val="33498FCB"/>
    <w:rsid w:val="3350ABCB"/>
    <w:rsid w:val="336DCF2A"/>
    <w:rsid w:val="337B5710"/>
    <w:rsid w:val="33ECF780"/>
    <w:rsid w:val="33F0F728"/>
    <w:rsid w:val="34A7A288"/>
    <w:rsid w:val="3538FF03"/>
    <w:rsid w:val="36AFB7AD"/>
    <w:rsid w:val="36D2751F"/>
    <w:rsid w:val="36E728BB"/>
    <w:rsid w:val="37108816"/>
    <w:rsid w:val="374D4B20"/>
    <w:rsid w:val="3765266B"/>
    <w:rsid w:val="382E7081"/>
    <w:rsid w:val="38C5DFBF"/>
    <w:rsid w:val="390A600F"/>
    <w:rsid w:val="3A2CC15B"/>
    <w:rsid w:val="3ACF8A49"/>
    <w:rsid w:val="3AEA707B"/>
    <w:rsid w:val="3C4D26FD"/>
    <w:rsid w:val="3CEE828E"/>
    <w:rsid w:val="3D50C2D1"/>
    <w:rsid w:val="3DC78A5A"/>
    <w:rsid w:val="3E381C99"/>
    <w:rsid w:val="3EF2FED0"/>
    <w:rsid w:val="3EFB480A"/>
    <w:rsid w:val="3F0B5101"/>
    <w:rsid w:val="3F38B122"/>
    <w:rsid w:val="3F7F6F5E"/>
    <w:rsid w:val="401723E3"/>
    <w:rsid w:val="40934193"/>
    <w:rsid w:val="40CAC9AE"/>
    <w:rsid w:val="410FC8A6"/>
    <w:rsid w:val="411D6457"/>
    <w:rsid w:val="41B79B29"/>
    <w:rsid w:val="41F01ACF"/>
    <w:rsid w:val="42F5859A"/>
    <w:rsid w:val="43287963"/>
    <w:rsid w:val="44305285"/>
    <w:rsid w:val="44634347"/>
    <w:rsid w:val="461A3FF1"/>
    <w:rsid w:val="475EF5C9"/>
    <w:rsid w:val="4789E29C"/>
    <w:rsid w:val="48317349"/>
    <w:rsid w:val="48D9E518"/>
    <w:rsid w:val="49711A6F"/>
    <w:rsid w:val="499C1696"/>
    <w:rsid w:val="4B41A847"/>
    <w:rsid w:val="4BB8ADED"/>
    <w:rsid w:val="4D3048D4"/>
    <w:rsid w:val="4E18B2D4"/>
    <w:rsid w:val="4E5BA2A2"/>
    <w:rsid w:val="4EA2ECDF"/>
    <w:rsid w:val="4EBD24C1"/>
    <w:rsid w:val="4F2A7A08"/>
    <w:rsid w:val="51561F89"/>
    <w:rsid w:val="51AADB9D"/>
    <w:rsid w:val="526F2B91"/>
    <w:rsid w:val="528AC152"/>
    <w:rsid w:val="53584EE9"/>
    <w:rsid w:val="53758BE6"/>
    <w:rsid w:val="53ABEA56"/>
    <w:rsid w:val="53E13364"/>
    <w:rsid w:val="53FAEAB4"/>
    <w:rsid w:val="545B5ED3"/>
    <w:rsid w:val="55E35CBC"/>
    <w:rsid w:val="56C5BD29"/>
    <w:rsid w:val="5783D09B"/>
    <w:rsid w:val="579050FD"/>
    <w:rsid w:val="587E204A"/>
    <w:rsid w:val="5969EE8B"/>
    <w:rsid w:val="5A1F4B8A"/>
    <w:rsid w:val="5A58DE10"/>
    <w:rsid w:val="5AACFAFA"/>
    <w:rsid w:val="5AB08F61"/>
    <w:rsid w:val="5ACDF06F"/>
    <w:rsid w:val="5BA5F4C3"/>
    <w:rsid w:val="5C0FC66B"/>
    <w:rsid w:val="5C7395D0"/>
    <w:rsid w:val="5CD500CA"/>
    <w:rsid w:val="5D9D1CA7"/>
    <w:rsid w:val="5E357C36"/>
    <w:rsid w:val="5E90AEE1"/>
    <w:rsid w:val="5EC52DBD"/>
    <w:rsid w:val="5FE72CA0"/>
    <w:rsid w:val="6087B513"/>
    <w:rsid w:val="61D0CE86"/>
    <w:rsid w:val="622C6703"/>
    <w:rsid w:val="62403E8B"/>
    <w:rsid w:val="625E7C85"/>
    <w:rsid w:val="64945864"/>
    <w:rsid w:val="64D5E069"/>
    <w:rsid w:val="65574DC4"/>
    <w:rsid w:val="67898512"/>
    <w:rsid w:val="679CEAEB"/>
    <w:rsid w:val="6939CBBC"/>
    <w:rsid w:val="6A0F3647"/>
    <w:rsid w:val="6A8C733F"/>
    <w:rsid w:val="6C387474"/>
    <w:rsid w:val="6CBDC55B"/>
    <w:rsid w:val="6E5A1C45"/>
    <w:rsid w:val="6F35FA14"/>
    <w:rsid w:val="6FC5F837"/>
    <w:rsid w:val="6FF4F44F"/>
    <w:rsid w:val="704629CD"/>
    <w:rsid w:val="70B915BF"/>
    <w:rsid w:val="70C5EC00"/>
    <w:rsid w:val="71C02308"/>
    <w:rsid w:val="72299313"/>
    <w:rsid w:val="7276A968"/>
    <w:rsid w:val="734F75B2"/>
    <w:rsid w:val="7590E493"/>
    <w:rsid w:val="7607B61A"/>
    <w:rsid w:val="767C04E7"/>
    <w:rsid w:val="76D529BD"/>
    <w:rsid w:val="7707E9B3"/>
    <w:rsid w:val="775588C2"/>
    <w:rsid w:val="77671B70"/>
    <w:rsid w:val="7783F984"/>
    <w:rsid w:val="77B25E0B"/>
    <w:rsid w:val="7839BEC9"/>
    <w:rsid w:val="79996F1B"/>
    <w:rsid w:val="7A4FB7FB"/>
    <w:rsid w:val="7C77A882"/>
    <w:rsid w:val="7CFA07B5"/>
    <w:rsid w:val="7D8338E4"/>
    <w:rsid w:val="7E70C53E"/>
    <w:rsid w:val="7EA3BA4A"/>
    <w:rsid w:val="7EF731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73615AC6-0904-4CC1-BC0A-EAE1A358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7E6252"/>
    <w:pPr>
      <w:framePr w:hSpace="180" w:wrap="around" w:vAnchor="page" w:hAnchor="page" w:x="1821" w:y="2317"/>
      <w:spacing w:before="72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rsid w:val="00AD3606"/>
    <w:rPr>
      <w:rFonts w:asciiTheme="minorHAnsi" w:eastAsiaTheme="minorHAnsi" w:hAnsiTheme="minorHAnsi" w:cstheme="minorBidi"/>
      <w:sz w:val="22"/>
      <w:szCs w:val="22"/>
      <w:lang w:val="en-GB" w:eastAsia="en-US"/>
    </w:rPr>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151916"/>
    <w:pPr>
      <w:spacing w:after="240"/>
      <w:jc w:val="center"/>
    </w:pPr>
    <w:rPr>
      <w:rFonts w:eastAsiaTheme="minorHAnsi" w:cstheme="minorBidi"/>
      <w:noProof/>
      <w:szCs w:val="22"/>
    </w:r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AA1B8F"/>
    <w:pPr>
      <w:tabs>
        <w:tab w:val="left" w:pos="284"/>
      </w:tabs>
      <w:spacing w:before="40" w:after="40"/>
    </w:pPr>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paragraph" w:styleId="ListParagraph">
    <w:name w:val="List Paragraph"/>
    <w:basedOn w:val="Normal"/>
    <w:uiPriority w:val="34"/>
    <w:qFormat/>
    <w:rsid w:val="007B39A3"/>
    <w:pPr>
      <w:ind w:left="720"/>
      <w:contextualSpacing/>
    </w:pPr>
  </w:style>
  <w:style w:type="character" w:customStyle="1" w:styleId="eop">
    <w:name w:val="eop"/>
    <w:basedOn w:val="DefaultParagraphFont"/>
    <w:rsid w:val="00C009FB"/>
  </w:style>
  <w:style w:type="paragraph" w:customStyle="1" w:styleId="paragraph">
    <w:name w:val="paragraph"/>
    <w:basedOn w:val="Normal"/>
    <w:rsid w:val="00C009F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CommentText">
    <w:name w:val="annotation text"/>
    <w:basedOn w:val="Normal"/>
    <w:link w:val="CommentTextChar"/>
    <w:unhideWhenUsed/>
    <w:rsid w:val="00C009FB"/>
    <w:rPr>
      <w:sz w:val="20"/>
    </w:rPr>
  </w:style>
  <w:style w:type="character" w:customStyle="1" w:styleId="CommentTextChar">
    <w:name w:val="Comment Text Char"/>
    <w:basedOn w:val="DefaultParagraphFont"/>
    <w:link w:val="CommentText"/>
    <w:rsid w:val="00C009FB"/>
    <w:rPr>
      <w:rFonts w:ascii="Calibri" w:hAnsi="Calibri"/>
      <w:lang w:val="en-GB" w:eastAsia="en-US"/>
    </w:rPr>
  </w:style>
  <w:style w:type="character" w:styleId="CommentReference">
    <w:name w:val="annotation reference"/>
    <w:basedOn w:val="DefaultParagraphFont"/>
    <w:semiHidden/>
    <w:unhideWhenUsed/>
    <w:rsid w:val="00C009FB"/>
    <w:rPr>
      <w:sz w:val="16"/>
      <w:szCs w:val="16"/>
    </w:rPr>
  </w:style>
  <w:style w:type="paragraph" w:customStyle="1" w:styleId="Reasons">
    <w:name w:val="Reasons"/>
    <w:basedOn w:val="Normal"/>
    <w:qFormat/>
    <w:rsid w:val="00C009FB"/>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Tablefin">
    <w:name w:val="Table_fin"/>
    <w:basedOn w:val="Tabletext"/>
    <w:rsid w:val="003863D3"/>
    <w:pPr>
      <w:spacing w:before="0" w:after="0"/>
    </w:pPr>
    <w:rPr>
      <w:sz w:val="20"/>
    </w:rPr>
  </w:style>
  <w:style w:type="paragraph" w:styleId="Revision">
    <w:name w:val="Revision"/>
    <w:hidden/>
    <w:uiPriority w:val="99"/>
    <w:semiHidden/>
    <w:rsid w:val="00EF56D9"/>
    <w:rPr>
      <w:rFonts w:ascii="Calibri" w:hAnsi="Calibri"/>
      <w:sz w:val="24"/>
      <w:lang w:val="en-GB" w:eastAsia="en-US"/>
    </w:rPr>
  </w:style>
  <w:style w:type="paragraph" w:styleId="NormalWeb">
    <w:name w:val="Normal (Web)"/>
    <w:basedOn w:val="Normal"/>
    <w:uiPriority w:val="99"/>
    <w:semiHidden/>
    <w:unhideWhenUsed/>
    <w:rsid w:val="00C45B5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Times New Roman" w:hAnsi="Times New Roman"/>
      <w:szCs w:val="24"/>
      <w:lang w:eastAsia="zh-CN"/>
    </w:rPr>
  </w:style>
  <w:style w:type="paragraph" w:styleId="CommentSubject">
    <w:name w:val="annotation subject"/>
    <w:basedOn w:val="CommentText"/>
    <w:next w:val="CommentText"/>
    <w:link w:val="CommentSubjectChar"/>
    <w:semiHidden/>
    <w:unhideWhenUsed/>
    <w:rsid w:val="00D65D8F"/>
    <w:rPr>
      <w:b/>
      <w:bCs/>
    </w:rPr>
  </w:style>
  <w:style w:type="character" w:customStyle="1" w:styleId="CommentSubjectChar">
    <w:name w:val="Comment Subject Char"/>
    <w:basedOn w:val="CommentTextChar"/>
    <w:link w:val="CommentSubject"/>
    <w:semiHidden/>
    <w:rsid w:val="00D65D8F"/>
    <w:rPr>
      <w:rFonts w:ascii="Calibri" w:hAnsi="Calibri"/>
      <w:b/>
      <w:bCs/>
      <w:lang w:val="en-GB" w:eastAsia="en-US"/>
    </w:rPr>
  </w:style>
  <w:style w:type="character" w:styleId="Mention">
    <w:name w:val="Mention"/>
    <w:basedOn w:val="DefaultParagraphFont"/>
    <w:uiPriority w:val="99"/>
    <w:unhideWhenUsed/>
    <w:rsid w:val="004A60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72206">
      <w:bodyDiv w:val="1"/>
      <w:marLeft w:val="0"/>
      <w:marRight w:val="0"/>
      <w:marTop w:val="0"/>
      <w:marBottom w:val="0"/>
      <w:divBdr>
        <w:top w:val="none" w:sz="0" w:space="0" w:color="auto"/>
        <w:left w:val="none" w:sz="0" w:space="0" w:color="auto"/>
        <w:bottom w:val="none" w:sz="0" w:space="0" w:color="auto"/>
        <w:right w:val="none" w:sz="0" w:space="0" w:color="auto"/>
      </w:divBdr>
    </w:div>
    <w:div w:id="283125477">
      <w:bodyDiv w:val="1"/>
      <w:marLeft w:val="0"/>
      <w:marRight w:val="0"/>
      <w:marTop w:val="0"/>
      <w:marBottom w:val="0"/>
      <w:divBdr>
        <w:top w:val="none" w:sz="0" w:space="0" w:color="auto"/>
        <w:left w:val="none" w:sz="0" w:space="0" w:color="auto"/>
        <w:bottom w:val="none" w:sz="0" w:space="0" w:color="auto"/>
        <w:right w:val="none" w:sz="0" w:space="0" w:color="auto"/>
      </w:divBdr>
    </w:div>
    <w:div w:id="363209731">
      <w:bodyDiv w:val="1"/>
      <w:marLeft w:val="0"/>
      <w:marRight w:val="0"/>
      <w:marTop w:val="0"/>
      <w:marBottom w:val="0"/>
      <w:divBdr>
        <w:top w:val="none" w:sz="0" w:space="0" w:color="auto"/>
        <w:left w:val="none" w:sz="0" w:space="0" w:color="auto"/>
        <w:bottom w:val="none" w:sz="0" w:space="0" w:color="auto"/>
        <w:right w:val="none" w:sz="0" w:space="0" w:color="auto"/>
      </w:divBdr>
    </w:div>
    <w:div w:id="426775371">
      <w:bodyDiv w:val="1"/>
      <w:marLeft w:val="0"/>
      <w:marRight w:val="0"/>
      <w:marTop w:val="0"/>
      <w:marBottom w:val="0"/>
      <w:divBdr>
        <w:top w:val="none" w:sz="0" w:space="0" w:color="auto"/>
        <w:left w:val="none" w:sz="0" w:space="0" w:color="auto"/>
        <w:bottom w:val="none" w:sz="0" w:space="0" w:color="auto"/>
        <w:right w:val="none" w:sz="0" w:space="0" w:color="auto"/>
      </w:divBdr>
    </w:div>
    <w:div w:id="433475357">
      <w:bodyDiv w:val="1"/>
      <w:marLeft w:val="0"/>
      <w:marRight w:val="0"/>
      <w:marTop w:val="0"/>
      <w:marBottom w:val="0"/>
      <w:divBdr>
        <w:top w:val="none" w:sz="0" w:space="0" w:color="auto"/>
        <w:left w:val="none" w:sz="0" w:space="0" w:color="auto"/>
        <w:bottom w:val="none" w:sz="0" w:space="0" w:color="auto"/>
        <w:right w:val="none" w:sz="0" w:space="0" w:color="auto"/>
      </w:divBdr>
    </w:div>
    <w:div w:id="486288026">
      <w:bodyDiv w:val="1"/>
      <w:marLeft w:val="0"/>
      <w:marRight w:val="0"/>
      <w:marTop w:val="0"/>
      <w:marBottom w:val="0"/>
      <w:divBdr>
        <w:top w:val="none" w:sz="0" w:space="0" w:color="auto"/>
        <w:left w:val="none" w:sz="0" w:space="0" w:color="auto"/>
        <w:bottom w:val="none" w:sz="0" w:space="0" w:color="auto"/>
        <w:right w:val="none" w:sz="0" w:space="0" w:color="auto"/>
      </w:divBdr>
    </w:div>
    <w:div w:id="660502487">
      <w:bodyDiv w:val="1"/>
      <w:marLeft w:val="0"/>
      <w:marRight w:val="0"/>
      <w:marTop w:val="0"/>
      <w:marBottom w:val="0"/>
      <w:divBdr>
        <w:top w:val="none" w:sz="0" w:space="0" w:color="auto"/>
        <w:left w:val="none" w:sz="0" w:space="0" w:color="auto"/>
        <w:bottom w:val="none" w:sz="0" w:space="0" w:color="auto"/>
        <w:right w:val="none" w:sz="0" w:space="0" w:color="auto"/>
      </w:divBdr>
    </w:div>
    <w:div w:id="967591080">
      <w:bodyDiv w:val="1"/>
      <w:marLeft w:val="0"/>
      <w:marRight w:val="0"/>
      <w:marTop w:val="0"/>
      <w:marBottom w:val="0"/>
      <w:divBdr>
        <w:top w:val="none" w:sz="0" w:space="0" w:color="auto"/>
        <w:left w:val="none" w:sz="0" w:space="0" w:color="auto"/>
        <w:bottom w:val="none" w:sz="0" w:space="0" w:color="auto"/>
        <w:right w:val="none" w:sz="0" w:space="0" w:color="auto"/>
      </w:divBdr>
    </w:div>
    <w:div w:id="1088113093">
      <w:bodyDiv w:val="1"/>
      <w:marLeft w:val="0"/>
      <w:marRight w:val="0"/>
      <w:marTop w:val="0"/>
      <w:marBottom w:val="0"/>
      <w:divBdr>
        <w:top w:val="none" w:sz="0" w:space="0" w:color="auto"/>
        <w:left w:val="none" w:sz="0" w:space="0" w:color="auto"/>
        <w:bottom w:val="none" w:sz="0" w:space="0" w:color="auto"/>
        <w:right w:val="none" w:sz="0" w:space="0" w:color="auto"/>
      </w:divBdr>
    </w:div>
    <w:div w:id="1138959472">
      <w:bodyDiv w:val="1"/>
      <w:marLeft w:val="0"/>
      <w:marRight w:val="0"/>
      <w:marTop w:val="0"/>
      <w:marBottom w:val="0"/>
      <w:divBdr>
        <w:top w:val="none" w:sz="0" w:space="0" w:color="auto"/>
        <w:left w:val="none" w:sz="0" w:space="0" w:color="auto"/>
        <w:bottom w:val="none" w:sz="0" w:space="0" w:color="auto"/>
        <w:right w:val="none" w:sz="0" w:space="0" w:color="auto"/>
      </w:divBdr>
    </w:div>
    <w:div w:id="1143110717">
      <w:bodyDiv w:val="1"/>
      <w:marLeft w:val="0"/>
      <w:marRight w:val="0"/>
      <w:marTop w:val="0"/>
      <w:marBottom w:val="0"/>
      <w:divBdr>
        <w:top w:val="none" w:sz="0" w:space="0" w:color="auto"/>
        <w:left w:val="none" w:sz="0" w:space="0" w:color="auto"/>
        <w:bottom w:val="none" w:sz="0" w:space="0" w:color="auto"/>
        <w:right w:val="none" w:sz="0" w:space="0" w:color="auto"/>
      </w:divBdr>
    </w:div>
    <w:div w:id="1200974433">
      <w:bodyDiv w:val="1"/>
      <w:marLeft w:val="0"/>
      <w:marRight w:val="0"/>
      <w:marTop w:val="0"/>
      <w:marBottom w:val="0"/>
      <w:divBdr>
        <w:top w:val="none" w:sz="0" w:space="0" w:color="auto"/>
        <w:left w:val="none" w:sz="0" w:space="0" w:color="auto"/>
        <w:bottom w:val="none" w:sz="0" w:space="0" w:color="auto"/>
        <w:right w:val="none" w:sz="0" w:space="0" w:color="auto"/>
      </w:divBdr>
    </w:div>
    <w:div w:id="1477839432">
      <w:bodyDiv w:val="1"/>
      <w:marLeft w:val="0"/>
      <w:marRight w:val="0"/>
      <w:marTop w:val="0"/>
      <w:marBottom w:val="0"/>
      <w:divBdr>
        <w:top w:val="none" w:sz="0" w:space="0" w:color="auto"/>
        <w:left w:val="none" w:sz="0" w:space="0" w:color="auto"/>
        <w:bottom w:val="none" w:sz="0" w:space="0" w:color="auto"/>
        <w:right w:val="none" w:sz="0" w:space="0" w:color="auto"/>
      </w:divBdr>
    </w:div>
    <w:div w:id="1699159085">
      <w:bodyDiv w:val="1"/>
      <w:marLeft w:val="0"/>
      <w:marRight w:val="0"/>
      <w:marTop w:val="0"/>
      <w:marBottom w:val="0"/>
      <w:divBdr>
        <w:top w:val="none" w:sz="0" w:space="0" w:color="auto"/>
        <w:left w:val="none" w:sz="0" w:space="0" w:color="auto"/>
        <w:bottom w:val="none" w:sz="0" w:space="0" w:color="auto"/>
        <w:right w:val="none" w:sz="0" w:space="0" w:color="auto"/>
      </w:divBdr>
    </w:div>
    <w:div w:id="1900480819">
      <w:bodyDiv w:val="1"/>
      <w:marLeft w:val="0"/>
      <w:marRight w:val="0"/>
      <w:marTop w:val="0"/>
      <w:marBottom w:val="0"/>
      <w:divBdr>
        <w:top w:val="none" w:sz="0" w:space="0" w:color="auto"/>
        <w:left w:val="none" w:sz="0" w:space="0" w:color="auto"/>
        <w:bottom w:val="none" w:sz="0" w:space="0" w:color="auto"/>
        <w:right w:val="none" w:sz="0" w:space="0" w:color="auto"/>
      </w:divBdr>
    </w:div>
    <w:div w:id="1910337723">
      <w:bodyDiv w:val="1"/>
      <w:marLeft w:val="0"/>
      <w:marRight w:val="0"/>
      <w:marTop w:val="0"/>
      <w:marBottom w:val="0"/>
      <w:divBdr>
        <w:top w:val="none" w:sz="0" w:space="0" w:color="auto"/>
        <w:left w:val="none" w:sz="0" w:space="0" w:color="auto"/>
        <w:bottom w:val="none" w:sz="0" w:space="0" w:color="auto"/>
        <w:right w:val="none" w:sz="0" w:space="0" w:color="auto"/>
      </w:divBdr>
    </w:div>
    <w:div w:id="1959987622">
      <w:bodyDiv w:val="1"/>
      <w:marLeft w:val="0"/>
      <w:marRight w:val="0"/>
      <w:marTop w:val="0"/>
      <w:marBottom w:val="0"/>
      <w:divBdr>
        <w:top w:val="none" w:sz="0" w:space="0" w:color="auto"/>
        <w:left w:val="none" w:sz="0" w:space="0" w:color="auto"/>
        <w:bottom w:val="none" w:sz="0" w:space="0" w:color="auto"/>
        <w:right w:val="none" w:sz="0" w:space="0" w:color="auto"/>
      </w:divBdr>
    </w:div>
    <w:div w:id="1992636940">
      <w:bodyDiv w:val="1"/>
      <w:marLeft w:val="0"/>
      <w:marRight w:val="0"/>
      <w:marTop w:val="0"/>
      <w:marBottom w:val="0"/>
      <w:divBdr>
        <w:top w:val="none" w:sz="0" w:space="0" w:color="auto"/>
        <w:left w:val="none" w:sz="0" w:space="0" w:color="auto"/>
        <w:bottom w:val="none" w:sz="0" w:space="0" w:color="auto"/>
        <w:right w:val="none" w:sz="0" w:space="0" w:color="auto"/>
      </w:divBdr>
    </w:div>
    <w:div w:id="1993367748">
      <w:bodyDiv w:val="1"/>
      <w:marLeft w:val="0"/>
      <w:marRight w:val="0"/>
      <w:marTop w:val="0"/>
      <w:marBottom w:val="0"/>
      <w:divBdr>
        <w:top w:val="none" w:sz="0" w:space="0" w:color="auto"/>
        <w:left w:val="none" w:sz="0" w:space="0" w:color="auto"/>
        <w:bottom w:val="none" w:sz="0" w:space="0" w:color="auto"/>
        <w:right w:val="none" w:sz="0" w:space="0" w:color="auto"/>
      </w:divBdr>
    </w:div>
    <w:div w:id="2004240386">
      <w:bodyDiv w:val="1"/>
      <w:marLeft w:val="0"/>
      <w:marRight w:val="0"/>
      <w:marTop w:val="0"/>
      <w:marBottom w:val="0"/>
      <w:divBdr>
        <w:top w:val="none" w:sz="0" w:space="0" w:color="auto"/>
        <w:left w:val="none" w:sz="0" w:space="0" w:color="auto"/>
        <w:bottom w:val="none" w:sz="0" w:space="0" w:color="auto"/>
        <w:right w:val="none" w:sz="0" w:space="0" w:color="auto"/>
      </w:divBdr>
    </w:div>
    <w:div w:id="209763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C-0125/en" TargetMode="External"/><Relationship Id="rId18" Type="http://schemas.openxmlformats.org/officeDocument/2006/relationships/image" Target="media/image1.pn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tu.int/md/S25-CL-C-0119/en" TargetMode="External"/><Relationship Id="rId17" Type="http://schemas.openxmlformats.org/officeDocument/2006/relationships/hyperlink" Target="https://www.itu.int/md/S25-CL-C-0064/en"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itu.int/md/S25-CL-C-0064/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47/e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S25-CL-C-0047/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2023/DEC-005-E.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6F64C1F8-2758-4CC4-ABA1-9DCEFF634237}">
    <t:Anchor>
      <t:Comment id="1449718288"/>
    </t:Anchor>
    <t:History>
      <t:Event id="{137FE116-DCFC-40CA-BDC7-97324CF52CDD}" time="2025-11-10T14:33:32.311Z">
        <t:Attribution userId="S::stephen.bereaux@itu.int::0f4705d0-6bd5-4df0-80b9-c0931faa190f" userProvider="AD" userName="Bereaux, Stephen"/>
        <t:Anchor>
          <t:Comment id="1449718288"/>
        </t:Anchor>
        <t:Create/>
      </t:Event>
      <t:Event id="{711F1F35-2B54-4C93-8C9C-E0645921686F}" time="2025-11-10T14:33:32.311Z">
        <t:Attribution userId="S::stephen.bereaux@itu.int::0f4705d0-6bd5-4df0-80b9-c0931faa190f" userProvider="AD" userName="Bereaux, Stephen"/>
        <t:Anchor>
          <t:Comment id="1449718288"/>
        </t:Anchor>
        <t:Assign userId="S::maria.traficanti@itu.int::0c3edc7c-699e-42d2-b0e0-011400db590e" userProvider="AD" userName="Traficanti, Maria"/>
      </t:Event>
      <t:Event id="{9CCFA591-A2F6-4709-B69C-3538704531A7}" time="2025-11-10T14:33:32.311Z">
        <t:Attribution userId="S::stephen.bereaux@itu.int::0f4705d0-6bd5-4df0-80b9-c0931faa190f" userProvider="AD" userName="Bereaux, Stephen"/>
        <t:Anchor>
          <t:Comment id="1449718288"/>
        </t:Anchor>
        <t:SetTitle title="@Traficanti, Maria Are we asking Council to request a report on this at the next Council/CW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5b46e1-7f22-4e81-9ba5-912dc5a5fd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7A014BF6FE3A4AB656F5985E3C82C4" ma:contentTypeVersion="14" ma:contentTypeDescription="Create a new document." ma:contentTypeScope="" ma:versionID="a4c8376f6f21f384962fae60096dcd03">
  <xsd:schema xmlns:xsd="http://www.w3.org/2001/XMLSchema" xmlns:xs="http://www.w3.org/2001/XMLSchema" xmlns:p="http://schemas.microsoft.com/office/2006/metadata/properties" xmlns:ns2="085b46e1-7f22-4e81-9ba5-912dc5a5fd9a" xmlns:ns3="98b04e1e-0540-4930-9623-702d547a0a33" targetNamespace="http://schemas.microsoft.com/office/2006/metadata/properties" ma:root="true" ma:fieldsID="823914ed2e25b6f660768a1230f0e224" ns2:_="" ns3:_="">
    <xsd:import namespace="085b46e1-7f22-4e81-9ba5-912dc5a5fd9a"/>
    <xsd:import namespace="98b04e1e-0540-4930-9623-702d547a0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46e1-7f22-4e81-9ba5-912dc5a5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b04e1e-0540-4930-9623-702d547a0a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E7F22-6DE6-401B-8AB6-0BCF36FFE1EB}">
  <ds:schemaRefs>
    <ds:schemaRef ds:uri="http://purl.org/dc/dcmitype/"/>
    <ds:schemaRef ds:uri="http://purl.org/dc/elements/1.1/"/>
    <ds:schemaRef ds:uri="http://schemas.openxmlformats.org/package/2006/metadata/core-properties"/>
    <ds:schemaRef ds:uri="http://purl.org/dc/terms/"/>
    <ds:schemaRef ds:uri="http://www.w3.org/XML/1998/namespace"/>
    <ds:schemaRef ds:uri="98b04e1e-0540-4930-9623-702d547a0a33"/>
    <ds:schemaRef ds:uri="http://schemas.microsoft.com/office/2006/documentManagement/types"/>
    <ds:schemaRef ds:uri="085b46e1-7f22-4e81-9ba5-912dc5a5fd9a"/>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3941A30-8247-4954-B322-1A0C8E9EE3D5}">
  <ds:schemaRefs>
    <ds:schemaRef ds:uri="http://schemas.microsoft.com/sharepoint/v3/contenttype/forms"/>
  </ds:schemaRefs>
</ds:datastoreItem>
</file>

<file path=customXml/itemProps3.xml><?xml version="1.0" encoding="utf-8"?>
<ds:datastoreItem xmlns:ds="http://schemas.openxmlformats.org/officeDocument/2006/customXml" ds:itemID="{E6FAC34D-25A3-4621-946B-26BC86CED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46e1-7f22-4e81-9ba5-912dc5a5fd9a"/>
    <ds:schemaRef ds:uri="98b04e1e-0540-4930-9623-702d547a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1537</Words>
  <Characters>9237</Characters>
  <Application>Microsoft Office Word</Application>
  <DocSecurity>0</DocSecurity>
  <Lines>401</Lines>
  <Paragraphs>448</Paragraphs>
  <ScaleCrop>false</ScaleCrop>
  <HeadingPairs>
    <vt:vector size="2" baseType="variant">
      <vt:variant>
        <vt:lpstr>Title</vt:lpstr>
      </vt:variant>
      <vt:variant>
        <vt:i4>1</vt:i4>
      </vt:variant>
    </vt:vector>
  </HeadingPairs>
  <TitlesOfParts>
    <vt:vector size="1" baseType="lpstr">
      <vt:lpstr>Update on budget 2026-2027</vt:lpstr>
    </vt:vector>
  </TitlesOfParts>
  <Manager/>
  <Company/>
  <LinksUpToDate>false</LinksUpToDate>
  <CharactersWithSpaces>10326</CharactersWithSpaces>
  <SharedDoc>false</SharedDoc>
  <HLinks>
    <vt:vector size="42" baseType="variant">
      <vt:variant>
        <vt:i4>7536698</vt:i4>
      </vt:variant>
      <vt:variant>
        <vt:i4>18</vt:i4>
      </vt:variant>
      <vt:variant>
        <vt:i4>0</vt:i4>
      </vt:variant>
      <vt:variant>
        <vt:i4>5</vt:i4>
      </vt:variant>
      <vt:variant>
        <vt:lpwstr>https://www.itu.int/md/S25-CL-C-0064/en</vt:lpwstr>
      </vt:variant>
      <vt:variant>
        <vt:lpwstr/>
      </vt:variant>
      <vt:variant>
        <vt:i4>7536698</vt:i4>
      </vt:variant>
      <vt:variant>
        <vt:i4>15</vt:i4>
      </vt:variant>
      <vt:variant>
        <vt:i4>0</vt:i4>
      </vt:variant>
      <vt:variant>
        <vt:i4>5</vt:i4>
      </vt:variant>
      <vt:variant>
        <vt:lpwstr>https://www.itu.int/md/S25-CL-C-0064/en</vt:lpwstr>
      </vt:variant>
      <vt:variant>
        <vt:lpwstr/>
      </vt:variant>
      <vt:variant>
        <vt:i4>7340088</vt:i4>
      </vt:variant>
      <vt:variant>
        <vt:i4>12</vt:i4>
      </vt:variant>
      <vt:variant>
        <vt:i4>0</vt:i4>
      </vt:variant>
      <vt:variant>
        <vt:i4>5</vt:i4>
      </vt:variant>
      <vt:variant>
        <vt:lpwstr>https://www.itu.int/md/S25-CL-C-0047/en</vt:lpwstr>
      </vt:variant>
      <vt:variant>
        <vt:lpwstr/>
      </vt:variant>
      <vt:variant>
        <vt:i4>7209061</vt:i4>
      </vt:variant>
      <vt:variant>
        <vt:i4>9</vt:i4>
      </vt:variant>
      <vt:variant>
        <vt:i4>0</vt:i4>
      </vt:variant>
      <vt:variant>
        <vt:i4>5</vt:i4>
      </vt:variant>
      <vt:variant>
        <vt:lpwstr>https://www.itu.int/en/council/Documents/basic-texts-2023/DEC-005-E.pdf</vt:lpwstr>
      </vt:variant>
      <vt:variant>
        <vt:lpwstr/>
      </vt:variant>
      <vt:variant>
        <vt:i4>7536702</vt:i4>
      </vt:variant>
      <vt:variant>
        <vt:i4>6</vt:i4>
      </vt:variant>
      <vt:variant>
        <vt:i4>0</vt:i4>
      </vt:variant>
      <vt:variant>
        <vt:i4>5</vt:i4>
      </vt:variant>
      <vt:variant>
        <vt:lpwstr>https://www.itu.int/md/S25-CL-C-0125/en</vt:lpwstr>
      </vt:variant>
      <vt:variant>
        <vt:lpwstr/>
      </vt:variant>
      <vt:variant>
        <vt:i4>8323133</vt:i4>
      </vt:variant>
      <vt:variant>
        <vt:i4>3</vt:i4>
      </vt:variant>
      <vt:variant>
        <vt:i4>0</vt:i4>
      </vt:variant>
      <vt:variant>
        <vt:i4>5</vt:i4>
      </vt:variant>
      <vt:variant>
        <vt:lpwstr>https://www.itu.int/md/S25-CL-C-0119/en</vt:lpwstr>
      </vt:variant>
      <vt:variant>
        <vt:lpwstr/>
      </vt:variant>
      <vt:variant>
        <vt:i4>7340088</vt:i4>
      </vt:variant>
      <vt:variant>
        <vt:i4>0</vt:i4>
      </vt:variant>
      <vt:variant>
        <vt:i4>0</vt:i4>
      </vt:variant>
      <vt:variant>
        <vt:i4>5</vt:i4>
      </vt:variant>
      <vt:variant>
        <vt:lpwstr>https://www.itu.int/md/S25-CL-C-0047/en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budget 2026-2027</dc:title>
  <dc:subject>ITU Council Working Group on Financial and Human Resources</dc:subject>
  <dc:creator/>
  <cp:keywords>CWG-FHR, C26, Council-26</cp:keywords>
  <dc:description/>
  <cp:lastModifiedBy>GBS</cp:lastModifiedBy>
  <cp:revision>4</cp:revision>
  <cp:lastPrinted>2025-08-02T17:15:00Z</cp:lastPrinted>
  <dcterms:created xsi:type="dcterms:W3CDTF">2025-12-15T09:22:00Z</dcterms:created>
  <dcterms:modified xsi:type="dcterms:W3CDTF">2025-12-15T09:56:00Z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0x010100927A014BF6FE3A4AB656F5985E3C82C4</vt:lpwstr>
  </property>
  <property fmtid="{D5CDD505-2E9C-101B-9397-08002B2CF9AE}" pid="3" name="MediaServiceImageTags">
    <vt:lpwstr/>
  </property>
  <property fmtid="{D5CDD505-2E9C-101B-9397-08002B2CF9AE}" pid="4" name="MSIP_Label_42920c34-aae9-4b48-aced-a40f3b79b818_Enabled">
    <vt:lpwstr>true</vt:lpwstr>
  </property>
  <property fmtid="{D5CDD505-2E9C-101B-9397-08002B2CF9AE}" pid="5" name="MSIP_Label_42920c34-aae9-4b48-aced-a40f3b79b818_SetDate">
    <vt:lpwstr>2025-11-10T14:28:39Z</vt:lpwstr>
  </property>
  <property fmtid="{D5CDD505-2E9C-101B-9397-08002B2CF9AE}" pid="6" name="MSIP_Label_42920c34-aae9-4b48-aced-a40f3b79b818_Method">
    <vt:lpwstr>Privileged</vt:lpwstr>
  </property>
  <property fmtid="{D5CDD505-2E9C-101B-9397-08002B2CF9AE}" pid="7" name="MSIP_Label_42920c34-aae9-4b48-aced-a40f3b79b818_Name">
    <vt:lpwstr>Sensitive Personal Data</vt:lpwstr>
  </property>
  <property fmtid="{D5CDD505-2E9C-101B-9397-08002B2CF9AE}" pid="8" name="MSIP_Label_42920c34-aae9-4b48-aced-a40f3b79b818_SiteId">
    <vt:lpwstr>23e464d7-04e6-4b87-913c-24bd89219fd3</vt:lpwstr>
  </property>
  <property fmtid="{D5CDD505-2E9C-101B-9397-08002B2CF9AE}" pid="9" name="MSIP_Label_42920c34-aae9-4b48-aced-a40f3b79b818_ActionId">
    <vt:lpwstr>f904f02e-6938-4823-a344-01396de0d63c</vt:lpwstr>
  </property>
  <property fmtid="{D5CDD505-2E9C-101B-9397-08002B2CF9AE}" pid="10" name="MSIP_Label_42920c34-aae9-4b48-aced-a40f3b79b818_ContentBits">
    <vt:lpwstr>0</vt:lpwstr>
  </property>
  <property fmtid="{D5CDD505-2E9C-101B-9397-08002B2CF9AE}" pid="11" name="MSIP_Label_42920c34-aae9-4b48-aced-a40f3b79b818_Tag">
    <vt:lpwstr>10, 2, 1, 1</vt:lpwstr>
  </property>
</Properties>
</file>