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B235E" w14:paraId="0043AC80" w14:textId="77777777" w:rsidTr="00AD3606">
        <w:trPr>
          <w:cantSplit/>
          <w:trHeight w:val="23"/>
        </w:trPr>
        <w:tc>
          <w:tcPr>
            <w:tcW w:w="3969" w:type="dxa"/>
            <w:vMerge w:val="restart"/>
            <w:tcMar>
              <w:left w:w="0" w:type="dxa"/>
            </w:tcMar>
          </w:tcPr>
          <w:p w14:paraId="60A806D3" w14:textId="6316C87D" w:rsidR="00AD3606" w:rsidRPr="002B235E"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575C1E7" w:rsidR="00AD3606" w:rsidRPr="002B235E" w:rsidRDefault="00AD3606" w:rsidP="00472BAD">
            <w:pPr>
              <w:tabs>
                <w:tab w:val="left" w:pos="851"/>
              </w:tabs>
              <w:spacing w:before="0" w:line="240" w:lineRule="atLeast"/>
              <w:jc w:val="right"/>
              <w:rPr>
                <w:b/>
              </w:rPr>
            </w:pPr>
            <w:r w:rsidRPr="002B235E">
              <w:rPr>
                <w:b/>
              </w:rPr>
              <w:t>Document C</w:t>
            </w:r>
            <w:r w:rsidR="00A52C84" w:rsidRPr="002B235E">
              <w:rPr>
                <w:b/>
              </w:rPr>
              <w:t>WG-</w:t>
            </w:r>
            <w:r w:rsidR="009F347C" w:rsidRPr="002B235E">
              <w:rPr>
                <w:b/>
              </w:rPr>
              <w:t>FHR</w:t>
            </w:r>
            <w:r w:rsidR="00A52C84" w:rsidRPr="002B235E">
              <w:rPr>
                <w:b/>
              </w:rPr>
              <w:t>-</w:t>
            </w:r>
            <w:r w:rsidR="00AE78C0" w:rsidRPr="002B235E">
              <w:rPr>
                <w:b/>
              </w:rPr>
              <w:t>22</w:t>
            </w:r>
            <w:r w:rsidRPr="002B235E">
              <w:rPr>
                <w:b/>
              </w:rPr>
              <w:t>/</w:t>
            </w:r>
            <w:r w:rsidR="00A70DDE" w:rsidRPr="002B235E">
              <w:rPr>
                <w:b/>
              </w:rPr>
              <w:t>19</w:t>
            </w:r>
          </w:p>
        </w:tc>
      </w:tr>
      <w:tr w:rsidR="00AD3606" w:rsidRPr="002B235E" w14:paraId="789B45BA" w14:textId="77777777" w:rsidTr="00AD3606">
        <w:trPr>
          <w:cantSplit/>
        </w:trPr>
        <w:tc>
          <w:tcPr>
            <w:tcW w:w="3969" w:type="dxa"/>
            <w:vMerge/>
          </w:tcPr>
          <w:p w14:paraId="3F3D4E17" w14:textId="77777777" w:rsidR="00AD3606" w:rsidRPr="002B23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45A09E13" w:rsidR="00AD3606" w:rsidRPr="002B235E" w:rsidRDefault="00716629" w:rsidP="00AD3606">
            <w:pPr>
              <w:tabs>
                <w:tab w:val="left" w:pos="851"/>
              </w:tabs>
              <w:spacing w:before="0"/>
              <w:jc w:val="right"/>
              <w:rPr>
                <w:b/>
              </w:rPr>
            </w:pPr>
            <w:r w:rsidRPr="002B235E">
              <w:rPr>
                <w:b/>
              </w:rPr>
              <w:t>15</w:t>
            </w:r>
            <w:r w:rsidR="00AA51EB" w:rsidRPr="002B235E">
              <w:rPr>
                <w:b/>
              </w:rPr>
              <w:t xml:space="preserve"> December 2025</w:t>
            </w:r>
          </w:p>
        </w:tc>
      </w:tr>
      <w:tr w:rsidR="00AD3606" w:rsidRPr="002B235E" w14:paraId="58A84C4A" w14:textId="77777777" w:rsidTr="00AD3606">
        <w:trPr>
          <w:cantSplit/>
          <w:trHeight w:val="23"/>
        </w:trPr>
        <w:tc>
          <w:tcPr>
            <w:tcW w:w="3969" w:type="dxa"/>
            <w:vMerge/>
          </w:tcPr>
          <w:p w14:paraId="77CEDDAA" w14:textId="77777777" w:rsidR="00AD3606" w:rsidRPr="002B23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2B235E" w:rsidRDefault="00891503" w:rsidP="00AD3606">
            <w:pPr>
              <w:tabs>
                <w:tab w:val="left" w:pos="851"/>
              </w:tabs>
              <w:spacing w:before="0" w:line="240" w:lineRule="atLeast"/>
              <w:jc w:val="right"/>
              <w:rPr>
                <w:b/>
              </w:rPr>
            </w:pPr>
            <w:r w:rsidRPr="002B235E">
              <w:rPr>
                <w:b/>
              </w:rPr>
              <w:t>English</w:t>
            </w:r>
            <w:r w:rsidR="009B2D4B" w:rsidRPr="002B235E">
              <w:rPr>
                <w:b/>
              </w:rPr>
              <w:t xml:space="preserve"> only</w:t>
            </w:r>
          </w:p>
        </w:tc>
      </w:tr>
      <w:tr w:rsidR="00472BAD" w:rsidRPr="002B235E" w14:paraId="12C5EF5F" w14:textId="77777777" w:rsidTr="00AD3606">
        <w:trPr>
          <w:cantSplit/>
          <w:trHeight w:val="23"/>
        </w:trPr>
        <w:tc>
          <w:tcPr>
            <w:tcW w:w="3969" w:type="dxa"/>
          </w:tcPr>
          <w:p w14:paraId="4B839BA2" w14:textId="77777777" w:rsidR="00472BAD" w:rsidRPr="002B235E" w:rsidRDefault="00472BAD" w:rsidP="00AD3606">
            <w:pPr>
              <w:tabs>
                <w:tab w:val="left" w:pos="851"/>
              </w:tabs>
              <w:spacing w:line="240" w:lineRule="atLeast"/>
              <w:rPr>
                <w:b/>
              </w:rPr>
            </w:pPr>
          </w:p>
        </w:tc>
        <w:tc>
          <w:tcPr>
            <w:tcW w:w="5245" w:type="dxa"/>
          </w:tcPr>
          <w:p w14:paraId="12F66D25" w14:textId="77777777" w:rsidR="00472BAD" w:rsidRPr="002B235E" w:rsidRDefault="00472BAD" w:rsidP="00AD3606">
            <w:pPr>
              <w:tabs>
                <w:tab w:val="left" w:pos="851"/>
              </w:tabs>
              <w:spacing w:before="0" w:line="240" w:lineRule="atLeast"/>
              <w:jc w:val="right"/>
              <w:rPr>
                <w:b/>
              </w:rPr>
            </w:pPr>
          </w:p>
        </w:tc>
      </w:tr>
      <w:tr w:rsidR="00AD3606" w:rsidRPr="002B235E" w14:paraId="27000B2A" w14:textId="77777777" w:rsidTr="00AD3606">
        <w:trPr>
          <w:cantSplit/>
        </w:trPr>
        <w:tc>
          <w:tcPr>
            <w:tcW w:w="9214" w:type="dxa"/>
            <w:gridSpan w:val="2"/>
            <w:tcMar>
              <w:left w:w="0" w:type="dxa"/>
            </w:tcMar>
          </w:tcPr>
          <w:p w14:paraId="4E7CDB90" w14:textId="54A1C3C9" w:rsidR="00AD3606" w:rsidRPr="002B235E" w:rsidRDefault="005203BE" w:rsidP="00676C7D">
            <w:pPr>
              <w:pStyle w:val="Source"/>
              <w:framePr w:hSpace="0" w:wrap="auto" w:vAnchor="margin" w:hAnchor="text" w:xAlign="left" w:yAlign="inline"/>
            </w:pPr>
            <w:bookmarkStart w:id="8" w:name="dsource" w:colFirst="0" w:colLast="0"/>
            <w:bookmarkEnd w:id="7"/>
            <w:r w:rsidRPr="002B235E">
              <w:t>Report by the Secretary-General</w:t>
            </w:r>
          </w:p>
        </w:tc>
      </w:tr>
      <w:tr w:rsidR="00AD3606" w:rsidRPr="002B235E" w14:paraId="2340750D" w14:textId="77777777" w:rsidTr="00AD3606">
        <w:trPr>
          <w:cantSplit/>
        </w:trPr>
        <w:tc>
          <w:tcPr>
            <w:tcW w:w="9214" w:type="dxa"/>
            <w:gridSpan w:val="2"/>
            <w:tcMar>
              <w:left w:w="0" w:type="dxa"/>
            </w:tcMar>
          </w:tcPr>
          <w:p w14:paraId="47B91AA8" w14:textId="3BC7A671" w:rsidR="00AD3606" w:rsidRPr="002B235E" w:rsidRDefault="006E146E" w:rsidP="00676C7D">
            <w:pPr>
              <w:pStyle w:val="Subtitle"/>
              <w:framePr w:hSpace="0" w:wrap="auto" w:xAlign="left" w:yAlign="inline"/>
            </w:pPr>
            <w:bookmarkStart w:id="9" w:name="dtitle1" w:colFirst="0" w:colLast="0"/>
            <w:bookmarkEnd w:id="8"/>
            <w:r w:rsidRPr="002B235E">
              <w:t>REDUCING FINANCIAL BURDENS ON HOST COUNTRIES OF ITU CONFERENCES, MEETINGS AND ACTIVITIES</w:t>
            </w:r>
          </w:p>
        </w:tc>
      </w:tr>
      <w:tr w:rsidR="00AD3606" w:rsidRPr="002B23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2B235E" w:rsidRDefault="00F16BAB" w:rsidP="00F16BAB">
            <w:pPr>
              <w:spacing w:before="160"/>
              <w:rPr>
                <w:b/>
                <w:bCs/>
                <w:sz w:val="26"/>
                <w:szCs w:val="26"/>
              </w:rPr>
            </w:pPr>
            <w:r w:rsidRPr="002B235E">
              <w:rPr>
                <w:b/>
                <w:bCs/>
                <w:sz w:val="26"/>
                <w:szCs w:val="26"/>
              </w:rPr>
              <w:t>Purpose</w:t>
            </w:r>
          </w:p>
          <w:p w14:paraId="2E09FE8B" w14:textId="4215D851" w:rsidR="00AD3606" w:rsidRPr="002B235E" w:rsidRDefault="00AA51EB" w:rsidP="006A1EB8">
            <w:pPr>
              <w:jc w:val="both"/>
            </w:pPr>
            <w:r w:rsidRPr="002B235E">
              <w:t>This document provides an update on potential measures to reduce financial burdens on host countries of ITU conferences, meetings and activities. It follows the initial assessment presented to CWG</w:t>
            </w:r>
            <w:r w:rsidR="006A1EB8" w:rsidRPr="002B235E">
              <w:t>-</w:t>
            </w:r>
            <w:r w:rsidRPr="002B235E">
              <w:t>FHR in its 21</w:t>
            </w:r>
            <w:r w:rsidRPr="002B235E">
              <w:rPr>
                <w:vertAlign w:val="superscript"/>
              </w:rPr>
              <w:t>st</w:t>
            </w:r>
            <w:r w:rsidRPr="002B235E">
              <w:t xml:space="preserve"> meeting of the proposals made to Council 2025 in multi-country contribution Document </w:t>
            </w:r>
            <w:hyperlink r:id="rId11">
              <w:proofErr w:type="spellStart"/>
              <w:r w:rsidRPr="002B235E">
                <w:rPr>
                  <w:rStyle w:val="Hyperlink"/>
                </w:rPr>
                <w:t>C25</w:t>
              </w:r>
              <w:proofErr w:type="spellEnd"/>
              <w:r w:rsidRPr="002B235E">
                <w:rPr>
                  <w:rStyle w:val="Hyperlink"/>
                </w:rPr>
                <w:t>/95</w:t>
              </w:r>
            </w:hyperlink>
            <w:r w:rsidRPr="002B235E">
              <w:t xml:space="preserve">. This document additionally includes a review of the Model Host Country Agreement and Document </w:t>
            </w:r>
            <w:hyperlink r:id="rId12" w:history="1">
              <w:proofErr w:type="spellStart"/>
              <w:r w:rsidRPr="002B235E">
                <w:rPr>
                  <w:rStyle w:val="Hyperlink"/>
                </w:rPr>
                <w:t>C23</w:t>
              </w:r>
              <w:proofErr w:type="spellEnd"/>
              <w:r w:rsidRPr="002B235E">
                <w:rPr>
                  <w:rStyle w:val="Hyperlink"/>
                </w:rPr>
                <w:t>/84</w:t>
              </w:r>
            </w:hyperlink>
            <w:r w:rsidRPr="002B235E">
              <w:t xml:space="preserve"> submitted to Council</w:t>
            </w:r>
            <w:r w:rsidR="006A1EB8" w:rsidRPr="002B235E">
              <w:t>-</w:t>
            </w:r>
            <w:r w:rsidRPr="002B235E">
              <w:t>23 by Romania with respect to reducing the cost burden.</w:t>
            </w:r>
          </w:p>
          <w:p w14:paraId="5076D5C4" w14:textId="28F00572" w:rsidR="00AD3606" w:rsidRPr="002B235E" w:rsidRDefault="00AD3606" w:rsidP="00F16BAB">
            <w:pPr>
              <w:spacing w:before="160"/>
              <w:rPr>
                <w:b/>
                <w:bCs/>
                <w:sz w:val="26"/>
                <w:szCs w:val="26"/>
              </w:rPr>
            </w:pPr>
            <w:r w:rsidRPr="002B235E">
              <w:rPr>
                <w:b/>
                <w:bCs/>
                <w:sz w:val="26"/>
                <w:szCs w:val="26"/>
              </w:rPr>
              <w:t>Action required</w:t>
            </w:r>
          </w:p>
          <w:p w14:paraId="53A776F1" w14:textId="2B4BBD01" w:rsidR="00891503" w:rsidRPr="002B235E" w:rsidRDefault="00AA51EB" w:rsidP="00AA51EB">
            <w:pPr>
              <w:spacing w:before="160"/>
              <w:jc w:val="both"/>
            </w:pPr>
            <w:r w:rsidRPr="002B235E">
              <w:t xml:space="preserve">The Council Working Group on financial and human resources is invited to </w:t>
            </w:r>
            <w:r w:rsidRPr="002B235E">
              <w:rPr>
                <w:b/>
                <w:bCs/>
              </w:rPr>
              <w:t xml:space="preserve">consider </w:t>
            </w:r>
            <w:r w:rsidRPr="002B235E">
              <w:t>this document.</w:t>
            </w:r>
          </w:p>
          <w:p w14:paraId="7B35FFE5" w14:textId="77777777" w:rsidR="0073553F" w:rsidRPr="002B235E" w:rsidRDefault="0073553F">
            <w:r w:rsidRPr="002B235E">
              <w:t>_______________</w:t>
            </w:r>
          </w:p>
          <w:p w14:paraId="00DEE14C" w14:textId="77777777" w:rsidR="00AD3606" w:rsidRPr="002B235E" w:rsidRDefault="00AD3606" w:rsidP="00F16BAB">
            <w:pPr>
              <w:spacing w:before="160"/>
              <w:rPr>
                <w:b/>
                <w:bCs/>
                <w:sz w:val="26"/>
                <w:szCs w:val="26"/>
              </w:rPr>
            </w:pPr>
            <w:r w:rsidRPr="002B235E">
              <w:rPr>
                <w:b/>
                <w:bCs/>
                <w:sz w:val="26"/>
                <w:szCs w:val="26"/>
              </w:rPr>
              <w:t>References</w:t>
            </w:r>
          </w:p>
          <w:p w14:paraId="0175CD6C" w14:textId="2C8E99AE" w:rsidR="00AD3606" w:rsidRPr="002B235E" w:rsidRDefault="00FD7016" w:rsidP="00F16BAB">
            <w:pPr>
              <w:spacing w:after="160"/>
              <w:rPr>
                <w:i/>
                <w:iCs/>
                <w:sz w:val="22"/>
                <w:szCs w:val="22"/>
              </w:rPr>
            </w:pPr>
            <w:hyperlink r:id="rId13" w:history="1">
              <w:r w:rsidRPr="002B235E">
                <w:rPr>
                  <w:rStyle w:val="Hyperlink"/>
                  <w:i/>
                  <w:iCs/>
                  <w:sz w:val="22"/>
                  <w:szCs w:val="22"/>
                </w:rPr>
                <w:t>CWG-FHR website</w:t>
              </w:r>
            </w:hyperlink>
            <w:r w:rsidRPr="002B235E">
              <w:rPr>
                <w:i/>
                <w:iCs/>
                <w:sz w:val="22"/>
                <w:szCs w:val="22"/>
              </w:rPr>
              <w:t xml:space="preserve">; </w:t>
            </w:r>
            <w:r w:rsidR="00AA51EB" w:rsidRPr="002B235E">
              <w:rPr>
                <w:i/>
                <w:iCs/>
                <w:sz w:val="22"/>
                <w:szCs w:val="22"/>
              </w:rPr>
              <w:t xml:space="preserve">Documents </w:t>
            </w:r>
            <w:hyperlink r:id="rId14" w:history="1">
              <w:proofErr w:type="spellStart"/>
              <w:r w:rsidR="00AA51EB" w:rsidRPr="002B235E">
                <w:rPr>
                  <w:rStyle w:val="Hyperlink"/>
                  <w:i/>
                  <w:iCs/>
                  <w:sz w:val="22"/>
                  <w:szCs w:val="22"/>
                </w:rPr>
                <w:t>C25</w:t>
              </w:r>
              <w:proofErr w:type="spellEnd"/>
              <w:r w:rsidR="00AA51EB" w:rsidRPr="002B235E">
                <w:rPr>
                  <w:rStyle w:val="Hyperlink"/>
                  <w:i/>
                  <w:iCs/>
                  <w:sz w:val="22"/>
                  <w:szCs w:val="22"/>
                </w:rPr>
                <w:t>/95</w:t>
              </w:r>
            </w:hyperlink>
            <w:r w:rsidR="0029095C" w:rsidRPr="002B235E">
              <w:rPr>
                <w:i/>
                <w:iCs/>
                <w:sz w:val="22"/>
                <w:szCs w:val="22"/>
              </w:rPr>
              <w:t xml:space="preserve"> and</w:t>
            </w:r>
            <w:r w:rsidR="00AA51EB" w:rsidRPr="002B235E">
              <w:rPr>
                <w:i/>
                <w:iCs/>
                <w:sz w:val="22"/>
                <w:szCs w:val="22"/>
              </w:rPr>
              <w:t xml:space="preserve"> </w:t>
            </w:r>
            <w:hyperlink r:id="rId15" w:history="1">
              <w:r w:rsidR="00AA51EB" w:rsidRPr="002B235E">
                <w:rPr>
                  <w:rStyle w:val="Hyperlink"/>
                  <w:i/>
                  <w:iCs/>
                  <w:sz w:val="22"/>
                  <w:szCs w:val="22"/>
                </w:rPr>
                <w:t>CWG-FHR-21/8</w:t>
              </w:r>
            </w:hyperlink>
          </w:p>
        </w:tc>
      </w:tr>
    </w:tbl>
    <w:p w14:paraId="4CDB8B60" w14:textId="77777777" w:rsidR="00E227F3" w:rsidRPr="002B235E"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2B235E"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2B235E">
        <w:br w:type="page"/>
      </w:r>
    </w:p>
    <w:bookmarkEnd w:id="5"/>
    <w:bookmarkEnd w:id="10"/>
    <w:p w14:paraId="653EE672" w14:textId="77777777" w:rsidR="00AA51EB" w:rsidRPr="002B235E" w:rsidRDefault="00AA51EB" w:rsidP="006A1EB8">
      <w:pPr>
        <w:pStyle w:val="Headingb"/>
        <w:rPr>
          <w:lang w:val="en-GB"/>
        </w:rPr>
      </w:pPr>
      <w:r w:rsidRPr="002B235E">
        <w:rPr>
          <w:lang w:val="en-GB"/>
        </w:rPr>
        <w:lastRenderedPageBreak/>
        <w:t>Proposal 1: Utilize more local and/or national interpretation resources and implement RSI for ITU events</w:t>
      </w:r>
    </w:p>
    <w:p w14:paraId="391B8858" w14:textId="77777777" w:rsidR="00AA51EB" w:rsidRPr="002B235E" w:rsidRDefault="00AA51EB" w:rsidP="00B7688F">
      <w:pPr>
        <w:jc w:val="both"/>
      </w:pPr>
      <w:r w:rsidRPr="002B235E">
        <w:t>Recruiting qualified local interpreters would reduce the cost of travel, accommodation and per diem expenses for interpreters otherwise borne by the host country or ITU.</w:t>
      </w:r>
    </w:p>
    <w:p w14:paraId="704A6524" w14:textId="77777777" w:rsidR="00AA51EB" w:rsidRPr="002B235E" w:rsidRDefault="00AA51EB" w:rsidP="006A1EB8">
      <w:pPr>
        <w:pStyle w:val="Headingi"/>
      </w:pPr>
      <w:r w:rsidRPr="002B235E">
        <w:t>Update on measures to formalize and expand the use of local and national interpreters</w:t>
      </w:r>
    </w:p>
    <w:p w14:paraId="711719B9" w14:textId="7FC7239A" w:rsidR="00AA51EB" w:rsidRPr="002B235E" w:rsidRDefault="00AA51EB" w:rsidP="00B7688F">
      <w:pPr>
        <w:tabs>
          <w:tab w:val="num" w:pos="720"/>
        </w:tabs>
        <w:jc w:val="both"/>
      </w:pPr>
      <w:bookmarkStart w:id="11" w:name="_Hlk213936764"/>
      <w:r w:rsidRPr="002B235E">
        <w:t>A formal proposal for Member States to collaborate on the creation of a pool of local and national interpreters has been prepared and presented to CWG</w:t>
      </w:r>
      <w:r w:rsidR="006A1EB8" w:rsidRPr="002B235E">
        <w:t>-</w:t>
      </w:r>
      <w:r w:rsidRPr="002B235E">
        <w:t xml:space="preserve">LANG for its consideration as Document </w:t>
      </w:r>
      <w:hyperlink r:id="rId16" w:history="1">
        <w:r w:rsidRPr="002B235E">
          <w:rPr>
            <w:rStyle w:val="Hyperlink"/>
          </w:rPr>
          <w:t>CWG</w:t>
        </w:r>
        <w:r w:rsidR="006A1EB8" w:rsidRPr="002B235E">
          <w:rPr>
            <w:rStyle w:val="Hyperlink"/>
          </w:rPr>
          <w:t>-</w:t>
        </w:r>
        <w:r w:rsidRPr="002B235E">
          <w:rPr>
            <w:rStyle w:val="Hyperlink"/>
          </w:rPr>
          <w:t>LANG</w:t>
        </w:r>
        <w:r w:rsidR="006A1EB8" w:rsidRPr="002B235E">
          <w:rPr>
            <w:rStyle w:val="Hyperlink"/>
          </w:rPr>
          <w:t>-</w:t>
        </w:r>
        <w:r w:rsidRPr="002B235E">
          <w:rPr>
            <w:rStyle w:val="Hyperlink"/>
          </w:rPr>
          <w:t>17/</w:t>
        </w:r>
        <w:r w:rsidR="00A930F9" w:rsidRPr="002B235E">
          <w:rPr>
            <w:rStyle w:val="Hyperlink"/>
          </w:rPr>
          <w:t>3</w:t>
        </w:r>
      </w:hyperlink>
      <w:r w:rsidRPr="002B235E">
        <w:t xml:space="preserve">. The proposal invites Member States to nominate qualified local and national conference interpreters and sets out minimum standards required in line with United Nations guidelines, such as language combinations, university qualifications and previous experience in conference interpretation.  The proposal includes a call for universities to help in the training of qualified interpreters in local communities. </w:t>
      </w:r>
    </w:p>
    <w:p w14:paraId="1E42D3F5" w14:textId="2D663DB3" w:rsidR="00AA51EB" w:rsidRPr="002B235E" w:rsidRDefault="00AA51EB" w:rsidP="00B7688F">
      <w:pPr>
        <w:tabs>
          <w:tab w:val="num" w:pos="720"/>
        </w:tabs>
        <w:jc w:val="both"/>
      </w:pPr>
      <w:r w:rsidRPr="002B235E">
        <w:t xml:space="preserve">Once the responses from Member States have been collected and evaluated, the ITU secretariat will invite nominated qualified interpreters to join a future pool from which ITU could draw when conferences are held outside of Geneva. This pool of available local interpreters is expected to be finalized by the end of 2026 or early 2027. This initiative will contribute to reducing costs currently borne by host countries in the form of per diems, hotel accommodation and flights. </w:t>
      </w:r>
    </w:p>
    <w:p w14:paraId="04CA1A53" w14:textId="77777777" w:rsidR="00AA51EB" w:rsidRPr="002B235E" w:rsidRDefault="00AA51EB" w:rsidP="006A1EB8">
      <w:pPr>
        <w:pStyle w:val="Headingi"/>
      </w:pPr>
      <w:r w:rsidRPr="002B235E">
        <w:t>Potential challenges</w:t>
      </w:r>
    </w:p>
    <w:p w14:paraId="58609E18" w14:textId="2E5DB493" w:rsidR="00AA51EB" w:rsidRPr="002B235E" w:rsidRDefault="00AA51EB" w:rsidP="00B7688F">
      <w:pPr>
        <w:tabs>
          <w:tab w:val="num" w:pos="720"/>
        </w:tabs>
        <w:jc w:val="both"/>
      </w:pPr>
      <w:r w:rsidRPr="002B235E">
        <w:t xml:space="preserve">The global interpretation market is highly nuanced and diverse. Talent pools are normally concentrated around areas where UN agencies and other international organisations maintain their presence, such as Brussels, Vienna, New York, Rome, Paris, Nairobi and Bangkok. Due to specific local market conditions, it is likely that ITU will be able to source local interpreters for one or more of the six official Union languages if these languages are spoken locally, and if there is a market for such interpretation services, but not for all of the official languages or not to the same standard in all languages. </w:t>
      </w:r>
    </w:p>
    <w:p w14:paraId="0D9DE48D" w14:textId="77777777" w:rsidR="00AA51EB" w:rsidRPr="002B235E" w:rsidRDefault="00AA51EB" w:rsidP="00B7688F">
      <w:pPr>
        <w:tabs>
          <w:tab w:val="num" w:pos="720"/>
        </w:tabs>
        <w:jc w:val="both"/>
      </w:pPr>
      <w:r w:rsidRPr="002B235E">
        <w:t xml:space="preserve">In addition, interpretation is a niche market and the number of reputable schools around the world training interpreters to a suitable standard is very limited. </w:t>
      </w:r>
    </w:p>
    <w:p w14:paraId="7D55A2ED" w14:textId="32AEC2B2" w:rsidR="00AA51EB" w:rsidRPr="002B235E" w:rsidRDefault="00AA51EB" w:rsidP="00B7688F">
      <w:pPr>
        <w:tabs>
          <w:tab w:val="num" w:pos="720"/>
        </w:tabs>
        <w:jc w:val="both"/>
      </w:pPr>
      <w:r w:rsidRPr="002B235E">
        <w:t>Given these challenges, as well as the issue of availability, remote simultaneous interpretation (RSI)</w:t>
      </w:r>
      <w:r w:rsidR="27A9F3A8" w:rsidRPr="002B235E">
        <w:t xml:space="preserve"> is a strong option to address </w:t>
      </w:r>
      <w:r w:rsidRPr="002B235E">
        <w:t xml:space="preserve">the aim of reducing the financial burden on ITU host countries. </w:t>
      </w:r>
    </w:p>
    <w:bookmarkEnd w:id="11"/>
    <w:p w14:paraId="595856A8" w14:textId="77777777" w:rsidR="00AA51EB" w:rsidRPr="002B235E" w:rsidDel="001E794E" w:rsidRDefault="00AA51EB" w:rsidP="006A1EB8">
      <w:pPr>
        <w:pStyle w:val="Headingi"/>
      </w:pPr>
      <w:r w:rsidRPr="002B235E">
        <w:t>Update on implementation of Remote Simultaneous Interpretation (RSI)</w:t>
      </w:r>
    </w:p>
    <w:p w14:paraId="2D014EEA" w14:textId="35D0F302" w:rsidR="00AA51EB" w:rsidRPr="002B235E" w:rsidDel="001E794E" w:rsidRDefault="00AA51EB" w:rsidP="00B7688F">
      <w:pPr>
        <w:tabs>
          <w:tab w:val="num" w:pos="720"/>
        </w:tabs>
        <w:jc w:val="both"/>
      </w:pPr>
      <w:r w:rsidRPr="002B235E">
        <w:t xml:space="preserve">RSI offers a viable, cost-effective alternative to onsite simultaneous interpretation. RSI enables interpreters to work remotely, thereby substantially reducing travel-related costs. RSI solutions have been tested for ITU meetings extensively in recent years in informal meetings. In October 2025, ITU piloted the recruitment of local and national interpreters to support ITU meetings remotely via Zoom. This approach ensures high quality services while still generating savings and reducing the burden on both the ITU and potential hosts. </w:t>
      </w:r>
    </w:p>
    <w:p w14:paraId="263D1F5B" w14:textId="77777777" w:rsidR="00AA51EB" w:rsidRPr="002B235E" w:rsidDel="001E794E" w:rsidRDefault="00AA51EB" w:rsidP="00B7688F">
      <w:pPr>
        <w:tabs>
          <w:tab w:val="num" w:pos="720"/>
        </w:tabs>
        <w:jc w:val="both"/>
      </w:pPr>
      <w:r w:rsidRPr="002B235E">
        <w:t xml:space="preserve">RSI may also be used for certain events outside Geneva with the agreement of the Host Country and with close technical collaboration between the technical teams of ITU and the Host Country to ensure all elements are in place for successful remote delivery. </w:t>
      </w:r>
    </w:p>
    <w:p w14:paraId="11E8B051" w14:textId="2C075D62" w:rsidR="00AA51EB" w:rsidRPr="002B235E" w:rsidDel="001E794E" w:rsidRDefault="00AA51EB" w:rsidP="00B7688F">
      <w:pPr>
        <w:jc w:val="both"/>
      </w:pPr>
      <w:r w:rsidRPr="002B235E">
        <w:lastRenderedPageBreak/>
        <w:t>Additionally, as part of the long-term interpretation strategy and in order to keep up with emerging technological advances, ITU will continue to test and evaluate AI-based interpretation and captioning products in non-plenary meetings.</w:t>
      </w:r>
    </w:p>
    <w:p w14:paraId="26C0C721" w14:textId="6A6187F0" w:rsidR="00AA51EB" w:rsidRPr="002B235E" w:rsidRDefault="00AA51EB" w:rsidP="0017662E">
      <w:pPr>
        <w:pStyle w:val="Headingb"/>
        <w:rPr>
          <w:lang w:val="en-GB"/>
        </w:rPr>
      </w:pPr>
      <w:r w:rsidRPr="002B235E">
        <w:rPr>
          <w:lang w:val="en-GB"/>
        </w:rPr>
        <w:t xml:space="preserve">Proposal 2: </w:t>
      </w:r>
      <w:r w:rsidR="003D3F27" w:rsidRPr="002B235E">
        <w:rPr>
          <w:lang w:val="en-GB"/>
        </w:rPr>
        <w:t xml:space="preserve">Local </w:t>
      </w:r>
      <w:r w:rsidRPr="002B235E">
        <w:rPr>
          <w:lang w:val="en-GB"/>
        </w:rPr>
        <w:t>provision of IT equipment and devices</w:t>
      </w:r>
    </w:p>
    <w:p w14:paraId="4CA3FD34" w14:textId="77777777" w:rsidR="00AA51EB" w:rsidRPr="002B235E" w:rsidRDefault="00AA51EB" w:rsidP="00B7688F">
      <w:pPr>
        <w:jc w:val="both"/>
      </w:pPr>
      <w:r w:rsidRPr="002B235E">
        <w:t>The host country may rent or provide locally available IT equipment to reduce freight costs, customs duties and potential delays, whilst also encouraging the use of local experts and resources in line with Annex 2, Article 5 of Decision 5.</w:t>
      </w:r>
    </w:p>
    <w:p w14:paraId="03B2E862" w14:textId="1B8FF5D1" w:rsidR="2962AFC4" w:rsidRPr="002B235E" w:rsidRDefault="2962AFC4" w:rsidP="3EEFDA9A">
      <w:pPr>
        <w:pStyle w:val="Headingi"/>
        <w:jc w:val="both"/>
        <w:rPr>
          <w:rFonts w:eastAsia="Calibri" w:cs="Calibri"/>
        </w:rPr>
      </w:pPr>
      <w:r w:rsidRPr="002B235E">
        <w:rPr>
          <w:rFonts w:eastAsia="Calibri"/>
        </w:rPr>
        <w:t>Measures previously presented</w:t>
      </w:r>
    </w:p>
    <w:p w14:paraId="48B0FBC0" w14:textId="350BA0C3" w:rsidR="2C35DD89" w:rsidRPr="002B235E" w:rsidRDefault="2C35DD89" w:rsidP="002B235E">
      <w:pPr>
        <w:jc w:val="both"/>
        <w:rPr>
          <w:i/>
        </w:rPr>
      </w:pPr>
      <w:r w:rsidRPr="002B235E">
        <w:t xml:space="preserve">Regarding the measures presented in the last Council Working Group (Doc. </w:t>
      </w:r>
      <w:hyperlink r:id="rId17">
        <w:r w:rsidRPr="002B235E">
          <w:rPr>
            <w:rStyle w:val="Hyperlink"/>
          </w:rPr>
          <w:t>CWG-FHR-21/8</w:t>
        </w:r>
      </w:hyperlink>
      <w:r w:rsidRPr="002B235E">
        <w:t>), ITU is undertaking a deep analysis of the feasibility of the points presented in the document i</w:t>
      </w:r>
      <w:r w:rsidR="541238EA" w:rsidRPr="002B235E">
        <w:t xml:space="preserve">ncluding: </w:t>
      </w:r>
    </w:p>
    <w:p w14:paraId="019F86B9" w14:textId="6026D9F3" w:rsidR="00AA51EB" w:rsidRPr="002B235E" w:rsidRDefault="00AA51EB" w:rsidP="005D3349">
      <w:pPr>
        <w:pStyle w:val="enumlev1"/>
      </w:pPr>
      <w:r w:rsidRPr="002B235E">
        <w:t>1</w:t>
      </w:r>
      <w:r w:rsidRPr="002B235E">
        <w:tab/>
        <w:t xml:space="preserve">Mapping minimum technical specifications. </w:t>
      </w:r>
    </w:p>
    <w:p w14:paraId="60002865" w14:textId="567026C6" w:rsidR="00AA51EB" w:rsidRPr="002B235E" w:rsidRDefault="00AA51EB" w:rsidP="005D3349">
      <w:pPr>
        <w:pStyle w:val="enumlev1"/>
        <w:rPr>
          <w:rFonts w:cs="Calibri"/>
        </w:rPr>
      </w:pPr>
      <w:r w:rsidRPr="002B235E">
        <w:t>2</w:t>
      </w:r>
      <w:r w:rsidRPr="002B235E">
        <w:tab/>
      </w:r>
      <w:r w:rsidR="002B235E" w:rsidRPr="002B235E">
        <w:t>Developing</w:t>
      </w:r>
      <w:r w:rsidRPr="002B235E">
        <w:t xml:space="preserve"> a pre-qualified vendor pool. </w:t>
      </w:r>
    </w:p>
    <w:p w14:paraId="011A8596" w14:textId="77777777" w:rsidR="00AA51EB" w:rsidRPr="002B235E" w:rsidRDefault="00AA51EB" w:rsidP="005D3349">
      <w:pPr>
        <w:pStyle w:val="enumlev1"/>
      </w:pPr>
      <w:r w:rsidRPr="002B235E">
        <w:t>3</w:t>
      </w:r>
      <w:r w:rsidRPr="002B235E">
        <w:tab/>
        <w:t>Piloting hybrid support models. from 2027, reducing reliance on ITU’s private cloud infrastructure in Geneva while maintaining secure and effective event operations.</w:t>
      </w:r>
    </w:p>
    <w:p w14:paraId="718370BB" w14:textId="4A49F21C" w:rsidR="00AA51EB" w:rsidRPr="002B235E" w:rsidRDefault="00AA51EB" w:rsidP="005D3349">
      <w:pPr>
        <w:pStyle w:val="enumlev1"/>
      </w:pPr>
      <w:r w:rsidRPr="002B235E">
        <w:t>4</w:t>
      </w:r>
      <w:r w:rsidRPr="002B235E">
        <w:tab/>
        <w:t>Enhancing service continuity whilst updating operating procedures</w:t>
      </w:r>
      <w:r w:rsidR="0017662E" w:rsidRPr="002B235E">
        <w:t>.</w:t>
      </w:r>
      <w:r w:rsidRPr="002B235E">
        <w:t xml:space="preserve"> </w:t>
      </w:r>
    </w:p>
    <w:p w14:paraId="5A889A56" w14:textId="3AA8F26E" w:rsidR="00AA51EB" w:rsidRPr="002B235E" w:rsidRDefault="353D9620" w:rsidP="0017662E">
      <w:pPr>
        <w:pStyle w:val="Headingb"/>
        <w:rPr>
          <w:lang w:val="en-GB"/>
        </w:rPr>
      </w:pPr>
      <w:r w:rsidRPr="002B235E">
        <w:rPr>
          <w:lang w:val="en-GB"/>
        </w:rPr>
        <w:t xml:space="preserve">Proposal 3: </w:t>
      </w:r>
      <w:r w:rsidR="793B1A76" w:rsidRPr="002B235E">
        <w:rPr>
          <w:lang w:val="en-GB"/>
        </w:rPr>
        <w:t>Advancing toward a fully digital accreditation model for conferences through streamlined processes and enabled digital badges</w:t>
      </w:r>
    </w:p>
    <w:p w14:paraId="49CA07F4" w14:textId="5EA88D20" w:rsidR="00AA51EB" w:rsidRPr="002B235E" w:rsidRDefault="00AA51EB" w:rsidP="3EEFDA9A">
      <w:pPr>
        <w:jc w:val="both"/>
        <w:rPr>
          <w:rFonts w:asciiTheme="minorHAnsi" w:eastAsiaTheme="minorEastAsia" w:hAnsiTheme="minorHAnsi" w:cstheme="minorBidi"/>
          <w:szCs w:val="24"/>
        </w:rPr>
      </w:pPr>
      <w:r w:rsidRPr="002B235E">
        <w:rPr>
          <w:sz w:val="22"/>
          <w:szCs w:val="22"/>
        </w:rPr>
        <w:t>T</w:t>
      </w:r>
      <w:r w:rsidRPr="002B235E">
        <w:rPr>
          <w:rFonts w:asciiTheme="minorHAnsi" w:eastAsiaTheme="minorEastAsia" w:hAnsiTheme="minorHAnsi" w:cstheme="minorBidi"/>
          <w:szCs w:val="24"/>
        </w:rPr>
        <w:t>ransitioning from printed identification materials to digital conference credentials reduces the administrative and material costs of badge production and enhances sustainability, but also involves numerous cost drivers</w:t>
      </w:r>
      <w:r w:rsidR="737AA377" w:rsidRPr="002B235E">
        <w:rPr>
          <w:rFonts w:asciiTheme="minorHAnsi" w:eastAsiaTheme="minorEastAsia" w:hAnsiTheme="minorHAnsi" w:cstheme="minorBidi"/>
          <w:szCs w:val="24"/>
        </w:rPr>
        <w:t xml:space="preserve"> </w:t>
      </w:r>
      <w:r w:rsidR="6456E304" w:rsidRPr="002B235E">
        <w:rPr>
          <w:rFonts w:asciiTheme="minorHAnsi" w:eastAsiaTheme="minorEastAsia" w:hAnsiTheme="minorHAnsi" w:cstheme="minorBidi"/>
          <w:szCs w:val="24"/>
        </w:rPr>
        <w:t>(for example, purchase/rental of speed gates, logistic costs for higher volumes…)</w:t>
      </w:r>
      <w:r w:rsidRPr="002B235E">
        <w:rPr>
          <w:rFonts w:asciiTheme="minorHAnsi" w:eastAsiaTheme="minorEastAsia" w:hAnsiTheme="minorHAnsi" w:cstheme="minorBidi"/>
          <w:szCs w:val="24"/>
        </w:rPr>
        <w:t>, which vary significantly between local (headquarters-adjacent) and international events.</w:t>
      </w:r>
    </w:p>
    <w:p w14:paraId="1FAAD79A" w14:textId="5E42C7D2" w:rsidR="00AA51EB" w:rsidRPr="002B235E" w:rsidRDefault="00AA51EB" w:rsidP="3EEFDA9A">
      <w:pPr>
        <w:jc w:val="both"/>
        <w:rPr>
          <w:rFonts w:asciiTheme="minorHAnsi" w:eastAsiaTheme="minorEastAsia" w:hAnsiTheme="minorHAnsi" w:cstheme="minorBidi"/>
          <w:szCs w:val="24"/>
        </w:rPr>
      </w:pPr>
      <w:r w:rsidRPr="002B235E">
        <w:rPr>
          <w:rFonts w:asciiTheme="minorHAnsi" w:eastAsiaTheme="minorEastAsia" w:hAnsiTheme="minorHAnsi" w:cstheme="minorBidi"/>
          <w:szCs w:val="24"/>
        </w:rPr>
        <w:t xml:space="preserve">Detailed analysis of infrastructure and operational costs for digital accreditation systems indicate increased </w:t>
      </w:r>
      <w:proofErr w:type="spellStart"/>
      <w:r w:rsidRPr="002B235E">
        <w:rPr>
          <w:rFonts w:asciiTheme="minorHAnsi" w:eastAsiaTheme="minorEastAsia" w:hAnsiTheme="minorHAnsi" w:cstheme="minorBidi"/>
          <w:szCs w:val="24"/>
        </w:rPr>
        <w:t>CapEx</w:t>
      </w:r>
      <w:proofErr w:type="spellEnd"/>
      <w:r w:rsidRPr="002B235E">
        <w:rPr>
          <w:rFonts w:asciiTheme="minorHAnsi" w:eastAsiaTheme="minorEastAsia" w:hAnsiTheme="minorHAnsi" w:cstheme="minorBidi"/>
          <w:szCs w:val="24"/>
        </w:rPr>
        <w:t xml:space="preserve"> for hardware and IT requirements, offset by reduced physical consumables and staffing. Costs vary significantly between local and international events due to logistics, customs, and personnel needs. The business model chosen</w:t>
      </w:r>
      <w:r w:rsidR="00F12F0F">
        <w:rPr>
          <w:rFonts w:asciiTheme="minorHAnsi" w:eastAsiaTheme="minorEastAsia" w:hAnsiTheme="minorHAnsi" w:cstheme="minorBidi"/>
          <w:szCs w:val="24"/>
        </w:rPr>
        <w:t xml:space="preserve"> </w:t>
      </w:r>
      <w:r w:rsidRPr="002B235E">
        <w:rPr>
          <w:rFonts w:asciiTheme="minorHAnsi" w:eastAsiaTheme="minorEastAsia" w:hAnsiTheme="minorHAnsi" w:cstheme="minorBidi"/>
          <w:szCs w:val="24"/>
        </w:rPr>
        <w:t>—whether in-house, subscription/SaaS, or rental—</w:t>
      </w:r>
      <w:r w:rsidR="00F12F0F">
        <w:rPr>
          <w:rFonts w:asciiTheme="minorHAnsi" w:eastAsiaTheme="minorEastAsia" w:hAnsiTheme="minorHAnsi" w:cstheme="minorBidi"/>
          <w:szCs w:val="24"/>
        </w:rPr>
        <w:t xml:space="preserve"> </w:t>
      </w:r>
      <w:r w:rsidRPr="002B235E">
        <w:rPr>
          <w:rFonts w:asciiTheme="minorHAnsi" w:eastAsiaTheme="minorEastAsia" w:hAnsiTheme="minorHAnsi" w:cstheme="minorBidi"/>
          <w:szCs w:val="24"/>
        </w:rPr>
        <w:t>directly shapes the cost structur</w:t>
      </w:r>
      <w:r w:rsidR="159BAB05" w:rsidRPr="002B235E">
        <w:rPr>
          <w:rFonts w:asciiTheme="minorHAnsi" w:eastAsiaTheme="minorEastAsia" w:hAnsiTheme="minorHAnsi" w:cstheme="minorBidi"/>
          <w:szCs w:val="24"/>
        </w:rPr>
        <w:t>e</w:t>
      </w:r>
      <w:r w:rsidRPr="002B235E">
        <w:rPr>
          <w:rFonts w:asciiTheme="minorHAnsi" w:eastAsiaTheme="minorEastAsia" w:hAnsiTheme="minorHAnsi" w:cstheme="minorBidi"/>
          <w:szCs w:val="24"/>
        </w:rPr>
        <w:t>. Overall, digital solutions streamline operations, enhance security, and offer scalability, but require careful financial planning tailored to event location</w:t>
      </w:r>
      <w:r w:rsidR="346DA67A" w:rsidRPr="002B235E">
        <w:rPr>
          <w:rFonts w:asciiTheme="minorHAnsi" w:eastAsiaTheme="minorEastAsia" w:hAnsiTheme="minorHAnsi" w:cstheme="minorBidi"/>
          <w:szCs w:val="24"/>
        </w:rPr>
        <w:t>, event type</w:t>
      </w:r>
      <w:r w:rsidR="55F8D36B" w:rsidRPr="002B235E">
        <w:rPr>
          <w:rFonts w:asciiTheme="minorHAnsi" w:eastAsiaTheme="minorEastAsia" w:hAnsiTheme="minorHAnsi" w:cstheme="minorBidi"/>
          <w:szCs w:val="24"/>
        </w:rPr>
        <w:t xml:space="preserve">, security requirements </w:t>
      </w:r>
      <w:r w:rsidR="2392AA98" w:rsidRPr="002B235E">
        <w:rPr>
          <w:rFonts w:asciiTheme="minorHAnsi" w:eastAsiaTheme="minorEastAsia" w:hAnsiTheme="minorHAnsi" w:cstheme="minorBidi"/>
          <w:szCs w:val="24"/>
        </w:rPr>
        <w:t>and frequency.</w:t>
      </w:r>
    </w:p>
    <w:p w14:paraId="30303C21" w14:textId="77777777" w:rsidR="00AA51EB" w:rsidRPr="002B235E" w:rsidRDefault="00AA51EB" w:rsidP="3EEFDA9A">
      <w:pPr>
        <w:jc w:val="both"/>
        <w:rPr>
          <w:rFonts w:asciiTheme="minorHAnsi" w:eastAsiaTheme="minorEastAsia" w:hAnsiTheme="minorHAnsi" w:cstheme="minorBidi"/>
          <w:szCs w:val="24"/>
        </w:rPr>
      </w:pPr>
      <w:r w:rsidRPr="002B235E">
        <w:rPr>
          <w:rFonts w:asciiTheme="minorHAnsi" w:eastAsiaTheme="minorEastAsia" w:hAnsiTheme="minorHAnsi" w:cstheme="minorBidi"/>
          <w:szCs w:val="24"/>
        </w:rPr>
        <w:t xml:space="preserve">Work is ongoing on a progressive rollout plan, evaluating several possible digitalized value chains based on the above analysis for registration, accreditation, and badging across different events (statutory, public, in Geneva or abroad). </w:t>
      </w:r>
    </w:p>
    <w:p w14:paraId="479D97F8" w14:textId="25C1703E" w:rsidR="00AA51EB" w:rsidRPr="002B235E" w:rsidRDefault="00AA51EB" w:rsidP="003D3F27">
      <w:pPr>
        <w:jc w:val="both"/>
      </w:pPr>
      <w:r w:rsidRPr="002B235E">
        <w:t>The rollout plan aims to reach full operational maturity by 2027, potentially aligning with a major event such as WRC-27. Key milestones will be scheduled in reverse from this target date, including:</w:t>
      </w:r>
    </w:p>
    <w:p w14:paraId="2CF27E37" w14:textId="150B821D" w:rsidR="26543DC8" w:rsidRPr="002B235E" w:rsidRDefault="003D3F27" w:rsidP="005D3349">
      <w:pPr>
        <w:pStyle w:val="enumlev1"/>
      </w:pPr>
      <w:r w:rsidRPr="002B235E">
        <w:t>–</w:t>
      </w:r>
      <w:r w:rsidRPr="002B235E">
        <w:tab/>
      </w:r>
      <w:r w:rsidR="26543DC8" w:rsidRPr="005D3349">
        <w:t>Establishment</w:t>
      </w:r>
      <w:r w:rsidR="26543DC8" w:rsidRPr="002B235E">
        <w:t xml:space="preserve"> of the task force by end of 2025 and continuing of benchmarking activities during 2026.</w:t>
      </w:r>
    </w:p>
    <w:p w14:paraId="1553884D" w14:textId="05C4953E" w:rsidR="2BC15B59" w:rsidRPr="002B235E" w:rsidRDefault="003D3F27" w:rsidP="005D3349">
      <w:pPr>
        <w:pStyle w:val="enumlev1"/>
      </w:pPr>
      <w:r w:rsidRPr="002B235E">
        <w:t>–</w:t>
      </w:r>
      <w:r w:rsidRPr="002B235E">
        <w:tab/>
      </w:r>
      <w:r w:rsidR="5AEB191E" w:rsidRPr="002B235E">
        <w:t xml:space="preserve">Categorization and </w:t>
      </w:r>
      <w:r w:rsidR="0674A488" w:rsidRPr="002B235E">
        <w:t>p</w:t>
      </w:r>
      <w:r w:rsidR="5AEB191E" w:rsidRPr="002B235E">
        <w:t xml:space="preserve">rioritization of </w:t>
      </w:r>
      <w:r w:rsidR="17DDC1E3" w:rsidRPr="002B235E">
        <w:t>e</w:t>
      </w:r>
      <w:r w:rsidR="5AEB191E" w:rsidRPr="002B235E">
        <w:t xml:space="preserve">vent </w:t>
      </w:r>
      <w:r w:rsidR="18413050" w:rsidRPr="002B235E">
        <w:t>t</w:t>
      </w:r>
      <w:r w:rsidR="5AEB191E" w:rsidRPr="002B235E">
        <w:t>ypes to guide technical</w:t>
      </w:r>
      <w:r w:rsidR="7E0CF7EC" w:rsidRPr="002B235E">
        <w:t xml:space="preserve">, security </w:t>
      </w:r>
      <w:r w:rsidR="5AEB191E" w:rsidRPr="002B235E">
        <w:t>and operational requirements</w:t>
      </w:r>
      <w:r w:rsidR="309125B5" w:rsidRPr="002B235E">
        <w:t>.</w:t>
      </w:r>
    </w:p>
    <w:p w14:paraId="31F9B89D" w14:textId="2D9121F9" w:rsidR="7CBBA627" w:rsidRPr="002B235E" w:rsidRDefault="003D3F27" w:rsidP="005D3349">
      <w:pPr>
        <w:pStyle w:val="enumlev1"/>
      </w:pPr>
      <w:r w:rsidRPr="002B235E">
        <w:lastRenderedPageBreak/>
        <w:t>–</w:t>
      </w:r>
      <w:r w:rsidRPr="002B235E">
        <w:tab/>
      </w:r>
      <w:r w:rsidR="7CBBA627" w:rsidRPr="002B235E">
        <w:rPr>
          <w:rFonts w:cs="Calibri"/>
          <w:szCs w:val="24"/>
        </w:rPr>
        <w:t>Conduct pilots progressively in 2026 to evaluate components</w:t>
      </w:r>
      <w:r w:rsidR="67C013B8" w:rsidRPr="002B235E">
        <w:rPr>
          <w:rFonts w:cs="Calibri"/>
          <w:szCs w:val="24"/>
        </w:rPr>
        <w:t xml:space="preserve">. </w:t>
      </w:r>
      <w:r w:rsidR="67C013B8" w:rsidRPr="002B235E">
        <w:t xml:space="preserve">Each pilot will include </w:t>
      </w:r>
      <w:proofErr w:type="spellStart"/>
      <w:r w:rsidR="67C013B8" w:rsidRPr="002B235E">
        <w:t>KPIs</w:t>
      </w:r>
      <w:proofErr w:type="spellEnd"/>
      <w:r w:rsidR="67C013B8" w:rsidRPr="002B235E">
        <w:t xml:space="preserve"> for cost, efficiency, security, and participant experience.</w:t>
      </w:r>
    </w:p>
    <w:p w14:paraId="6C10EF31" w14:textId="4FF75D68" w:rsidR="212E3AF0" w:rsidRPr="002B235E" w:rsidRDefault="003D3F27" w:rsidP="005D3349">
      <w:pPr>
        <w:pStyle w:val="enumlev1"/>
      </w:pPr>
      <w:r w:rsidRPr="002B235E">
        <w:t>–</w:t>
      </w:r>
      <w:r w:rsidR="00AA51EB" w:rsidRPr="002B235E">
        <w:tab/>
      </w:r>
      <w:r w:rsidR="001F5A3D" w:rsidRPr="002B235E">
        <w:t>Assessment of sustainability gains and cost savings as results become available</w:t>
      </w:r>
      <w:r w:rsidR="5F2E6E51" w:rsidRPr="002B235E">
        <w:t>.</w:t>
      </w:r>
      <w:r w:rsidR="001F5A3D" w:rsidRPr="002B235E">
        <w:t xml:space="preserve"> </w:t>
      </w:r>
    </w:p>
    <w:p w14:paraId="24486519" w14:textId="6676146E" w:rsidR="47A746ED" w:rsidRPr="002B235E" w:rsidRDefault="003D3F27" w:rsidP="005D3349">
      <w:pPr>
        <w:pStyle w:val="enumlev1"/>
      </w:pPr>
      <w:r w:rsidRPr="002B235E">
        <w:t>–</w:t>
      </w:r>
      <w:r w:rsidRPr="002B235E">
        <w:tab/>
      </w:r>
      <w:r w:rsidR="47A746ED" w:rsidRPr="002B235E">
        <w:t xml:space="preserve">Building ITU’s </w:t>
      </w:r>
      <w:r w:rsidR="01AC2370" w:rsidRPr="002B235E">
        <w:t>d</w:t>
      </w:r>
      <w:r w:rsidR="47A746ED" w:rsidRPr="002B235E">
        <w:t xml:space="preserve">igital </w:t>
      </w:r>
      <w:r w:rsidR="6F3C2EC5" w:rsidRPr="002B235E">
        <w:t>i</w:t>
      </w:r>
      <w:r w:rsidR="47A746ED" w:rsidRPr="002B235E">
        <w:t xml:space="preserve">dentity </w:t>
      </w:r>
      <w:r w:rsidR="13C756C0" w:rsidRPr="002B235E">
        <w:t>e</w:t>
      </w:r>
      <w:r w:rsidR="47A746ED" w:rsidRPr="002B235E">
        <w:t xml:space="preserve">xpertise </w:t>
      </w:r>
      <w:r w:rsidR="56D72A58" w:rsidRPr="002B235E">
        <w:t>t</w:t>
      </w:r>
      <w:r w:rsidR="47A746ED" w:rsidRPr="002B235E">
        <w:t>hrough the UN ID Initiative</w:t>
      </w:r>
      <w:r w:rsidRPr="002B235E">
        <w:t>.</w:t>
      </w:r>
    </w:p>
    <w:p w14:paraId="0BAC72C7" w14:textId="11DD454E" w:rsidR="09A282F6" w:rsidRPr="002B235E" w:rsidRDefault="59B3717A" w:rsidP="003D3F27">
      <w:pPr>
        <w:jc w:val="both"/>
      </w:pPr>
      <w:r w:rsidRPr="002B235E">
        <w:t>Beginning in 2026, ITU will accelerate its digital accreditation capabilities through the UN ID initiative, which provides:</w:t>
      </w:r>
    </w:p>
    <w:p w14:paraId="56500544" w14:textId="3BA10937" w:rsidR="09A282F6" w:rsidRPr="002B235E" w:rsidRDefault="003D3F27" w:rsidP="005D3349">
      <w:pPr>
        <w:pStyle w:val="enumlev1"/>
      </w:pPr>
      <w:r w:rsidRPr="002B235E">
        <w:t>–</w:t>
      </w:r>
      <w:r w:rsidRPr="002B235E">
        <w:tab/>
        <w:t xml:space="preserve">a </w:t>
      </w:r>
      <w:r w:rsidR="6FCC7730" w:rsidRPr="002B235E">
        <w:t>trusted and interoperable digital identity for staff</w:t>
      </w:r>
      <w:r w:rsidR="241F6181" w:rsidRPr="002B235E">
        <w:t xml:space="preserve">/ participants </w:t>
      </w:r>
      <w:r w:rsidR="6FCC7730" w:rsidRPr="002B235E">
        <w:t>across the UN system, using secure blockchain, biometrics, and mobile technologies</w:t>
      </w:r>
      <w:r w:rsidR="6FC491FB" w:rsidRPr="002B235E">
        <w:t>.</w:t>
      </w:r>
    </w:p>
    <w:p w14:paraId="030C58BE" w14:textId="563AF1F6" w:rsidR="09A282F6" w:rsidRPr="002B235E" w:rsidRDefault="003D3F27" w:rsidP="005D3349">
      <w:pPr>
        <w:pStyle w:val="enumlev1"/>
      </w:pPr>
      <w:r w:rsidRPr="002B235E">
        <w:t>–</w:t>
      </w:r>
      <w:r w:rsidRPr="002B235E">
        <w:tab/>
        <w:t xml:space="preserve">reduced </w:t>
      </w:r>
      <w:r w:rsidR="6FCC7730" w:rsidRPr="002B235E">
        <w:t xml:space="preserve">verification workload through reusable identity profiles and single </w:t>
      </w:r>
      <w:r w:rsidR="00F12F0F" w:rsidRPr="002B235E">
        <w:t>enrolment</w:t>
      </w:r>
      <w:r w:rsidR="5D46B473" w:rsidRPr="002B235E">
        <w:t>.</w:t>
      </w:r>
    </w:p>
    <w:p w14:paraId="572EC1FE" w14:textId="14217D04" w:rsidR="09A282F6" w:rsidRPr="002B235E" w:rsidRDefault="003D3F27" w:rsidP="005D3349">
      <w:pPr>
        <w:pStyle w:val="enumlev1"/>
      </w:pPr>
      <w:r w:rsidRPr="002B235E">
        <w:t>–</w:t>
      </w:r>
      <w:r w:rsidRPr="002B235E">
        <w:tab/>
        <w:t xml:space="preserve">enhanced </w:t>
      </w:r>
      <w:r w:rsidR="6FCC7730" w:rsidRPr="002B235E">
        <w:t>security with validated identity assurance and reduced risk of badge fraud</w:t>
      </w:r>
      <w:r w:rsidR="4EA67F51" w:rsidRPr="002B235E">
        <w:t>.</w:t>
      </w:r>
    </w:p>
    <w:p w14:paraId="75D88A4A" w14:textId="4EB0395A" w:rsidR="09A282F6" w:rsidRPr="002B235E" w:rsidRDefault="003D3F27" w:rsidP="005D3349">
      <w:pPr>
        <w:pStyle w:val="enumlev1"/>
      </w:pPr>
      <w:r w:rsidRPr="002B235E">
        <w:t>–</w:t>
      </w:r>
      <w:r w:rsidRPr="002B235E">
        <w:tab/>
        <w:t xml:space="preserve">alignment </w:t>
      </w:r>
      <w:r w:rsidR="59B3717A" w:rsidRPr="002B235E">
        <w:t>with UN-wide digital transformation and sustainability goals</w:t>
      </w:r>
      <w:r w:rsidRPr="002B235E">
        <w:t>.</w:t>
      </w:r>
    </w:p>
    <w:p w14:paraId="3E31C5EB" w14:textId="4A269B44" w:rsidR="09A282F6" w:rsidRPr="002B235E" w:rsidRDefault="09A282F6" w:rsidP="00F12F0F">
      <w:pPr>
        <w:jc w:val="both"/>
      </w:pPr>
      <w:r w:rsidRPr="002B235E">
        <w:t>The knowledge, digital tools, and operational experience gained</w:t>
      </w:r>
      <w:r w:rsidR="7BAAEC36" w:rsidRPr="002B235E">
        <w:t>,</w:t>
      </w:r>
      <w:r w:rsidRPr="002B235E">
        <w:t xml:space="preserve"> including identity verification, </w:t>
      </w:r>
      <w:r w:rsidR="35B2994A" w:rsidRPr="002B235E">
        <w:t>mobile devices integration</w:t>
      </w:r>
      <w:r w:rsidRPr="002B235E">
        <w:t xml:space="preserve">, and financial </w:t>
      </w:r>
      <w:proofErr w:type="spellStart"/>
      <w:r w:rsidRPr="002B235E">
        <w:t>modeling</w:t>
      </w:r>
      <w:proofErr w:type="spellEnd"/>
      <w:r w:rsidR="717B91CA" w:rsidRPr="002B235E">
        <w:t>,</w:t>
      </w:r>
      <w:r w:rsidRPr="002B235E">
        <w:t xml:space="preserve"> will be directly applied to enhance delegate accreditation at future ITU conferences, ensuring a secure, efficient, and scalable digital environment.</w:t>
      </w:r>
    </w:p>
    <w:p w14:paraId="21CAEE3B" w14:textId="635AEB84" w:rsidR="00AA51EB" w:rsidRPr="002B235E" w:rsidRDefault="00AA51EB" w:rsidP="003D3F27">
      <w:pPr>
        <w:pStyle w:val="Headingi"/>
      </w:pPr>
      <w:r w:rsidRPr="002B235E">
        <w:t>Proposals for further improvements from PP</w:t>
      </w:r>
      <w:r w:rsidR="003D3F27" w:rsidRPr="002B235E">
        <w:t>-</w:t>
      </w:r>
      <w:r w:rsidRPr="002B235E">
        <w:t>22 host country</w:t>
      </w:r>
    </w:p>
    <w:p w14:paraId="01221C90" w14:textId="77777777" w:rsidR="00AA51EB" w:rsidRPr="002B235E" w:rsidRDefault="00AA51EB" w:rsidP="003D3F27">
      <w:pPr>
        <w:jc w:val="both"/>
      </w:pPr>
      <w:r w:rsidRPr="002B235E">
        <w:t xml:space="preserve">The government of Romania submitted proposals for improvements in preparing a successful plenipotentiary conference to the Council in 2023 in Document </w:t>
      </w:r>
      <w:hyperlink r:id="rId18">
        <w:proofErr w:type="spellStart"/>
        <w:r w:rsidRPr="002B235E">
          <w:rPr>
            <w:rStyle w:val="Hyperlink"/>
            <w:rFonts w:asciiTheme="minorHAnsi" w:hAnsiTheme="minorHAnsi" w:cstheme="minorBidi"/>
          </w:rPr>
          <w:t>C23</w:t>
        </w:r>
        <w:proofErr w:type="spellEnd"/>
        <w:r w:rsidRPr="002B235E">
          <w:rPr>
            <w:rStyle w:val="Hyperlink"/>
            <w:rFonts w:asciiTheme="minorHAnsi" w:hAnsiTheme="minorHAnsi" w:cstheme="minorBidi"/>
          </w:rPr>
          <w:t>/84</w:t>
        </w:r>
      </w:hyperlink>
      <w:r w:rsidRPr="002B235E">
        <w:t>. The proposals focused on clearly defining and delivering the preparation process through informal inter-regional meetings; better time management plans, reduced length of contributions and clear working procedures; strengthening the presence of women and youth in ITU conferences, including through the use of financial mechanisms involving ITU or Member States; improving sustainability measures and outcomes; and training both delegates and potential chairs through workshops, information sessions and relevant documentation.</w:t>
      </w:r>
    </w:p>
    <w:p w14:paraId="14AE6C99" w14:textId="3D79558C" w:rsidR="00AA51EB" w:rsidRPr="002B235E" w:rsidRDefault="00AA51EB" w:rsidP="003D3F27">
      <w:pPr>
        <w:jc w:val="both"/>
      </w:pPr>
      <w:r w:rsidRPr="002B235E">
        <w:t xml:space="preserve">In response, the secretariat implemented informal inter-regional meetings, hybrid preparatory </w:t>
      </w:r>
      <w:r w:rsidR="2A392F78" w:rsidRPr="002B235E">
        <w:t>meetings,</w:t>
      </w:r>
      <w:r w:rsidRPr="002B235E">
        <w:t xml:space="preserve"> and training support for delegates. The results of a wider consultation with Member States on further possible improvements were presented to Council</w:t>
      </w:r>
      <w:r w:rsidR="00740CBA">
        <w:t>-</w:t>
      </w:r>
      <w:r w:rsidRPr="002B235E">
        <w:t xml:space="preserve">24 in Document </w:t>
      </w:r>
      <w:hyperlink r:id="rId19">
        <w:proofErr w:type="spellStart"/>
        <w:r w:rsidRPr="002B235E">
          <w:rPr>
            <w:rStyle w:val="Hyperlink"/>
            <w:rFonts w:cs="Calibri"/>
            <w:lang w:eastAsia="en-GB"/>
          </w:rPr>
          <w:t>C24</w:t>
        </w:r>
        <w:proofErr w:type="spellEnd"/>
        <w:r w:rsidRPr="002B235E">
          <w:rPr>
            <w:rStyle w:val="Hyperlink"/>
            <w:rFonts w:cs="Calibri"/>
            <w:lang w:eastAsia="en-GB"/>
          </w:rPr>
          <w:t>/INF/13</w:t>
        </w:r>
      </w:hyperlink>
      <w:r w:rsidRPr="002B235E">
        <w:rPr>
          <w:rFonts w:cs="Calibri"/>
          <w:lang w:eastAsia="en-GB"/>
        </w:rPr>
        <w:t>.</w:t>
      </w:r>
    </w:p>
    <w:p w14:paraId="0288EA7A" w14:textId="77777777" w:rsidR="00AA51EB" w:rsidRPr="002B235E" w:rsidRDefault="00AA51EB" w:rsidP="003D3F27">
      <w:pPr>
        <w:jc w:val="both"/>
      </w:pPr>
      <w:r w:rsidRPr="002B235E">
        <w:t xml:space="preserve">Document </w:t>
      </w:r>
      <w:hyperlink r:id="rId20">
        <w:proofErr w:type="spellStart"/>
        <w:r w:rsidRPr="002B235E">
          <w:rPr>
            <w:rStyle w:val="Hyperlink"/>
            <w:rFonts w:asciiTheme="minorHAnsi" w:hAnsiTheme="minorHAnsi" w:cstheme="minorBidi"/>
          </w:rPr>
          <w:t>C23</w:t>
        </w:r>
        <w:proofErr w:type="spellEnd"/>
        <w:r w:rsidRPr="002B235E">
          <w:rPr>
            <w:rStyle w:val="Hyperlink"/>
            <w:rFonts w:asciiTheme="minorHAnsi" w:hAnsiTheme="minorHAnsi" w:cstheme="minorBidi"/>
          </w:rPr>
          <w:t>/84</w:t>
        </w:r>
      </w:hyperlink>
      <w:r w:rsidRPr="002B235E">
        <w:t xml:space="preserve"> further proposed tailoring Host Country Agreements to national particularities, especially related to the economic and financial environment and legal landscape. Final lists of equipment and other requirements should be submitted to the host country in a timely manner. The number of meeting rooms should be reduced to the extent possible to reduce operating costs (and increase energy efficiency).</w:t>
      </w:r>
    </w:p>
    <w:p w14:paraId="5997EE79" w14:textId="77777777" w:rsidR="00AA51EB" w:rsidRPr="002B235E" w:rsidRDefault="00AA51EB" w:rsidP="003D3F27">
      <w:pPr>
        <w:jc w:val="both"/>
      </w:pPr>
      <w:r w:rsidRPr="002B235E">
        <w:t>To this end, event organizing teams continuously review and refine the event requirements in the table in close collaboration with the ITU Conferences team and the Host Country. This ensures that, for each event, the necessary venue infrastructure and services, rooms and capacity, and staffing support are requested, thereby reflecting actual needs and avoiding unnecessary or excessive demands on hosts.</w:t>
      </w:r>
    </w:p>
    <w:p w14:paraId="34A4773B" w14:textId="5F21E5D3" w:rsidR="00AA51EB" w:rsidRPr="002B235E" w:rsidRDefault="00AA51EB" w:rsidP="0017662E">
      <w:pPr>
        <w:pStyle w:val="Headingb"/>
        <w:rPr>
          <w:lang w:val="en-GB"/>
        </w:rPr>
      </w:pPr>
      <w:r w:rsidRPr="002B235E">
        <w:rPr>
          <w:lang w:val="en-GB"/>
        </w:rPr>
        <w:t>Host Country Agreement</w:t>
      </w:r>
    </w:p>
    <w:p w14:paraId="247EEE5F" w14:textId="0639DE9A" w:rsidR="00AA51EB" w:rsidRPr="002B235E" w:rsidRDefault="00AA51EB" w:rsidP="003D3F27">
      <w:pPr>
        <w:jc w:val="both"/>
      </w:pPr>
      <w:r w:rsidRPr="002B235E">
        <w:t xml:space="preserve">The </w:t>
      </w:r>
      <w:hyperlink r:id="rId21" w:history="1">
        <w:r w:rsidRPr="002B235E">
          <w:rPr>
            <w:rStyle w:val="Hyperlink"/>
          </w:rPr>
          <w:t>Model Host Country Agreement (HCA) adopted by the Council in 2007</w:t>
        </w:r>
      </w:hyperlink>
      <w:r w:rsidRPr="002B235E">
        <w:t xml:space="preserve"> serves as a framework document for all the conferences and assemblies of the Union to establish legal and operational expectations for potential hosts.</w:t>
      </w:r>
    </w:p>
    <w:p w14:paraId="348B877B" w14:textId="029D20B2" w:rsidR="00AA51EB" w:rsidRPr="002B235E" w:rsidRDefault="00AA51EB" w:rsidP="003D3F27">
      <w:pPr>
        <w:jc w:val="both"/>
      </w:pPr>
      <w:r w:rsidRPr="002B235E">
        <w:lastRenderedPageBreak/>
        <w:t>The Host Country Agreement consists of the body of the agreement and relevant annexes. The body of the agreement contains legal text on standard ITU terms and conditions, including invitations, visas, safety and security, media relations, use of logos, privileges and immunities, settlement of disputes and liability. It also includes reference to the site and date of the specific conference, the financial arrangements in accordance with Resolution 5 (Kyoto, 1994) and reference to the requirements for premises, facilities, travel and transport detailed in the annexes.</w:t>
      </w:r>
    </w:p>
    <w:p w14:paraId="67D952C5" w14:textId="04CEFAA7" w:rsidR="00AA51EB" w:rsidRPr="002B235E" w:rsidRDefault="00AA51EB" w:rsidP="003D3F27">
      <w:pPr>
        <w:jc w:val="both"/>
      </w:pPr>
      <w:r w:rsidRPr="002B235E">
        <w:t>The annexes include a table detailing the ITU expenses to be defrayed by the inviting government related to staff expenses, travel and subsistence expenses for ITU staff and other expenses; and detailed requirements for practical arrangements in terms of premises, facilities, local staff, technical and other services, IT/audiovisual requirements, security and safety requirements and travel arrangements.</w:t>
      </w:r>
    </w:p>
    <w:p w14:paraId="17494EA6" w14:textId="2585BA2C" w:rsidR="00AA51EB" w:rsidRPr="002B235E" w:rsidRDefault="00AA51EB" w:rsidP="003D3F27">
      <w:pPr>
        <w:jc w:val="both"/>
      </w:pPr>
      <w:r w:rsidRPr="002B235E">
        <w:t>The annexes are discussed and adapted for each conference or assembly on a case-by-case basis to reflect local, national and government specificities, and enable full flexibility in terms of, for example, increasing efficiencies and minimizing costs. The final signed version of each Host Country Agreement is available as a conference document to provide further reference for future potential hosts.</w:t>
      </w:r>
    </w:p>
    <w:p w14:paraId="257674B4" w14:textId="59C405C6" w:rsidR="00A514A4" w:rsidRPr="002B235E" w:rsidRDefault="00A514A4">
      <w:pPr>
        <w:tabs>
          <w:tab w:val="clear" w:pos="567"/>
          <w:tab w:val="clear" w:pos="1134"/>
          <w:tab w:val="clear" w:pos="1701"/>
          <w:tab w:val="clear" w:pos="2268"/>
          <w:tab w:val="clear" w:pos="2835"/>
        </w:tabs>
        <w:overflowPunct/>
        <w:autoSpaceDE/>
        <w:autoSpaceDN/>
        <w:adjustRightInd/>
        <w:spacing w:before="0"/>
        <w:textAlignment w:val="auto"/>
      </w:pPr>
    </w:p>
    <w:p w14:paraId="59A125FB" w14:textId="77777777" w:rsidR="006A1EB8" w:rsidRPr="002B235E" w:rsidRDefault="006A1EB8">
      <w:pPr>
        <w:jc w:val="center"/>
      </w:pPr>
      <w:r w:rsidRPr="002B235E">
        <w:t>______________</w:t>
      </w:r>
    </w:p>
    <w:sectPr w:rsidR="006A1EB8" w:rsidRPr="002B235E" w:rsidSect="00AD3606">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3EEE" w14:textId="77777777" w:rsidR="00561A3A" w:rsidRDefault="00561A3A">
      <w:r>
        <w:separator/>
      </w:r>
    </w:p>
  </w:endnote>
  <w:endnote w:type="continuationSeparator" w:id="0">
    <w:p w14:paraId="74834939" w14:textId="77777777" w:rsidR="00561A3A" w:rsidRDefault="0056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7688F">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2DB1ED52"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6E146E">
            <w:rPr>
              <w:bCs/>
            </w:rPr>
            <w:t>19</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r w:rsidRPr="00AE78C0">
              <w:rPr>
                <w:rStyle w:val="Hyperlink"/>
              </w:rPr>
              <w:t>council.itu.int/working-groups</w:t>
            </w:r>
          </w:hyperlink>
        </w:p>
      </w:tc>
      <w:tc>
        <w:tcPr>
          <w:tcW w:w="6957" w:type="dxa"/>
        </w:tcPr>
        <w:p w14:paraId="3F62E0D8" w14:textId="1FEC63C6"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6E146E">
            <w:rPr>
              <w:bCs/>
            </w:rPr>
            <w:t>19</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AA30" w14:textId="77777777" w:rsidR="00561A3A" w:rsidRDefault="00561A3A">
      <w:r>
        <w:t>____________________</w:t>
      </w:r>
    </w:p>
  </w:footnote>
  <w:footnote w:type="continuationSeparator" w:id="0">
    <w:p w14:paraId="76667E8E" w14:textId="77777777" w:rsidR="00561A3A" w:rsidRDefault="0056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859D3"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9A05E"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96E10"/>
    <w:multiLevelType w:val="hybridMultilevel"/>
    <w:tmpl w:val="A50C62BC"/>
    <w:lvl w:ilvl="0" w:tplc="40986B88">
      <w:start w:val="1"/>
      <w:numFmt w:val="bullet"/>
      <w:lvlText w:val=""/>
      <w:lvlJc w:val="left"/>
      <w:pPr>
        <w:ind w:left="720" w:hanging="360"/>
      </w:pPr>
      <w:rPr>
        <w:rFonts w:ascii="Symbol" w:hAnsi="Symbol" w:hint="default"/>
      </w:rPr>
    </w:lvl>
    <w:lvl w:ilvl="1" w:tplc="DED8B77E">
      <w:start w:val="1"/>
      <w:numFmt w:val="bullet"/>
      <w:lvlText w:val="o"/>
      <w:lvlJc w:val="left"/>
      <w:pPr>
        <w:ind w:left="1440" w:hanging="360"/>
      </w:pPr>
      <w:rPr>
        <w:rFonts w:ascii="Courier New" w:hAnsi="Courier New" w:hint="default"/>
      </w:rPr>
    </w:lvl>
    <w:lvl w:ilvl="2" w:tplc="D6C629C2">
      <w:start w:val="1"/>
      <w:numFmt w:val="bullet"/>
      <w:lvlText w:val=""/>
      <w:lvlJc w:val="left"/>
      <w:pPr>
        <w:ind w:left="2160" w:hanging="360"/>
      </w:pPr>
      <w:rPr>
        <w:rFonts w:ascii="Wingdings" w:hAnsi="Wingdings" w:hint="default"/>
      </w:rPr>
    </w:lvl>
    <w:lvl w:ilvl="3" w:tplc="4B72B07E">
      <w:start w:val="1"/>
      <w:numFmt w:val="bullet"/>
      <w:lvlText w:val=""/>
      <w:lvlJc w:val="left"/>
      <w:pPr>
        <w:ind w:left="2880" w:hanging="360"/>
      </w:pPr>
      <w:rPr>
        <w:rFonts w:ascii="Symbol" w:hAnsi="Symbol" w:hint="default"/>
      </w:rPr>
    </w:lvl>
    <w:lvl w:ilvl="4" w:tplc="69F2E94E">
      <w:start w:val="1"/>
      <w:numFmt w:val="bullet"/>
      <w:lvlText w:val="o"/>
      <w:lvlJc w:val="left"/>
      <w:pPr>
        <w:ind w:left="3600" w:hanging="360"/>
      </w:pPr>
      <w:rPr>
        <w:rFonts w:ascii="Courier New" w:hAnsi="Courier New" w:hint="default"/>
      </w:rPr>
    </w:lvl>
    <w:lvl w:ilvl="5" w:tplc="ED0C7F62">
      <w:start w:val="1"/>
      <w:numFmt w:val="bullet"/>
      <w:lvlText w:val=""/>
      <w:lvlJc w:val="left"/>
      <w:pPr>
        <w:ind w:left="4320" w:hanging="360"/>
      </w:pPr>
      <w:rPr>
        <w:rFonts w:ascii="Wingdings" w:hAnsi="Wingdings" w:hint="default"/>
      </w:rPr>
    </w:lvl>
    <w:lvl w:ilvl="6" w:tplc="6AE2DD1E">
      <w:start w:val="1"/>
      <w:numFmt w:val="bullet"/>
      <w:lvlText w:val=""/>
      <w:lvlJc w:val="left"/>
      <w:pPr>
        <w:ind w:left="5040" w:hanging="360"/>
      </w:pPr>
      <w:rPr>
        <w:rFonts w:ascii="Symbol" w:hAnsi="Symbol" w:hint="default"/>
      </w:rPr>
    </w:lvl>
    <w:lvl w:ilvl="7" w:tplc="45AEBB6A">
      <w:start w:val="1"/>
      <w:numFmt w:val="bullet"/>
      <w:lvlText w:val="o"/>
      <w:lvlJc w:val="left"/>
      <w:pPr>
        <w:ind w:left="5760" w:hanging="360"/>
      </w:pPr>
      <w:rPr>
        <w:rFonts w:ascii="Courier New" w:hAnsi="Courier New" w:hint="default"/>
      </w:rPr>
    </w:lvl>
    <w:lvl w:ilvl="8" w:tplc="87DA3F50">
      <w:start w:val="1"/>
      <w:numFmt w:val="bullet"/>
      <w:lvlText w:val=""/>
      <w:lvlJc w:val="left"/>
      <w:pPr>
        <w:ind w:left="6480" w:hanging="360"/>
      </w:pPr>
      <w:rPr>
        <w:rFonts w:ascii="Wingdings" w:hAnsi="Wingdings" w:hint="default"/>
      </w:rPr>
    </w:lvl>
  </w:abstractNum>
  <w:abstractNum w:abstractNumId="2" w15:restartNumberingAfterBreak="0">
    <w:nsid w:val="2383AB81"/>
    <w:multiLevelType w:val="hybridMultilevel"/>
    <w:tmpl w:val="BC465538"/>
    <w:lvl w:ilvl="0" w:tplc="FFFFFFFF">
      <w:start w:val="1"/>
      <w:numFmt w:val="bullet"/>
      <w:lvlText w:val="·"/>
      <w:lvlJc w:val="left"/>
      <w:pPr>
        <w:ind w:left="720" w:hanging="360"/>
      </w:pPr>
      <w:rPr>
        <w:rFonts w:ascii="Symbol" w:hAnsi="Symbol" w:hint="default"/>
      </w:rPr>
    </w:lvl>
    <w:lvl w:ilvl="1" w:tplc="1C18495C">
      <w:start w:val="1"/>
      <w:numFmt w:val="bullet"/>
      <w:lvlText w:val="o"/>
      <w:lvlJc w:val="left"/>
      <w:pPr>
        <w:ind w:left="1440" w:hanging="360"/>
      </w:pPr>
      <w:rPr>
        <w:rFonts w:ascii="Courier New" w:hAnsi="Courier New" w:hint="default"/>
      </w:rPr>
    </w:lvl>
    <w:lvl w:ilvl="2" w:tplc="E1AC29B4">
      <w:start w:val="1"/>
      <w:numFmt w:val="bullet"/>
      <w:lvlText w:val=""/>
      <w:lvlJc w:val="left"/>
      <w:pPr>
        <w:ind w:left="2160" w:hanging="360"/>
      </w:pPr>
      <w:rPr>
        <w:rFonts w:ascii="Wingdings" w:hAnsi="Wingdings" w:hint="default"/>
      </w:rPr>
    </w:lvl>
    <w:lvl w:ilvl="3" w:tplc="3E92EC62">
      <w:start w:val="1"/>
      <w:numFmt w:val="bullet"/>
      <w:lvlText w:val=""/>
      <w:lvlJc w:val="left"/>
      <w:pPr>
        <w:ind w:left="2880" w:hanging="360"/>
      </w:pPr>
      <w:rPr>
        <w:rFonts w:ascii="Symbol" w:hAnsi="Symbol" w:hint="default"/>
      </w:rPr>
    </w:lvl>
    <w:lvl w:ilvl="4" w:tplc="1DF0E9E2">
      <w:start w:val="1"/>
      <w:numFmt w:val="bullet"/>
      <w:lvlText w:val="o"/>
      <w:lvlJc w:val="left"/>
      <w:pPr>
        <w:ind w:left="3600" w:hanging="360"/>
      </w:pPr>
      <w:rPr>
        <w:rFonts w:ascii="Courier New" w:hAnsi="Courier New" w:hint="default"/>
      </w:rPr>
    </w:lvl>
    <w:lvl w:ilvl="5" w:tplc="26841374">
      <w:start w:val="1"/>
      <w:numFmt w:val="bullet"/>
      <w:lvlText w:val=""/>
      <w:lvlJc w:val="left"/>
      <w:pPr>
        <w:ind w:left="4320" w:hanging="360"/>
      </w:pPr>
      <w:rPr>
        <w:rFonts w:ascii="Wingdings" w:hAnsi="Wingdings" w:hint="default"/>
      </w:rPr>
    </w:lvl>
    <w:lvl w:ilvl="6" w:tplc="B92C7170">
      <w:start w:val="1"/>
      <w:numFmt w:val="bullet"/>
      <w:lvlText w:val=""/>
      <w:lvlJc w:val="left"/>
      <w:pPr>
        <w:ind w:left="5040" w:hanging="360"/>
      </w:pPr>
      <w:rPr>
        <w:rFonts w:ascii="Symbol" w:hAnsi="Symbol" w:hint="default"/>
      </w:rPr>
    </w:lvl>
    <w:lvl w:ilvl="7" w:tplc="32289D38">
      <w:start w:val="1"/>
      <w:numFmt w:val="bullet"/>
      <w:lvlText w:val="o"/>
      <w:lvlJc w:val="left"/>
      <w:pPr>
        <w:ind w:left="5760" w:hanging="360"/>
      </w:pPr>
      <w:rPr>
        <w:rFonts w:ascii="Courier New" w:hAnsi="Courier New" w:hint="default"/>
      </w:rPr>
    </w:lvl>
    <w:lvl w:ilvl="8" w:tplc="00CE19DC">
      <w:start w:val="1"/>
      <w:numFmt w:val="bullet"/>
      <w:lvlText w:val=""/>
      <w:lvlJc w:val="left"/>
      <w:pPr>
        <w:ind w:left="6480" w:hanging="360"/>
      </w:pPr>
      <w:rPr>
        <w:rFonts w:ascii="Wingdings" w:hAnsi="Wingdings" w:hint="default"/>
      </w:rPr>
    </w:lvl>
  </w:abstractNum>
  <w:abstractNum w:abstractNumId="3" w15:restartNumberingAfterBreak="0">
    <w:nsid w:val="2E8B5ABF"/>
    <w:multiLevelType w:val="hybridMultilevel"/>
    <w:tmpl w:val="5E80C878"/>
    <w:lvl w:ilvl="0" w:tplc="36E67A64">
      <w:start w:val="1"/>
      <w:numFmt w:val="bullet"/>
      <w:lvlText w:val=""/>
      <w:lvlJc w:val="left"/>
      <w:pPr>
        <w:ind w:left="1080" w:hanging="360"/>
      </w:pPr>
      <w:rPr>
        <w:rFonts w:ascii="Symbol" w:hAnsi="Symbol" w:hint="default"/>
      </w:rPr>
    </w:lvl>
    <w:lvl w:ilvl="1" w:tplc="E91A2F56">
      <w:start w:val="1"/>
      <w:numFmt w:val="bullet"/>
      <w:lvlText w:val="o"/>
      <w:lvlJc w:val="left"/>
      <w:pPr>
        <w:ind w:left="1800" w:hanging="360"/>
      </w:pPr>
      <w:rPr>
        <w:rFonts w:ascii="Courier New" w:hAnsi="Courier New" w:hint="default"/>
      </w:rPr>
    </w:lvl>
    <w:lvl w:ilvl="2" w:tplc="5810E3B2">
      <w:start w:val="1"/>
      <w:numFmt w:val="bullet"/>
      <w:lvlText w:val=""/>
      <w:lvlJc w:val="left"/>
      <w:pPr>
        <w:ind w:left="2520" w:hanging="360"/>
      </w:pPr>
      <w:rPr>
        <w:rFonts w:ascii="Wingdings" w:hAnsi="Wingdings" w:hint="default"/>
      </w:rPr>
    </w:lvl>
    <w:lvl w:ilvl="3" w:tplc="C50856E2">
      <w:start w:val="1"/>
      <w:numFmt w:val="bullet"/>
      <w:lvlText w:val=""/>
      <w:lvlJc w:val="left"/>
      <w:pPr>
        <w:ind w:left="3240" w:hanging="360"/>
      </w:pPr>
      <w:rPr>
        <w:rFonts w:ascii="Symbol" w:hAnsi="Symbol" w:hint="default"/>
      </w:rPr>
    </w:lvl>
    <w:lvl w:ilvl="4" w:tplc="80DACF14">
      <w:start w:val="1"/>
      <w:numFmt w:val="bullet"/>
      <w:lvlText w:val="o"/>
      <w:lvlJc w:val="left"/>
      <w:pPr>
        <w:ind w:left="3960" w:hanging="360"/>
      </w:pPr>
      <w:rPr>
        <w:rFonts w:ascii="Courier New" w:hAnsi="Courier New" w:hint="default"/>
      </w:rPr>
    </w:lvl>
    <w:lvl w:ilvl="5" w:tplc="CFF2EDF4">
      <w:start w:val="1"/>
      <w:numFmt w:val="bullet"/>
      <w:lvlText w:val=""/>
      <w:lvlJc w:val="left"/>
      <w:pPr>
        <w:ind w:left="4680" w:hanging="360"/>
      </w:pPr>
      <w:rPr>
        <w:rFonts w:ascii="Wingdings" w:hAnsi="Wingdings" w:hint="default"/>
      </w:rPr>
    </w:lvl>
    <w:lvl w:ilvl="6" w:tplc="6860B2C2">
      <w:start w:val="1"/>
      <w:numFmt w:val="bullet"/>
      <w:lvlText w:val=""/>
      <w:lvlJc w:val="left"/>
      <w:pPr>
        <w:ind w:left="5400" w:hanging="360"/>
      </w:pPr>
      <w:rPr>
        <w:rFonts w:ascii="Symbol" w:hAnsi="Symbol" w:hint="default"/>
      </w:rPr>
    </w:lvl>
    <w:lvl w:ilvl="7" w:tplc="6316BB4A">
      <w:start w:val="1"/>
      <w:numFmt w:val="bullet"/>
      <w:lvlText w:val="o"/>
      <w:lvlJc w:val="left"/>
      <w:pPr>
        <w:ind w:left="6120" w:hanging="360"/>
      </w:pPr>
      <w:rPr>
        <w:rFonts w:ascii="Courier New" w:hAnsi="Courier New" w:hint="default"/>
      </w:rPr>
    </w:lvl>
    <w:lvl w:ilvl="8" w:tplc="97484A8C">
      <w:start w:val="1"/>
      <w:numFmt w:val="bullet"/>
      <w:lvlText w:val=""/>
      <w:lvlJc w:val="left"/>
      <w:pPr>
        <w:ind w:left="6840" w:hanging="360"/>
      </w:pPr>
      <w:rPr>
        <w:rFonts w:ascii="Wingdings" w:hAnsi="Wingdings" w:hint="default"/>
      </w:rPr>
    </w:lvl>
  </w:abstractNum>
  <w:abstractNum w:abstractNumId="4" w15:restartNumberingAfterBreak="0">
    <w:nsid w:val="33E30E75"/>
    <w:multiLevelType w:val="hybridMultilevel"/>
    <w:tmpl w:val="62CEE258"/>
    <w:lvl w:ilvl="0" w:tplc="DD440D2E">
      <w:start w:val="1"/>
      <w:numFmt w:val="bullet"/>
      <w:lvlText w:val=""/>
      <w:lvlJc w:val="left"/>
      <w:pPr>
        <w:ind w:left="720" w:hanging="360"/>
      </w:pPr>
      <w:rPr>
        <w:rFonts w:ascii="Symbol" w:hAnsi="Symbol" w:hint="default"/>
      </w:rPr>
    </w:lvl>
    <w:lvl w:ilvl="1" w:tplc="F956E852">
      <w:start w:val="1"/>
      <w:numFmt w:val="bullet"/>
      <w:lvlText w:val="o"/>
      <w:lvlJc w:val="left"/>
      <w:pPr>
        <w:ind w:left="1440" w:hanging="360"/>
      </w:pPr>
      <w:rPr>
        <w:rFonts w:ascii="Courier New" w:hAnsi="Courier New" w:hint="default"/>
      </w:rPr>
    </w:lvl>
    <w:lvl w:ilvl="2" w:tplc="452E82A4">
      <w:start w:val="1"/>
      <w:numFmt w:val="bullet"/>
      <w:lvlText w:val=""/>
      <w:lvlJc w:val="left"/>
      <w:pPr>
        <w:ind w:left="2160" w:hanging="360"/>
      </w:pPr>
      <w:rPr>
        <w:rFonts w:ascii="Wingdings" w:hAnsi="Wingdings" w:hint="default"/>
      </w:rPr>
    </w:lvl>
    <w:lvl w:ilvl="3" w:tplc="6D02449A">
      <w:start w:val="1"/>
      <w:numFmt w:val="bullet"/>
      <w:lvlText w:val=""/>
      <w:lvlJc w:val="left"/>
      <w:pPr>
        <w:ind w:left="2880" w:hanging="360"/>
      </w:pPr>
      <w:rPr>
        <w:rFonts w:ascii="Symbol" w:hAnsi="Symbol" w:hint="default"/>
      </w:rPr>
    </w:lvl>
    <w:lvl w:ilvl="4" w:tplc="20B4FE90">
      <w:start w:val="1"/>
      <w:numFmt w:val="bullet"/>
      <w:lvlText w:val="o"/>
      <w:lvlJc w:val="left"/>
      <w:pPr>
        <w:ind w:left="3600" w:hanging="360"/>
      </w:pPr>
      <w:rPr>
        <w:rFonts w:ascii="Courier New" w:hAnsi="Courier New" w:hint="default"/>
      </w:rPr>
    </w:lvl>
    <w:lvl w:ilvl="5" w:tplc="7CDEB10A">
      <w:start w:val="1"/>
      <w:numFmt w:val="bullet"/>
      <w:lvlText w:val=""/>
      <w:lvlJc w:val="left"/>
      <w:pPr>
        <w:ind w:left="4320" w:hanging="360"/>
      </w:pPr>
      <w:rPr>
        <w:rFonts w:ascii="Wingdings" w:hAnsi="Wingdings" w:hint="default"/>
      </w:rPr>
    </w:lvl>
    <w:lvl w:ilvl="6" w:tplc="7758FB5C">
      <w:start w:val="1"/>
      <w:numFmt w:val="bullet"/>
      <w:lvlText w:val=""/>
      <w:lvlJc w:val="left"/>
      <w:pPr>
        <w:ind w:left="5040" w:hanging="360"/>
      </w:pPr>
      <w:rPr>
        <w:rFonts w:ascii="Symbol" w:hAnsi="Symbol" w:hint="default"/>
      </w:rPr>
    </w:lvl>
    <w:lvl w:ilvl="7" w:tplc="7B48139E">
      <w:start w:val="1"/>
      <w:numFmt w:val="bullet"/>
      <w:lvlText w:val="o"/>
      <w:lvlJc w:val="left"/>
      <w:pPr>
        <w:ind w:left="5760" w:hanging="360"/>
      </w:pPr>
      <w:rPr>
        <w:rFonts w:ascii="Courier New" w:hAnsi="Courier New" w:hint="default"/>
      </w:rPr>
    </w:lvl>
    <w:lvl w:ilvl="8" w:tplc="09E2837C">
      <w:start w:val="1"/>
      <w:numFmt w:val="bullet"/>
      <w:lvlText w:val=""/>
      <w:lvlJc w:val="left"/>
      <w:pPr>
        <w:ind w:left="6480" w:hanging="360"/>
      </w:pPr>
      <w:rPr>
        <w:rFonts w:ascii="Wingdings" w:hAnsi="Wingdings" w:hint="default"/>
      </w:rPr>
    </w:lvl>
  </w:abstractNum>
  <w:abstractNum w:abstractNumId="5" w15:restartNumberingAfterBreak="0">
    <w:nsid w:val="374F5968"/>
    <w:multiLevelType w:val="hybridMultilevel"/>
    <w:tmpl w:val="A0DEE6E4"/>
    <w:lvl w:ilvl="0" w:tplc="74229DDE">
      <w:start w:val="1"/>
      <w:numFmt w:val="bullet"/>
      <w:lvlText w:val=""/>
      <w:lvlJc w:val="left"/>
      <w:pPr>
        <w:ind w:left="720" w:hanging="360"/>
      </w:pPr>
      <w:rPr>
        <w:rFonts w:ascii="Symbol" w:hAnsi="Symbol" w:hint="default"/>
      </w:rPr>
    </w:lvl>
    <w:lvl w:ilvl="1" w:tplc="FA02CF4E">
      <w:start w:val="1"/>
      <w:numFmt w:val="bullet"/>
      <w:lvlText w:val="o"/>
      <w:lvlJc w:val="left"/>
      <w:pPr>
        <w:ind w:left="1440" w:hanging="360"/>
      </w:pPr>
      <w:rPr>
        <w:rFonts w:ascii="Courier New" w:hAnsi="Courier New" w:hint="default"/>
      </w:rPr>
    </w:lvl>
    <w:lvl w:ilvl="2" w:tplc="6D2CB7B4">
      <w:start w:val="1"/>
      <w:numFmt w:val="bullet"/>
      <w:lvlText w:val=""/>
      <w:lvlJc w:val="left"/>
      <w:pPr>
        <w:ind w:left="2160" w:hanging="360"/>
      </w:pPr>
      <w:rPr>
        <w:rFonts w:ascii="Wingdings" w:hAnsi="Wingdings" w:hint="default"/>
      </w:rPr>
    </w:lvl>
    <w:lvl w:ilvl="3" w:tplc="EA46292A">
      <w:start w:val="1"/>
      <w:numFmt w:val="bullet"/>
      <w:lvlText w:val=""/>
      <w:lvlJc w:val="left"/>
      <w:pPr>
        <w:ind w:left="2880" w:hanging="360"/>
      </w:pPr>
      <w:rPr>
        <w:rFonts w:ascii="Symbol" w:hAnsi="Symbol" w:hint="default"/>
      </w:rPr>
    </w:lvl>
    <w:lvl w:ilvl="4" w:tplc="B1FC998A">
      <w:start w:val="1"/>
      <w:numFmt w:val="bullet"/>
      <w:lvlText w:val="o"/>
      <w:lvlJc w:val="left"/>
      <w:pPr>
        <w:ind w:left="3600" w:hanging="360"/>
      </w:pPr>
      <w:rPr>
        <w:rFonts w:ascii="Courier New" w:hAnsi="Courier New" w:hint="default"/>
      </w:rPr>
    </w:lvl>
    <w:lvl w:ilvl="5" w:tplc="A84CE45C">
      <w:start w:val="1"/>
      <w:numFmt w:val="bullet"/>
      <w:lvlText w:val=""/>
      <w:lvlJc w:val="left"/>
      <w:pPr>
        <w:ind w:left="4320" w:hanging="360"/>
      </w:pPr>
      <w:rPr>
        <w:rFonts w:ascii="Wingdings" w:hAnsi="Wingdings" w:hint="default"/>
      </w:rPr>
    </w:lvl>
    <w:lvl w:ilvl="6" w:tplc="1DC43948">
      <w:start w:val="1"/>
      <w:numFmt w:val="bullet"/>
      <w:lvlText w:val=""/>
      <w:lvlJc w:val="left"/>
      <w:pPr>
        <w:ind w:left="5040" w:hanging="360"/>
      </w:pPr>
      <w:rPr>
        <w:rFonts w:ascii="Symbol" w:hAnsi="Symbol" w:hint="default"/>
      </w:rPr>
    </w:lvl>
    <w:lvl w:ilvl="7" w:tplc="F8349EDC">
      <w:start w:val="1"/>
      <w:numFmt w:val="bullet"/>
      <w:lvlText w:val="o"/>
      <w:lvlJc w:val="left"/>
      <w:pPr>
        <w:ind w:left="5760" w:hanging="360"/>
      </w:pPr>
      <w:rPr>
        <w:rFonts w:ascii="Courier New" w:hAnsi="Courier New" w:hint="default"/>
      </w:rPr>
    </w:lvl>
    <w:lvl w:ilvl="8" w:tplc="C79C69C8">
      <w:start w:val="1"/>
      <w:numFmt w:val="bullet"/>
      <w:lvlText w:val=""/>
      <w:lvlJc w:val="left"/>
      <w:pPr>
        <w:ind w:left="6480" w:hanging="360"/>
      </w:pPr>
      <w:rPr>
        <w:rFonts w:ascii="Wingdings" w:hAnsi="Wingdings" w:hint="default"/>
      </w:rPr>
    </w:lvl>
  </w:abstractNum>
  <w:abstractNum w:abstractNumId="6" w15:restartNumberingAfterBreak="0">
    <w:nsid w:val="39C42AF7"/>
    <w:multiLevelType w:val="hybridMultilevel"/>
    <w:tmpl w:val="E22A1144"/>
    <w:lvl w:ilvl="0" w:tplc="B936F9A4">
      <w:start w:val="1"/>
      <w:numFmt w:val="bullet"/>
      <w:lvlText w:val=""/>
      <w:lvlJc w:val="left"/>
      <w:pPr>
        <w:ind w:left="720" w:hanging="360"/>
      </w:pPr>
      <w:rPr>
        <w:rFonts w:ascii="Symbol" w:hAnsi="Symbol" w:hint="default"/>
      </w:rPr>
    </w:lvl>
    <w:lvl w:ilvl="1" w:tplc="CE4A6888">
      <w:start w:val="1"/>
      <w:numFmt w:val="bullet"/>
      <w:lvlText w:val="o"/>
      <w:lvlJc w:val="left"/>
      <w:pPr>
        <w:ind w:left="1440" w:hanging="360"/>
      </w:pPr>
      <w:rPr>
        <w:rFonts w:ascii="Courier New" w:hAnsi="Courier New" w:hint="default"/>
      </w:rPr>
    </w:lvl>
    <w:lvl w:ilvl="2" w:tplc="89E813AC">
      <w:start w:val="1"/>
      <w:numFmt w:val="bullet"/>
      <w:lvlText w:val=""/>
      <w:lvlJc w:val="left"/>
      <w:pPr>
        <w:ind w:left="2160" w:hanging="360"/>
      </w:pPr>
      <w:rPr>
        <w:rFonts w:ascii="Wingdings" w:hAnsi="Wingdings" w:hint="default"/>
      </w:rPr>
    </w:lvl>
    <w:lvl w:ilvl="3" w:tplc="12C6A878">
      <w:start w:val="1"/>
      <w:numFmt w:val="bullet"/>
      <w:lvlText w:val=""/>
      <w:lvlJc w:val="left"/>
      <w:pPr>
        <w:ind w:left="2880" w:hanging="360"/>
      </w:pPr>
      <w:rPr>
        <w:rFonts w:ascii="Symbol" w:hAnsi="Symbol" w:hint="default"/>
      </w:rPr>
    </w:lvl>
    <w:lvl w:ilvl="4" w:tplc="7C2C05A2">
      <w:start w:val="1"/>
      <w:numFmt w:val="bullet"/>
      <w:lvlText w:val="o"/>
      <w:lvlJc w:val="left"/>
      <w:pPr>
        <w:ind w:left="3600" w:hanging="360"/>
      </w:pPr>
      <w:rPr>
        <w:rFonts w:ascii="Courier New" w:hAnsi="Courier New" w:hint="default"/>
      </w:rPr>
    </w:lvl>
    <w:lvl w:ilvl="5" w:tplc="7564DBEA">
      <w:start w:val="1"/>
      <w:numFmt w:val="bullet"/>
      <w:lvlText w:val=""/>
      <w:lvlJc w:val="left"/>
      <w:pPr>
        <w:ind w:left="4320" w:hanging="360"/>
      </w:pPr>
      <w:rPr>
        <w:rFonts w:ascii="Wingdings" w:hAnsi="Wingdings" w:hint="default"/>
      </w:rPr>
    </w:lvl>
    <w:lvl w:ilvl="6" w:tplc="23087582">
      <w:start w:val="1"/>
      <w:numFmt w:val="bullet"/>
      <w:lvlText w:val=""/>
      <w:lvlJc w:val="left"/>
      <w:pPr>
        <w:ind w:left="5040" w:hanging="360"/>
      </w:pPr>
      <w:rPr>
        <w:rFonts w:ascii="Symbol" w:hAnsi="Symbol" w:hint="default"/>
      </w:rPr>
    </w:lvl>
    <w:lvl w:ilvl="7" w:tplc="821A7DDC">
      <w:start w:val="1"/>
      <w:numFmt w:val="bullet"/>
      <w:lvlText w:val="o"/>
      <w:lvlJc w:val="left"/>
      <w:pPr>
        <w:ind w:left="5760" w:hanging="360"/>
      </w:pPr>
      <w:rPr>
        <w:rFonts w:ascii="Courier New" w:hAnsi="Courier New" w:hint="default"/>
      </w:rPr>
    </w:lvl>
    <w:lvl w:ilvl="8" w:tplc="F2868E6E">
      <w:start w:val="1"/>
      <w:numFmt w:val="bullet"/>
      <w:lvlText w:val=""/>
      <w:lvlJc w:val="left"/>
      <w:pPr>
        <w:ind w:left="6480" w:hanging="360"/>
      </w:pPr>
      <w:rPr>
        <w:rFonts w:ascii="Wingdings" w:hAnsi="Wingdings" w:hint="default"/>
      </w:rPr>
    </w:lvl>
  </w:abstractNum>
  <w:abstractNum w:abstractNumId="7" w15:restartNumberingAfterBreak="0">
    <w:nsid w:val="794C1976"/>
    <w:multiLevelType w:val="hybridMultilevel"/>
    <w:tmpl w:val="6DBAFBF0"/>
    <w:lvl w:ilvl="0" w:tplc="C5C47E40">
      <w:start w:val="1"/>
      <w:numFmt w:val="bullet"/>
      <w:lvlText w:val=""/>
      <w:lvlJc w:val="left"/>
      <w:pPr>
        <w:ind w:left="720" w:hanging="360"/>
      </w:pPr>
      <w:rPr>
        <w:rFonts w:ascii="Symbol" w:hAnsi="Symbol" w:hint="default"/>
      </w:rPr>
    </w:lvl>
    <w:lvl w:ilvl="1" w:tplc="C12A157E">
      <w:start w:val="1"/>
      <w:numFmt w:val="bullet"/>
      <w:lvlText w:val="o"/>
      <w:lvlJc w:val="left"/>
      <w:pPr>
        <w:ind w:left="1440" w:hanging="360"/>
      </w:pPr>
      <w:rPr>
        <w:rFonts w:ascii="Courier New" w:hAnsi="Courier New" w:hint="default"/>
      </w:rPr>
    </w:lvl>
    <w:lvl w:ilvl="2" w:tplc="F7E00832">
      <w:start w:val="1"/>
      <w:numFmt w:val="bullet"/>
      <w:lvlText w:val=""/>
      <w:lvlJc w:val="left"/>
      <w:pPr>
        <w:ind w:left="2160" w:hanging="360"/>
      </w:pPr>
      <w:rPr>
        <w:rFonts w:ascii="Wingdings" w:hAnsi="Wingdings" w:hint="default"/>
      </w:rPr>
    </w:lvl>
    <w:lvl w:ilvl="3" w:tplc="A05ED67E">
      <w:start w:val="1"/>
      <w:numFmt w:val="bullet"/>
      <w:lvlText w:val=""/>
      <w:lvlJc w:val="left"/>
      <w:pPr>
        <w:ind w:left="2880" w:hanging="360"/>
      </w:pPr>
      <w:rPr>
        <w:rFonts w:ascii="Symbol" w:hAnsi="Symbol" w:hint="default"/>
      </w:rPr>
    </w:lvl>
    <w:lvl w:ilvl="4" w:tplc="4EB87BB2">
      <w:start w:val="1"/>
      <w:numFmt w:val="bullet"/>
      <w:lvlText w:val="o"/>
      <w:lvlJc w:val="left"/>
      <w:pPr>
        <w:ind w:left="3600" w:hanging="360"/>
      </w:pPr>
      <w:rPr>
        <w:rFonts w:ascii="Courier New" w:hAnsi="Courier New" w:hint="default"/>
      </w:rPr>
    </w:lvl>
    <w:lvl w:ilvl="5" w:tplc="E4B2285E">
      <w:start w:val="1"/>
      <w:numFmt w:val="bullet"/>
      <w:lvlText w:val=""/>
      <w:lvlJc w:val="left"/>
      <w:pPr>
        <w:ind w:left="4320" w:hanging="360"/>
      </w:pPr>
      <w:rPr>
        <w:rFonts w:ascii="Wingdings" w:hAnsi="Wingdings" w:hint="default"/>
      </w:rPr>
    </w:lvl>
    <w:lvl w:ilvl="6" w:tplc="205A88BE">
      <w:start w:val="1"/>
      <w:numFmt w:val="bullet"/>
      <w:lvlText w:val=""/>
      <w:lvlJc w:val="left"/>
      <w:pPr>
        <w:ind w:left="5040" w:hanging="360"/>
      </w:pPr>
      <w:rPr>
        <w:rFonts w:ascii="Symbol" w:hAnsi="Symbol" w:hint="default"/>
      </w:rPr>
    </w:lvl>
    <w:lvl w:ilvl="7" w:tplc="889400A6">
      <w:start w:val="1"/>
      <w:numFmt w:val="bullet"/>
      <w:lvlText w:val="o"/>
      <w:lvlJc w:val="left"/>
      <w:pPr>
        <w:ind w:left="5760" w:hanging="360"/>
      </w:pPr>
      <w:rPr>
        <w:rFonts w:ascii="Courier New" w:hAnsi="Courier New" w:hint="default"/>
      </w:rPr>
    </w:lvl>
    <w:lvl w:ilvl="8" w:tplc="2B3C0836">
      <w:start w:val="1"/>
      <w:numFmt w:val="bullet"/>
      <w:lvlText w:val=""/>
      <w:lvlJc w:val="left"/>
      <w:pPr>
        <w:ind w:left="6480" w:hanging="360"/>
      </w:pPr>
      <w:rPr>
        <w:rFonts w:ascii="Wingdings" w:hAnsi="Wingdings" w:hint="default"/>
      </w:rPr>
    </w:lvl>
  </w:abstractNum>
  <w:num w:numId="1" w16cid:durableId="1374816267">
    <w:abstractNumId w:val="0"/>
  </w:num>
  <w:num w:numId="2" w16cid:durableId="2051150963">
    <w:abstractNumId w:val="1"/>
  </w:num>
  <w:num w:numId="3" w16cid:durableId="859513716">
    <w:abstractNumId w:val="7"/>
  </w:num>
  <w:num w:numId="4" w16cid:durableId="1846701477">
    <w:abstractNumId w:val="4"/>
  </w:num>
  <w:num w:numId="5" w16cid:durableId="194661544">
    <w:abstractNumId w:val="5"/>
  </w:num>
  <w:num w:numId="6" w16cid:durableId="1461337187">
    <w:abstractNumId w:val="2"/>
  </w:num>
  <w:num w:numId="7" w16cid:durableId="944071881">
    <w:abstractNumId w:val="3"/>
  </w:num>
  <w:num w:numId="8" w16cid:durableId="1269241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575C"/>
    <w:rsid w:val="00063016"/>
    <w:rsid w:val="0006643D"/>
    <w:rsid w:val="00066795"/>
    <w:rsid w:val="00074AEC"/>
    <w:rsid w:val="00076AF6"/>
    <w:rsid w:val="00077E22"/>
    <w:rsid w:val="00081D49"/>
    <w:rsid w:val="00085CF2"/>
    <w:rsid w:val="000B1705"/>
    <w:rsid w:val="000B6414"/>
    <w:rsid w:val="000D194C"/>
    <w:rsid w:val="000D1DE9"/>
    <w:rsid w:val="000D454F"/>
    <w:rsid w:val="000D75B2"/>
    <w:rsid w:val="001121F5"/>
    <w:rsid w:val="00130599"/>
    <w:rsid w:val="001400DC"/>
    <w:rsid w:val="00140CE1"/>
    <w:rsid w:val="00145ADA"/>
    <w:rsid w:val="00146BE8"/>
    <w:rsid w:val="001578F9"/>
    <w:rsid w:val="001751FF"/>
    <w:rsid w:val="0017539C"/>
    <w:rsid w:val="00175AC2"/>
    <w:rsid w:val="0017609F"/>
    <w:rsid w:val="0017662E"/>
    <w:rsid w:val="00185B77"/>
    <w:rsid w:val="0019628A"/>
    <w:rsid w:val="001A7D1D"/>
    <w:rsid w:val="001B050A"/>
    <w:rsid w:val="001B0988"/>
    <w:rsid w:val="001B51DD"/>
    <w:rsid w:val="001C18CF"/>
    <w:rsid w:val="001C628E"/>
    <w:rsid w:val="001E0F7B"/>
    <w:rsid w:val="001E0FBE"/>
    <w:rsid w:val="001E5CB5"/>
    <w:rsid w:val="001F5A3D"/>
    <w:rsid w:val="002061EA"/>
    <w:rsid w:val="002079A2"/>
    <w:rsid w:val="002119FD"/>
    <w:rsid w:val="002130E0"/>
    <w:rsid w:val="00214A25"/>
    <w:rsid w:val="00215A2C"/>
    <w:rsid w:val="00222E82"/>
    <w:rsid w:val="002404ED"/>
    <w:rsid w:val="00244F7F"/>
    <w:rsid w:val="00250B5E"/>
    <w:rsid w:val="00260ACE"/>
    <w:rsid w:val="00264425"/>
    <w:rsid w:val="00265875"/>
    <w:rsid w:val="00272B95"/>
    <w:rsid w:val="0027303B"/>
    <w:rsid w:val="00275908"/>
    <w:rsid w:val="0028109B"/>
    <w:rsid w:val="0029095C"/>
    <w:rsid w:val="00297452"/>
    <w:rsid w:val="002A2188"/>
    <w:rsid w:val="002B1F58"/>
    <w:rsid w:val="002B235E"/>
    <w:rsid w:val="002C1C7A"/>
    <w:rsid w:val="002C4825"/>
    <w:rsid w:val="002C54E2"/>
    <w:rsid w:val="002D3973"/>
    <w:rsid w:val="002D7BF4"/>
    <w:rsid w:val="0030160F"/>
    <w:rsid w:val="00320223"/>
    <w:rsid w:val="00322D0D"/>
    <w:rsid w:val="00326BA8"/>
    <w:rsid w:val="00343D1A"/>
    <w:rsid w:val="00361465"/>
    <w:rsid w:val="00361793"/>
    <w:rsid w:val="00382F92"/>
    <w:rsid w:val="003877F5"/>
    <w:rsid w:val="003942D4"/>
    <w:rsid w:val="003958A8"/>
    <w:rsid w:val="003C2533"/>
    <w:rsid w:val="003C2DC3"/>
    <w:rsid w:val="003D3F27"/>
    <w:rsid w:val="003D5064"/>
    <w:rsid w:val="003D55B9"/>
    <w:rsid w:val="003D5A7F"/>
    <w:rsid w:val="004016E2"/>
    <w:rsid w:val="0040435A"/>
    <w:rsid w:val="00410DE0"/>
    <w:rsid w:val="00416A24"/>
    <w:rsid w:val="00420CDA"/>
    <w:rsid w:val="00431D9E"/>
    <w:rsid w:val="00433CE8"/>
    <w:rsid w:val="00434A5C"/>
    <w:rsid w:val="004523D8"/>
    <w:rsid w:val="00452710"/>
    <w:rsid w:val="004544D9"/>
    <w:rsid w:val="00463FAC"/>
    <w:rsid w:val="00472BAD"/>
    <w:rsid w:val="00482D48"/>
    <w:rsid w:val="00484009"/>
    <w:rsid w:val="00490E72"/>
    <w:rsid w:val="00491157"/>
    <w:rsid w:val="004921C8"/>
    <w:rsid w:val="00495B0B"/>
    <w:rsid w:val="004A1B8B"/>
    <w:rsid w:val="004C1532"/>
    <w:rsid w:val="004D1851"/>
    <w:rsid w:val="004D599D"/>
    <w:rsid w:val="004E2037"/>
    <w:rsid w:val="004E2EA5"/>
    <w:rsid w:val="004E3AEB"/>
    <w:rsid w:val="004F5CF3"/>
    <w:rsid w:val="004F774E"/>
    <w:rsid w:val="0050223C"/>
    <w:rsid w:val="00517223"/>
    <w:rsid w:val="005203BE"/>
    <w:rsid w:val="005243FF"/>
    <w:rsid w:val="005273CB"/>
    <w:rsid w:val="00561A3A"/>
    <w:rsid w:val="00564FBC"/>
    <w:rsid w:val="005800BC"/>
    <w:rsid w:val="00582442"/>
    <w:rsid w:val="00591463"/>
    <w:rsid w:val="005A29E5"/>
    <w:rsid w:val="005A335D"/>
    <w:rsid w:val="005C3811"/>
    <w:rsid w:val="005D3349"/>
    <w:rsid w:val="005E2BD5"/>
    <w:rsid w:val="005F3269"/>
    <w:rsid w:val="00600253"/>
    <w:rsid w:val="00610EBC"/>
    <w:rsid w:val="00623AE3"/>
    <w:rsid w:val="0064322D"/>
    <w:rsid w:val="0064737F"/>
    <w:rsid w:val="006535F1"/>
    <w:rsid w:val="0065557D"/>
    <w:rsid w:val="00660CA7"/>
    <w:rsid w:val="00660D50"/>
    <w:rsid w:val="00662984"/>
    <w:rsid w:val="006716BB"/>
    <w:rsid w:val="00676C7D"/>
    <w:rsid w:val="006A1EB8"/>
    <w:rsid w:val="006A74A1"/>
    <w:rsid w:val="006B1859"/>
    <w:rsid w:val="006B6680"/>
    <w:rsid w:val="006B6DCC"/>
    <w:rsid w:val="006E146E"/>
    <w:rsid w:val="006E7BD1"/>
    <w:rsid w:val="00702DEF"/>
    <w:rsid w:val="00705F9F"/>
    <w:rsid w:val="00706861"/>
    <w:rsid w:val="00715CD8"/>
    <w:rsid w:val="00716629"/>
    <w:rsid w:val="007306A9"/>
    <w:rsid w:val="0073553F"/>
    <w:rsid w:val="00740CBA"/>
    <w:rsid w:val="0075051B"/>
    <w:rsid w:val="00775655"/>
    <w:rsid w:val="00793188"/>
    <w:rsid w:val="00794D34"/>
    <w:rsid w:val="007C1A4C"/>
    <w:rsid w:val="007D7673"/>
    <w:rsid w:val="007E61C2"/>
    <w:rsid w:val="00813E5E"/>
    <w:rsid w:val="00821D47"/>
    <w:rsid w:val="0082624B"/>
    <w:rsid w:val="0083581B"/>
    <w:rsid w:val="00863874"/>
    <w:rsid w:val="00864AFF"/>
    <w:rsid w:val="00865925"/>
    <w:rsid w:val="008662C2"/>
    <w:rsid w:val="00873107"/>
    <w:rsid w:val="0087640F"/>
    <w:rsid w:val="008767E9"/>
    <w:rsid w:val="00891503"/>
    <w:rsid w:val="008964B4"/>
    <w:rsid w:val="0089773A"/>
    <w:rsid w:val="008A4157"/>
    <w:rsid w:val="008A4220"/>
    <w:rsid w:val="008B04EB"/>
    <w:rsid w:val="008B4A6A"/>
    <w:rsid w:val="008C60E5"/>
    <w:rsid w:val="008C7E27"/>
    <w:rsid w:val="008F7448"/>
    <w:rsid w:val="0090147A"/>
    <w:rsid w:val="00906CCD"/>
    <w:rsid w:val="009173EF"/>
    <w:rsid w:val="00932906"/>
    <w:rsid w:val="00941417"/>
    <w:rsid w:val="00943D49"/>
    <w:rsid w:val="00956C9C"/>
    <w:rsid w:val="00961B0B"/>
    <w:rsid w:val="00962D33"/>
    <w:rsid w:val="00965A78"/>
    <w:rsid w:val="00971C28"/>
    <w:rsid w:val="009B2D4B"/>
    <w:rsid w:val="009B38C3"/>
    <w:rsid w:val="009B4345"/>
    <w:rsid w:val="009B7802"/>
    <w:rsid w:val="009C253A"/>
    <w:rsid w:val="009C48DC"/>
    <w:rsid w:val="009D2DA4"/>
    <w:rsid w:val="009E0ED6"/>
    <w:rsid w:val="009E17BD"/>
    <w:rsid w:val="009E485A"/>
    <w:rsid w:val="009F347C"/>
    <w:rsid w:val="009F5B99"/>
    <w:rsid w:val="00A04CEC"/>
    <w:rsid w:val="00A10B07"/>
    <w:rsid w:val="00A20CC2"/>
    <w:rsid w:val="00A27F92"/>
    <w:rsid w:val="00A32257"/>
    <w:rsid w:val="00A33863"/>
    <w:rsid w:val="00A34664"/>
    <w:rsid w:val="00A36D20"/>
    <w:rsid w:val="00A467DF"/>
    <w:rsid w:val="00A47DBA"/>
    <w:rsid w:val="00A514A4"/>
    <w:rsid w:val="00A52C84"/>
    <w:rsid w:val="00A55622"/>
    <w:rsid w:val="00A61E93"/>
    <w:rsid w:val="00A70DDE"/>
    <w:rsid w:val="00A7157D"/>
    <w:rsid w:val="00A83502"/>
    <w:rsid w:val="00A930F9"/>
    <w:rsid w:val="00A94376"/>
    <w:rsid w:val="00AA51EB"/>
    <w:rsid w:val="00AB17D0"/>
    <w:rsid w:val="00AD15B3"/>
    <w:rsid w:val="00AD2057"/>
    <w:rsid w:val="00AD3606"/>
    <w:rsid w:val="00AD4A3D"/>
    <w:rsid w:val="00AD6D7C"/>
    <w:rsid w:val="00AE0ADE"/>
    <w:rsid w:val="00AE37A6"/>
    <w:rsid w:val="00AE78C0"/>
    <w:rsid w:val="00AF5235"/>
    <w:rsid w:val="00AF6E49"/>
    <w:rsid w:val="00B04A67"/>
    <w:rsid w:val="00B04C13"/>
    <w:rsid w:val="00B0583C"/>
    <w:rsid w:val="00B122A0"/>
    <w:rsid w:val="00B358B2"/>
    <w:rsid w:val="00B40A81"/>
    <w:rsid w:val="00B44910"/>
    <w:rsid w:val="00B5187F"/>
    <w:rsid w:val="00B645A0"/>
    <w:rsid w:val="00B72267"/>
    <w:rsid w:val="00B7688F"/>
    <w:rsid w:val="00B76EB6"/>
    <w:rsid w:val="00B7737B"/>
    <w:rsid w:val="00B824C8"/>
    <w:rsid w:val="00B84B9D"/>
    <w:rsid w:val="00BA4A37"/>
    <w:rsid w:val="00BC1459"/>
    <w:rsid w:val="00BC251A"/>
    <w:rsid w:val="00BC5B8C"/>
    <w:rsid w:val="00BD032B"/>
    <w:rsid w:val="00BD1693"/>
    <w:rsid w:val="00BD5620"/>
    <w:rsid w:val="00BE2640"/>
    <w:rsid w:val="00BF5CBF"/>
    <w:rsid w:val="00C01189"/>
    <w:rsid w:val="00C374DE"/>
    <w:rsid w:val="00C47AD4"/>
    <w:rsid w:val="00C51846"/>
    <w:rsid w:val="00C52D81"/>
    <w:rsid w:val="00C55198"/>
    <w:rsid w:val="00C726CF"/>
    <w:rsid w:val="00C74311"/>
    <w:rsid w:val="00C84029"/>
    <w:rsid w:val="00C845BF"/>
    <w:rsid w:val="00CA6393"/>
    <w:rsid w:val="00CA7CB8"/>
    <w:rsid w:val="00CB18FF"/>
    <w:rsid w:val="00CC7CF3"/>
    <w:rsid w:val="00CD0C08"/>
    <w:rsid w:val="00CE03FB"/>
    <w:rsid w:val="00CE433C"/>
    <w:rsid w:val="00CF0161"/>
    <w:rsid w:val="00CF33F3"/>
    <w:rsid w:val="00CF50AF"/>
    <w:rsid w:val="00D06183"/>
    <w:rsid w:val="00D061DB"/>
    <w:rsid w:val="00D06E0D"/>
    <w:rsid w:val="00D22C42"/>
    <w:rsid w:val="00D37ED2"/>
    <w:rsid w:val="00D42462"/>
    <w:rsid w:val="00D464CC"/>
    <w:rsid w:val="00D52706"/>
    <w:rsid w:val="00D53C61"/>
    <w:rsid w:val="00D65041"/>
    <w:rsid w:val="00DA01BA"/>
    <w:rsid w:val="00DB00D5"/>
    <w:rsid w:val="00DB1936"/>
    <w:rsid w:val="00DB384B"/>
    <w:rsid w:val="00DD59EE"/>
    <w:rsid w:val="00DE12EB"/>
    <w:rsid w:val="00DF0189"/>
    <w:rsid w:val="00DF146D"/>
    <w:rsid w:val="00E01463"/>
    <w:rsid w:val="00E03C3D"/>
    <w:rsid w:val="00E04CE5"/>
    <w:rsid w:val="00E06FD5"/>
    <w:rsid w:val="00E10E80"/>
    <w:rsid w:val="00E124F0"/>
    <w:rsid w:val="00E227F3"/>
    <w:rsid w:val="00E42966"/>
    <w:rsid w:val="00E545C6"/>
    <w:rsid w:val="00E60F04"/>
    <w:rsid w:val="00E65B24"/>
    <w:rsid w:val="00E854E4"/>
    <w:rsid w:val="00E86DBF"/>
    <w:rsid w:val="00EB0D6F"/>
    <w:rsid w:val="00EB2232"/>
    <w:rsid w:val="00EC5337"/>
    <w:rsid w:val="00ED454D"/>
    <w:rsid w:val="00EE49E8"/>
    <w:rsid w:val="00EE59E6"/>
    <w:rsid w:val="00EF1CD4"/>
    <w:rsid w:val="00F02C0B"/>
    <w:rsid w:val="00F12F0F"/>
    <w:rsid w:val="00F16BAB"/>
    <w:rsid w:val="00F2150A"/>
    <w:rsid w:val="00F231D8"/>
    <w:rsid w:val="00F43A2B"/>
    <w:rsid w:val="00F44C00"/>
    <w:rsid w:val="00F45D2C"/>
    <w:rsid w:val="00F46C5F"/>
    <w:rsid w:val="00F632C0"/>
    <w:rsid w:val="00F74694"/>
    <w:rsid w:val="00F920C7"/>
    <w:rsid w:val="00F94A63"/>
    <w:rsid w:val="00FA1C28"/>
    <w:rsid w:val="00FB1279"/>
    <w:rsid w:val="00FB6B76"/>
    <w:rsid w:val="00FB7596"/>
    <w:rsid w:val="00FD7016"/>
    <w:rsid w:val="00FE4077"/>
    <w:rsid w:val="00FE500D"/>
    <w:rsid w:val="00FE77D2"/>
    <w:rsid w:val="00FF6EEB"/>
    <w:rsid w:val="01AC2370"/>
    <w:rsid w:val="023E68E1"/>
    <w:rsid w:val="026F491A"/>
    <w:rsid w:val="02CF8DBF"/>
    <w:rsid w:val="031F869E"/>
    <w:rsid w:val="037F7332"/>
    <w:rsid w:val="041AA245"/>
    <w:rsid w:val="0674A488"/>
    <w:rsid w:val="080BC078"/>
    <w:rsid w:val="0834A732"/>
    <w:rsid w:val="09A282F6"/>
    <w:rsid w:val="0B6EA3B7"/>
    <w:rsid w:val="0BB194AC"/>
    <w:rsid w:val="0D1ED0DD"/>
    <w:rsid w:val="0DC5D764"/>
    <w:rsid w:val="0FFC8DC0"/>
    <w:rsid w:val="11DA5616"/>
    <w:rsid w:val="121916B9"/>
    <w:rsid w:val="13C756C0"/>
    <w:rsid w:val="159BAB05"/>
    <w:rsid w:val="17DDC1E3"/>
    <w:rsid w:val="18413050"/>
    <w:rsid w:val="1881C900"/>
    <w:rsid w:val="19FA0271"/>
    <w:rsid w:val="1A56BBAA"/>
    <w:rsid w:val="1ACD8C7D"/>
    <w:rsid w:val="1B6F9AE8"/>
    <w:rsid w:val="1C43ACC8"/>
    <w:rsid w:val="1F61B77A"/>
    <w:rsid w:val="1F7BAB4E"/>
    <w:rsid w:val="1F8DCCD9"/>
    <w:rsid w:val="20E2B6E2"/>
    <w:rsid w:val="212E3AF0"/>
    <w:rsid w:val="23657CFB"/>
    <w:rsid w:val="2392AA98"/>
    <w:rsid w:val="241F6181"/>
    <w:rsid w:val="2546E5F7"/>
    <w:rsid w:val="25CFBF4F"/>
    <w:rsid w:val="26543DC8"/>
    <w:rsid w:val="26A3861F"/>
    <w:rsid w:val="26C75A0B"/>
    <w:rsid w:val="27A9F3A8"/>
    <w:rsid w:val="28990458"/>
    <w:rsid w:val="291B17C7"/>
    <w:rsid w:val="2962AFC4"/>
    <w:rsid w:val="299DBFCC"/>
    <w:rsid w:val="2A392F78"/>
    <w:rsid w:val="2B1026DC"/>
    <w:rsid w:val="2BC15B59"/>
    <w:rsid w:val="2C2D2554"/>
    <w:rsid w:val="2C35DD89"/>
    <w:rsid w:val="2D916287"/>
    <w:rsid w:val="2EF1CE25"/>
    <w:rsid w:val="2F0C3AEE"/>
    <w:rsid w:val="2F55EC8A"/>
    <w:rsid w:val="2FB6C5A5"/>
    <w:rsid w:val="2FCCF85F"/>
    <w:rsid w:val="309125B5"/>
    <w:rsid w:val="30BF5A19"/>
    <w:rsid w:val="346DA67A"/>
    <w:rsid w:val="34EB7136"/>
    <w:rsid w:val="3533210A"/>
    <w:rsid w:val="353D9620"/>
    <w:rsid w:val="35B2994A"/>
    <w:rsid w:val="36E273B0"/>
    <w:rsid w:val="381DF1C0"/>
    <w:rsid w:val="3859E631"/>
    <w:rsid w:val="39EF9ECE"/>
    <w:rsid w:val="3C643276"/>
    <w:rsid w:val="3D645EBB"/>
    <w:rsid w:val="3E9BB36C"/>
    <w:rsid w:val="3EEFDA9A"/>
    <w:rsid w:val="3F7F7CC4"/>
    <w:rsid w:val="41440CDB"/>
    <w:rsid w:val="42426F46"/>
    <w:rsid w:val="424DFD8D"/>
    <w:rsid w:val="43115502"/>
    <w:rsid w:val="44C12983"/>
    <w:rsid w:val="44E85A3F"/>
    <w:rsid w:val="450EE111"/>
    <w:rsid w:val="456BEA4F"/>
    <w:rsid w:val="4654FE01"/>
    <w:rsid w:val="46A2DDE4"/>
    <w:rsid w:val="46A5020E"/>
    <w:rsid w:val="475C646E"/>
    <w:rsid w:val="47A746ED"/>
    <w:rsid w:val="47B3E0DA"/>
    <w:rsid w:val="485AA0F9"/>
    <w:rsid w:val="48DE23C8"/>
    <w:rsid w:val="497CBE0A"/>
    <w:rsid w:val="4DC80510"/>
    <w:rsid w:val="4EA67F51"/>
    <w:rsid w:val="4EE76468"/>
    <w:rsid w:val="4F6D5B6E"/>
    <w:rsid w:val="4FC9C6A4"/>
    <w:rsid w:val="541238EA"/>
    <w:rsid w:val="55F8D36B"/>
    <w:rsid w:val="56D72A58"/>
    <w:rsid w:val="57CDFA11"/>
    <w:rsid w:val="57EF31D8"/>
    <w:rsid w:val="58FDF4DD"/>
    <w:rsid w:val="59B3717A"/>
    <w:rsid w:val="5A857042"/>
    <w:rsid w:val="5AEB191E"/>
    <w:rsid w:val="5BC7F9A4"/>
    <w:rsid w:val="5D46B473"/>
    <w:rsid w:val="5E126FEA"/>
    <w:rsid w:val="5F2E6E51"/>
    <w:rsid w:val="60AF5732"/>
    <w:rsid w:val="6366CDC8"/>
    <w:rsid w:val="639044EF"/>
    <w:rsid w:val="6456E304"/>
    <w:rsid w:val="64864C6A"/>
    <w:rsid w:val="66D44290"/>
    <w:rsid w:val="67C013B8"/>
    <w:rsid w:val="6A39BA60"/>
    <w:rsid w:val="6B963E49"/>
    <w:rsid w:val="6D35063A"/>
    <w:rsid w:val="6D50FF95"/>
    <w:rsid w:val="6DA0AA86"/>
    <w:rsid w:val="6EA9C415"/>
    <w:rsid w:val="6F3C2EC5"/>
    <w:rsid w:val="6FC491FB"/>
    <w:rsid w:val="6FCC7730"/>
    <w:rsid w:val="70ADF458"/>
    <w:rsid w:val="717B91CA"/>
    <w:rsid w:val="7259BC1E"/>
    <w:rsid w:val="72AD25C3"/>
    <w:rsid w:val="737AA377"/>
    <w:rsid w:val="73B5DE81"/>
    <w:rsid w:val="73CEEB62"/>
    <w:rsid w:val="740F66BD"/>
    <w:rsid w:val="76640452"/>
    <w:rsid w:val="793B1A76"/>
    <w:rsid w:val="7A09E53C"/>
    <w:rsid w:val="7BAAEC36"/>
    <w:rsid w:val="7C44660E"/>
    <w:rsid w:val="7CBBA627"/>
    <w:rsid w:val="7E0CF7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2EF6C8E-3B8C-4E87-BB24-5697A2EA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5D3349"/>
    <w:pPr>
      <w:spacing w:before="80"/>
      <w:ind w:left="567" w:hanging="567"/>
      <w:jc w:val="both"/>
    </w:pPr>
    <w:rPr>
      <w:rFonts w:eastAsia="Calibri"/>
    </w:r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6A1EB8"/>
    <w:pPr>
      <w:spacing w:before="160"/>
      <w:ind w:left="0" w:firstLine="0"/>
      <w:outlineLvl w:val="0"/>
    </w:pPr>
    <w:rPr>
      <w:lang w:val="fr-FR"/>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character" w:styleId="CommentReference">
    <w:name w:val="annotation reference"/>
    <w:basedOn w:val="DefaultParagraphFont"/>
    <w:semiHidden/>
    <w:unhideWhenUsed/>
    <w:rsid w:val="00AA51EB"/>
    <w:rPr>
      <w:sz w:val="16"/>
      <w:szCs w:val="16"/>
    </w:rPr>
  </w:style>
  <w:style w:type="paragraph" w:styleId="CommentText">
    <w:name w:val="annotation text"/>
    <w:basedOn w:val="Normal"/>
    <w:link w:val="CommentTextChar"/>
    <w:unhideWhenUsed/>
    <w:rsid w:val="00AA51EB"/>
    <w:rPr>
      <w:sz w:val="20"/>
    </w:rPr>
  </w:style>
  <w:style w:type="character" w:customStyle="1" w:styleId="CommentTextChar">
    <w:name w:val="Comment Text Char"/>
    <w:basedOn w:val="DefaultParagraphFont"/>
    <w:link w:val="CommentText"/>
    <w:rsid w:val="00AA51EB"/>
    <w:rPr>
      <w:rFonts w:ascii="Calibri" w:hAnsi="Calibri"/>
      <w:lang w:val="en-GB" w:eastAsia="en-US"/>
    </w:rPr>
  </w:style>
  <w:style w:type="character" w:styleId="Mention">
    <w:name w:val="Mention"/>
    <w:basedOn w:val="DefaultParagraphFont"/>
    <w:uiPriority w:val="99"/>
    <w:unhideWhenUsed/>
    <w:rsid w:val="00AA51EB"/>
    <w:rPr>
      <w:color w:val="2B579A"/>
      <w:shd w:val="clear" w:color="auto" w:fill="E1DFDD"/>
    </w:rPr>
  </w:style>
  <w:style w:type="paragraph" w:customStyle="1" w:styleId="Reasons">
    <w:name w:val="Reasons"/>
    <w:basedOn w:val="Normal"/>
    <w:qFormat/>
    <w:rsid w:val="006A1EB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214A25"/>
    <w:rPr>
      <w:rFonts w:ascii="Calibri" w:hAnsi="Calibri"/>
      <w:sz w:val="24"/>
      <w:lang w:val="en-GB" w:eastAsia="en-US"/>
    </w:rPr>
  </w:style>
  <w:style w:type="paragraph" w:styleId="ListParagraph">
    <w:name w:val="List Paragraph"/>
    <w:basedOn w:val="Normal"/>
    <w:uiPriority w:val="34"/>
    <w:qFormat/>
    <w:rsid w:val="00275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cwg-fhr/Pages/default.aspx" TargetMode="External"/><Relationship Id="rId18" Type="http://schemas.openxmlformats.org/officeDocument/2006/relationships/hyperlink" Target="https://www.itu.int/md/S23-CL-C-0084/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md/S07-CL-C-0022/en" TargetMode="External"/><Relationship Id="rId7" Type="http://schemas.openxmlformats.org/officeDocument/2006/relationships/settings" Target="settings.xml"/><Relationship Id="rId12" Type="http://schemas.openxmlformats.org/officeDocument/2006/relationships/hyperlink" Target="https://www.itu.int/md/S23-CL-C-0084/" TargetMode="External"/><Relationship Id="rId17" Type="http://schemas.openxmlformats.org/officeDocument/2006/relationships/hyperlink" Target="https://www.itu.int/md/S25-CWGFHR21-C-0008/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6-RCLCWGLANG17-C-0003/en" TargetMode="External"/><Relationship Id="rId20" Type="http://schemas.openxmlformats.org/officeDocument/2006/relationships/hyperlink" Target="https://www.itu.int/md/S23-CL-C-0084/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95/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5-CWGFHR21-C-0008/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4-CL-INF-001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95/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E8A87-E70B-4808-8D06-6502CAF7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44127C9A-418E-4081-99FB-FF1C22B34192}">
  <ds:schemaRefs>
    <ds:schemaRef ds:uri="http://schemas.microsoft.com/office/2006/documentManagement/types"/>
    <ds:schemaRef ds:uri="a4c22657-7647-457b-a399-8471255bb166"/>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1756</Words>
  <Characters>10625</Characters>
  <Application>Microsoft Office Word</Application>
  <DocSecurity>0</DocSecurity>
  <Lines>180</Lines>
  <Paragraphs>73</Paragraphs>
  <ScaleCrop>false</ScaleCrop>
  <HeadingPairs>
    <vt:vector size="2" baseType="variant">
      <vt:variant>
        <vt:lpstr>Title</vt:lpstr>
      </vt:variant>
      <vt:variant>
        <vt:i4>1</vt:i4>
      </vt:variant>
    </vt:vector>
  </HeadingPairs>
  <TitlesOfParts>
    <vt:vector size="1" baseType="lpstr">
      <vt:lpstr>Reducing financial burdens on host countries of ITU conferences, meetings and activities</vt:lpstr>
    </vt:vector>
  </TitlesOfParts>
  <Manager/>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financial burdens on host countries of ITU conferences, meetings and activities</dc:title>
  <dc:subject>ITU Council Working Group on Financial and Human Resources</dc:subject>
  <cp:keywords>CWG-FHR; C26; Council-26</cp:keywords>
  <dc:description/>
  <dcterms:created xsi:type="dcterms:W3CDTF">2025-12-15T14:45:00Z</dcterms:created>
  <dcterms:modified xsi:type="dcterms:W3CDTF">2025-12-15T14:45:00Z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