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94376"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317197B0" w:rsidR="00AD3606" w:rsidRPr="00A94376" w:rsidRDefault="00AD3606" w:rsidP="00472BAD">
            <w:pPr>
              <w:tabs>
                <w:tab w:val="left" w:pos="851"/>
              </w:tabs>
              <w:spacing w:before="0" w:line="240" w:lineRule="atLeast"/>
              <w:jc w:val="right"/>
              <w:rPr>
                <w:b/>
                <w:lang w:val="it-IT"/>
              </w:rPr>
            </w:pPr>
            <w:r w:rsidRPr="00A94376">
              <w:rPr>
                <w:b/>
                <w:lang w:val="it-IT"/>
              </w:rPr>
              <w:t>Document C</w:t>
            </w:r>
            <w:r w:rsidR="00A52C84" w:rsidRPr="00A94376">
              <w:rPr>
                <w:b/>
                <w:lang w:val="it-IT"/>
              </w:rPr>
              <w:t>WG-</w:t>
            </w:r>
            <w:r w:rsidR="009F347C" w:rsidRPr="00A94376">
              <w:rPr>
                <w:b/>
                <w:lang w:val="it-IT"/>
              </w:rPr>
              <w:t>FHR</w:t>
            </w:r>
            <w:r w:rsidR="00A52C84" w:rsidRPr="00A94376">
              <w:rPr>
                <w:b/>
                <w:lang w:val="it-IT"/>
              </w:rPr>
              <w:t>-</w:t>
            </w:r>
            <w:r w:rsidR="00AE78C0">
              <w:rPr>
                <w:b/>
                <w:lang w:val="it-IT"/>
              </w:rPr>
              <w:t>22</w:t>
            </w:r>
            <w:r w:rsidRPr="00A94376">
              <w:rPr>
                <w:b/>
                <w:lang w:val="it-IT"/>
              </w:rPr>
              <w:t>/</w:t>
            </w:r>
            <w:r w:rsidR="009D7CF0">
              <w:rPr>
                <w:b/>
                <w:lang w:val="it-IT"/>
              </w:rPr>
              <w:t>15</w:t>
            </w:r>
          </w:p>
        </w:tc>
      </w:tr>
      <w:tr w:rsidR="00AD3606" w:rsidRPr="00A94376" w14:paraId="789B45BA" w14:textId="77777777" w:rsidTr="00AD3606">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4B829AF6" w:rsidR="00AD3606" w:rsidRPr="00A94376" w:rsidRDefault="00FC4A2E" w:rsidP="00AD3606">
            <w:pPr>
              <w:tabs>
                <w:tab w:val="left" w:pos="851"/>
              </w:tabs>
              <w:spacing w:before="0"/>
              <w:jc w:val="right"/>
              <w:rPr>
                <w:b/>
              </w:rPr>
            </w:pPr>
            <w:r>
              <w:rPr>
                <w:b/>
              </w:rPr>
              <w:t>12</w:t>
            </w:r>
            <w:r w:rsidR="008A5535">
              <w:rPr>
                <w:b/>
              </w:rPr>
              <w:t xml:space="preserve"> December 2025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54A1C3C9" w:rsidR="00AD3606" w:rsidRPr="00676C7D" w:rsidRDefault="005203BE" w:rsidP="00676C7D">
            <w:pPr>
              <w:pStyle w:val="Source"/>
              <w:framePr w:hSpace="0" w:wrap="auto" w:vAnchor="margin" w:hAnchor="text" w:xAlign="left" w:yAlign="inline"/>
            </w:pPr>
            <w:bookmarkStart w:id="8" w:name="dsource" w:colFirst="0" w:colLast="0"/>
            <w:bookmarkEnd w:id="7"/>
            <w:r>
              <w:t>Report by the Secretary-General</w:t>
            </w:r>
          </w:p>
        </w:tc>
      </w:tr>
      <w:tr w:rsidR="00AD3606" w:rsidRPr="00813E5E" w14:paraId="2340750D" w14:textId="77777777" w:rsidTr="00AD3606">
        <w:trPr>
          <w:cantSplit/>
        </w:trPr>
        <w:tc>
          <w:tcPr>
            <w:tcW w:w="9214" w:type="dxa"/>
            <w:gridSpan w:val="2"/>
            <w:tcMar>
              <w:left w:w="0" w:type="dxa"/>
            </w:tcMar>
          </w:tcPr>
          <w:p w14:paraId="47B91AA8" w14:textId="6F2AF0DF" w:rsidR="00AD3606" w:rsidRPr="00676C7D" w:rsidRDefault="00394DDD" w:rsidP="00676C7D">
            <w:pPr>
              <w:pStyle w:val="Subtitle"/>
              <w:framePr w:hSpace="0" w:wrap="auto" w:xAlign="left" w:yAlign="inline"/>
            </w:pPr>
            <w:bookmarkStart w:id="9" w:name="dtitle1" w:colFirst="0" w:colLast="0"/>
            <w:bookmarkEnd w:id="8"/>
            <w:r w:rsidRPr="0061398D">
              <w:t>UPDATE ON ITU TRANSFORMATION</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2E09FE8B" w14:textId="5F682751" w:rsidR="00AD3606" w:rsidRPr="00813E5E" w:rsidRDefault="0061398D" w:rsidP="0061398D">
            <w:r w:rsidRPr="0061398D">
              <w:t xml:space="preserve">This document reports on the status of ITU Transformation efforts to achieve </w:t>
            </w:r>
            <w:r w:rsidR="00CD79ED" w:rsidRPr="0061398D">
              <w:t>organizational excellence.</w:t>
            </w:r>
          </w:p>
          <w:p w14:paraId="5076D5C4" w14:textId="28F00572" w:rsidR="00AD3606" w:rsidRPr="00F16BAB" w:rsidRDefault="00AD3606" w:rsidP="00F16BAB">
            <w:pPr>
              <w:spacing w:before="160"/>
              <w:rPr>
                <w:b/>
                <w:bCs/>
                <w:sz w:val="26"/>
                <w:szCs w:val="26"/>
              </w:rPr>
            </w:pPr>
            <w:r w:rsidRPr="00F16BAB">
              <w:rPr>
                <w:b/>
                <w:bCs/>
                <w:sz w:val="26"/>
                <w:szCs w:val="26"/>
              </w:rPr>
              <w:t>Action required</w:t>
            </w:r>
          </w:p>
          <w:p w14:paraId="53A776F1" w14:textId="154FEB74" w:rsidR="00891503" w:rsidRDefault="00FD7016" w:rsidP="00F16BAB">
            <w:pPr>
              <w:spacing w:before="160"/>
            </w:pPr>
            <w:r w:rsidRPr="00FD7016">
              <w:t xml:space="preserve">The </w:t>
            </w:r>
            <w:r>
              <w:t xml:space="preserve">Council Working Group on </w:t>
            </w:r>
            <w:r w:rsidR="00AF5235">
              <w:t xml:space="preserve">financial </w:t>
            </w:r>
            <w:r>
              <w:t xml:space="preserve">and </w:t>
            </w:r>
            <w:r w:rsidR="00AF5235">
              <w:t xml:space="preserve">human </w:t>
            </w:r>
            <w:r>
              <w:t>resources</w:t>
            </w:r>
            <w:r w:rsidRPr="00FD7016">
              <w:t xml:space="preserve"> is invited to</w:t>
            </w:r>
            <w:r w:rsidR="003D55B9">
              <w:t xml:space="preserve"> </w:t>
            </w:r>
            <w:r w:rsidR="000D454F" w:rsidRPr="000D454F">
              <w:rPr>
                <w:b/>
                <w:bCs/>
              </w:rPr>
              <w:t>note</w:t>
            </w:r>
            <w:r w:rsidR="000D454F" w:rsidRPr="000D454F">
              <w:t xml:space="preserve"> th</w:t>
            </w:r>
            <w:r w:rsidR="0061398D">
              <w:t>e progress achieved to date</w:t>
            </w:r>
            <w:r w:rsidR="000D454F" w:rsidRPr="000D454F">
              <w:t>.</w:t>
            </w:r>
          </w:p>
          <w:p w14:paraId="7B35FFE5" w14:textId="77777777" w:rsidR="0073553F" w:rsidRDefault="0073553F">
            <w:r>
              <w:t>_______________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3B5F3073" w:rsidR="00AD3606" w:rsidRPr="00E03C3D" w:rsidRDefault="00FD7016" w:rsidP="00F16BAB">
            <w:pPr>
              <w:spacing w:after="160"/>
              <w:rPr>
                <w:i/>
                <w:iCs/>
                <w:sz w:val="22"/>
                <w:szCs w:val="22"/>
              </w:rPr>
            </w:pPr>
            <w:hyperlink r:id="rId11" w:history="1">
              <w:r w:rsidRPr="00E03C3D">
                <w:rPr>
                  <w:rStyle w:val="Hyperlink"/>
                  <w:i/>
                  <w:iCs/>
                  <w:sz w:val="22"/>
                  <w:szCs w:val="22"/>
                </w:rPr>
                <w:t>CWG-FHR website</w:t>
              </w:r>
            </w:hyperlink>
            <w:r w:rsidRPr="00E03C3D">
              <w:rPr>
                <w:i/>
                <w:iCs/>
                <w:sz w:val="22"/>
                <w:szCs w:val="22"/>
              </w:rPr>
              <w:t xml:space="preserve">; </w:t>
            </w:r>
            <w:r w:rsidR="0061398D" w:rsidRPr="126554B6">
              <w:rPr>
                <w:i/>
                <w:iCs/>
                <w:sz w:val="22"/>
                <w:szCs w:val="22"/>
              </w:rPr>
              <w:t xml:space="preserve">Council Documents </w:t>
            </w:r>
            <w:hyperlink r:id="rId12">
              <w:r w:rsidR="0061398D" w:rsidRPr="126554B6">
                <w:rPr>
                  <w:rStyle w:val="Hyperlink"/>
                  <w:i/>
                  <w:iCs/>
                  <w:sz w:val="22"/>
                  <w:szCs w:val="22"/>
                </w:rPr>
                <w:t>C20/61</w:t>
              </w:r>
            </w:hyperlink>
            <w:r w:rsidR="0061398D" w:rsidRPr="126554B6">
              <w:rPr>
                <w:i/>
                <w:iCs/>
                <w:sz w:val="22"/>
                <w:szCs w:val="22"/>
              </w:rPr>
              <w:t xml:space="preserve">, </w:t>
            </w:r>
            <w:hyperlink r:id="rId13">
              <w:r w:rsidR="0061398D" w:rsidRPr="126554B6">
                <w:rPr>
                  <w:rStyle w:val="Hyperlink"/>
                  <w:i/>
                  <w:iCs/>
                  <w:sz w:val="22"/>
                  <w:szCs w:val="22"/>
                </w:rPr>
                <w:t>C20/74</w:t>
              </w:r>
            </w:hyperlink>
            <w:r w:rsidR="0061398D" w:rsidRPr="126554B6">
              <w:rPr>
                <w:i/>
                <w:iCs/>
                <w:sz w:val="22"/>
                <w:szCs w:val="22"/>
              </w:rPr>
              <w:t xml:space="preserve">; </w:t>
            </w:r>
            <w:hyperlink r:id="rId14">
              <w:r w:rsidR="0061398D" w:rsidRPr="126554B6">
                <w:rPr>
                  <w:rStyle w:val="Hyperlink"/>
                  <w:i/>
                  <w:iCs/>
                  <w:sz w:val="22"/>
                  <w:szCs w:val="22"/>
                </w:rPr>
                <w:t>C21/INF/15</w:t>
              </w:r>
            </w:hyperlink>
            <w:r w:rsidR="0061398D" w:rsidRPr="126554B6">
              <w:rPr>
                <w:i/>
                <w:iCs/>
                <w:sz w:val="22"/>
                <w:szCs w:val="22"/>
              </w:rPr>
              <w:t xml:space="preserve">; </w:t>
            </w:r>
            <w:hyperlink r:id="rId15">
              <w:r w:rsidR="0061398D" w:rsidRPr="126554B6">
                <w:rPr>
                  <w:rStyle w:val="Hyperlink"/>
                  <w:i/>
                  <w:iCs/>
                  <w:sz w:val="22"/>
                  <w:szCs w:val="22"/>
                </w:rPr>
                <w:t>C22/INF/13</w:t>
              </w:r>
            </w:hyperlink>
            <w:r w:rsidR="0061398D" w:rsidRPr="126554B6">
              <w:rPr>
                <w:i/>
                <w:iCs/>
                <w:sz w:val="22"/>
                <w:szCs w:val="22"/>
              </w:rPr>
              <w:t xml:space="preserve">, </w:t>
            </w:r>
            <w:hyperlink r:id="rId16">
              <w:r w:rsidR="0061398D" w:rsidRPr="126554B6">
                <w:rPr>
                  <w:rStyle w:val="Hyperlink"/>
                  <w:i/>
                  <w:iCs/>
                  <w:sz w:val="22"/>
                  <w:szCs w:val="22"/>
                </w:rPr>
                <w:t>C22/40</w:t>
              </w:r>
            </w:hyperlink>
            <w:r w:rsidR="0061398D" w:rsidRPr="126554B6">
              <w:rPr>
                <w:i/>
                <w:iCs/>
                <w:sz w:val="22"/>
                <w:szCs w:val="22"/>
              </w:rPr>
              <w:t xml:space="preserve">, </w:t>
            </w:r>
            <w:hyperlink r:id="rId17">
              <w:r w:rsidR="0061398D" w:rsidRPr="126554B6">
                <w:rPr>
                  <w:rStyle w:val="Hyperlink"/>
                  <w:i/>
                  <w:iCs/>
                  <w:sz w:val="22"/>
                  <w:szCs w:val="22"/>
                </w:rPr>
                <w:t>C22/57</w:t>
              </w:r>
            </w:hyperlink>
            <w:r w:rsidR="0061398D" w:rsidRPr="126554B6">
              <w:rPr>
                <w:i/>
                <w:iCs/>
                <w:sz w:val="22"/>
                <w:szCs w:val="22"/>
              </w:rPr>
              <w:t xml:space="preserve">; </w:t>
            </w:r>
            <w:hyperlink r:id="rId18">
              <w:r w:rsidR="0061398D" w:rsidRPr="126554B6">
                <w:rPr>
                  <w:rStyle w:val="Hyperlink"/>
                  <w:i/>
                  <w:iCs/>
                  <w:sz w:val="22"/>
                  <w:szCs w:val="22"/>
                </w:rPr>
                <w:t>C23/36</w:t>
              </w:r>
            </w:hyperlink>
            <w:r w:rsidR="0061398D" w:rsidRPr="126554B6">
              <w:rPr>
                <w:i/>
                <w:iCs/>
                <w:sz w:val="22"/>
                <w:szCs w:val="22"/>
              </w:rPr>
              <w:t xml:space="preserve">, </w:t>
            </w:r>
            <w:hyperlink r:id="rId19">
              <w:r w:rsidR="0061398D" w:rsidRPr="126554B6">
                <w:rPr>
                  <w:rStyle w:val="Hyperlink"/>
                  <w:i/>
                  <w:iCs/>
                  <w:sz w:val="22"/>
                  <w:szCs w:val="22"/>
                </w:rPr>
                <w:t>C23/50</w:t>
              </w:r>
            </w:hyperlink>
            <w:r w:rsidR="0061398D" w:rsidRPr="126554B6">
              <w:rPr>
                <w:i/>
                <w:iCs/>
                <w:sz w:val="22"/>
                <w:szCs w:val="22"/>
              </w:rPr>
              <w:t xml:space="preserve">, </w:t>
            </w:r>
            <w:hyperlink r:id="rId20">
              <w:r w:rsidR="0061398D" w:rsidRPr="126554B6">
                <w:rPr>
                  <w:rStyle w:val="Hyperlink"/>
                  <w:i/>
                  <w:iCs/>
                  <w:sz w:val="22"/>
                  <w:szCs w:val="22"/>
                </w:rPr>
                <w:t>C23/62</w:t>
              </w:r>
            </w:hyperlink>
            <w:r w:rsidR="0061398D" w:rsidRPr="126554B6">
              <w:rPr>
                <w:i/>
                <w:iCs/>
                <w:sz w:val="22"/>
                <w:szCs w:val="22"/>
              </w:rPr>
              <w:t xml:space="preserve">, </w:t>
            </w:r>
            <w:hyperlink r:id="rId21">
              <w:r w:rsidR="0061398D" w:rsidRPr="126554B6">
                <w:rPr>
                  <w:rStyle w:val="Hyperlink"/>
                  <w:i/>
                  <w:iCs/>
                  <w:sz w:val="22"/>
                  <w:szCs w:val="22"/>
                </w:rPr>
                <w:t>C23/INF/11</w:t>
              </w:r>
            </w:hyperlink>
            <w:r w:rsidR="0061398D" w:rsidRPr="126554B6">
              <w:rPr>
                <w:i/>
                <w:iCs/>
                <w:sz w:val="22"/>
                <w:szCs w:val="22"/>
              </w:rPr>
              <w:t xml:space="preserve">, </w:t>
            </w:r>
            <w:hyperlink r:id="rId22">
              <w:r w:rsidR="0061398D" w:rsidRPr="126554B6">
                <w:rPr>
                  <w:rStyle w:val="Hyperlink"/>
                  <w:i/>
                  <w:iCs/>
                  <w:sz w:val="22"/>
                  <w:szCs w:val="22"/>
                </w:rPr>
                <w:t>C23/INF/13</w:t>
              </w:r>
            </w:hyperlink>
            <w:r w:rsidR="0061398D" w:rsidRPr="126554B6">
              <w:rPr>
                <w:rStyle w:val="Hyperlink"/>
                <w:i/>
                <w:iCs/>
                <w:color w:val="auto"/>
                <w:sz w:val="22"/>
                <w:szCs w:val="22"/>
                <w:u w:val="none"/>
              </w:rPr>
              <w:t xml:space="preserve">; </w:t>
            </w:r>
            <w:hyperlink r:id="rId23">
              <w:r w:rsidR="0061398D" w:rsidRPr="126554B6">
                <w:rPr>
                  <w:rStyle w:val="Hyperlink"/>
                  <w:i/>
                  <w:iCs/>
                  <w:sz w:val="22"/>
                  <w:szCs w:val="22"/>
                </w:rPr>
                <w:t>C24/19</w:t>
              </w:r>
            </w:hyperlink>
            <w:r w:rsidR="0061398D" w:rsidRPr="126554B6">
              <w:rPr>
                <w:rStyle w:val="Hyperlink"/>
                <w:i/>
                <w:iCs/>
                <w:color w:val="auto"/>
                <w:sz w:val="22"/>
                <w:szCs w:val="22"/>
                <w:u w:val="none"/>
              </w:rPr>
              <w:t xml:space="preserve">, </w:t>
            </w:r>
            <w:hyperlink r:id="rId24">
              <w:r w:rsidR="0061398D" w:rsidRPr="126554B6">
                <w:rPr>
                  <w:rStyle w:val="Hyperlink"/>
                  <w:i/>
                  <w:iCs/>
                  <w:sz w:val="22"/>
                  <w:szCs w:val="22"/>
                </w:rPr>
                <w:t>C24/53</w:t>
              </w:r>
            </w:hyperlink>
            <w:r w:rsidR="0061398D" w:rsidRPr="126554B6">
              <w:rPr>
                <w:i/>
                <w:iCs/>
                <w:sz w:val="22"/>
                <w:szCs w:val="22"/>
              </w:rPr>
              <w:t xml:space="preserve">, </w:t>
            </w:r>
            <w:hyperlink r:id="rId25">
              <w:r w:rsidR="0061398D" w:rsidRPr="126554B6">
                <w:rPr>
                  <w:rStyle w:val="Hyperlink"/>
                  <w:i/>
                  <w:iCs/>
                  <w:sz w:val="22"/>
                  <w:szCs w:val="22"/>
                </w:rPr>
                <w:t>C24/31</w:t>
              </w:r>
            </w:hyperlink>
            <w:r w:rsidR="0061398D" w:rsidRPr="126554B6">
              <w:rPr>
                <w:i/>
                <w:iCs/>
                <w:sz w:val="22"/>
                <w:szCs w:val="22"/>
              </w:rPr>
              <w:t xml:space="preserve">; </w:t>
            </w:r>
            <w:hyperlink r:id="rId26">
              <w:r w:rsidR="0061398D" w:rsidRPr="126554B6">
                <w:rPr>
                  <w:rStyle w:val="Hyperlink"/>
                  <w:i/>
                  <w:iCs/>
                  <w:sz w:val="22"/>
                  <w:szCs w:val="22"/>
                </w:rPr>
                <w:t>C25/50</w:t>
              </w:r>
            </w:hyperlink>
            <w:r w:rsidR="0061398D" w:rsidRPr="126554B6">
              <w:rPr>
                <w:i/>
                <w:iCs/>
                <w:sz w:val="22"/>
                <w:szCs w:val="22"/>
              </w:rPr>
              <w:t xml:space="preserve">, </w:t>
            </w:r>
            <w:hyperlink r:id="rId27">
              <w:r w:rsidR="0061398D" w:rsidRPr="126554B6">
                <w:rPr>
                  <w:rStyle w:val="Hyperlink"/>
                  <w:i/>
                  <w:iCs/>
                  <w:sz w:val="22"/>
                  <w:szCs w:val="22"/>
                </w:rPr>
                <w:t>C25/55</w:t>
              </w:r>
              <w:r w:rsidR="0061398D" w:rsidRPr="00181162">
                <w:rPr>
                  <w:rStyle w:val="Hyperlink"/>
                  <w:i/>
                  <w:iCs/>
                  <w:color w:val="auto"/>
                  <w:sz w:val="22"/>
                  <w:szCs w:val="22"/>
                  <w:u w:val="none"/>
                </w:rPr>
                <w:t>,</w:t>
              </w:r>
            </w:hyperlink>
            <w:r w:rsidR="0061398D" w:rsidRPr="126554B6">
              <w:rPr>
                <w:i/>
                <w:iCs/>
                <w:sz w:val="22"/>
                <w:szCs w:val="22"/>
              </w:rPr>
              <w:t xml:space="preserve"> </w:t>
            </w:r>
            <w:hyperlink r:id="rId28">
              <w:r w:rsidR="0061398D" w:rsidRPr="126554B6">
                <w:rPr>
                  <w:rStyle w:val="Hyperlink"/>
                  <w:i/>
                  <w:iCs/>
                  <w:sz w:val="22"/>
                  <w:szCs w:val="22"/>
                </w:rPr>
                <w:t>C25/66</w:t>
              </w:r>
            </w:hyperlink>
          </w:p>
        </w:tc>
      </w:tr>
    </w:tbl>
    <w:p w14:paraId="4CDB8B60" w14:textId="77777777" w:rsidR="00E227F3" w:rsidRPr="00AE78C0"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AE78C0"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AE78C0">
        <w:br w:type="page"/>
      </w:r>
    </w:p>
    <w:bookmarkEnd w:id="5"/>
    <w:bookmarkEnd w:id="10"/>
    <w:p w14:paraId="14FB9ACB" w14:textId="77777777" w:rsidR="0061398D" w:rsidRPr="0061398D" w:rsidRDefault="0061398D" w:rsidP="00D215ED">
      <w:pPr>
        <w:pStyle w:val="Heading1"/>
      </w:pPr>
      <w:r w:rsidRPr="0061398D">
        <w:rPr>
          <w:bCs/>
          <w:szCs w:val="28"/>
        </w:rPr>
        <w:lastRenderedPageBreak/>
        <w:t>1</w:t>
      </w:r>
      <w:r w:rsidRPr="0061398D">
        <w:rPr>
          <w:bCs/>
          <w:szCs w:val="28"/>
        </w:rPr>
        <w:tab/>
      </w:r>
      <w:r w:rsidRPr="0061398D">
        <w:t>Introduction</w:t>
      </w:r>
    </w:p>
    <w:p w14:paraId="136E0F5A" w14:textId="45B37525" w:rsidR="0061398D" w:rsidRPr="0061398D" w:rsidRDefault="0061398D" w:rsidP="00FA768E">
      <w:pPr>
        <w:jc w:val="both"/>
        <w:rPr>
          <w:rFonts w:eastAsiaTheme="minorEastAsia"/>
        </w:rPr>
      </w:pPr>
      <w:r w:rsidRPr="0061398D">
        <w:rPr>
          <w:rFonts w:eastAsiaTheme="minorEastAsia"/>
        </w:rPr>
        <w:t>In January 2023, ITU</w:t>
      </w:r>
      <w:r w:rsidR="00DE54CD">
        <w:rPr>
          <w:rFonts w:eastAsiaTheme="minorEastAsia"/>
        </w:rPr>
        <w:t>’</w:t>
      </w:r>
      <w:r w:rsidRPr="0061398D">
        <w:rPr>
          <w:rFonts w:eastAsiaTheme="minorEastAsia"/>
        </w:rPr>
        <w:t xml:space="preserve">s leadership team launched a transformation initiative based on a comprehensive visioning process that involved extensive input from staff at all levels of the organization. Building on these early ideas, a changemakers programme was created to give staff additional opportunities to recommend specific cases for change. </w:t>
      </w:r>
    </w:p>
    <w:p w14:paraId="004FAC9E" w14:textId="77777777" w:rsidR="0061398D" w:rsidRPr="0061398D" w:rsidRDefault="0061398D" w:rsidP="00FA768E">
      <w:pPr>
        <w:jc w:val="both"/>
        <w:rPr>
          <w:rFonts w:eastAsiaTheme="minorEastAsia"/>
        </w:rPr>
      </w:pPr>
      <w:r w:rsidRPr="0061398D">
        <w:rPr>
          <w:rFonts w:eastAsiaTheme="minorEastAsia"/>
        </w:rPr>
        <w:t xml:space="preserve">This provided a foundation for change and engaged staff in a collective effort to prepare ITU for the future. While transformation is occurring across the General Secretariat and Bureaux, the focus of the transformation initiative has been on achieving operational excellence in the General Secretariat, as a service provider to the Bureaux and members. </w:t>
      </w:r>
    </w:p>
    <w:p w14:paraId="0B9DD05D" w14:textId="2FBE364D" w:rsidR="0061398D" w:rsidRPr="0061398D" w:rsidRDefault="0061398D" w:rsidP="00FA768E">
      <w:pPr>
        <w:jc w:val="both"/>
      </w:pPr>
      <w:r w:rsidRPr="0061398D">
        <w:rPr>
          <w:rFonts w:eastAsia="Calibri" w:cs="Calibri"/>
          <w:color w:val="000000" w:themeColor="text1"/>
        </w:rPr>
        <w:t>As reported to previous Council and Council Working Group sessions, ITU</w:t>
      </w:r>
      <w:r w:rsidR="00DE54CD">
        <w:rPr>
          <w:rFonts w:eastAsia="Calibri" w:cs="Calibri"/>
          <w:color w:val="000000" w:themeColor="text1"/>
        </w:rPr>
        <w:t>’</w:t>
      </w:r>
      <w:r w:rsidRPr="0061398D">
        <w:rPr>
          <w:rFonts w:eastAsia="Calibri" w:cs="Calibri"/>
          <w:color w:val="000000" w:themeColor="text1"/>
        </w:rPr>
        <w:t xml:space="preserve">s transformation roadmap covers a </w:t>
      </w:r>
      <w:r w:rsidRPr="00684A9C">
        <w:rPr>
          <w:rFonts w:eastAsiaTheme="minorEastAsia"/>
        </w:rPr>
        <w:t>comprehensive</w:t>
      </w:r>
      <w:r w:rsidRPr="0061398D">
        <w:rPr>
          <w:rFonts w:eastAsia="Calibri" w:cs="Calibri"/>
          <w:color w:val="000000" w:themeColor="text1"/>
        </w:rPr>
        <w:t xml:space="preserve"> list of initiatives with tangible deliverables across the five pillars: governance, members and partners, people and culture, resource optimization and systems, processes and tools. </w:t>
      </w:r>
    </w:p>
    <w:p w14:paraId="404F44A5" w14:textId="090095E6" w:rsidR="0061398D" w:rsidRPr="0061398D" w:rsidRDefault="0061398D" w:rsidP="00FA768E">
      <w:pPr>
        <w:jc w:val="both"/>
        <w:rPr>
          <w:rFonts w:eastAsiaTheme="minorEastAsia"/>
        </w:rPr>
      </w:pPr>
      <w:r w:rsidRPr="0061398D">
        <w:rPr>
          <w:rFonts w:eastAsiaTheme="minorEastAsia"/>
        </w:rPr>
        <w:t>As ITU</w:t>
      </w:r>
      <w:r w:rsidR="00DE54CD">
        <w:rPr>
          <w:rFonts w:eastAsiaTheme="minorEastAsia"/>
        </w:rPr>
        <w:t>’</w:t>
      </w:r>
      <w:r w:rsidRPr="0061398D">
        <w:rPr>
          <w:rFonts w:eastAsiaTheme="minorEastAsia"/>
        </w:rPr>
        <w:t>s transformation effort matures, the secretariat is transitioning from diagnostics and ideation to implementation. Taking into account inputs from various consultative processes, senior business owners have been assessing feasibility and integrating recommendations where possible into their operational plans where budgets allow, prioritizing key initiatives while balancing day-to-day operations with transformation efforts for 2026-2027. Accordingly, for the 2028</w:t>
      </w:r>
      <w:r w:rsidR="00557C50">
        <w:rPr>
          <w:rFonts w:eastAsiaTheme="minorEastAsia"/>
        </w:rPr>
        <w:t>-</w:t>
      </w:r>
      <w:r w:rsidRPr="0061398D">
        <w:rPr>
          <w:rFonts w:eastAsiaTheme="minorEastAsia"/>
        </w:rPr>
        <w:t>2031 Strategic Plan and its accompanying Financial Plan development, transformation is incorporated as a central performance enabler rather than as a separate undertaking—ensuring the resources are available to support transformation initiatives while aiming to enhance efficiency</w:t>
      </w:r>
      <w:r w:rsidR="77CF0879" w:rsidRPr="44DEBFF2">
        <w:rPr>
          <w:rFonts w:eastAsiaTheme="minorEastAsia"/>
        </w:rPr>
        <w:t xml:space="preserve"> and</w:t>
      </w:r>
      <w:r w:rsidRPr="0061398D">
        <w:rPr>
          <w:rFonts w:eastAsiaTheme="minorEastAsia"/>
        </w:rPr>
        <w:t xml:space="preserve"> increase impact, ensuring realistic operational plans and the realization of agreed strategic outcomes and KPIs.</w:t>
      </w:r>
    </w:p>
    <w:p w14:paraId="3C095363" w14:textId="295F4A6C" w:rsidR="0061398D" w:rsidRPr="0061398D" w:rsidRDefault="0061398D" w:rsidP="00D215ED">
      <w:pPr>
        <w:pStyle w:val="Heading1"/>
      </w:pPr>
      <w:r w:rsidRPr="0061398D">
        <w:t>2</w:t>
      </w:r>
      <w:r w:rsidRPr="0061398D">
        <w:tab/>
        <w:t xml:space="preserve">Transformation Roadmap Implementation </w:t>
      </w:r>
      <w:r w:rsidR="00CD79ED" w:rsidRPr="0061398D">
        <w:t>status</w:t>
      </w:r>
      <w:r w:rsidRPr="0061398D">
        <w:t>: Dashboard</w:t>
      </w:r>
    </w:p>
    <w:p w14:paraId="4CD0C545" w14:textId="2822CAD6" w:rsidR="0061398D" w:rsidRPr="0061398D" w:rsidRDefault="029D1341" w:rsidP="00FA768E">
      <w:pPr>
        <w:jc w:val="both"/>
        <w:rPr>
          <w:rFonts w:eastAsiaTheme="minorEastAsia"/>
        </w:rPr>
      </w:pPr>
      <w:r w:rsidRPr="23F48F55">
        <w:rPr>
          <w:rFonts w:eastAsiaTheme="minorEastAsia"/>
        </w:rPr>
        <w:t xml:space="preserve">A dashboard reporting on the status of the full list of more than forty initiatives in the transformation roadmap is available </w:t>
      </w:r>
      <w:hyperlink r:id="rId29">
        <w:r w:rsidRPr="1CBA0BF8">
          <w:rPr>
            <w:rStyle w:val="Hyperlink"/>
            <w:rFonts w:eastAsiaTheme="minorEastAsia"/>
          </w:rPr>
          <w:t>here</w:t>
        </w:r>
      </w:hyperlink>
      <w:r w:rsidR="00CD79ED">
        <w:rPr>
          <w:rFonts w:eastAsiaTheme="minorEastAsia"/>
        </w:rPr>
        <w:t xml:space="preserve">. </w:t>
      </w:r>
      <w:r w:rsidRPr="23F48F55">
        <w:rPr>
          <w:rFonts w:eastAsiaTheme="minorEastAsia"/>
        </w:rPr>
        <w:t xml:space="preserve">The dashboard categorizes the initiatives as: </w:t>
      </w:r>
    </w:p>
    <w:p w14:paraId="002CCCC6" w14:textId="3C48C4D9" w:rsidR="0061398D" w:rsidRPr="0061398D" w:rsidRDefault="008D58B1" w:rsidP="008D58B1">
      <w:pPr>
        <w:pStyle w:val="enumlev1"/>
        <w:jc w:val="both"/>
        <w:rPr>
          <w:rFonts w:eastAsia="Calibri"/>
        </w:rPr>
      </w:pPr>
      <w:r>
        <w:rPr>
          <w:rFonts w:eastAsia="Calibri"/>
        </w:rPr>
        <w:t>–</w:t>
      </w:r>
      <w:r>
        <w:rPr>
          <w:rFonts w:eastAsia="Calibri"/>
        </w:rPr>
        <w:tab/>
      </w:r>
      <w:r w:rsidR="0061398D" w:rsidRPr="0061398D">
        <w:rPr>
          <w:rFonts w:eastAsia="Calibri"/>
        </w:rPr>
        <w:t>Completed: Planned deliverables achieved</w:t>
      </w:r>
    </w:p>
    <w:p w14:paraId="51B88033" w14:textId="1D0B6D08" w:rsidR="0061398D" w:rsidRPr="0061398D" w:rsidRDefault="008D58B1" w:rsidP="008D58B1">
      <w:pPr>
        <w:pStyle w:val="enumlev1"/>
        <w:jc w:val="both"/>
        <w:rPr>
          <w:rFonts w:eastAsia="Calibri"/>
        </w:rPr>
      </w:pPr>
      <w:r>
        <w:rPr>
          <w:rFonts w:eastAsia="Calibri"/>
        </w:rPr>
        <w:t>–</w:t>
      </w:r>
      <w:r>
        <w:rPr>
          <w:rFonts w:eastAsia="Calibri"/>
        </w:rPr>
        <w:tab/>
      </w:r>
      <w:r w:rsidR="0061398D" w:rsidRPr="0061398D">
        <w:rPr>
          <w:rFonts w:eastAsia="Calibri"/>
        </w:rPr>
        <w:t>Ongoing: Work on initiative started and in progress</w:t>
      </w:r>
    </w:p>
    <w:p w14:paraId="2E1B0E2E" w14:textId="1064D5CD" w:rsidR="0061398D" w:rsidRPr="0061398D" w:rsidRDefault="008D58B1" w:rsidP="008D58B1">
      <w:pPr>
        <w:pStyle w:val="enumlev1"/>
        <w:jc w:val="both"/>
        <w:rPr>
          <w:rFonts w:eastAsia="Calibri"/>
        </w:rPr>
      </w:pPr>
      <w:r>
        <w:rPr>
          <w:rFonts w:eastAsia="Calibri"/>
        </w:rPr>
        <w:t>–</w:t>
      </w:r>
      <w:r>
        <w:rPr>
          <w:rFonts w:eastAsia="Calibri"/>
        </w:rPr>
        <w:tab/>
      </w:r>
      <w:r w:rsidR="0061398D" w:rsidRPr="0061398D">
        <w:rPr>
          <w:rFonts w:eastAsia="Calibri"/>
        </w:rPr>
        <w:t>Planned: Not yet started</w:t>
      </w:r>
    </w:p>
    <w:p w14:paraId="5EFBC0EB" w14:textId="31380000" w:rsidR="0061398D" w:rsidRPr="0061398D" w:rsidRDefault="008D58B1" w:rsidP="008D58B1">
      <w:pPr>
        <w:pStyle w:val="enumlev1"/>
        <w:jc w:val="both"/>
        <w:rPr>
          <w:rFonts w:eastAsia="Calibri"/>
        </w:rPr>
      </w:pPr>
      <w:r>
        <w:rPr>
          <w:rFonts w:eastAsia="Calibri"/>
        </w:rPr>
        <w:t>–</w:t>
      </w:r>
      <w:r>
        <w:rPr>
          <w:rFonts w:eastAsia="Calibri"/>
        </w:rPr>
        <w:tab/>
      </w:r>
      <w:r w:rsidR="0061398D" w:rsidRPr="0061398D">
        <w:rPr>
          <w:rFonts w:eastAsia="Calibri"/>
        </w:rPr>
        <w:t>Revised: Due to feasibility/prioritization/rationalization (i.e. changed scope, combined with others)</w:t>
      </w:r>
      <w:r>
        <w:rPr>
          <w:rFonts w:eastAsia="Calibri"/>
        </w:rPr>
        <w:t>.</w:t>
      </w:r>
    </w:p>
    <w:p w14:paraId="7B24D8C6" w14:textId="180C7413" w:rsidR="0061398D" w:rsidRPr="0061398D" w:rsidRDefault="029D1341" w:rsidP="00684A9C">
      <w:pPr>
        <w:jc w:val="both"/>
        <w:rPr>
          <w:rFonts w:eastAsiaTheme="minorEastAsia"/>
        </w:rPr>
      </w:pPr>
      <w:r w:rsidRPr="23F48F55">
        <w:rPr>
          <w:rFonts w:eastAsiaTheme="minorEastAsia"/>
        </w:rPr>
        <w:t>Some early completed deliverables include:  the establishment of an Oversight Unit which will be fully staffed by January 2026</w:t>
      </w:r>
      <w:r w:rsidR="00584BE2">
        <w:rPr>
          <w:rFonts w:eastAsiaTheme="minorEastAsia"/>
        </w:rPr>
        <w:t xml:space="preserve"> with the addition of the </w:t>
      </w:r>
      <w:r w:rsidR="62CC2D1C" w:rsidRPr="2D2758B4">
        <w:rPr>
          <w:rFonts w:eastAsiaTheme="minorEastAsia"/>
        </w:rPr>
        <w:t>ev</w:t>
      </w:r>
      <w:r w:rsidR="00584BE2" w:rsidRPr="2D2758B4">
        <w:rPr>
          <w:rFonts w:eastAsiaTheme="minorEastAsia"/>
        </w:rPr>
        <w:t>aluation</w:t>
      </w:r>
      <w:r w:rsidR="00584BE2">
        <w:rPr>
          <w:rFonts w:eastAsiaTheme="minorEastAsia"/>
        </w:rPr>
        <w:t xml:space="preserve"> function;</w:t>
      </w:r>
      <w:r w:rsidRPr="23F48F55">
        <w:rPr>
          <w:rFonts w:eastAsiaTheme="minorEastAsia"/>
        </w:rPr>
        <w:t xml:space="preserve"> </w:t>
      </w:r>
      <w:r w:rsidR="70CBCB66" w:rsidRPr="2D2758B4">
        <w:rPr>
          <w:rFonts w:eastAsiaTheme="minorEastAsia"/>
        </w:rPr>
        <w:t xml:space="preserve">a </w:t>
      </w:r>
      <w:r w:rsidR="07FFCD38" w:rsidRPr="7CBE5444">
        <w:rPr>
          <w:rFonts w:eastAsiaTheme="minorEastAsia"/>
        </w:rPr>
        <w:t>c</w:t>
      </w:r>
      <w:r w:rsidR="07FFCD38" w:rsidRPr="2D2758B4">
        <w:rPr>
          <w:rFonts w:eastAsia="Calibri" w:cs="Calibri"/>
        </w:rPr>
        <w:t xml:space="preserve">omprehensive </w:t>
      </w:r>
      <w:r w:rsidR="70CBCB66" w:rsidRPr="2D2758B4">
        <w:rPr>
          <w:rFonts w:eastAsia="Calibri" w:cs="Calibri"/>
        </w:rPr>
        <w:t xml:space="preserve">redesign and automation of the </w:t>
      </w:r>
      <w:r w:rsidR="647B2366" w:rsidRPr="2D2758B4">
        <w:rPr>
          <w:rFonts w:eastAsia="Calibri" w:cs="Calibri"/>
        </w:rPr>
        <w:t>o</w:t>
      </w:r>
      <w:r w:rsidR="70CBCB66" w:rsidRPr="2D2758B4">
        <w:rPr>
          <w:rFonts w:eastAsia="Calibri" w:cs="Calibri"/>
        </w:rPr>
        <w:t xml:space="preserve">perational </w:t>
      </w:r>
      <w:r w:rsidR="760C4EA8" w:rsidRPr="2D2758B4">
        <w:rPr>
          <w:rFonts w:eastAsia="Calibri" w:cs="Calibri"/>
        </w:rPr>
        <w:t>p</w:t>
      </w:r>
      <w:r w:rsidR="70CBCB66" w:rsidRPr="2D2758B4">
        <w:rPr>
          <w:rFonts w:eastAsia="Calibri" w:cs="Calibri"/>
        </w:rPr>
        <w:t>lanning process to improve alignment between the strategic, operational and financial plans, and annual/bi-annual budgeting;</w:t>
      </w:r>
      <w:r w:rsidR="07FFCD38" w:rsidRPr="7CBE5444">
        <w:rPr>
          <w:rFonts w:eastAsiaTheme="minorEastAsia"/>
        </w:rPr>
        <w:t xml:space="preserve"> </w:t>
      </w:r>
      <w:r w:rsidRPr="23F48F55">
        <w:rPr>
          <w:rFonts w:eastAsiaTheme="minorEastAsia"/>
        </w:rPr>
        <w:t xml:space="preserve">establishment of an Ombudsmen function with onboarding in January 2026; a simplified performance management processes, with more improvements to come in 2026; and financial transformation, including full IPSAS compliance, and improvements to treasury, extrabudgetary funds, a post management system linked to funding and a full budget allocation management system in place. </w:t>
      </w:r>
    </w:p>
    <w:p w14:paraId="4F9D293A" w14:textId="19E3F5E9" w:rsidR="0061398D" w:rsidRPr="0061398D" w:rsidRDefault="029D1341" w:rsidP="00557C50">
      <w:pPr>
        <w:keepNext/>
        <w:keepLines/>
        <w:jc w:val="both"/>
        <w:rPr>
          <w:rFonts w:eastAsiaTheme="minorEastAsia"/>
        </w:rPr>
      </w:pPr>
      <w:r w:rsidRPr="23F48F55">
        <w:rPr>
          <w:rFonts w:eastAsiaTheme="minorEastAsia"/>
        </w:rPr>
        <w:lastRenderedPageBreak/>
        <w:t>Adaptive leadership training was organized for staff and management at various levels in 2025. This successful effort will continue into 2026 to support ongoing planning and decision-making. Significant progress has also been made in streamlining recruitment with a new draft policy for fixed-term appointments as well as a draft policy for the hiring of consultants, currently circulating for consultation among key internal stakeholders before finalizing for implementation in 2026. Following feedback through the staff engagement survey, the Secretary-General recently announced several measures</w:t>
      </w:r>
      <w:r w:rsidR="000F5C8D">
        <w:rPr>
          <w:rFonts w:eastAsiaTheme="minorEastAsia"/>
        </w:rPr>
        <w:t>,</w:t>
      </w:r>
      <w:r w:rsidRPr="23F48F55">
        <w:rPr>
          <w:rFonts w:eastAsiaTheme="minorEastAsia"/>
        </w:rPr>
        <w:t xml:space="preserve"> including a new rewards and recognition programme and dedicated time for learning and innovation-related activities. </w:t>
      </w:r>
    </w:p>
    <w:p w14:paraId="5B43754E" w14:textId="063905C9" w:rsidR="0061398D" w:rsidRPr="0061398D" w:rsidRDefault="0061398D" w:rsidP="00684A9C">
      <w:pPr>
        <w:jc w:val="both"/>
        <w:rPr>
          <w:rFonts w:eastAsia="Calibri" w:cs="Calibri"/>
        </w:rPr>
      </w:pPr>
      <w:r w:rsidRPr="0061398D">
        <w:rPr>
          <w:rFonts w:eastAsia="Calibri" w:cs="Calibri"/>
        </w:rPr>
        <w:t>In response to one of the changemakers</w:t>
      </w:r>
      <w:r w:rsidR="00DE54CD">
        <w:rPr>
          <w:rFonts w:eastAsia="Calibri" w:cs="Calibri"/>
        </w:rPr>
        <w:t>’</w:t>
      </w:r>
      <w:r w:rsidRPr="0061398D">
        <w:rPr>
          <w:rFonts w:eastAsia="Calibri" w:cs="Calibri"/>
        </w:rPr>
        <w:t xml:space="preserve"> cases, ITU is building an internal community of staff (so far</w:t>
      </w:r>
      <w:r w:rsidR="000F5C8D">
        <w:rPr>
          <w:rFonts w:eastAsia="Calibri" w:cs="Calibri"/>
        </w:rPr>
        <w:t>,</w:t>
      </w:r>
      <w:r w:rsidRPr="0061398D">
        <w:rPr>
          <w:rFonts w:eastAsia="Calibri" w:cs="Calibri"/>
        </w:rPr>
        <w:t xml:space="preserve"> almost 30) to support more rigorous evaluation across the organization, under the guidance of the Evaluation Officer. Tailored training is being </w:t>
      </w:r>
      <w:r w:rsidR="000F5C8D">
        <w:rPr>
          <w:rFonts w:eastAsia="Calibri" w:cs="Calibri"/>
        </w:rPr>
        <w:t>provided</w:t>
      </w:r>
      <w:r w:rsidRPr="0061398D">
        <w:rPr>
          <w:rFonts w:eastAsia="Calibri" w:cs="Calibri"/>
        </w:rPr>
        <w:t xml:space="preserve"> by UNSSC in early December for this community. Also responding to changemakers, an ITU-wide team was established to review ITU</w:t>
      </w:r>
      <w:r w:rsidR="00DE54CD">
        <w:rPr>
          <w:rFonts w:eastAsia="Calibri" w:cs="Calibri"/>
        </w:rPr>
        <w:t>’</w:t>
      </w:r>
      <w:r w:rsidRPr="0061398D">
        <w:rPr>
          <w:rFonts w:eastAsia="Calibri" w:cs="Calibri"/>
        </w:rPr>
        <w:t>s end-to-end document process to identify opportunities for greater efficiency and synergies across the organization</w:t>
      </w:r>
      <w:r w:rsidR="000F5C8D">
        <w:rPr>
          <w:rFonts w:eastAsia="Calibri" w:cs="Calibri"/>
        </w:rPr>
        <w:t>, as well as department-specific</w:t>
      </w:r>
      <w:r w:rsidRPr="0061398D">
        <w:rPr>
          <w:rFonts w:eastAsia="Calibri" w:cs="Calibri"/>
        </w:rPr>
        <w:t xml:space="preserve"> reviews of archiving systems. In yet another deliverable responding to changemakers, an ITU-wide team of specialists developed ITU</w:t>
      </w:r>
      <w:r w:rsidR="00DE54CD">
        <w:rPr>
          <w:rFonts w:eastAsia="Calibri" w:cs="Calibri"/>
        </w:rPr>
        <w:t>’</w:t>
      </w:r>
      <w:r w:rsidRPr="0061398D">
        <w:rPr>
          <w:rFonts w:eastAsia="Calibri" w:cs="Calibri"/>
        </w:rPr>
        <w:t>s first guidelines on the use of generative AI.</w:t>
      </w:r>
    </w:p>
    <w:p w14:paraId="45F80601" w14:textId="3DCFA3CE" w:rsidR="0061398D" w:rsidRPr="00684A9C" w:rsidRDefault="0061398D" w:rsidP="00D215ED">
      <w:pPr>
        <w:pStyle w:val="Heading1"/>
      </w:pPr>
      <w:r w:rsidRPr="00684A9C">
        <w:t>3</w:t>
      </w:r>
      <w:r w:rsidRPr="00684A9C">
        <w:tab/>
        <w:t xml:space="preserve">Rationalization to </w:t>
      </w:r>
      <w:r w:rsidR="00CD79ED" w:rsidRPr="00684A9C">
        <w:t>accelerate implementation and results</w:t>
      </w:r>
    </w:p>
    <w:p w14:paraId="570B37F1" w14:textId="5AFFA49C" w:rsidR="0061398D" w:rsidRPr="0061398D" w:rsidRDefault="0061398D" w:rsidP="0061398D">
      <w:pPr>
        <w:jc w:val="both"/>
        <w:rPr>
          <w:rFonts w:eastAsiaTheme="minorEastAsia"/>
        </w:rPr>
      </w:pPr>
      <w:r w:rsidRPr="0061398D">
        <w:rPr>
          <w:rFonts w:eastAsiaTheme="minorEastAsia"/>
        </w:rPr>
        <w:t>In line with feedback from</w:t>
      </w:r>
      <w:r w:rsidR="00D00A15">
        <w:rPr>
          <w:rFonts w:eastAsiaTheme="minorEastAsia"/>
        </w:rPr>
        <w:t xml:space="preserve"> the</w:t>
      </w:r>
      <w:r w:rsidRPr="0061398D">
        <w:rPr>
          <w:rFonts w:eastAsiaTheme="minorEastAsia"/>
        </w:rPr>
        <w:t xml:space="preserve"> Council and IMAC, the secretariat has taken measures to rationalize and prioritize the list of more than forty transformation initiatives. </w:t>
      </w:r>
    </w:p>
    <w:p w14:paraId="646E01C0" w14:textId="549FA119" w:rsidR="0061398D" w:rsidRPr="0061398D" w:rsidRDefault="0061398D" w:rsidP="0061398D">
      <w:pPr>
        <w:jc w:val="both"/>
        <w:rPr>
          <w:rFonts w:eastAsiaTheme="minorEastAsia"/>
        </w:rPr>
      </w:pPr>
      <w:r w:rsidRPr="0061398D">
        <w:rPr>
          <w:rFonts w:eastAsiaTheme="minorEastAsia"/>
        </w:rPr>
        <w:t>This more refined focus aims to help accelerate implementation and results. To this end, the Secretary-General streamlined internal governance processes in September by establishing a Transformation Task Force to advance priorities, monitor progress, and remove obstacles to delivering results by Council 2026 and PP</w:t>
      </w:r>
      <w:r w:rsidR="000F5C8D">
        <w:rPr>
          <w:rFonts w:eastAsiaTheme="minorEastAsia"/>
        </w:rPr>
        <w:t>-</w:t>
      </w:r>
      <w:r w:rsidRPr="0061398D">
        <w:rPr>
          <w:rFonts w:eastAsiaTheme="minorEastAsia"/>
        </w:rPr>
        <w:t xml:space="preserve">26. The Task Force reports to the Secretary-General and Deputy Secretary-General and provides regular updates to the Coordination Committee (COCO). The Transformation Team has been assigned to the </w:t>
      </w:r>
      <w:r w:rsidR="00AA32F0">
        <w:rPr>
          <w:rFonts w:eastAsiaTheme="minorEastAsia"/>
        </w:rPr>
        <w:t>Chief Information Officer (</w:t>
      </w:r>
      <w:r w:rsidRPr="0061398D">
        <w:rPr>
          <w:rFonts w:eastAsiaTheme="minorEastAsia"/>
        </w:rPr>
        <w:t>CIO</w:t>
      </w:r>
      <w:r w:rsidR="00AA32F0">
        <w:rPr>
          <w:rFonts w:eastAsiaTheme="minorEastAsia"/>
        </w:rPr>
        <w:t>)</w:t>
      </w:r>
      <w:r w:rsidRPr="0061398D">
        <w:rPr>
          <w:rFonts w:eastAsiaTheme="minorEastAsia"/>
        </w:rPr>
        <w:t xml:space="preserve"> during this period as implementation of digital and AI platforms are essential to successful delivery of the various initiatives.</w:t>
      </w:r>
    </w:p>
    <w:p w14:paraId="6B45FD7C" w14:textId="0E09D60A" w:rsidR="0061398D" w:rsidRPr="0061398D" w:rsidRDefault="0061398D" w:rsidP="00684A9C">
      <w:pPr>
        <w:jc w:val="both"/>
        <w:rPr>
          <w:rFonts w:eastAsia="Calibri" w:cs="Calibri"/>
        </w:rPr>
      </w:pPr>
      <w:r w:rsidRPr="0061398D">
        <w:rPr>
          <w:rFonts w:eastAsia="Calibri" w:cs="Calibri"/>
        </w:rPr>
        <w:t xml:space="preserve">The CIO and the Transformation </w:t>
      </w:r>
      <w:r w:rsidRPr="00684A9C">
        <w:rPr>
          <w:rFonts w:eastAsiaTheme="minorEastAsia"/>
        </w:rPr>
        <w:t>Team</w:t>
      </w:r>
      <w:r w:rsidRPr="0061398D">
        <w:rPr>
          <w:rFonts w:eastAsia="Calibri" w:cs="Calibri"/>
        </w:rPr>
        <w:t xml:space="preserve"> are developing a sustainable model for ownership, adoption, and delivery of transformation initiatives across ITU. This includes accompanying business teams with specialized support in areas such as lean project management, AI and application development and business process re-engineering. In doing so, the secretariat is fostering new “ways of working” where transformation, agility, and innovation are embedded into ITU</w:t>
      </w:r>
      <w:r w:rsidR="00DE54CD">
        <w:rPr>
          <w:rFonts w:eastAsia="Calibri" w:cs="Calibri"/>
        </w:rPr>
        <w:t>’</w:t>
      </w:r>
      <w:r w:rsidRPr="0061398D">
        <w:rPr>
          <w:rFonts w:eastAsia="Calibri" w:cs="Calibri"/>
        </w:rPr>
        <w:t xml:space="preserve">s culture and operations in the pursuit of digital and organizational excellence. </w:t>
      </w:r>
    </w:p>
    <w:p w14:paraId="4EBE5E52" w14:textId="4B4DA419" w:rsidR="23F48F55" w:rsidRDefault="029D1341" w:rsidP="23F48F55">
      <w:pPr>
        <w:jc w:val="both"/>
        <w:rPr>
          <w:rFonts w:eastAsiaTheme="minorEastAsia"/>
        </w:rPr>
      </w:pPr>
      <w:r w:rsidRPr="23F48F55">
        <w:rPr>
          <w:rFonts w:eastAsiaTheme="minorEastAsia"/>
        </w:rPr>
        <w:t>The key objective of these efforts is to deliver visible and meaningful impact that is felt, seen, and appreciated by ITU staff and members.</w:t>
      </w:r>
    </w:p>
    <w:p w14:paraId="07EFA4CD" w14:textId="009E4581" w:rsidR="0061398D" w:rsidRPr="0061398D" w:rsidRDefault="0061398D" w:rsidP="00D215ED">
      <w:pPr>
        <w:pStyle w:val="Heading1"/>
      </w:pPr>
      <w:r w:rsidRPr="0061398D">
        <w:t>4</w:t>
      </w:r>
      <w:r w:rsidRPr="0061398D">
        <w:tab/>
        <w:t xml:space="preserve">Priority </w:t>
      </w:r>
      <w:r w:rsidR="00CD79ED" w:rsidRPr="0061398D">
        <w:t xml:space="preserve">areas of delivery </w:t>
      </w:r>
      <w:r w:rsidRPr="0061398D">
        <w:t>for 2026</w:t>
      </w:r>
    </w:p>
    <w:p w14:paraId="0F92130F" w14:textId="0D6B82C3" w:rsidR="0061398D" w:rsidRPr="0061398D" w:rsidRDefault="0061398D" w:rsidP="0061398D">
      <w:pPr>
        <w:jc w:val="both"/>
        <w:rPr>
          <w:rFonts w:eastAsiaTheme="minorEastAsia"/>
        </w:rPr>
      </w:pPr>
      <w:r w:rsidRPr="0061398D">
        <w:rPr>
          <w:rFonts w:eastAsia="Calibri" w:cs="Calibri"/>
        </w:rPr>
        <w:t>ITU</w:t>
      </w:r>
      <w:r w:rsidR="00DE54CD">
        <w:rPr>
          <w:rFonts w:eastAsia="Calibri" w:cs="Calibri"/>
        </w:rPr>
        <w:t>’</w:t>
      </w:r>
      <w:r w:rsidRPr="0061398D">
        <w:rPr>
          <w:rFonts w:eastAsia="Calibri" w:cs="Calibri"/>
        </w:rPr>
        <w:t xml:space="preserve">s transformation focus is built on three priority areas of delivery for 2026 designed to modernize operations and build a culture of innovation to make ITU more resilient, agile and adaptive in a rapidly changing digital </w:t>
      </w:r>
      <w:r w:rsidRPr="00684A9C">
        <w:rPr>
          <w:rFonts w:eastAsiaTheme="minorEastAsia"/>
        </w:rPr>
        <w:t>environment</w:t>
      </w:r>
      <w:r w:rsidRPr="0061398D">
        <w:rPr>
          <w:rFonts w:eastAsia="Calibri" w:cs="Calibri"/>
        </w:rPr>
        <w:t xml:space="preserve">. The Transformation Task Force, CIO and transformation team are providing implementation support for several initiatives within each of these priority areas: </w:t>
      </w:r>
      <w:r w:rsidRPr="0061398D">
        <w:rPr>
          <w:rFonts w:eastAsiaTheme="minorEastAsia"/>
        </w:rPr>
        <w:t>enhancing member experience; boosting operational efficiency and impact; and empowering staff (</w:t>
      </w:r>
      <w:r w:rsidR="00CD79ED" w:rsidRPr="0061398D">
        <w:rPr>
          <w:rFonts w:eastAsiaTheme="minorEastAsia"/>
        </w:rPr>
        <w:t xml:space="preserve">see </w:t>
      </w:r>
      <w:hyperlink w:anchor="Annex1" w:history="1">
        <w:r w:rsidRPr="000F5C8D">
          <w:rPr>
            <w:rStyle w:val="Hyperlink"/>
            <w:rFonts w:eastAsiaTheme="minorEastAsia"/>
          </w:rPr>
          <w:t>Ann</w:t>
        </w:r>
        <w:r w:rsidRPr="000F5C8D">
          <w:rPr>
            <w:rStyle w:val="Hyperlink"/>
            <w:rFonts w:eastAsiaTheme="minorEastAsia"/>
          </w:rPr>
          <w:t>e</w:t>
        </w:r>
        <w:r w:rsidRPr="000F5C8D">
          <w:rPr>
            <w:rStyle w:val="Hyperlink"/>
            <w:rFonts w:eastAsiaTheme="minorEastAsia"/>
          </w:rPr>
          <w:t>x</w:t>
        </w:r>
      </w:hyperlink>
      <w:r w:rsidRPr="0061398D">
        <w:rPr>
          <w:rFonts w:eastAsiaTheme="minorEastAsia"/>
        </w:rPr>
        <w:t xml:space="preserve"> for details).</w:t>
      </w:r>
    </w:p>
    <w:p w14:paraId="71F1DDF8" w14:textId="620941C6" w:rsidR="0061398D" w:rsidRPr="00CD79ED" w:rsidRDefault="0061398D" w:rsidP="00CD79ED">
      <w:pPr>
        <w:pStyle w:val="Headingb"/>
      </w:pPr>
      <w:r w:rsidRPr="00CD79ED">
        <w:lastRenderedPageBreak/>
        <w:t xml:space="preserve">Enhancing </w:t>
      </w:r>
      <w:r w:rsidR="00CD79ED" w:rsidRPr="00CD79ED">
        <w:t>member experience</w:t>
      </w:r>
    </w:p>
    <w:p w14:paraId="66DD63C9" w14:textId="70842DF5" w:rsidR="0061398D" w:rsidRPr="0061398D" w:rsidRDefault="0061398D" w:rsidP="00684A9C">
      <w:pPr>
        <w:jc w:val="both"/>
      </w:pPr>
      <w:r w:rsidRPr="0061398D">
        <w:rPr>
          <w:rFonts w:eastAsia="Calibri" w:cs="Calibri"/>
        </w:rPr>
        <w:t xml:space="preserve">The </w:t>
      </w:r>
      <w:r w:rsidRPr="00684A9C">
        <w:rPr>
          <w:rFonts w:eastAsiaTheme="minorEastAsia"/>
        </w:rPr>
        <w:t>organization</w:t>
      </w:r>
      <w:r w:rsidRPr="0061398D">
        <w:rPr>
          <w:rFonts w:eastAsia="Calibri" w:cs="Calibri"/>
        </w:rPr>
        <w:t xml:space="preserve"> is undertaking two major initiatives to modernize members</w:t>
      </w:r>
      <w:r w:rsidR="00DE54CD">
        <w:rPr>
          <w:rFonts w:eastAsia="Calibri" w:cs="Calibri"/>
        </w:rPr>
        <w:t>’</w:t>
      </w:r>
      <w:r w:rsidRPr="0061398D">
        <w:rPr>
          <w:rFonts w:eastAsia="Calibri" w:cs="Calibri"/>
        </w:rPr>
        <w:t xml:space="preserve"> experience. First, event management is being improved through a pilot of a modern end-to-end events management system for AI4Good 2026, accompanied by digital and AI enhancements for the PP</w:t>
      </w:r>
      <w:r w:rsidR="000F5C8D">
        <w:rPr>
          <w:rFonts w:eastAsia="Calibri" w:cs="Calibri"/>
        </w:rPr>
        <w:t>-</w:t>
      </w:r>
      <w:r w:rsidRPr="0061398D">
        <w:rPr>
          <w:rFonts w:eastAsia="Calibri" w:cs="Calibri"/>
        </w:rPr>
        <w:t xml:space="preserve">26 delegate experience. </w:t>
      </w:r>
      <w:r w:rsidRPr="0061398D">
        <w:rPr>
          <w:rFonts w:asciiTheme="minorHAnsi" w:eastAsiaTheme="minorEastAsia" w:hAnsiTheme="minorHAnsi" w:cstheme="minorBidi"/>
          <w:color w:val="333333"/>
        </w:rPr>
        <w:t>The aim is to provide access to seamless registration to ITU events, shared digital workspaces and collaboration tools.</w:t>
      </w:r>
      <w:r w:rsidRPr="0061398D">
        <w:rPr>
          <w:rFonts w:asciiTheme="minorHAnsi" w:eastAsiaTheme="minorEastAsia" w:hAnsiTheme="minorHAnsi" w:cstheme="minorBidi"/>
        </w:rPr>
        <w:t xml:space="preserve"> </w:t>
      </w:r>
      <w:r w:rsidRPr="0061398D">
        <w:rPr>
          <w:rFonts w:eastAsia="Calibri" w:cs="Calibri"/>
        </w:rPr>
        <w:t>Second, the website and member zone are receiving major upgrades, with plans to launch the first version of a modernized public-facing website in six languages by PP</w:t>
      </w:r>
      <w:r w:rsidR="004A6EB4">
        <w:rPr>
          <w:rFonts w:eastAsia="Calibri" w:cs="Calibri"/>
        </w:rPr>
        <w:t>-</w:t>
      </w:r>
      <w:r w:rsidRPr="0061398D">
        <w:rPr>
          <w:rFonts w:eastAsia="Calibri" w:cs="Calibri"/>
        </w:rPr>
        <w:t>26, featuring AI-powered search capabilities and enhanced functionality based on delegate feedback from consultation sessions during CWGs.</w:t>
      </w:r>
    </w:p>
    <w:p w14:paraId="5649F70D" w14:textId="3391AA3D" w:rsidR="0061398D" w:rsidRPr="0061398D" w:rsidRDefault="0061398D" w:rsidP="00D215ED">
      <w:pPr>
        <w:pStyle w:val="Headingb"/>
      </w:pPr>
      <w:r w:rsidRPr="0061398D">
        <w:t xml:space="preserve">Operational </w:t>
      </w:r>
      <w:r w:rsidR="00CD79ED" w:rsidRPr="0061398D">
        <w:t>efficiency and impact</w:t>
      </w:r>
    </w:p>
    <w:p w14:paraId="6E97902D" w14:textId="50D47216" w:rsidR="0061398D" w:rsidRPr="0061398D" w:rsidRDefault="0061398D" w:rsidP="00684A9C">
      <w:pPr>
        <w:jc w:val="both"/>
        <w:rPr>
          <w:rFonts w:eastAsia="Calibri" w:cs="Calibri"/>
        </w:rPr>
      </w:pPr>
      <w:r w:rsidRPr="0061398D">
        <w:rPr>
          <w:rFonts w:eastAsia="Calibri" w:cs="Calibri"/>
        </w:rPr>
        <w:t xml:space="preserve">The second priority area focuses on improving organizational efficiency and delivery through several </w:t>
      </w:r>
      <w:r w:rsidRPr="00684A9C">
        <w:rPr>
          <w:rFonts w:eastAsiaTheme="minorEastAsia"/>
        </w:rPr>
        <w:t>strategic</w:t>
      </w:r>
      <w:r w:rsidRPr="0061398D">
        <w:rPr>
          <w:rFonts w:eastAsia="Calibri" w:cs="Calibri"/>
        </w:rPr>
        <w:t xml:space="preserve"> initiatives. The secretariat is expediting </w:t>
      </w:r>
      <w:r w:rsidR="000F5C8D">
        <w:rPr>
          <w:rFonts w:eastAsia="Calibri" w:cs="Calibri"/>
        </w:rPr>
        <w:t>the adoption of new AI solutions to automate business processes in areas such as procurement, human resources administration,</w:t>
      </w:r>
      <w:r w:rsidRPr="0061398D">
        <w:rPr>
          <w:rFonts w:eastAsia="Calibri" w:cs="Calibri"/>
        </w:rPr>
        <w:t xml:space="preserve"> and project management. A new cloud solution is being piloted to streamline travel administration and expense management. Additionally, ITU is implementing a leading AI-powered CRM system to support scaled-up ITU-wide coordinated resource mobilization.</w:t>
      </w:r>
    </w:p>
    <w:p w14:paraId="4783021D" w14:textId="62269469" w:rsidR="0061398D" w:rsidRPr="0061398D" w:rsidRDefault="0061398D" w:rsidP="00D215ED">
      <w:pPr>
        <w:pStyle w:val="Headingb"/>
      </w:pPr>
      <w:r w:rsidRPr="0061398D">
        <w:t xml:space="preserve">Staff </w:t>
      </w:r>
      <w:r w:rsidR="00CD79ED" w:rsidRPr="0061398D">
        <w:t>empowerment and innovation culture</w:t>
      </w:r>
    </w:p>
    <w:p w14:paraId="07F4DE71" w14:textId="77777777" w:rsidR="0061398D" w:rsidRPr="0061398D" w:rsidRDefault="0061398D" w:rsidP="00684A9C">
      <w:pPr>
        <w:jc w:val="both"/>
        <w:rPr>
          <w:rFonts w:eastAsiaTheme="minorEastAsia"/>
        </w:rPr>
      </w:pPr>
      <w:r w:rsidRPr="0061398D">
        <w:rPr>
          <w:rFonts w:eastAsiaTheme="minorEastAsia"/>
        </w:rPr>
        <w:t>The goal of this third priority delivery area is to empower ITU staff as “intrapreneurs, defined as entrepreneurs within the organization who drive innovation and operational excellence. This approach focuses on providing opportunities for staff through learning and development, experimentation, and scaling new ideas for impact.</w:t>
      </w:r>
    </w:p>
    <w:p w14:paraId="67436B28" w14:textId="7783617B" w:rsidR="029D1341" w:rsidRDefault="029D1341" w:rsidP="00684A9C">
      <w:pPr>
        <w:jc w:val="both"/>
        <w:rPr>
          <w:rFonts w:eastAsia="Calibri"/>
        </w:rPr>
      </w:pPr>
      <w:r w:rsidRPr="23F48F55">
        <w:rPr>
          <w:rFonts w:eastAsia="Calibri" w:cs="Calibri"/>
        </w:rPr>
        <w:t xml:space="preserve">Central to this effort is the Innovation Hub, which will be located on the main floor of the Montbrillant Building by mid-January 2026. This space will serve as a hub for experimentation, prototyping, training, and coaching. ITU is also implementing an AI-powered staff engagement and communication platform to strengthen internal communications. The Changemakers will serve as a core group of early adopters taking advantage of the new opportunities offered. </w:t>
      </w:r>
    </w:p>
    <w:p w14:paraId="041C1497" w14:textId="1136C1FC" w:rsidR="0061398D" w:rsidRPr="0061398D" w:rsidRDefault="0061398D" w:rsidP="00D215ED">
      <w:pPr>
        <w:pStyle w:val="Headingb"/>
      </w:pPr>
      <w:r w:rsidRPr="0061398D">
        <w:t xml:space="preserve">Digital </w:t>
      </w:r>
      <w:r w:rsidR="00CD79ED" w:rsidRPr="0061398D">
        <w:t>transformation as key enabler and accelerator</w:t>
      </w:r>
    </w:p>
    <w:p w14:paraId="444E93C3" w14:textId="77777777" w:rsidR="0061398D" w:rsidRPr="0061398D" w:rsidRDefault="0061398D" w:rsidP="00684A9C">
      <w:pPr>
        <w:jc w:val="both"/>
        <w:rPr>
          <w:rFonts w:eastAsiaTheme="minorEastAsia"/>
          <w:highlight w:val="yellow"/>
        </w:rPr>
      </w:pPr>
      <w:r w:rsidRPr="0061398D">
        <w:rPr>
          <w:rFonts w:eastAsia="Calibri" w:cs="Calibri"/>
        </w:rPr>
        <w:t xml:space="preserve">Supporting all these initiatives is a comprehensive digital transformation strategy that serves as a critical </w:t>
      </w:r>
      <w:r w:rsidRPr="00684A9C">
        <w:rPr>
          <w:rFonts w:eastAsiaTheme="minorEastAsia"/>
        </w:rPr>
        <w:t>enabler</w:t>
      </w:r>
      <w:r w:rsidRPr="0061398D">
        <w:rPr>
          <w:rFonts w:eastAsia="Calibri" w:cs="Calibri"/>
        </w:rPr>
        <w:t xml:space="preserve"> and accelerator through four main areas: developing internal strategies for AI, Data, Cloud, and Cybersecurity; establishing an ITU-wide Enterprise Architecture programme for secure, flexible, and interoperable systems; restructuring the ISD team with a new operating model to create a fit-for-purpose and fit-for-future organization; and implementing a revised Digital and Data Governance Model with ICTGC as the main governance umbrella for ICT, Data, AI, and Cybersecurity.</w:t>
      </w:r>
    </w:p>
    <w:p w14:paraId="07A4AD49" w14:textId="4100F6EB" w:rsidR="0061398D" w:rsidRPr="0061398D" w:rsidRDefault="0061398D" w:rsidP="0061398D">
      <w:pPr>
        <w:spacing w:before="1800"/>
        <w:jc w:val="both"/>
      </w:pPr>
      <w:r w:rsidRPr="0061398D">
        <w:rPr>
          <w:rFonts w:eastAsiaTheme="minorEastAsia"/>
        </w:rPr>
        <w:t xml:space="preserve">Annex: </w:t>
      </w:r>
      <w:r w:rsidRPr="00394DDD">
        <w:rPr>
          <w:rFonts w:eastAsiaTheme="minorEastAsia"/>
        </w:rPr>
        <w:t xml:space="preserve">1 </w:t>
      </w:r>
      <w:r w:rsidRPr="0061398D">
        <w:br w:type="page"/>
      </w:r>
    </w:p>
    <w:p w14:paraId="539880E4" w14:textId="2539ECC1" w:rsidR="0061398D" w:rsidRPr="0061398D" w:rsidRDefault="0061398D" w:rsidP="00684A9C">
      <w:pPr>
        <w:pStyle w:val="AnnexNo"/>
        <w:rPr>
          <w:rFonts w:eastAsiaTheme="minorEastAsia"/>
        </w:rPr>
      </w:pPr>
      <w:bookmarkStart w:id="11" w:name="Annex1"/>
      <w:bookmarkEnd w:id="11"/>
      <w:r w:rsidRPr="0061398D">
        <w:rPr>
          <w:rFonts w:eastAsiaTheme="minorEastAsia"/>
        </w:rPr>
        <w:lastRenderedPageBreak/>
        <w:t>Annex</w:t>
      </w:r>
    </w:p>
    <w:p w14:paraId="1C958D96" w14:textId="4790E9FF" w:rsidR="0061398D" w:rsidRPr="0061398D" w:rsidRDefault="0061398D" w:rsidP="00684A9C">
      <w:pPr>
        <w:pStyle w:val="Annextitle"/>
        <w:rPr>
          <w:rFonts w:eastAsiaTheme="minorEastAsia"/>
        </w:rPr>
      </w:pPr>
      <w:r w:rsidRPr="0061398D">
        <w:rPr>
          <w:rFonts w:eastAsiaTheme="minorEastAsia"/>
        </w:rPr>
        <w:t xml:space="preserve">Priority </w:t>
      </w:r>
      <w:r w:rsidR="00CD79ED" w:rsidRPr="0061398D">
        <w:rPr>
          <w:rFonts w:eastAsiaTheme="minorEastAsia"/>
        </w:rPr>
        <w:t xml:space="preserve">areas with </w:t>
      </w:r>
      <w:r w:rsidR="00CD79ED" w:rsidRPr="00684A9C">
        <w:rPr>
          <w:rFonts w:eastAsiaTheme="minorEastAsia"/>
        </w:rPr>
        <w:t>deliverables</w:t>
      </w:r>
      <w:r w:rsidR="00CD79ED" w:rsidRPr="0061398D">
        <w:rPr>
          <w:rFonts w:eastAsiaTheme="minorEastAsia"/>
        </w:rPr>
        <w:t xml:space="preserve"> </w:t>
      </w:r>
      <w:r w:rsidRPr="0061398D">
        <w:rPr>
          <w:rFonts w:eastAsiaTheme="minorEastAsia"/>
        </w:rPr>
        <w:t>by C26 and PP</w:t>
      </w:r>
      <w:r w:rsidR="00CD79ED">
        <w:rPr>
          <w:rFonts w:eastAsiaTheme="minorEastAsia"/>
        </w:rPr>
        <w:t>-</w:t>
      </w:r>
      <w:r w:rsidRPr="0061398D">
        <w:rPr>
          <w:rFonts w:eastAsiaTheme="minorEastAsia"/>
        </w:rPr>
        <w:t>26</w:t>
      </w:r>
    </w:p>
    <w:p w14:paraId="3F7C2F20" w14:textId="2DA223D8" w:rsidR="0061398D" w:rsidRPr="00D215ED" w:rsidRDefault="0061398D" w:rsidP="00D215ED">
      <w:pPr>
        <w:pStyle w:val="Heading1"/>
      </w:pPr>
      <w:r w:rsidRPr="00D215ED">
        <w:t>1</w:t>
      </w:r>
      <w:r w:rsidR="00684A9C" w:rsidRPr="00D215ED">
        <w:tab/>
      </w:r>
      <w:r w:rsidRPr="00D215ED">
        <w:t xml:space="preserve">Improving </w:t>
      </w:r>
      <w:r w:rsidR="00394DDD" w:rsidRPr="00D215ED">
        <w:t>member experience</w:t>
      </w:r>
    </w:p>
    <w:p w14:paraId="1A28B312" w14:textId="77777777" w:rsidR="0061398D" w:rsidRPr="0061398D" w:rsidRDefault="0061398D" w:rsidP="0061398D">
      <w:pPr>
        <w:jc w:val="both"/>
        <w:rPr>
          <w:rFonts w:eastAsiaTheme="minorEastAsia"/>
        </w:rPr>
      </w:pPr>
    </w:p>
    <w:tbl>
      <w:tblPr>
        <w:tblStyle w:val="TableGrid"/>
        <w:tblW w:w="10490" w:type="dxa"/>
        <w:tblInd w:w="-572" w:type="dxa"/>
        <w:tblLayout w:type="fixed"/>
        <w:tblLook w:val="06A0" w:firstRow="1" w:lastRow="0" w:firstColumn="1" w:lastColumn="0" w:noHBand="1" w:noVBand="1"/>
      </w:tblPr>
      <w:tblGrid>
        <w:gridCol w:w="1875"/>
        <w:gridCol w:w="2761"/>
        <w:gridCol w:w="3150"/>
        <w:gridCol w:w="2704"/>
      </w:tblGrid>
      <w:tr w:rsidR="0061398D" w:rsidRPr="0061398D" w14:paraId="72EE3648" w14:textId="77777777" w:rsidTr="1CBA0BF8">
        <w:trPr>
          <w:trHeight w:val="300"/>
        </w:trPr>
        <w:tc>
          <w:tcPr>
            <w:tcW w:w="1875" w:type="dxa"/>
            <w:vMerge w:val="restart"/>
          </w:tcPr>
          <w:p w14:paraId="266A8837" w14:textId="77777777" w:rsidR="0061398D" w:rsidRPr="0061398D" w:rsidRDefault="0061398D" w:rsidP="00B90937">
            <w:pPr>
              <w:pStyle w:val="Tablehead"/>
            </w:pPr>
          </w:p>
        </w:tc>
        <w:tc>
          <w:tcPr>
            <w:tcW w:w="2761" w:type="dxa"/>
            <w:vMerge w:val="restart"/>
          </w:tcPr>
          <w:p w14:paraId="5FF8752E" w14:textId="77777777" w:rsidR="0061398D" w:rsidRPr="0061398D" w:rsidRDefault="0061398D" w:rsidP="00B90937">
            <w:pPr>
              <w:pStyle w:val="Tablehead"/>
            </w:pPr>
            <w:r w:rsidRPr="0061398D">
              <w:t xml:space="preserve">Action </w:t>
            </w:r>
          </w:p>
        </w:tc>
        <w:tc>
          <w:tcPr>
            <w:tcW w:w="5854" w:type="dxa"/>
            <w:gridSpan w:val="2"/>
          </w:tcPr>
          <w:p w14:paraId="59B43F53" w14:textId="3825A4A5" w:rsidR="0061398D" w:rsidRPr="0061398D" w:rsidRDefault="0061398D" w:rsidP="00B90937">
            <w:pPr>
              <w:pStyle w:val="Tablehead"/>
            </w:pPr>
            <w:r w:rsidRPr="0061398D">
              <w:t xml:space="preserve">Deliverables by: </w:t>
            </w:r>
          </w:p>
        </w:tc>
      </w:tr>
      <w:tr w:rsidR="0061398D" w:rsidRPr="0061398D" w14:paraId="57AB2CF5" w14:textId="77777777" w:rsidTr="1CBA0BF8">
        <w:trPr>
          <w:trHeight w:val="300"/>
        </w:trPr>
        <w:tc>
          <w:tcPr>
            <w:tcW w:w="1875" w:type="dxa"/>
            <w:vMerge/>
          </w:tcPr>
          <w:p w14:paraId="37A54DE9" w14:textId="77777777" w:rsidR="0061398D" w:rsidRPr="0061398D" w:rsidRDefault="0061398D" w:rsidP="00B90937">
            <w:pPr>
              <w:pStyle w:val="Tablehead"/>
            </w:pPr>
          </w:p>
        </w:tc>
        <w:tc>
          <w:tcPr>
            <w:tcW w:w="2761" w:type="dxa"/>
            <w:vMerge/>
          </w:tcPr>
          <w:p w14:paraId="5BAAB0E5" w14:textId="77777777" w:rsidR="0061398D" w:rsidRPr="0061398D" w:rsidRDefault="0061398D" w:rsidP="00B90937">
            <w:pPr>
              <w:pStyle w:val="Tablehead"/>
            </w:pPr>
          </w:p>
        </w:tc>
        <w:tc>
          <w:tcPr>
            <w:tcW w:w="3150" w:type="dxa"/>
          </w:tcPr>
          <w:p w14:paraId="3E512572" w14:textId="45620B0E" w:rsidR="0061398D" w:rsidRPr="0061398D" w:rsidRDefault="0061398D" w:rsidP="00B90937">
            <w:pPr>
              <w:pStyle w:val="Tablehead"/>
            </w:pPr>
            <w:r w:rsidRPr="0061398D">
              <w:t>C26</w:t>
            </w:r>
          </w:p>
        </w:tc>
        <w:tc>
          <w:tcPr>
            <w:tcW w:w="2704" w:type="dxa"/>
          </w:tcPr>
          <w:p w14:paraId="4A16619A" w14:textId="172A1B32" w:rsidR="0061398D" w:rsidRPr="0061398D" w:rsidRDefault="0061398D" w:rsidP="00B90937">
            <w:pPr>
              <w:pStyle w:val="Tablehead"/>
            </w:pPr>
            <w:r w:rsidRPr="0061398D">
              <w:t>PP-26</w:t>
            </w:r>
          </w:p>
        </w:tc>
      </w:tr>
      <w:tr w:rsidR="0061398D" w:rsidRPr="0061398D" w14:paraId="73754DA9" w14:textId="77777777" w:rsidTr="1CBA0BF8">
        <w:trPr>
          <w:trHeight w:val="300"/>
        </w:trPr>
        <w:tc>
          <w:tcPr>
            <w:tcW w:w="1875" w:type="dxa"/>
            <w:vMerge w:val="restart"/>
          </w:tcPr>
          <w:p w14:paraId="60C08885" w14:textId="784D5709" w:rsidR="0061398D" w:rsidRPr="00394DDD" w:rsidRDefault="0061398D" w:rsidP="00D215ED">
            <w:pPr>
              <w:pStyle w:val="Tabletext"/>
              <w:rPr>
                <w:b/>
                <w:bCs/>
              </w:rPr>
            </w:pPr>
            <w:r w:rsidRPr="00394DDD">
              <w:rPr>
                <w:b/>
                <w:bCs/>
              </w:rPr>
              <w:t xml:space="preserve">Event </w:t>
            </w:r>
            <w:r w:rsidR="00CD79ED" w:rsidRPr="00394DDD">
              <w:rPr>
                <w:b/>
                <w:bCs/>
              </w:rPr>
              <w:t xml:space="preserve">modernization </w:t>
            </w:r>
          </w:p>
        </w:tc>
        <w:tc>
          <w:tcPr>
            <w:tcW w:w="2761" w:type="dxa"/>
          </w:tcPr>
          <w:p w14:paraId="6721817F" w14:textId="7D25036D" w:rsidR="0061398D" w:rsidRPr="0061398D" w:rsidRDefault="0061398D" w:rsidP="00D215ED">
            <w:pPr>
              <w:pStyle w:val="Tabletext"/>
            </w:pPr>
            <w:r w:rsidRPr="0061398D">
              <w:t xml:space="preserve">Pilot </w:t>
            </w:r>
            <w:r w:rsidR="193B569D" w:rsidRPr="1CBA0BF8">
              <w:t>new</w:t>
            </w:r>
            <w:r w:rsidRPr="0061398D">
              <w:t xml:space="preserve"> end-to-end events management system for </w:t>
            </w:r>
            <w:r w:rsidR="7819051B" w:rsidRPr="1CBA0BF8">
              <w:t>AI4</w:t>
            </w:r>
            <w:r w:rsidR="18ECE16C" w:rsidRPr="1CBA0BF8">
              <w:t>G/WSIS</w:t>
            </w:r>
            <w:r w:rsidR="7324DB06" w:rsidRPr="1CBA0BF8">
              <w:t>26</w:t>
            </w:r>
            <w:r w:rsidRPr="0061398D">
              <w:t>.</w:t>
            </w:r>
          </w:p>
        </w:tc>
        <w:tc>
          <w:tcPr>
            <w:tcW w:w="3150" w:type="dxa"/>
          </w:tcPr>
          <w:p w14:paraId="0B71C161" w14:textId="5D4EF346" w:rsidR="0061398D" w:rsidRPr="0061398D" w:rsidRDefault="0061398D" w:rsidP="00D215ED">
            <w:pPr>
              <w:pStyle w:val="Tabletext"/>
            </w:pPr>
            <w:r w:rsidRPr="0061398D">
              <w:t>System implementation in progress.</w:t>
            </w:r>
          </w:p>
        </w:tc>
        <w:tc>
          <w:tcPr>
            <w:tcW w:w="2704" w:type="dxa"/>
          </w:tcPr>
          <w:p w14:paraId="26144A5B" w14:textId="136DC0E2" w:rsidR="0061398D" w:rsidRPr="0061398D" w:rsidRDefault="0061398D" w:rsidP="00D215ED">
            <w:pPr>
              <w:pStyle w:val="Tabletext"/>
              <w:rPr>
                <w:highlight w:val="yellow"/>
              </w:rPr>
            </w:pPr>
            <w:r w:rsidRPr="0061398D">
              <w:t>Apply tools and learnings from pilot to improve other ITU events.</w:t>
            </w:r>
          </w:p>
        </w:tc>
      </w:tr>
      <w:tr w:rsidR="0061398D" w:rsidRPr="0061398D" w14:paraId="6A656B53" w14:textId="77777777" w:rsidTr="1CBA0BF8">
        <w:trPr>
          <w:trHeight w:val="300"/>
        </w:trPr>
        <w:tc>
          <w:tcPr>
            <w:tcW w:w="1875" w:type="dxa"/>
            <w:vMerge/>
          </w:tcPr>
          <w:p w14:paraId="76314CF8" w14:textId="77777777" w:rsidR="0061398D" w:rsidRPr="00394DDD" w:rsidRDefault="0061398D" w:rsidP="00D215ED">
            <w:pPr>
              <w:pStyle w:val="Tabletext"/>
              <w:rPr>
                <w:b/>
                <w:bCs/>
              </w:rPr>
            </w:pPr>
          </w:p>
        </w:tc>
        <w:tc>
          <w:tcPr>
            <w:tcW w:w="2761" w:type="dxa"/>
          </w:tcPr>
          <w:p w14:paraId="5C62BA9B" w14:textId="215A3810" w:rsidR="0061398D" w:rsidRPr="0061398D" w:rsidRDefault="0061398D" w:rsidP="00D215ED">
            <w:pPr>
              <w:pStyle w:val="Tabletext"/>
              <w:rPr>
                <w:lang w:val="en-US"/>
              </w:rPr>
            </w:pPr>
            <w:r w:rsidRPr="0061398D">
              <w:t>Introduce digital and AI solutions for enhanced delegate experience during PP</w:t>
            </w:r>
            <w:r w:rsidR="00A1728A">
              <w:t>-</w:t>
            </w:r>
            <w:r w:rsidRPr="0061398D">
              <w:t>26.</w:t>
            </w:r>
          </w:p>
        </w:tc>
        <w:tc>
          <w:tcPr>
            <w:tcW w:w="3150" w:type="dxa"/>
          </w:tcPr>
          <w:p w14:paraId="529DB788" w14:textId="77777777" w:rsidR="0061398D" w:rsidRPr="0061398D" w:rsidRDefault="0061398D" w:rsidP="00D215ED">
            <w:pPr>
              <w:pStyle w:val="Tabletext"/>
            </w:pPr>
            <w:r w:rsidRPr="0061398D">
              <w:t xml:space="preserve">AI agent on PP website </w:t>
            </w:r>
          </w:p>
          <w:p w14:paraId="0796B37A" w14:textId="394A77DA" w:rsidR="0061398D" w:rsidRPr="0061398D" w:rsidRDefault="0061398D" w:rsidP="00D215ED">
            <w:pPr>
              <w:pStyle w:val="Tabletext"/>
            </w:pPr>
            <w:r w:rsidRPr="0061398D">
              <w:t>Modernized</w:t>
            </w:r>
            <w:r w:rsidR="6022A76D" w:rsidRPr="1CBA0BF8">
              <w:t>,</w:t>
            </w:r>
            <w:r w:rsidRPr="0061398D">
              <w:t xml:space="preserve"> mobile-friendly registration and focal point user interface launched.</w:t>
            </w:r>
          </w:p>
        </w:tc>
        <w:tc>
          <w:tcPr>
            <w:tcW w:w="2704" w:type="dxa"/>
          </w:tcPr>
          <w:p w14:paraId="3B700558" w14:textId="77777777" w:rsidR="0061398D" w:rsidRPr="0061398D" w:rsidRDefault="0061398D" w:rsidP="00D215ED">
            <w:pPr>
              <w:pStyle w:val="Tabletext"/>
            </w:pPr>
            <w:r w:rsidRPr="0061398D">
              <w:t>Event app available.</w:t>
            </w:r>
          </w:p>
          <w:p w14:paraId="5389D962" w14:textId="77777777" w:rsidR="0061398D" w:rsidRPr="0061398D" w:rsidRDefault="0061398D" w:rsidP="00D215ED">
            <w:pPr>
              <w:pStyle w:val="Tabletext"/>
            </w:pPr>
            <w:r w:rsidRPr="0061398D">
              <w:t>Solutions for contribution preparation and search and more.</w:t>
            </w:r>
          </w:p>
        </w:tc>
      </w:tr>
      <w:tr w:rsidR="0061398D" w:rsidRPr="0061398D" w14:paraId="457A36EC" w14:textId="77777777" w:rsidTr="1CBA0BF8">
        <w:trPr>
          <w:trHeight w:val="300"/>
        </w:trPr>
        <w:tc>
          <w:tcPr>
            <w:tcW w:w="1875" w:type="dxa"/>
            <w:vMerge w:val="restart"/>
          </w:tcPr>
          <w:p w14:paraId="4FD3507A" w14:textId="6373CD30" w:rsidR="0061398D" w:rsidRPr="00394DDD" w:rsidRDefault="0061398D" w:rsidP="00D215ED">
            <w:pPr>
              <w:pStyle w:val="Tabletext"/>
              <w:rPr>
                <w:b/>
                <w:bCs/>
              </w:rPr>
            </w:pPr>
            <w:r w:rsidRPr="00394DDD">
              <w:rPr>
                <w:b/>
                <w:bCs/>
              </w:rPr>
              <w:t xml:space="preserve">Website and </w:t>
            </w:r>
            <w:r w:rsidR="00CD79ED" w:rsidRPr="00394DDD">
              <w:rPr>
                <w:b/>
                <w:bCs/>
              </w:rPr>
              <w:t xml:space="preserve">members zone </w:t>
            </w:r>
          </w:p>
        </w:tc>
        <w:tc>
          <w:tcPr>
            <w:tcW w:w="2761" w:type="dxa"/>
          </w:tcPr>
          <w:p w14:paraId="76593EAE" w14:textId="6C62ADBA" w:rsidR="0061398D" w:rsidRPr="0061398D" w:rsidRDefault="0061398D" w:rsidP="00D215ED">
            <w:pPr>
              <w:pStyle w:val="Tabletext"/>
              <w:rPr>
                <w:lang w:val="en-US"/>
              </w:rPr>
            </w:pPr>
            <w:r w:rsidRPr="0061398D">
              <w:t>Modernized website.</w:t>
            </w:r>
          </w:p>
        </w:tc>
        <w:tc>
          <w:tcPr>
            <w:tcW w:w="3150" w:type="dxa"/>
          </w:tcPr>
          <w:p w14:paraId="58C6936B" w14:textId="20AFBB2C" w:rsidR="0061398D" w:rsidRPr="0061398D" w:rsidRDefault="0061398D" w:rsidP="00D215ED">
            <w:pPr>
              <w:pStyle w:val="Tabletext"/>
            </w:pPr>
            <w:r w:rsidRPr="0061398D">
              <w:t>Development underway.</w:t>
            </w:r>
          </w:p>
          <w:p w14:paraId="3B1E0BB8" w14:textId="77777777" w:rsidR="0061398D" w:rsidRPr="0061398D" w:rsidRDefault="0061398D" w:rsidP="00D215ED">
            <w:pPr>
              <w:pStyle w:val="Tabletext"/>
            </w:pPr>
            <w:r w:rsidRPr="0061398D">
              <w:t xml:space="preserve">Briefing session during C26. </w:t>
            </w:r>
          </w:p>
        </w:tc>
        <w:tc>
          <w:tcPr>
            <w:tcW w:w="2704" w:type="dxa"/>
          </w:tcPr>
          <w:p w14:paraId="0AB46458" w14:textId="30FEF9FA" w:rsidR="0061398D" w:rsidRPr="0061398D" w:rsidRDefault="0061398D" w:rsidP="00D215ED">
            <w:pPr>
              <w:pStyle w:val="Tabletext"/>
            </w:pPr>
            <w:r w:rsidRPr="0061398D">
              <w:t xml:space="preserve">First version in six languages, </w:t>
            </w:r>
            <w:r w:rsidR="69681758" w:rsidRPr="416752DA">
              <w:t>AI</w:t>
            </w:r>
            <w:r w:rsidRPr="0061398D">
              <w:t xml:space="preserve"> search </w:t>
            </w:r>
          </w:p>
        </w:tc>
      </w:tr>
      <w:tr w:rsidR="0061398D" w:rsidRPr="0061398D" w14:paraId="3EE6DC09" w14:textId="77777777" w:rsidTr="1CBA0BF8">
        <w:trPr>
          <w:trHeight w:val="300"/>
        </w:trPr>
        <w:tc>
          <w:tcPr>
            <w:tcW w:w="1875" w:type="dxa"/>
            <w:vMerge/>
          </w:tcPr>
          <w:p w14:paraId="7C99C2FD" w14:textId="77777777" w:rsidR="0061398D" w:rsidRPr="0061398D" w:rsidRDefault="0061398D" w:rsidP="00D215ED">
            <w:pPr>
              <w:pStyle w:val="Tabletext"/>
            </w:pPr>
          </w:p>
        </w:tc>
        <w:tc>
          <w:tcPr>
            <w:tcW w:w="2761" w:type="dxa"/>
          </w:tcPr>
          <w:p w14:paraId="31DA5A26" w14:textId="16DEF110" w:rsidR="0061398D" w:rsidRPr="0061398D" w:rsidRDefault="0061398D" w:rsidP="00D215ED">
            <w:pPr>
              <w:pStyle w:val="Tabletext"/>
            </w:pPr>
            <w:r w:rsidRPr="0061398D">
              <w:t>Enhanced members zone with AI features.</w:t>
            </w:r>
          </w:p>
        </w:tc>
        <w:tc>
          <w:tcPr>
            <w:tcW w:w="3150" w:type="dxa"/>
          </w:tcPr>
          <w:p w14:paraId="20C12F8F" w14:textId="77777777" w:rsidR="0061398D" w:rsidRPr="0061398D" w:rsidRDefault="0061398D" w:rsidP="00D215ED">
            <w:pPr>
              <w:pStyle w:val="Tabletext"/>
            </w:pPr>
            <w:r w:rsidRPr="0061398D">
              <w:t xml:space="preserve">Development underway. </w:t>
            </w:r>
          </w:p>
          <w:p w14:paraId="737600FA" w14:textId="77777777" w:rsidR="0061398D" w:rsidRPr="0061398D" w:rsidRDefault="0061398D" w:rsidP="00D215ED">
            <w:pPr>
              <w:pStyle w:val="Tabletext"/>
            </w:pPr>
            <w:r w:rsidRPr="0061398D">
              <w:t>Briefing session during C26.</w:t>
            </w:r>
          </w:p>
        </w:tc>
        <w:tc>
          <w:tcPr>
            <w:tcW w:w="2704" w:type="dxa"/>
          </w:tcPr>
          <w:p w14:paraId="111071B5" w14:textId="79289A12" w:rsidR="0061398D" w:rsidRPr="0061398D" w:rsidRDefault="0061398D" w:rsidP="00D215ED">
            <w:pPr>
              <w:pStyle w:val="Tabletext"/>
            </w:pPr>
            <w:r w:rsidRPr="0061398D">
              <w:t>Enhanced members</w:t>
            </w:r>
            <w:r w:rsidR="00DE54CD">
              <w:t>’</w:t>
            </w:r>
            <w:r w:rsidRPr="0061398D">
              <w:t xml:space="preserve"> zone launch</w:t>
            </w:r>
          </w:p>
        </w:tc>
      </w:tr>
    </w:tbl>
    <w:p w14:paraId="39941059" w14:textId="77777777" w:rsidR="0061398D" w:rsidRPr="0061398D" w:rsidRDefault="0061398D" w:rsidP="00D215ED">
      <w:pPr>
        <w:pStyle w:val="Tablefin"/>
      </w:pPr>
    </w:p>
    <w:p w14:paraId="00440053" w14:textId="1889F859" w:rsidR="0061398D" w:rsidRPr="0061398D" w:rsidRDefault="0061398D" w:rsidP="00D215ED">
      <w:pPr>
        <w:pStyle w:val="Heading1"/>
      </w:pPr>
      <w:r w:rsidRPr="0061398D">
        <w:t>2</w:t>
      </w:r>
      <w:r w:rsidR="00684A9C">
        <w:tab/>
      </w:r>
      <w:r w:rsidRPr="0061398D">
        <w:t xml:space="preserve">Boosting </w:t>
      </w:r>
      <w:r w:rsidR="00394DDD" w:rsidRPr="0061398D">
        <w:t>efficiency, delivery, and impact</w:t>
      </w:r>
    </w:p>
    <w:p w14:paraId="4BCD2966" w14:textId="77777777" w:rsidR="0061398D" w:rsidRPr="0061398D" w:rsidRDefault="0061398D" w:rsidP="00D215ED">
      <w:pPr>
        <w:spacing w:before="0"/>
      </w:pPr>
    </w:p>
    <w:tbl>
      <w:tblPr>
        <w:tblStyle w:val="TableGrid"/>
        <w:tblW w:w="10490" w:type="dxa"/>
        <w:tblInd w:w="-572" w:type="dxa"/>
        <w:tblLayout w:type="fixed"/>
        <w:tblLook w:val="06A0" w:firstRow="1" w:lastRow="0" w:firstColumn="1" w:lastColumn="0" w:noHBand="1" w:noVBand="1"/>
      </w:tblPr>
      <w:tblGrid>
        <w:gridCol w:w="1701"/>
        <w:gridCol w:w="3261"/>
        <w:gridCol w:w="2824"/>
        <w:gridCol w:w="2704"/>
      </w:tblGrid>
      <w:tr w:rsidR="0061398D" w:rsidRPr="0061398D" w14:paraId="1BF45E90" w14:textId="77777777">
        <w:trPr>
          <w:trHeight w:val="300"/>
        </w:trPr>
        <w:tc>
          <w:tcPr>
            <w:tcW w:w="1701" w:type="dxa"/>
            <w:vMerge w:val="restart"/>
          </w:tcPr>
          <w:p w14:paraId="18B9FF35" w14:textId="77777777" w:rsidR="0061398D" w:rsidRPr="0061398D" w:rsidRDefault="0061398D" w:rsidP="00B90937">
            <w:pPr>
              <w:pStyle w:val="Tablehead"/>
            </w:pPr>
          </w:p>
        </w:tc>
        <w:tc>
          <w:tcPr>
            <w:tcW w:w="3261" w:type="dxa"/>
            <w:vMerge w:val="restart"/>
          </w:tcPr>
          <w:p w14:paraId="32804B41" w14:textId="77777777" w:rsidR="0061398D" w:rsidRPr="0061398D" w:rsidRDefault="0061398D" w:rsidP="00B90937">
            <w:pPr>
              <w:pStyle w:val="Tablehead"/>
            </w:pPr>
            <w:r w:rsidRPr="0061398D">
              <w:t>Action</w:t>
            </w:r>
          </w:p>
        </w:tc>
        <w:tc>
          <w:tcPr>
            <w:tcW w:w="5528" w:type="dxa"/>
            <w:gridSpan w:val="2"/>
          </w:tcPr>
          <w:p w14:paraId="7ED3BC86" w14:textId="2CF8F7D9" w:rsidR="0061398D" w:rsidRPr="0061398D" w:rsidRDefault="0061398D" w:rsidP="00B90937">
            <w:pPr>
              <w:pStyle w:val="Tablehead"/>
            </w:pPr>
            <w:r w:rsidRPr="0061398D">
              <w:t>Deliverables by:</w:t>
            </w:r>
          </w:p>
        </w:tc>
      </w:tr>
      <w:tr w:rsidR="0061398D" w:rsidRPr="0061398D" w14:paraId="2CF98422" w14:textId="77777777">
        <w:trPr>
          <w:trHeight w:val="300"/>
        </w:trPr>
        <w:tc>
          <w:tcPr>
            <w:tcW w:w="1701" w:type="dxa"/>
            <w:vMerge/>
          </w:tcPr>
          <w:p w14:paraId="08DC73C9" w14:textId="77777777" w:rsidR="0061398D" w:rsidRPr="0061398D" w:rsidRDefault="0061398D" w:rsidP="00B90937">
            <w:pPr>
              <w:pStyle w:val="Tablehead"/>
            </w:pPr>
          </w:p>
        </w:tc>
        <w:tc>
          <w:tcPr>
            <w:tcW w:w="3261" w:type="dxa"/>
            <w:vMerge/>
          </w:tcPr>
          <w:p w14:paraId="0C52A5B6" w14:textId="77777777" w:rsidR="0061398D" w:rsidRPr="0061398D" w:rsidRDefault="0061398D" w:rsidP="00B90937">
            <w:pPr>
              <w:pStyle w:val="Tablehead"/>
            </w:pPr>
          </w:p>
        </w:tc>
        <w:tc>
          <w:tcPr>
            <w:tcW w:w="2824" w:type="dxa"/>
          </w:tcPr>
          <w:p w14:paraId="59ABF9BA" w14:textId="77777777" w:rsidR="0061398D" w:rsidRPr="0061398D" w:rsidRDefault="0061398D" w:rsidP="00B90937">
            <w:pPr>
              <w:pStyle w:val="Tablehead"/>
            </w:pPr>
            <w:r w:rsidRPr="0061398D">
              <w:t>C26</w:t>
            </w:r>
          </w:p>
        </w:tc>
        <w:tc>
          <w:tcPr>
            <w:tcW w:w="2704" w:type="dxa"/>
          </w:tcPr>
          <w:p w14:paraId="359840C5" w14:textId="77777777" w:rsidR="0061398D" w:rsidRPr="0061398D" w:rsidRDefault="0061398D" w:rsidP="00B90937">
            <w:pPr>
              <w:pStyle w:val="Tablehead"/>
            </w:pPr>
            <w:r w:rsidRPr="0061398D">
              <w:t>PP-26</w:t>
            </w:r>
          </w:p>
        </w:tc>
      </w:tr>
      <w:tr w:rsidR="0061398D" w:rsidRPr="0061398D" w14:paraId="0F14303C" w14:textId="77777777">
        <w:trPr>
          <w:trHeight w:val="300"/>
        </w:trPr>
        <w:tc>
          <w:tcPr>
            <w:tcW w:w="1701" w:type="dxa"/>
          </w:tcPr>
          <w:p w14:paraId="7B4ED986" w14:textId="4D6CE41F" w:rsidR="0061398D" w:rsidRPr="00394DDD" w:rsidRDefault="0061398D" w:rsidP="00D215ED">
            <w:pPr>
              <w:pStyle w:val="Tabletext"/>
              <w:rPr>
                <w:b/>
                <w:bCs/>
              </w:rPr>
            </w:pPr>
            <w:r w:rsidRPr="00394DDD">
              <w:rPr>
                <w:b/>
                <w:bCs/>
              </w:rPr>
              <w:t xml:space="preserve">Automation of </w:t>
            </w:r>
            <w:r w:rsidR="00CD79ED" w:rsidRPr="00394DDD">
              <w:rPr>
                <w:b/>
                <w:bCs/>
              </w:rPr>
              <w:t>business processes</w:t>
            </w:r>
          </w:p>
        </w:tc>
        <w:tc>
          <w:tcPr>
            <w:tcW w:w="3261" w:type="dxa"/>
          </w:tcPr>
          <w:p w14:paraId="1AFBED55" w14:textId="77777777" w:rsidR="0061398D" w:rsidRPr="0061398D" w:rsidRDefault="0061398D" w:rsidP="00D215ED">
            <w:pPr>
              <w:pStyle w:val="Tabletext"/>
            </w:pPr>
            <w:r w:rsidRPr="0061398D">
              <w:t>New digital/AI tools to automate processes and improve efficiencies.</w:t>
            </w:r>
          </w:p>
        </w:tc>
        <w:tc>
          <w:tcPr>
            <w:tcW w:w="2824" w:type="dxa"/>
          </w:tcPr>
          <w:p w14:paraId="4DCC8EE6" w14:textId="77777777" w:rsidR="0061398D" w:rsidRPr="0061398D" w:rsidRDefault="0061398D" w:rsidP="00D215ED">
            <w:pPr>
              <w:pStyle w:val="Tabletext"/>
            </w:pPr>
            <w:r w:rsidRPr="0061398D">
              <w:t xml:space="preserve">Tools introduced with training and implementation of pilots. </w:t>
            </w:r>
          </w:p>
        </w:tc>
        <w:tc>
          <w:tcPr>
            <w:tcW w:w="2704" w:type="dxa"/>
          </w:tcPr>
          <w:p w14:paraId="3B92F029" w14:textId="77777777" w:rsidR="0061398D" w:rsidRPr="0061398D" w:rsidRDefault="0061398D" w:rsidP="00D215ED">
            <w:pPr>
              <w:pStyle w:val="Tabletext"/>
            </w:pPr>
            <w:r w:rsidRPr="0061398D">
              <w:t>Scaling up implementation to cover more use cases.</w:t>
            </w:r>
          </w:p>
        </w:tc>
      </w:tr>
      <w:tr w:rsidR="0061398D" w:rsidRPr="0061398D" w14:paraId="4D228341" w14:textId="77777777">
        <w:trPr>
          <w:trHeight w:val="300"/>
        </w:trPr>
        <w:tc>
          <w:tcPr>
            <w:tcW w:w="1701" w:type="dxa"/>
          </w:tcPr>
          <w:p w14:paraId="148B3163" w14:textId="77777777" w:rsidR="0061398D" w:rsidRPr="00394DDD" w:rsidRDefault="0061398D" w:rsidP="00D215ED">
            <w:pPr>
              <w:pStyle w:val="Tabletext"/>
              <w:rPr>
                <w:b/>
                <w:bCs/>
              </w:rPr>
            </w:pPr>
            <w:r w:rsidRPr="00394DDD">
              <w:rPr>
                <w:b/>
                <w:bCs/>
              </w:rPr>
              <w:t>Travel and expense management</w:t>
            </w:r>
          </w:p>
        </w:tc>
        <w:tc>
          <w:tcPr>
            <w:tcW w:w="3261" w:type="dxa"/>
          </w:tcPr>
          <w:p w14:paraId="3AF2504C" w14:textId="3DC0EAB5" w:rsidR="0061398D" w:rsidRPr="0061398D" w:rsidRDefault="0061398D" w:rsidP="00D215ED">
            <w:pPr>
              <w:pStyle w:val="Tabletext"/>
            </w:pPr>
            <w:r w:rsidRPr="0061398D">
              <w:t>Pilot cloud solution for travel admin automation and expense management.</w:t>
            </w:r>
          </w:p>
        </w:tc>
        <w:tc>
          <w:tcPr>
            <w:tcW w:w="2824" w:type="dxa"/>
          </w:tcPr>
          <w:p w14:paraId="7CFF4953" w14:textId="77777777" w:rsidR="0061398D" w:rsidRPr="0061398D" w:rsidRDefault="0061398D" w:rsidP="00D215ED">
            <w:pPr>
              <w:pStyle w:val="Tabletext"/>
            </w:pPr>
            <w:r w:rsidRPr="0061398D">
              <w:t>Working prototype in place.</w:t>
            </w:r>
          </w:p>
        </w:tc>
        <w:tc>
          <w:tcPr>
            <w:tcW w:w="2704" w:type="dxa"/>
          </w:tcPr>
          <w:p w14:paraId="68ACED8F" w14:textId="77777777" w:rsidR="0061398D" w:rsidRPr="0061398D" w:rsidRDefault="0061398D" w:rsidP="00D215ED">
            <w:pPr>
              <w:pStyle w:val="Tabletext"/>
            </w:pPr>
            <w:r w:rsidRPr="0061398D">
              <w:t>Solution expanded to cover more priority areas.</w:t>
            </w:r>
          </w:p>
        </w:tc>
      </w:tr>
      <w:tr w:rsidR="0061398D" w:rsidRPr="0061398D" w14:paraId="305020FA" w14:textId="77777777">
        <w:trPr>
          <w:trHeight w:val="300"/>
        </w:trPr>
        <w:tc>
          <w:tcPr>
            <w:tcW w:w="1701" w:type="dxa"/>
          </w:tcPr>
          <w:p w14:paraId="40123B91" w14:textId="0D6DEB21" w:rsidR="0061398D" w:rsidRPr="00394DDD" w:rsidRDefault="0061398D" w:rsidP="00D215ED">
            <w:pPr>
              <w:pStyle w:val="Tabletext"/>
              <w:rPr>
                <w:b/>
                <w:bCs/>
              </w:rPr>
            </w:pPr>
            <w:r w:rsidRPr="00394DDD">
              <w:rPr>
                <w:b/>
                <w:bCs/>
              </w:rPr>
              <w:t xml:space="preserve">Resource </w:t>
            </w:r>
            <w:r w:rsidR="00CD79ED" w:rsidRPr="00394DDD">
              <w:rPr>
                <w:b/>
                <w:bCs/>
              </w:rPr>
              <w:t xml:space="preserve">mobilization </w:t>
            </w:r>
            <w:r w:rsidRPr="00394DDD">
              <w:rPr>
                <w:b/>
                <w:bCs/>
              </w:rPr>
              <w:t>and CRM</w:t>
            </w:r>
          </w:p>
        </w:tc>
        <w:tc>
          <w:tcPr>
            <w:tcW w:w="3261" w:type="dxa"/>
          </w:tcPr>
          <w:p w14:paraId="1683F32F" w14:textId="39F2AB06" w:rsidR="0061398D" w:rsidRPr="0061398D" w:rsidRDefault="0061398D" w:rsidP="00D215ED">
            <w:pPr>
              <w:pStyle w:val="Tabletext"/>
            </w:pPr>
            <w:r w:rsidRPr="0061398D">
              <w:t>Implement new CRM. Enabler of the resource mobilization strategy.</w:t>
            </w:r>
          </w:p>
        </w:tc>
        <w:tc>
          <w:tcPr>
            <w:tcW w:w="2824" w:type="dxa"/>
          </w:tcPr>
          <w:p w14:paraId="5F150CD1" w14:textId="77777777" w:rsidR="0061398D" w:rsidRPr="0061398D" w:rsidRDefault="0061398D" w:rsidP="00D215ED">
            <w:pPr>
              <w:pStyle w:val="Tabletext"/>
            </w:pPr>
            <w:r w:rsidRPr="0061398D">
              <w:t>System in place. Resource Mobilization Task Force as test users and ARB RO.</w:t>
            </w:r>
          </w:p>
        </w:tc>
        <w:tc>
          <w:tcPr>
            <w:tcW w:w="2704" w:type="dxa"/>
          </w:tcPr>
          <w:p w14:paraId="4599975A" w14:textId="77777777" w:rsidR="0061398D" w:rsidRPr="0061398D" w:rsidRDefault="0061398D" w:rsidP="00D215ED">
            <w:pPr>
              <w:pStyle w:val="Tabletext"/>
            </w:pPr>
            <w:r w:rsidRPr="0061398D">
              <w:t>Roll-out to 100 or more staff across HQ and field offices.</w:t>
            </w:r>
          </w:p>
        </w:tc>
      </w:tr>
    </w:tbl>
    <w:p w14:paraId="557AFE77" w14:textId="26C09260" w:rsidR="0061398D" w:rsidRPr="0061398D" w:rsidRDefault="0061398D" w:rsidP="00D215ED">
      <w:pPr>
        <w:pStyle w:val="Heading1"/>
      </w:pPr>
      <w:r w:rsidRPr="0061398D">
        <w:lastRenderedPageBreak/>
        <w:t>3</w:t>
      </w:r>
      <w:r w:rsidR="00D215ED">
        <w:tab/>
      </w:r>
      <w:r w:rsidRPr="0061398D">
        <w:t xml:space="preserve">Empowering </w:t>
      </w:r>
      <w:r w:rsidR="00394DDD" w:rsidRPr="0061398D">
        <w:t>staff</w:t>
      </w:r>
    </w:p>
    <w:p w14:paraId="6A80F1FF" w14:textId="77777777" w:rsidR="0061398D" w:rsidRPr="0061398D" w:rsidRDefault="0061398D" w:rsidP="0061398D">
      <w:pPr>
        <w:keepNext/>
        <w:keepLines/>
        <w:jc w:val="both"/>
        <w:rPr>
          <w:rFonts w:eastAsiaTheme="minorEastAsia"/>
          <w:b/>
          <w:bCs/>
        </w:rPr>
      </w:pPr>
    </w:p>
    <w:tbl>
      <w:tblPr>
        <w:tblStyle w:val="TableGrid"/>
        <w:tblW w:w="10490" w:type="dxa"/>
        <w:tblInd w:w="-572" w:type="dxa"/>
        <w:tblLayout w:type="fixed"/>
        <w:tblLook w:val="06A0" w:firstRow="1" w:lastRow="0" w:firstColumn="1" w:lastColumn="0" w:noHBand="1" w:noVBand="1"/>
      </w:tblPr>
      <w:tblGrid>
        <w:gridCol w:w="1920"/>
        <w:gridCol w:w="3339"/>
        <w:gridCol w:w="2656"/>
        <w:gridCol w:w="2575"/>
      </w:tblGrid>
      <w:tr w:rsidR="0061398D" w:rsidRPr="0061398D" w14:paraId="41B42244" w14:textId="77777777" w:rsidTr="00FA768E">
        <w:trPr>
          <w:trHeight w:val="300"/>
        </w:trPr>
        <w:tc>
          <w:tcPr>
            <w:tcW w:w="1920" w:type="dxa"/>
            <w:vMerge w:val="restart"/>
          </w:tcPr>
          <w:p w14:paraId="6FD0AA83" w14:textId="77777777" w:rsidR="0061398D" w:rsidRPr="0061398D" w:rsidRDefault="0061398D" w:rsidP="00B90937">
            <w:pPr>
              <w:pStyle w:val="Tablehead"/>
            </w:pPr>
          </w:p>
        </w:tc>
        <w:tc>
          <w:tcPr>
            <w:tcW w:w="3339" w:type="dxa"/>
            <w:vMerge w:val="restart"/>
          </w:tcPr>
          <w:p w14:paraId="332A4C7E" w14:textId="77777777" w:rsidR="0061398D" w:rsidRPr="0061398D" w:rsidRDefault="0061398D" w:rsidP="00B90937">
            <w:pPr>
              <w:pStyle w:val="Tablehead"/>
            </w:pPr>
            <w:r w:rsidRPr="0061398D">
              <w:t>Action</w:t>
            </w:r>
          </w:p>
        </w:tc>
        <w:tc>
          <w:tcPr>
            <w:tcW w:w="5231" w:type="dxa"/>
            <w:gridSpan w:val="2"/>
          </w:tcPr>
          <w:p w14:paraId="78C53CA3" w14:textId="77777777" w:rsidR="0061398D" w:rsidRPr="0061398D" w:rsidRDefault="0061398D" w:rsidP="00B90937">
            <w:pPr>
              <w:pStyle w:val="Tablehead"/>
            </w:pPr>
            <w:r w:rsidRPr="0061398D">
              <w:t xml:space="preserve">Deliverables by: </w:t>
            </w:r>
          </w:p>
        </w:tc>
      </w:tr>
      <w:tr w:rsidR="0061398D" w:rsidRPr="0061398D" w14:paraId="66EC9DB5" w14:textId="77777777" w:rsidTr="00FA768E">
        <w:trPr>
          <w:trHeight w:val="300"/>
        </w:trPr>
        <w:tc>
          <w:tcPr>
            <w:tcW w:w="1920" w:type="dxa"/>
            <w:vMerge/>
          </w:tcPr>
          <w:p w14:paraId="369357A8" w14:textId="77777777" w:rsidR="0061398D" w:rsidRPr="0061398D" w:rsidRDefault="0061398D" w:rsidP="00B90937">
            <w:pPr>
              <w:pStyle w:val="Tablehead"/>
            </w:pPr>
          </w:p>
        </w:tc>
        <w:tc>
          <w:tcPr>
            <w:tcW w:w="3339" w:type="dxa"/>
            <w:vMerge/>
          </w:tcPr>
          <w:p w14:paraId="4D969069" w14:textId="77777777" w:rsidR="0061398D" w:rsidRPr="0061398D" w:rsidRDefault="0061398D" w:rsidP="00B90937">
            <w:pPr>
              <w:pStyle w:val="Tablehead"/>
            </w:pPr>
          </w:p>
        </w:tc>
        <w:tc>
          <w:tcPr>
            <w:tcW w:w="2656" w:type="dxa"/>
          </w:tcPr>
          <w:p w14:paraId="242EF7D2" w14:textId="77777777" w:rsidR="0061398D" w:rsidRPr="0061398D" w:rsidRDefault="0061398D" w:rsidP="00B90937">
            <w:pPr>
              <w:pStyle w:val="Tablehead"/>
            </w:pPr>
            <w:r w:rsidRPr="0061398D">
              <w:t>C26</w:t>
            </w:r>
          </w:p>
        </w:tc>
        <w:tc>
          <w:tcPr>
            <w:tcW w:w="2575" w:type="dxa"/>
          </w:tcPr>
          <w:p w14:paraId="38E5E771" w14:textId="77777777" w:rsidR="0061398D" w:rsidRPr="0061398D" w:rsidRDefault="0061398D" w:rsidP="00B90937">
            <w:pPr>
              <w:pStyle w:val="Tablehead"/>
            </w:pPr>
            <w:r w:rsidRPr="0061398D">
              <w:t>PP-26</w:t>
            </w:r>
          </w:p>
        </w:tc>
      </w:tr>
      <w:tr w:rsidR="0061398D" w:rsidRPr="0061398D" w14:paraId="6D5492C6" w14:textId="77777777" w:rsidTr="00FA768E">
        <w:trPr>
          <w:trHeight w:val="300"/>
        </w:trPr>
        <w:tc>
          <w:tcPr>
            <w:tcW w:w="1920" w:type="dxa"/>
          </w:tcPr>
          <w:p w14:paraId="1E6B29C8" w14:textId="2F4A6177" w:rsidR="0061398D" w:rsidRPr="00394DDD" w:rsidRDefault="0061398D" w:rsidP="00433815">
            <w:pPr>
              <w:pStyle w:val="Tabletext"/>
              <w:rPr>
                <w:b/>
                <w:bCs/>
              </w:rPr>
            </w:pPr>
            <w:r w:rsidRPr="00394DDD">
              <w:rPr>
                <w:b/>
                <w:bCs/>
              </w:rPr>
              <w:t xml:space="preserve">Innovation </w:t>
            </w:r>
            <w:r w:rsidR="00CD79ED" w:rsidRPr="00394DDD">
              <w:rPr>
                <w:b/>
                <w:bCs/>
              </w:rPr>
              <w:t>hub</w:t>
            </w:r>
          </w:p>
        </w:tc>
        <w:tc>
          <w:tcPr>
            <w:tcW w:w="3339" w:type="dxa"/>
            <w:vAlign w:val="center"/>
          </w:tcPr>
          <w:p w14:paraId="102EAF42" w14:textId="77777777" w:rsidR="0061398D" w:rsidRPr="0061398D" w:rsidRDefault="0061398D" w:rsidP="00433815">
            <w:pPr>
              <w:pStyle w:val="Tabletext"/>
            </w:pPr>
            <w:r w:rsidRPr="0061398D">
              <w:t>Set up an Innovation Hub - Physical space and programme of activities facilitating experimentation, prototyping, use of AI and digital tools, training, and coaching with Show and Tell sessions and Learning Labs.</w:t>
            </w:r>
          </w:p>
        </w:tc>
        <w:tc>
          <w:tcPr>
            <w:tcW w:w="2656" w:type="dxa"/>
          </w:tcPr>
          <w:p w14:paraId="6A062308" w14:textId="77777777" w:rsidR="0061398D" w:rsidRPr="0061398D" w:rsidRDefault="0061398D" w:rsidP="00433815">
            <w:pPr>
              <w:pStyle w:val="Tabletext"/>
            </w:pPr>
            <w:r w:rsidRPr="0061398D">
              <w:t xml:space="preserve">Launch of physical space and pilot programme of activities. </w:t>
            </w:r>
          </w:p>
        </w:tc>
        <w:tc>
          <w:tcPr>
            <w:tcW w:w="2575" w:type="dxa"/>
          </w:tcPr>
          <w:p w14:paraId="087AE29F" w14:textId="77777777" w:rsidR="0061398D" w:rsidRPr="0061398D" w:rsidRDefault="0061398D" w:rsidP="00433815">
            <w:pPr>
              <w:pStyle w:val="Tabletext"/>
            </w:pPr>
            <w:r w:rsidRPr="0061398D">
              <w:t xml:space="preserve">Mature programme of activities, with a growing community. </w:t>
            </w:r>
          </w:p>
        </w:tc>
      </w:tr>
      <w:tr w:rsidR="0061398D" w:rsidRPr="0061398D" w14:paraId="3DC7FCBE" w14:textId="77777777" w:rsidTr="00FA768E">
        <w:trPr>
          <w:trHeight w:val="300"/>
        </w:trPr>
        <w:tc>
          <w:tcPr>
            <w:tcW w:w="1920" w:type="dxa"/>
          </w:tcPr>
          <w:p w14:paraId="608FABCA" w14:textId="5F4BFC2C" w:rsidR="0061398D" w:rsidRPr="00394DDD" w:rsidRDefault="0061398D" w:rsidP="00433815">
            <w:pPr>
              <w:pStyle w:val="Tabletext"/>
              <w:rPr>
                <w:b/>
                <w:bCs/>
              </w:rPr>
            </w:pPr>
            <w:r w:rsidRPr="00394DDD">
              <w:rPr>
                <w:b/>
                <w:bCs/>
              </w:rPr>
              <w:t xml:space="preserve">Internal </w:t>
            </w:r>
            <w:r w:rsidR="00CD79ED" w:rsidRPr="00394DDD">
              <w:rPr>
                <w:b/>
                <w:bCs/>
              </w:rPr>
              <w:t xml:space="preserve">communications and staff engagement  </w:t>
            </w:r>
          </w:p>
        </w:tc>
        <w:tc>
          <w:tcPr>
            <w:tcW w:w="3339" w:type="dxa"/>
          </w:tcPr>
          <w:p w14:paraId="02BE59F3" w14:textId="22291EA2" w:rsidR="0061398D" w:rsidRPr="0061398D" w:rsidRDefault="0061398D" w:rsidP="00433815">
            <w:pPr>
              <w:pStyle w:val="Tabletext"/>
            </w:pPr>
            <w:r w:rsidRPr="0061398D">
              <w:t xml:space="preserve">Implementation of staff engagement and communication platform </w:t>
            </w:r>
          </w:p>
        </w:tc>
        <w:tc>
          <w:tcPr>
            <w:tcW w:w="2656" w:type="dxa"/>
          </w:tcPr>
          <w:p w14:paraId="5B8D7287" w14:textId="77777777" w:rsidR="0061398D" w:rsidRPr="0061398D" w:rsidRDefault="0061398D" w:rsidP="00433815">
            <w:pPr>
              <w:pStyle w:val="Tabletext"/>
            </w:pPr>
            <w:r w:rsidRPr="0061398D">
              <w:t>Platform in place with an ongoing pilot.</w:t>
            </w:r>
          </w:p>
        </w:tc>
        <w:tc>
          <w:tcPr>
            <w:tcW w:w="2575" w:type="dxa"/>
          </w:tcPr>
          <w:p w14:paraId="5C6F882D" w14:textId="64773CE9" w:rsidR="0061398D" w:rsidRPr="0061398D" w:rsidRDefault="0061398D" w:rsidP="00433815">
            <w:pPr>
              <w:pStyle w:val="Tabletext"/>
            </w:pPr>
            <w:r w:rsidRPr="0061398D">
              <w:t>Platform roll</w:t>
            </w:r>
            <w:r w:rsidR="00E74D98">
              <w:t>-</w:t>
            </w:r>
            <w:r w:rsidRPr="0061398D">
              <w:t>out to all ITU staff.</w:t>
            </w:r>
          </w:p>
        </w:tc>
      </w:tr>
      <w:tr w:rsidR="0061398D" w:rsidRPr="0061398D" w14:paraId="75C912E9" w14:textId="77777777" w:rsidTr="00FA768E">
        <w:trPr>
          <w:trHeight w:val="300"/>
        </w:trPr>
        <w:tc>
          <w:tcPr>
            <w:tcW w:w="1920" w:type="dxa"/>
            <w:vMerge w:val="restart"/>
          </w:tcPr>
          <w:p w14:paraId="3C37C90F" w14:textId="03B699E3" w:rsidR="0061398D" w:rsidRPr="00394DDD" w:rsidRDefault="0061398D" w:rsidP="00433815">
            <w:pPr>
              <w:pStyle w:val="Tabletext"/>
              <w:rPr>
                <w:b/>
                <w:bCs/>
              </w:rPr>
            </w:pPr>
            <w:r w:rsidRPr="00394DDD">
              <w:rPr>
                <w:b/>
                <w:bCs/>
              </w:rPr>
              <w:t xml:space="preserve">Changemakers </w:t>
            </w:r>
            <w:r w:rsidR="00CD79ED" w:rsidRPr="00394DDD">
              <w:rPr>
                <w:b/>
                <w:bCs/>
              </w:rPr>
              <w:t xml:space="preserve">programme  </w:t>
            </w:r>
          </w:p>
        </w:tc>
        <w:tc>
          <w:tcPr>
            <w:tcW w:w="3339" w:type="dxa"/>
          </w:tcPr>
          <w:p w14:paraId="43291B97" w14:textId="77777777" w:rsidR="0061398D" w:rsidRPr="0061398D" w:rsidRDefault="0061398D" w:rsidP="00433815">
            <w:pPr>
              <w:pStyle w:val="Tabletext"/>
            </w:pPr>
            <w:r w:rsidRPr="0061398D">
              <w:t>Cases transitioning to business owners for implementation of recommendations</w:t>
            </w:r>
          </w:p>
        </w:tc>
        <w:tc>
          <w:tcPr>
            <w:tcW w:w="5231" w:type="dxa"/>
            <w:gridSpan w:val="2"/>
          </w:tcPr>
          <w:p w14:paraId="1B145337" w14:textId="77777777" w:rsidR="0061398D" w:rsidRPr="0061398D" w:rsidRDefault="0061398D" w:rsidP="00433815">
            <w:pPr>
              <w:pStyle w:val="Tabletext"/>
            </w:pPr>
            <w:r w:rsidRPr="0061398D">
              <w:t>Change cases have been integrated into operational plans and budgets.</w:t>
            </w:r>
          </w:p>
        </w:tc>
      </w:tr>
      <w:tr w:rsidR="0061398D" w:rsidRPr="0061398D" w14:paraId="08FA1811" w14:textId="77777777" w:rsidTr="00FA768E">
        <w:trPr>
          <w:trHeight w:val="300"/>
        </w:trPr>
        <w:tc>
          <w:tcPr>
            <w:tcW w:w="1920" w:type="dxa"/>
            <w:vMerge/>
          </w:tcPr>
          <w:p w14:paraId="3DE75BBF" w14:textId="77777777" w:rsidR="0061398D" w:rsidRPr="0061398D" w:rsidRDefault="0061398D" w:rsidP="00433815">
            <w:pPr>
              <w:pStyle w:val="Tabletext"/>
            </w:pPr>
          </w:p>
        </w:tc>
        <w:tc>
          <w:tcPr>
            <w:tcW w:w="3339" w:type="dxa"/>
          </w:tcPr>
          <w:p w14:paraId="6FB785D3" w14:textId="1E88F6CF" w:rsidR="0061398D" w:rsidRPr="0061398D" w:rsidRDefault="0061398D" w:rsidP="00433815">
            <w:pPr>
              <w:pStyle w:val="Tabletext"/>
            </w:pPr>
            <w:r w:rsidRPr="0061398D">
              <w:t xml:space="preserve">Changemakers Programme transitioning to its next phase, emphasizing Innovation Culture and Intrapreneurship through the Innovation Hub. </w:t>
            </w:r>
          </w:p>
        </w:tc>
        <w:tc>
          <w:tcPr>
            <w:tcW w:w="5231" w:type="dxa"/>
            <w:gridSpan w:val="2"/>
          </w:tcPr>
          <w:p w14:paraId="6E95EEE1" w14:textId="5E7FC2A7" w:rsidR="0061398D" w:rsidRPr="0061398D" w:rsidRDefault="029D1341" w:rsidP="00433815">
            <w:pPr>
              <w:pStyle w:val="Tabletext"/>
            </w:pPr>
            <w:r w:rsidRPr="23F48F55">
              <w:t>Changemakers engage in activities of the Innovation Hub and help drive adoption of new AI / digital tools.</w:t>
            </w:r>
          </w:p>
        </w:tc>
      </w:tr>
    </w:tbl>
    <w:p w14:paraId="1CD14F8C" w14:textId="77777777" w:rsidR="00394DDD" w:rsidRDefault="00394DDD" w:rsidP="00394DDD">
      <w:pPr>
        <w:pStyle w:val="Tablefin"/>
      </w:pPr>
    </w:p>
    <w:p w14:paraId="24E57AAA" w14:textId="77777777" w:rsidR="00394DDD" w:rsidRDefault="00394DDD">
      <w:pPr>
        <w:jc w:val="center"/>
      </w:pPr>
      <w:r>
        <w:t>______________</w:t>
      </w:r>
    </w:p>
    <w:sectPr w:rsidR="00394DDD" w:rsidSect="00AD3606">
      <w:footerReference w:type="default" r:id="rId30"/>
      <w:headerReference w:type="first" r:id="rId31"/>
      <w:footerReference w:type="first" r:id="rId3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00EA" w14:textId="77777777" w:rsidR="001266A6" w:rsidRDefault="001266A6">
      <w:r>
        <w:separator/>
      </w:r>
    </w:p>
  </w:endnote>
  <w:endnote w:type="continuationSeparator" w:id="0">
    <w:p w14:paraId="417ACA89" w14:textId="77777777" w:rsidR="001266A6" w:rsidRDefault="0012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26533827"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9D7CF0">
            <w:rPr>
              <w:bCs/>
            </w:rPr>
            <w:t>15</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r w:rsidRPr="00AE78C0">
              <w:rPr>
                <w:rStyle w:val="Hyperlink"/>
              </w:rPr>
              <w:t>council.itu.int/working-groups</w:t>
            </w:r>
          </w:hyperlink>
        </w:p>
      </w:tc>
      <w:tc>
        <w:tcPr>
          <w:tcW w:w="6957" w:type="dxa"/>
        </w:tcPr>
        <w:p w14:paraId="3F62E0D8" w14:textId="21734E83"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22</w:t>
          </w:r>
          <w:r w:rsidRPr="00623AE3">
            <w:rPr>
              <w:bCs/>
            </w:rPr>
            <w:t>/</w:t>
          </w:r>
          <w:r w:rsidR="009D7CF0">
            <w:rPr>
              <w:bCs/>
            </w:rPr>
            <w:t>15</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E97D" w14:textId="77777777" w:rsidR="001266A6" w:rsidRDefault="001266A6">
      <w:r>
        <w:t>____________________</w:t>
      </w:r>
    </w:p>
  </w:footnote>
  <w:footnote w:type="continuationSeparator" w:id="0">
    <w:p w14:paraId="23506532" w14:textId="77777777" w:rsidR="001266A6" w:rsidRDefault="0012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2"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F8A0F"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BC787"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001B24D"/>
    <w:multiLevelType w:val="hybridMultilevel"/>
    <w:tmpl w:val="FFFFFFFF"/>
    <w:lvl w:ilvl="0" w:tplc="D86C68A6">
      <w:start w:val="1"/>
      <w:numFmt w:val="bullet"/>
      <w:lvlText w:val=""/>
      <w:lvlJc w:val="left"/>
      <w:pPr>
        <w:ind w:left="720" w:hanging="360"/>
      </w:pPr>
      <w:rPr>
        <w:rFonts w:ascii="Symbol" w:hAnsi="Symbol" w:hint="default"/>
      </w:rPr>
    </w:lvl>
    <w:lvl w:ilvl="1" w:tplc="0EEA92AA">
      <w:start w:val="1"/>
      <w:numFmt w:val="bullet"/>
      <w:lvlText w:val="o"/>
      <w:lvlJc w:val="left"/>
      <w:pPr>
        <w:ind w:left="1440" w:hanging="360"/>
      </w:pPr>
      <w:rPr>
        <w:rFonts w:ascii="Courier New" w:hAnsi="Courier New" w:hint="default"/>
      </w:rPr>
    </w:lvl>
    <w:lvl w:ilvl="2" w:tplc="02FCBEC4">
      <w:start w:val="1"/>
      <w:numFmt w:val="bullet"/>
      <w:lvlText w:val=""/>
      <w:lvlJc w:val="left"/>
      <w:pPr>
        <w:ind w:left="2160" w:hanging="360"/>
      </w:pPr>
      <w:rPr>
        <w:rFonts w:ascii="Wingdings" w:hAnsi="Wingdings" w:hint="default"/>
      </w:rPr>
    </w:lvl>
    <w:lvl w:ilvl="3" w:tplc="EB96766E">
      <w:start w:val="1"/>
      <w:numFmt w:val="bullet"/>
      <w:lvlText w:val=""/>
      <w:lvlJc w:val="left"/>
      <w:pPr>
        <w:ind w:left="2880" w:hanging="360"/>
      </w:pPr>
      <w:rPr>
        <w:rFonts w:ascii="Symbol" w:hAnsi="Symbol" w:hint="default"/>
      </w:rPr>
    </w:lvl>
    <w:lvl w:ilvl="4" w:tplc="CADAA448">
      <w:start w:val="1"/>
      <w:numFmt w:val="bullet"/>
      <w:lvlText w:val="o"/>
      <w:lvlJc w:val="left"/>
      <w:pPr>
        <w:ind w:left="3600" w:hanging="360"/>
      </w:pPr>
      <w:rPr>
        <w:rFonts w:ascii="Courier New" w:hAnsi="Courier New" w:hint="default"/>
      </w:rPr>
    </w:lvl>
    <w:lvl w:ilvl="5" w:tplc="E60E5B24">
      <w:start w:val="1"/>
      <w:numFmt w:val="bullet"/>
      <w:lvlText w:val=""/>
      <w:lvlJc w:val="left"/>
      <w:pPr>
        <w:ind w:left="4320" w:hanging="360"/>
      </w:pPr>
      <w:rPr>
        <w:rFonts w:ascii="Wingdings" w:hAnsi="Wingdings" w:hint="default"/>
      </w:rPr>
    </w:lvl>
    <w:lvl w:ilvl="6" w:tplc="FF3656A2">
      <w:start w:val="1"/>
      <w:numFmt w:val="bullet"/>
      <w:lvlText w:val=""/>
      <w:lvlJc w:val="left"/>
      <w:pPr>
        <w:ind w:left="5040" w:hanging="360"/>
      </w:pPr>
      <w:rPr>
        <w:rFonts w:ascii="Symbol" w:hAnsi="Symbol" w:hint="default"/>
      </w:rPr>
    </w:lvl>
    <w:lvl w:ilvl="7" w:tplc="FB2C6B1E">
      <w:start w:val="1"/>
      <w:numFmt w:val="bullet"/>
      <w:lvlText w:val="o"/>
      <w:lvlJc w:val="left"/>
      <w:pPr>
        <w:ind w:left="5760" w:hanging="360"/>
      </w:pPr>
      <w:rPr>
        <w:rFonts w:ascii="Courier New" w:hAnsi="Courier New" w:hint="default"/>
      </w:rPr>
    </w:lvl>
    <w:lvl w:ilvl="8" w:tplc="B6FC8D3C">
      <w:start w:val="1"/>
      <w:numFmt w:val="bullet"/>
      <w:lvlText w:val=""/>
      <w:lvlJc w:val="left"/>
      <w:pPr>
        <w:ind w:left="6480" w:hanging="360"/>
      </w:pPr>
      <w:rPr>
        <w:rFonts w:ascii="Wingdings" w:hAnsi="Wingdings" w:hint="default"/>
      </w:rPr>
    </w:lvl>
  </w:abstractNum>
  <w:num w:numId="1" w16cid:durableId="1374816267">
    <w:abstractNumId w:val="0"/>
  </w:num>
  <w:num w:numId="2" w16cid:durableId="727261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0464"/>
    <w:rsid w:val="00003527"/>
    <w:rsid w:val="000210D4"/>
    <w:rsid w:val="00023877"/>
    <w:rsid w:val="0002575C"/>
    <w:rsid w:val="00026779"/>
    <w:rsid w:val="00063016"/>
    <w:rsid w:val="00066795"/>
    <w:rsid w:val="00066A88"/>
    <w:rsid w:val="00076AF6"/>
    <w:rsid w:val="00085CF2"/>
    <w:rsid w:val="000A1B2D"/>
    <w:rsid w:val="000B1705"/>
    <w:rsid w:val="000D194C"/>
    <w:rsid w:val="000D454F"/>
    <w:rsid w:val="000D75B2"/>
    <w:rsid w:val="000D7FDD"/>
    <w:rsid w:val="000F5C8D"/>
    <w:rsid w:val="001121F5"/>
    <w:rsid w:val="001266A6"/>
    <w:rsid w:val="00130599"/>
    <w:rsid w:val="001400DC"/>
    <w:rsid w:val="00140CE1"/>
    <w:rsid w:val="001751FF"/>
    <w:rsid w:val="0017539C"/>
    <w:rsid w:val="00175AC2"/>
    <w:rsid w:val="0017609F"/>
    <w:rsid w:val="0017649C"/>
    <w:rsid w:val="00181162"/>
    <w:rsid w:val="0019628A"/>
    <w:rsid w:val="001A72C5"/>
    <w:rsid w:val="001A7D1D"/>
    <w:rsid w:val="001B51DD"/>
    <w:rsid w:val="001C628E"/>
    <w:rsid w:val="001D3610"/>
    <w:rsid w:val="001E0F7B"/>
    <w:rsid w:val="001E0FBE"/>
    <w:rsid w:val="001E311E"/>
    <w:rsid w:val="001F2A4E"/>
    <w:rsid w:val="0020412B"/>
    <w:rsid w:val="002061EA"/>
    <w:rsid w:val="002079A2"/>
    <w:rsid w:val="00207B55"/>
    <w:rsid w:val="002119FD"/>
    <w:rsid w:val="002130E0"/>
    <w:rsid w:val="00215A2C"/>
    <w:rsid w:val="002404ED"/>
    <w:rsid w:val="00244F7F"/>
    <w:rsid w:val="00260ACE"/>
    <w:rsid w:val="00264425"/>
    <w:rsid w:val="00265875"/>
    <w:rsid w:val="0027303B"/>
    <w:rsid w:val="0028109B"/>
    <w:rsid w:val="002A2188"/>
    <w:rsid w:val="002B12B6"/>
    <w:rsid w:val="002B1F58"/>
    <w:rsid w:val="002C1C7A"/>
    <w:rsid w:val="002C54E2"/>
    <w:rsid w:val="0030160F"/>
    <w:rsid w:val="00312CCB"/>
    <w:rsid w:val="00315558"/>
    <w:rsid w:val="00320223"/>
    <w:rsid w:val="003227EC"/>
    <w:rsid w:val="00322D0D"/>
    <w:rsid w:val="0032508A"/>
    <w:rsid w:val="003273EE"/>
    <w:rsid w:val="00334D46"/>
    <w:rsid w:val="00361465"/>
    <w:rsid w:val="00361793"/>
    <w:rsid w:val="00375EF6"/>
    <w:rsid w:val="00382F92"/>
    <w:rsid w:val="003877F5"/>
    <w:rsid w:val="003942D4"/>
    <w:rsid w:val="00394DDD"/>
    <w:rsid w:val="003958A8"/>
    <w:rsid w:val="003A397D"/>
    <w:rsid w:val="003A7B0E"/>
    <w:rsid w:val="003C2533"/>
    <w:rsid w:val="003D55B9"/>
    <w:rsid w:val="003D5A7F"/>
    <w:rsid w:val="003E1030"/>
    <w:rsid w:val="003F03EC"/>
    <w:rsid w:val="004016E2"/>
    <w:rsid w:val="0040435A"/>
    <w:rsid w:val="00416A24"/>
    <w:rsid w:val="00431D9E"/>
    <w:rsid w:val="00433815"/>
    <w:rsid w:val="00433CE8"/>
    <w:rsid w:val="00434A5C"/>
    <w:rsid w:val="00440DE2"/>
    <w:rsid w:val="004544D9"/>
    <w:rsid w:val="00472BAD"/>
    <w:rsid w:val="00484009"/>
    <w:rsid w:val="00490E72"/>
    <w:rsid w:val="00491157"/>
    <w:rsid w:val="004921C8"/>
    <w:rsid w:val="00495B0B"/>
    <w:rsid w:val="004A1B8B"/>
    <w:rsid w:val="004A6EB4"/>
    <w:rsid w:val="004D1851"/>
    <w:rsid w:val="004D4EBB"/>
    <w:rsid w:val="004D599D"/>
    <w:rsid w:val="004E2037"/>
    <w:rsid w:val="004E2EA5"/>
    <w:rsid w:val="004E3AEB"/>
    <w:rsid w:val="004E587D"/>
    <w:rsid w:val="0050223C"/>
    <w:rsid w:val="005203BE"/>
    <w:rsid w:val="005243FF"/>
    <w:rsid w:val="00544D00"/>
    <w:rsid w:val="00545C68"/>
    <w:rsid w:val="005574CC"/>
    <w:rsid w:val="00557C50"/>
    <w:rsid w:val="00564FBC"/>
    <w:rsid w:val="005800BC"/>
    <w:rsid w:val="00582442"/>
    <w:rsid w:val="00584BE2"/>
    <w:rsid w:val="00594C9A"/>
    <w:rsid w:val="005A335D"/>
    <w:rsid w:val="005B1D13"/>
    <w:rsid w:val="005B22E5"/>
    <w:rsid w:val="005B579A"/>
    <w:rsid w:val="005B64FF"/>
    <w:rsid w:val="005E14E6"/>
    <w:rsid w:val="005E2BD5"/>
    <w:rsid w:val="005E42AD"/>
    <w:rsid w:val="005F03A3"/>
    <w:rsid w:val="005F256C"/>
    <w:rsid w:val="005F3269"/>
    <w:rsid w:val="0061398D"/>
    <w:rsid w:val="00623AE3"/>
    <w:rsid w:val="0064737F"/>
    <w:rsid w:val="006535F1"/>
    <w:rsid w:val="0065557D"/>
    <w:rsid w:val="00660CA7"/>
    <w:rsid w:val="00660D50"/>
    <w:rsid w:val="00662984"/>
    <w:rsid w:val="006716BB"/>
    <w:rsid w:val="006733F2"/>
    <w:rsid w:val="00676C7D"/>
    <w:rsid w:val="00684A9C"/>
    <w:rsid w:val="006A74A1"/>
    <w:rsid w:val="006B1859"/>
    <w:rsid w:val="006B6680"/>
    <w:rsid w:val="006B6DCC"/>
    <w:rsid w:val="006E3B35"/>
    <w:rsid w:val="006F2565"/>
    <w:rsid w:val="00702DEF"/>
    <w:rsid w:val="00706861"/>
    <w:rsid w:val="00721171"/>
    <w:rsid w:val="0073553F"/>
    <w:rsid w:val="00746AF4"/>
    <w:rsid w:val="0075051B"/>
    <w:rsid w:val="007517F3"/>
    <w:rsid w:val="00775655"/>
    <w:rsid w:val="00787169"/>
    <w:rsid w:val="00787FEC"/>
    <w:rsid w:val="00793188"/>
    <w:rsid w:val="00794D34"/>
    <w:rsid w:val="007C5FF5"/>
    <w:rsid w:val="007D7256"/>
    <w:rsid w:val="00804B1A"/>
    <w:rsid w:val="00813E5E"/>
    <w:rsid w:val="00817C23"/>
    <w:rsid w:val="0083581B"/>
    <w:rsid w:val="00863874"/>
    <w:rsid w:val="00864AFF"/>
    <w:rsid w:val="00865925"/>
    <w:rsid w:val="008662C2"/>
    <w:rsid w:val="00886A42"/>
    <w:rsid w:val="00891503"/>
    <w:rsid w:val="008964B4"/>
    <w:rsid w:val="008A4157"/>
    <w:rsid w:val="008A5535"/>
    <w:rsid w:val="008B4A6A"/>
    <w:rsid w:val="008C0A2F"/>
    <w:rsid w:val="008C6BBA"/>
    <w:rsid w:val="008C7E27"/>
    <w:rsid w:val="008D257B"/>
    <w:rsid w:val="008D58B1"/>
    <w:rsid w:val="008E7137"/>
    <w:rsid w:val="008F7448"/>
    <w:rsid w:val="0090147A"/>
    <w:rsid w:val="009173EF"/>
    <w:rsid w:val="00932906"/>
    <w:rsid w:val="00941417"/>
    <w:rsid w:val="00956C9C"/>
    <w:rsid w:val="00961B0B"/>
    <w:rsid w:val="00962D33"/>
    <w:rsid w:val="00965A78"/>
    <w:rsid w:val="00971C28"/>
    <w:rsid w:val="009B2D4B"/>
    <w:rsid w:val="009B38C3"/>
    <w:rsid w:val="009B4345"/>
    <w:rsid w:val="009C253A"/>
    <w:rsid w:val="009D7CF0"/>
    <w:rsid w:val="009E17BD"/>
    <w:rsid w:val="009E485A"/>
    <w:rsid w:val="009F347C"/>
    <w:rsid w:val="00A04CEC"/>
    <w:rsid w:val="00A1728A"/>
    <w:rsid w:val="00A27F92"/>
    <w:rsid w:val="00A32257"/>
    <w:rsid w:val="00A34664"/>
    <w:rsid w:val="00A36D20"/>
    <w:rsid w:val="00A467DF"/>
    <w:rsid w:val="00A51090"/>
    <w:rsid w:val="00A514A4"/>
    <w:rsid w:val="00A51B26"/>
    <w:rsid w:val="00A52C84"/>
    <w:rsid w:val="00A55622"/>
    <w:rsid w:val="00A674EB"/>
    <w:rsid w:val="00A83502"/>
    <w:rsid w:val="00A94376"/>
    <w:rsid w:val="00AA32F0"/>
    <w:rsid w:val="00AA3B7E"/>
    <w:rsid w:val="00AD0C06"/>
    <w:rsid w:val="00AD15B3"/>
    <w:rsid w:val="00AD3606"/>
    <w:rsid w:val="00AD4A3D"/>
    <w:rsid w:val="00AD6D7C"/>
    <w:rsid w:val="00AE78C0"/>
    <w:rsid w:val="00AF5235"/>
    <w:rsid w:val="00AF6E49"/>
    <w:rsid w:val="00B04A67"/>
    <w:rsid w:val="00B0583C"/>
    <w:rsid w:val="00B059EA"/>
    <w:rsid w:val="00B23622"/>
    <w:rsid w:val="00B23767"/>
    <w:rsid w:val="00B358B2"/>
    <w:rsid w:val="00B40A81"/>
    <w:rsid w:val="00B4114D"/>
    <w:rsid w:val="00B44910"/>
    <w:rsid w:val="00B6433B"/>
    <w:rsid w:val="00B72267"/>
    <w:rsid w:val="00B76EB6"/>
    <w:rsid w:val="00B7737B"/>
    <w:rsid w:val="00B824C8"/>
    <w:rsid w:val="00B84B9D"/>
    <w:rsid w:val="00B90937"/>
    <w:rsid w:val="00BB08A3"/>
    <w:rsid w:val="00BC251A"/>
    <w:rsid w:val="00BD032B"/>
    <w:rsid w:val="00BD1693"/>
    <w:rsid w:val="00BE2640"/>
    <w:rsid w:val="00C01189"/>
    <w:rsid w:val="00C11A3C"/>
    <w:rsid w:val="00C374DE"/>
    <w:rsid w:val="00C47AD4"/>
    <w:rsid w:val="00C51846"/>
    <w:rsid w:val="00C52D81"/>
    <w:rsid w:val="00C55198"/>
    <w:rsid w:val="00C726CF"/>
    <w:rsid w:val="00CA6393"/>
    <w:rsid w:val="00CA7CB8"/>
    <w:rsid w:val="00CB18FF"/>
    <w:rsid w:val="00CC477A"/>
    <w:rsid w:val="00CD0C08"/>
    <w:rsid w:val="00CD79ED"/>
    <w:rsid w:val="00CE03FB"/>
    <w:rsid w:val="00CE433C"/>
    <w:rsid w:val="00CF0161"/>
    <w:rsid w:val="00CF33F3"/>
    <w:rsid w:val="00D00A15"/>
    <w:rsid w:val="00D06183"/>
    <w:rsid w:val="00D061DB"/>
    <w:rsid w:val="00D215ED"/>
    <w:rsid w:val="00D22C42"/>
    <w:rsid w:val="00D464CC"/>
    <w:rsid w:val="00D53C61"/>
    <w:rsid w:val="00D65041"/>
    <w:rsid w:val="00DB00D5"/>
    <w:rsid w:val="00DB1936"/>
    <w:rsid w:val="00DB384B"/>
    <w:rsid w:val="00DD2187"/>
    <w:rsid w:val="00DD59EE"/>
    <w:rsid w:val="00DE54CD"/>
    <w:rsid w:val="00DF0189"/>
    <w:rsid w:val="00E03C3D"/>
    <w:rsid w:val="00E04CE5"/>
    <w:rsid w:val="00E06FD5"/>
    <w:rsid w:val="00E10E80"/>
    <w:rsid w:val="00E124F0"/>
    <w:rsid w:val="00E227F3"/>
    <w:rsid w:val="00E24BD1"/>
    <w:rsid w:val="00E259B0"/>
    <w:rsid w:val="00E545C6"/>
    <w:rsid w:val="00E60F04"/>
    <w:rsid w:val="00E65B24"/>
    <w:rsid w:val="00E74D98"/>
    <w:rsid w:val="00E854E4"/>
    <w:rsid w:val="00E86DBF"/>
    <w:rsid w:val="00E95098"/>
    <w:rsid w:val="00EB0D6F"/>
    <w:rsid w:val="00EB2232"/>
    <w:rsid w:val="00EC5337"/>
    <w:rsid w:val="00ED454D"/>
    <w:rsid w:val="00EE49E8"/>
    <w:rsid w:val="00EF09A3"/>
    <w:rsid w:val="00EF0BF8"/>
    <w:rsid w:val="00EF1CD4"/>
    <w:rsid w:val="00F16BAB"/>
    <w:rsid w:val="00F17666"/>
    <w:rsid w:val="00F2150A"/>
    <w:rsid w:val="00F231D8"/>
    <w:rsid w:val="00F43A2B"/>
    <w:rsid w:val="00F44C00"/>
    <w:rsid w:val="00F45D2C"/>
    <w:rsid w:val="00F46C5F"/>
    <w:rsid w:val="00F6071C"/>
    <w:rsid w:val="00F632C0"/>
    <w:rsid w:val="00F74694"/>
    <w:rsid w:val="00F92A7C"/>
    <w:rsid w:val="00F94A63"/>
    <w:rsid w:val="00FA1C28"/>
    <w:rsid w:val="00FA6A2D"/>
    <w:rsid w:val="00FA768E"/>
    <w:rsid w:val="00FB1279"/>
    <w:rsid w:val="00FB6B76"/>
    <w:rsid w:val="00FB7596"/>
    <w:rsid w:val="00FC4A2E"/>
    <w:rsid w:val="00FD7016"/>
    <w:rsid w:val="00FE1E86"/>
    <w:rsid w:val="00FE4077"/>
    <w:rsid w:val="00FE500D"/>
    <w:rsid w:val="00FE77D2"/>
    <w:rsid w:val="029D1341"/>
    <w:rsid w:val="02D06A08"/>
    <w:rsid w:val="07FFCD38"/>
    <w:rsid w:val="08EA81D4"/>
    <w:rsid w:val="0F19D335"/>
    <w:rsid w:val="18ECE16C"/>
    <w:rsid w:val="193B569D"/>
    <w:rsid w:val="1CBA0BF8"/>
    <w:rsid w:val="1D7BC5C8"/>
    <w:rsid w:val="23F48F55"/>
    <w:rsid w:val="2423EB07"/>
    <w:rsid w:val="28B9AC0C"/>
    <w:rsid w:val="2C8FACB4"/>
    <w:rsid w:val="2D2758B4"/>
    <w:rsid w:val="344A6EBD"/>
    <w:rsid w:val="3B1BB0AE"/>
    <w:rsid w:val="416752DA"/>
    <w:rsid w:val="44DEBFF2"/>
    <w:rsid w:val="45D0BD11"/>
    <w:rsid w:val="4934228A"/>
    <w:rsid w:val="495FEF7F"/>
    <w:rsid w:val="4C730162"/>
    <w:rsid w:val="4D08B406"/>
    <w:rsid w:val="4F180DC6"/>
    <w:rsid w:val="52A0C603"/>
    <w:rsid w:val="546AC337"/>
    <w:rsid w:val="550E6F7B"/>
    <w:rsid w:val="55A66F40"/>
    <w:rsid w:val="5E8FAB29"/>
    <w:rsid w:val="5F54ED71"/>
    <w:rsid w:val="6022A76D"/>
    <w:rsid w:val="62CC2D1C"/>
    <w:rsid w:val="647B2366"/>
    <w:rsid w:val="68754154"/>
    <w:rsid w:val="687A14DD"/>
    <w:rsid w:val="69681758"/>
    <w:rsid w:val="707005B4"/>
    <w:rsid w:val="70CBCB66"/>
    <w:rsid w:val="7324DB06"/>
    <w:rsid w:val="760C4EA8"/>
    <w:rsid w:val="77CF0879"/>
    <w:rsid w:val="7819051B"/>
    <w:rsid w:val="7CBE54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21FAB0FB-C214-4262-AA9B-32C731F8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D215ED"/>
    <w:pPr>
      <w:keepNext/>
      <w:keepLines/>
      <w:spacing w:before="360" w:after="120"/>
      <w:ind w:left="567" w:hanging="567"/>
      <w:outlineLvl w:val="0"/>
    </w:pPr>
    <w:rPr>
      <w:rFonts w:eastAsiaTheme="minorEastAsia"/>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D215ED"/>
    <w:pPr>
      <w:tabs>
        <w:tab w:val="clear" w:pos="567"/>
        <w:tab w:val="clear" w:pos="1134"/>
        <w:tab w:val="clear" w:pos="1701"/>
        <w:tab w:val="clear" w:pos="2268"/>
        <w:tab w:val="clear" w:pos="2835"/>
      </w:tabs>
      <w:spacing w:before="40" w:after="40"/>
    </w:pPr>
    <w:rPr>
      <w:rFonts w:eastAsiaTheme="minorHAnsi" w:cstheme="minorBidi"/>
      <w:sz w:val="22"/>
      <w:szCs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B90937"/>
    <w:pPr>
      <w:keepNext/>
      <w:keepLines/>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paragraph" w:styleId="CommentText">
    <w:name w:val="annotation text"/>
    <w:basedOn w:val="Normal"/>
    <w:link w:val="CommentTextChar"/>
    <w:unhideWhenUsed/>
    <w:rsid w:val="0061398D"/>
    <w:rPr>
      <w:sz w:val="20"/>
    </w:rPr>
  </w:style>
  <w:style w:type="character" w:customStyle="1" w:styleId="CommentTextChar">
    <w:name w:val="Comment Text Char"/>
    <w:basedOn w:val="DefaultParagraphFont"/>
    <w:link w:val="CommentText"/>
    <w:rsid w:val="0061398D"/>
    <w:rPr>
      <w:rFonts w:ascii="Calibri" w:hAnsi="Calibri"/>
      <w:lang w:val="en-GB" w:eastAsia="en-US"/>
    </w:rPr>
  </w:style>
  <w:style w:type="character" w:styleId="CommentReference">
    <w:name w:val="annotation reference"/>
    <w:basedOn w:val="DefaultParagraphFont"/>
    <w:semiHidden/>
    <w:unhideWhenUsed/>
    <w:rsid w:val="0061398D"/>
    <w:rPr>
      <w:sz w:val="16"/>
      <w:szCs w:val="16"/>
    </w:rPr>
  </w:style>
  <w:style w:type="character" w:styleId="Mention">
    <w:name w:val="Mention"/>
    <w:basedOn w:val="DefaultParagraphFont"/>
    <w:uiPriority w:val="99"/>
    <w:unhideWhenUsed/>
    <w:rsid w:val="0061398D"/>
    <w:rPr>
      <w:color w:val="2B579A"/>
      <w:shd w:val="clear" w:color="auto" w:fill="E1DFDD"/>
    </w:rPr>
  </w:style>
  <w:style w:type="paragraph" w:styleId="Revision">
    <w:name w:val="Revision"/>
    <w:hidden/>
    <w:uiPriority w:val="99"/>
    <w:semiHidden/>
    <w:rsid w:val="007D7256"/>
    <w:rPr>
      <w:rFonts w:ascii="Calibri" w:hAnsi="Calibri"/>
      <w:sz w:val="24"/>
      <w:lang w:val="en-GB" w:eastAsia="en-US"/>
    </w:rPr>
  </w:style>
  <w:style w:type="paragraph" w:customStyle="1" w:styleId="Tablefin">
    <w:name w:val="Table_fin"/>
    <w:basedOn w:val="Tabletext"/>
    <w:rsid w:val="00D215ED"/>
    <w:pPr>
      <w:spacing w:before="0" w:after="0"/>
    </w:pPr>
  </w:style>
  <w:style w:type="paragraph" w:customStyle="1" w:styleId="Reasons">
    <w:name w:val="Reasons"/>
    <w:basedOn w:val="Normal"/>
    <w:qFormat/>
    <w:rsid w:val="00394DD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0-CL-C-0074/en" TargetMode="External"/><Relationship Id="rId18" Type="http://schemas.openxmlformats.org/officeDocument/2006/relationships/hyperlink" Target="https://www.itu.int/md/S23-CL-C-0036/en" TargetMode="External"/><Relationship Id="rId26" Type="http://schemas.openxmlformats.org/officeDocument/2006/relationships/hyperlink" Target="https://www.itu.int/md/S25-CL-C-0050/en" TargetMode="External"/><Relationship Id="rId3" Type="http://schemas.openxmlformats.org/officeDocument/2006/relationships/customXml" Target="../customXml/item3.xml"/><Relationship Id="rId21" Type="http://schemas.openxmlformats.org/officeDocument/2006/relationships/hyperlink" Target="https://www.itu.int/md/S23-CL-INF-0011/e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md/S20-CL-C-0061/en" TargetMode="External"/><Relationship Id="rId17" Type="http://schemas.openxmlformats.org/officeDocument/2006/relationships/hyperlink" Target="https://www.itu.int/md/S22-CL-C-0057/en" TargetMode="External"/><Relationship Id="rId25" Type="http://schemas.openxmlformats.org/officeDocument/2006/relationships/hyperlink" Target="https://www.itu.int/md/S24-CL-C-0031/e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md/S22-CL-C-0040/en" TargetMode="External"/><Relationship Id="rId20" Type="http://schemas.openxmlformats.org/officeDocument/2006/relationships/hyperlink" Target="https://www.itu.int/md/S23-CL-C-0063/en" TargetMode="External"/><Relationship Id="rId29" Type="http://schemas.openxmlformats.org/officeDocument/2006/relationships/hyperlink" Target="https://app.powerbi.com/view?r=eyJrIjoiOGUwN2RlYzktZjY1Yi00ZmQwLWEzMTYtZGY0MDYyMWU4OGY2IiwidCI6IjIzZTQ2NGQ3LTA0ZTYtNGI4Ny05MTNjLTI0YmQ4OTIxOWZkMyIsImMiOjl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fhr/Pages/default.aspx" TargetMode="External"/><Relationship Id="rId24" Type="http://schemas.openxmlformats.org/officeDocument/2006/relationships/hyperlink" Target="https://www.itu.int/md/S24-CL-C-0053/en"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md/S22-CL-INF-0013/en" TargetMode="External"/><Relationship Id="rId23" Type="http://schemas.openxmlformats.org/officeDocument/2006/relationships/hyperlink" Target="https://www.itu.int/md/S24-CL-C-0019/en" TargetMode="External"/><Relationship Id="rId28" Type="http://schemas.openxmlformats.org/officeDocument/2006/relationships/hyperlink" Target="https://www.itu.int/md/S25-CL-C-0066/en" TargetMode="External"/><Relationship Id="rId10" Type="http://schemas.openxmlformats.org/officeDocument/2006/relationships/endnotes" Target="endnotes.xml"/><Relationship Id="rId19" Type="http://schemas.openxmlformats.org/officeDocument/2006/relationships/hyperlink" Target="https://www.itu.int/md/S23-CL-C-0050/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1-CL-INF-0015/en" TargetMode="External"/><Relationship Id="rId22" Type="http://schemas.openxmlformats.org/officeDocument/2006/relationships/hyperlink" Target="https://www.itu.int/md/S23-CL-INF-0013/en" TargetMode="External"/><Relationship Id="rId27" Type="http://schemas.openxmlformats.org/officeDocument/2006/relationships/hyperlink" Target="https://www.itu.int/md/S25-CL-C-0055/en" TargetMode="External"/><Relationship Id="rId30" Type="http://schemas.openxmlformats.org/officeDocument/2006/relationships/footer" Target="footer1.xm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D0F9CEA-B89B-42A1-B77C-47EED5FBF349}">
    <t:Anchor>
      <t:Comment id="994562225"/>
    </t:Anchor>
    <t:History>
      <t:Event id="{665E1B2F-82F5-4656-900C-CBE70AF08C7F}" time="2025-11-28T07:09:32.29Z">
        <t:Attribution userId="S::christopher.clark@itu.int::c3421bc4-7500-4d44-946a-6e096f0fe479" userProvider="AD" userName="Clark, Christopher"/>
        <t:Anchor>
          <t:Comment id="994562225"/>
        </t:Anchor>
        <t:Create/>
      </t:Event>
      <t:Event id="{8C40D6A7-9631-459B-8B3F-1910648C3047}" time="2025-11-28T07:09:32.29Z">
        <t:Attribution userId="S::christopher.clark@itu.int::c3421bc4-7500-4d44-946a-6e096f0fe479" userProvider="AD" userName="Clark, Christopher"/>
        <t:Anchor>
          <t:Comment id="994562225"/>
        </t:Anchor>
        <t:Assign userId="S::brian.elliott@itu.int::b326bcd8-57a1-4ffa-bffa-857085405c9b" userProvider="AD" userName="Elliott, Brian"/>
      </t:Event>
      <t:Event id="{29EF85F3-4A4C-48D6-B324-E037408CE318}" time="2025-11-28T07:09:32.29Z">
        <t:Attribution userId="S::christopher.clark@itu.int::c3421bc4-7500-4d44-946a-6e096f0fe479" userProvider="AD" userName="Clark, Christopher"/>
        <t:Anchor>
          <t:Comment id="994562225"/>
        </t:Anchor>
        <t:SetTitle title="@Elliott, Brian is this ok or would you prefer different word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34D8C303-64E7-4AD2-8BF8-6F090396D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C3555-FA0A-49B8-9871-C1F2A59CB68D}">
  <ds:schemaRefs>
    <ds:schemaRef ds:uri="http://schemas.microsoft.com/sharepoint/v3/contenttype/forms"/>
  </ds:schemaRefs>
</ds:datastoreItem>
</file>

<file path=customXml/itemProps4.xml><?xml version="1.0" encoding="utf-8"?>
<ds:datastoreItem xmlns:ds="http://schemas.openxmlformats.org/officeDocument/2006/customXml" ds:itemID="{44127C9A-418E-4081-99FB-FF1C22B34192}">
  <ds:schemaRefs>
    <ds:schemaRef ds:uri="http://www.w3.org/XML/1998/namespace"/>
    <ds:schemaRef ds:uri="http://schemas.microsoft.com/office/2006/documentManagement/types"/>
    <ds:schemaRef ds:uri="http://purl.org/dc/elements/1.1/"/>
    <ds:schemaRef ds:uri="http://purl.org/dc/dcmitype/"/>
    <ds:schemaRef ds:uri="a4c22657-7647-457b-a399-8471255bb166"/>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1740</Words>
  <Characters>12164</Characters>
  <Application>Microsoft Office Word</Application>
  <DocSecurity>0</DocSecurity>
  <Lines>320</Lines>
  <Paragraphs>133</Paragraphs>
  <ScaleCrop>false</ScaleCrop>
  <HeadingPairs>
    <vt:vector size="2" baseType="variant">
      <vt:variant>
        <vt:lpstr>Title</vt:lpstr>
      </vt:variant>
      <vt:variant>
        <vt:i4>1</vt:i4>
      </vt:variant>
    </vt:vector>
  </HeadingPairs>
  <TitlesOfParts>
    <vt:vector size="1" baseType="lpstr">
      <vt:lpstr>Update on ITU transformation</vt:lpstr>
    </vt:vector>
  </TitlesOfParts>
  <Manager/>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ITU transformation</dc:title>
  <dc:subject>ITU Council Working Group on Financial and Human Resources</dc:subject>
  <dc:creator/>
  <cp:keywords>CWG-FHR; C26; Council-26</cp:keywords>
  <dc:description/>
  <cp:lastModifiedBy>GBS</cp:lastModifiedBy>
  <cp:revision>3</cp:revision>
  <dcterms:created xsi:type="dcterms:W3CDTF">2025-12-15T11:38:00Z</dcterms:created>
  <dcterms:modified xsi:type="dcterms:W3CDTF">2025-12-15T11:38:00Z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y fmtid="{D5CDD505-2E9C-101B-9397-08002B2CF9AE}" pid="3" name="ContentTypeId">
    <vt:lpwstr>0x010100814E447ED7B9DA4C9F10BB2808D9DCA9</vt:lpwstr>
  </property>
  <property fmtid="{D5CDD505-2E9C-101B-9397-08002B2CF9AE}" pid="4" name="docLang">
    <vt:lpwstr>en</vt:lpwstr>
  </property>
</Properties>
</file>