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94376" w14:paraId="0043AC80" w14:textId="77777777" w:rsidTr="4E22A0B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3C0A437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9F347C" w:rsidRPr="00A94376">
              <w:rPr>
                <w:b/>
                <w:lang w:val="it-IT"/>
              </w:rPr>
              <w:t>FHR</w:t>
            </w:r>
            <w:r w:rsidR="00A52C84" w:rsidRPr="00A94376">
              <w:rPr>
                <w:b/>
                <w:lang w:val="it-IT"/>
              </w:rPr>
              <w:t>-</w:t>
            </w:r>
            <w:r w:rsidR="00AE78C0">
              <w:rPr>
                <w:b/>
                <w:lang w:val="it-IT"/>
              </w:rPr>
              <w:t>22</w:t>
            </w:r>
            <w:r w:rsidRPr="00A94376">
              <w:rPr>
                <w:b/>
                <w:lang w:val="it-IT"/>
              </w:rPr>
              <w:t>/</w:t>
            </w:r>
            <w:r w:rsidR="003C5B1C">
              <w:rPr>
                <w:b/>
                <w:lang w:val="it-IT"/>
              </w:rPr>
              <w:t>14</w:t>
            </w:r>
          </w:p>
        </w:tc>
      </w:tr>
      <w:tr w:rsidR="00AD3606" w:rsidRPr="00A94376" w14:paraId="789B45BA" w14:textId="77777777" w:rsidTr="4E22A0BB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268492F" w:rsidR="00AD3606" w:rsidRPr="00A94376" w:rsidRDefault="001F2533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8A5535">
              <w:rPr>
                <w:b/>
              </w:rPr>
              <w:t xml:space="preserve"> December 2025</w:t>
            </w:r>
          </w:p>
        </w:tc>
      </w:tr>
      <w:tr w:rsidR="00AD3606" w:rsidRPr="00813E5E" w14:paraId="58A84C4A" w14:textId="77777777" w:rsidTr="4E22A0BB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4E22A0BB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4E22A0B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0CDE620C" w:rsidR="00AD3606" w:rsidRPr="00676C7D" w:rsidRDefault="001E4759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 xml:space="preserve">Draft </w:t>
            </w:r>
            <w:r w:rsidR="005203BE">
              <w:t>Report by the Secretary-General</w:t>
            </w:r>
          </w:p>
        </w:tc>
      </w:tr>
      <w:tr w:rsidR="00AD3606" w:rsidRPr="00813E5E" w14:paraId="2340750D" w14:textId="77777777" w:rsidTr="4E22A0B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329F905D" w:rsidR="00AD3606" w:rsidRPr="00676C7D" w:rsidRDefault="001F2533" w:rsidP="00EE3CBA">
            <w:pPr>
              <w:pStyle w:val="Subtitle"/>
              <w:framePr w:hSpace="0" w:wrap="auto" w:xAlign="left" w:yAlign="inline"/>
            </w:pPr>
            <w:bookmarkStart w:id="9" w:name="_Hlk215581931"/>
            <w:bookmarkStart w:id="10" w:name="dtitle1" w:colFirst="0" w:colLast="0"/>
            <w:bookmarkEnd w:id="8"/>
            <w:r>
              <w:t>STRENGTHENING ITU’s INTERNAL DIGITAL FOUNDATIONS FOR TRANSFORMATION – STRATEGY, ENTERPRISE ARCHITECTURE, ICT GOVERNANCE AND IT OPERATING MODEL</w:t>
            </w:r>
            <w:bookmarkEnd w:id="9"/>
          </w:p>
        </w:tc>
      </w:tr>
      <w:tr w:rsidR="00AD3606" w:rsidRPr="00813E5E" w14:paraId="1F564D2D" w14:textId="77777777" w:rsidTr="4E22A0B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B613D8" w:rsidRPr="00B613D8" w:rsidRDefault="00F16BAB" w:rsidP="00A12A3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75601253" w14:textId="1BAE6354" w:rsidR="00B2548D" w:rsidRPr="00B613D8" w:rsidRDefault="00460A5E" w:rsidP="00493BE8">
            <w:pPr>
              <w:jc w:val="both"/>
            </w:pPr>
            <w:r w:rsidRPr="00460A5E">
              <w:t xml:space="preserve">This document is submitted in response to the request from Council, as reflected in </w:t>
            </w:r>
            <w:r w:rsidR="00197D50" w:rsidRPr="00460A5E">
              <w:t>Document</w:t>
            </w:r>
            <w:r w:rsidR="00197D50">
              <w:t> </w:t>
            </w:r>
            <w:hyperlink r:id="rId11">
              <w:r w:rsidRPr="15A823C6">
                <w:rPr>
                  <w:rStyle w:val="Hyperlink"/>
                </w:rPr>
                <w:t>C25/84</w:t>
              </w:r>
            </w:hyperlink>
            <w:r w:rsidR="00493BE8">
              <w:t>. C</w:t>
            </w:r>
            <w:r w:rsidR="00B2548D" w:rsidRPr="00B613D8">
              <w:t>oun</w:t>
            </w:r>
            <w:r w:rsidR="00657176">
              <w:t>c</w:t>
            </w:r>
            <w:r w:rsidR="00B2548D" w:rsidRPr="00B613D8">
              <w:t xml:space="preserve">il requested improved clarity and transparency with respect to the existence and coherence of </w:t>
            </w:r>
            <w:r w:rsidR="00B2548D" w:rsidRPr="00B613D8">
              <w:rPr>
                <w:b/>
                <w:bCs/>
              </w:rPr>
              <w:t>IT, data/information and AI strategies</w:t>
            </w:r>
            <w:r w:rsidR="00B2548D" w:rsidRPr="00B613D8">
              <w:t xml:space="preserve">, the </w:t>
            </w:r>
            <w:r w:rsidR="00B2548D" w:rsidRPr="00B613D8">
              <w:rPr>
                <w:b/>
                <w:bCs/>
              </w:rPr>
              <w:t>alignment of IT architecture with ITU’s strategic orientations</w:t>
            </w:r>
            <w:r w:rsidR="00B2548D" w:rsidRPr="00B613D8">
              <w:t xml:space="preserve">, </w:t>
            </w:r>
            <w:r w:rsidR="00B2548D" w:rsidRPr="00B613D8">
              <w:rPr>
                <w:b/>
                <w:bCs/>
              </w:rPr>
              <w:t>governance arrangements and accountability mechanisms</w:t>
            </w:r>
            <w:r w:rsidR="00B2548D" w:rsidRPr="00B613D8">
              <w:t xml:space="preserve"> for digital and data management, the </w:t>
            </w:r>
            <w:r w:rsidR="00B2548D" w:rsidRPr="00B613D8">
              <w:rPr>
                <w:b/>
                <w:bCs/>
              </w:rPr>
              <w:t>management of digital risks</w:t>
            </w:r>
            <w:r w:rsidR="00B2548D" w:rsidRPr="00B613D8">
              <w:t xml:space="preserve">, and visibility over the </w:t>
            </w:r>
            <w:r w:rsidR="00B2548D" w:rsidRPr="00B613D8">
              <w:rPr>
                <w:b/>
                <w:bCs/>
              </w:rPr>
              <w:t>portfolio of digital solutions and IT projects</w:t>
            </w:r>
            <w:r w:rsidR="00B2548D" w:rsidRPr="00B613D8">
              <w:t xml:space="preserve"> supporting the transformation of core business processes.</w:t>
            </w:r>
            <w:r w:rsidR="000F7DB2">
              <w:t xml:space="preserve"> </w:t>
            </w:r>
            <w:r w:rsidR="000F7DB2" w:rsidRPr="00460A5E">
              <w:t>In that context, Council instructed</w:t>
            </w:r>
            <w:r w:rsidR="000F7DB2">
              <w:t xml:space="preserve"> </w:t>
            </w:r>
            <w:r w:rsidR="000F7DB2" w:rsidRPr="00460A5E">
              <w:t>CWG-FHR to elaborate a concept clarifying and strengthening IT and data/information governance and requested the Secretariat to provide information and prepare a report covering the strategic, organizational and governance aspects of IT and data/information management across the Union</w:t>
            </w:r>
            <w:r w:rsidR="000F7DB2">
              <w:t>.</w:t>
            </w:r>
          </w:p>
          <w:p w14:paraId="01ABEF1F" w14:textId="16AAD088" w:rsidR="00B2548D" w:rsidRPr="00B613D8" w:rsidRDefault="00EA0802" w:rsidP="001F2533">
            <w:pPr>
              <w:jc w:val="both"/>
            </w:pPr>
            <w:r>
              <w:t>T</w:t>
            </w:r>
            <w:r w:rsidR="00B2548D" w:rsidRPr="00B613D8">
              <w:t xml:space="preserve">he present document provides an update on the launch of four </w:t>
            </w:r>
            <w:r w:rsidR="00B2548D" w:rsidRPr="00B613D8">
              <w:rPr>
                <w:b/>
                <w:bCs/>
              </w:rPr>
              <w:t>interconnected and foundational digital elements</w:t>
            </w:r>
            <w:r w:rsidR="00B2548D" w:rsidRPr="00B613D8">
              <w:t xml:space="preserve"> within the General Secretariat, which together respond directly to the above requests:</w:t>
            </w:r>
          </w:p>
          <w:p w14:paraId="3C011A34" w14:textId="6A29CADF" w:rsidR="00B2548D" w:rsidRPr="00B613D8" w:rsidRDefault="001F2533" w:rsidP="001F2533">
            <w:pPr>
              <w:pStyle w:val="enumlev1"/>
              <w:jc w:val="both"/>
            </w:pPr>
            <w:r w:rsidRPr="00B613D8">
              <w:t>1</w:t>
            </w:r>
            <w:r w:rsidRPr="00B613D8">
              <w:tab/>
            </w:r>
            <w:r w:rsidR="00B2548D" w:rsidRPr="00B613D8">
              <w:t xml:space="preserve">a refined </w:t>
            </w:r>
            <w:r w:rsidR="00B2548D" w:rsidRPr="00B613D8">
              <w:rPr>
                <w:b/>
                <w:bCs/>
              </w:rPr>
              <w:t xml:space="preserve">ITU </w:t>
            </w:r>
            <w:r w:rsidR="00EA0802">
              <w:rPr>
                <w:b/>
                <w:bCs/>
              </w:rPr>
              <w:t>Internal</w:t>
            </w:r>
            <w:r w:rsidR="003F4096">
              <w:rPr>
                <w:b/>
                <w:bCs/>
              </w:rPr>
              <w:t xml:space="preserve"> </w:t>
            </w:r>
            <w:r w:rsidR="00B2548D" w:rsidRPr="00B613D8">
              <w:rPr>
                <w:b/>
                <w:bCs/>
              </w:rPr>
              <w:t>Digital Strategy 2026</w:t>
            </w:r>
            <w:r w:rsidR="00197D50">
              <w:rPr>
                <w:b/>
                <w:bCs/>
              </w:rPr>
              <w:t>-</w:t>
            </w:r>
            <w:r w:rsidR="00B2548D" w:rsidRPr="00B613D8">
              <w:rPr>
                <w:b/>
                <w:bCs/>
              </w:rPr>
              <w:t>2027</w:t>
            </w:r>
            <w:r w:rsidR="00B2548D" w:rsidRPr="00B613D8">
              <w:t>, providing clear strategic direction, priorities and alignment with the ITU Strategic Plan</w:t>
            </w:r>
            <w:r w:rsidR="0064765F">
              <w:t xml:space="preserve"> 2024-2027</w:t>
            </w:r>
            <w:r w:rsidR="00B2548D" w:rsidRPr="00B613D8">
              <w:t>.</w:t>
            </w:r>
          </w:p>
          <w:p w14:paraId="1157219A" w14:textId="0D5A9504" w:rsidR="00B2548D" w:rsidRPr="00B613D8" w:rsidRDefault="001F2533" w:rsidP="001F2533">
            <w:pPr>
              <w:pStyle w:val="enumlev1"/>
              <w:jc w:val="both"/>
            </w:pPr>
            <w:r w:rsidRPr="00B613D8">
              <w:t>2</w:t>
            </w:r>
            <w:r w:rsidRPr="00B613D8">
              <w:tab/>
            </w:r>
            <w:r w:rsidR="00B2548D" w:rsidRPr="00B613D8">
              <w:t>a</w:t>
            </w:r>
            <w:r w:rsidR="00B2548D">
              <w:t>n</w:t>
            </w:r>
            <w:r w:rsidR="00B2548D" w:rsidRPr="00B613D8">
              <w:t xml:space="preserve"> </w:t>
            </w:r>
            <w:r w:rsidR="00B2548D" w:rsidRPr="00B613D8">
              <w:rPr>
                <w:b/>
                <w:bCs/>
              </w:rPr>
              <w:t>Enterprise Architecture (EA) program and blueprint</w:t>
            </w:r>
            <w:r w:rsidR="00B2548D" w:rsidRPr="00B613D8">
              <w:t>, enabling alignment of IT architecture with strategic objectives and informing investment and portfolio decisions.</w:t>
            </w:r>
          </w:p>
          <w:p w14:paraId="64872B24" w14:textId="6713775E" w:rsidR="00A41473" w:rsidRDefault="001F2533" w:rsidP="001F2533">
            <w:pPr>
              <w:pStyle w:val="enumlev1"/>
              <w:jc w:val="both"/>
            </w:pPr>
            <w:r>
              <w:t>3</w:t>
            </w:r>
            <w:r>
              <w:tab/>
            </w:r>
            <w:r w:rsidR="00B2548D" w:rsidRPr="00B613D8">
              <w:t xml:space="preserve">an enhanced </w:t>
            </w:r>
            <w:r w:rsidR="00B2548D" w:rsidRPr="00B613D8">
              <w:rPr>
                <w:b/>
                <w:bCs/>
              </w:rPr>
              <w:t>ICT governance framework</w:t>
            </w:r>
            <w:r w:rsidR="00B2548D" w:rsidRPr="00B613D8">
              <w:t xml:space="preserve"> covering digital, data, AI, cloud and cybersecurity, strengthening transparency, accountability and risk management; and</w:t>
            </w:r>
          </w:p>
          <w:p w14:paraId="3221DC67" w14:textId="70D744D6" w:rsidR="009F3114" w:rsidRPr="009F3114" w:rsidRDefault="001F2533" w:rsidP="001F2533">
            <w:pPr>
              <w:pStyle w:val="enumlev1"/>
              <w:jc w:val="both"/>
            </w:pPr>
            <w:r w:rsidRPr="009F3114">
              <w:t>4</w:t>
            </w:r>
            <w:r w:rsidRPr="009F3114">
              <w:tab/>
            </w:r>
            <w:r w:rsidR="00B2548D" w:rsidRPr="00B613D8">
              <w:t xml:space="preserve">a modernized </w:t>
            </w:r>
            <w:r w:rsidR="00B2548D" w:rsidRPr="00B613D8">
              <w:rPr>
                <w:b/>
                <w:bCs/>
              </w:rPr>
              <w:t>IT/ISD operating model</w:t>
            </w:r>
            <w:r w:rsidR="00B2548D" w:rsidRPr="00B613D8">
              <w:t>, enabling effective execution through product-, service- and user-centric delivery and supporting the digital transformation of core business processes</w:t>
            </w:r>
          </w:p>
          <w:p w14:paraId="6B284F48" w14:textId="77777777" w:rsidR="000A2B17" w:rsidRDefault="009F3114" w:rsidP="000A2B17">
            <w:pPr>
              <w:jc w:val="both"/>
            </w:pPr>
            <w:r>
              <w:t xml:space="preserve">Together, these four elements constitute the </w:t>
            </w:r>
            <w:r w:rsidR="007F63D6">
              <w:t xml:space="preserve">internal </w:t>
            </w:r>
            <w:r w:rsidRPr="4E22A0BB">
              <w:rPr>
                <w:b/>
                <w:bCs/>
              </w:rPr>
              <w:t>digital foundations</w:t>
            </w:r>
            <w:r>
              <w:t xml:space="preserve"> required to support ITU’s organizational transformation, strengthen transparency and accountability in ICT investments, and respond to the expectations expressed by Member States, including in the Switzerland contribution (</w:t>
            </w:r>
            <w:hyperlink r:id="rId12">
              <w:r w:rsidRPr="4E22A0BB">
                <w:rPr>
                  <w:rStyle w:val="Hyperlink"/>
                </w:rPr>
                <w:t>C25/84</w:t>
              </w:r>
            </w:hyperlink>
            <w:r>
              <w:t>), as well as recommendations from IMAC and other oversight mechanisms.</w:t>
            </w:r>
          </w:p>
          <w:p w14:paraId="5076D5C4" w14:textId="63D48612" w:rsidR="00AD3606" w:rsidRPr="00F16BAB" w:rsidRDefault="00AD3606" w:rsidP="000A2B17">
            <w:pPr>
              <w:jc w:val="both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lastRenderedPageBreak/>
              <w:t>Action required</w:t>
            </w:r>
          </w:p>
          <w:p w14:paraId="4D186676" w14:textId="4B647DFC" w:rsidR="00C0772A" w:rsidRDefault="00825D6A" w:rsidP="00ED35CE">
            <w:pPr>
              <w:jc w:val="both"/>
            </w:pPr>
            <w:r w:rsidRPr="00825D6A">
              <w:t xml:space="preserve">The Council Working Group on </w:t>
            </w:r>
            <w:r w:rsidR="00CF14CB">
              <w:t>f</w:t>
            </w:r>
            <w:r w:rsidRPr="00825D6A">
              <w:t xml:space="preserve">inancial and </w:t>
            </w:r>
            <w:r w:rsidR="00CF14CB">
              <w:t>h</w:t>
            </w:r>
            <w:r w:rsidRPr="00825D6A">
              <w:t xml:space="preserve">uman </w:t>
            </w:r>
            <w:r w:rsidR="00CF14CB">
              <w:t>r</w:t>
            </w:r>
            <w:r w:rsidRPr="00825D6A">
              <w:t xml:space="preserve">esources is invited to </w:t>
            </w:r>
            <w:r w:rsidRPr="00825D6A">
              <w:rPr>
                <w:b/>
                <w:bCs/>
              </w:rPr>
              <w:t>take note</w:t>
            </w:r>
            <w:r w:rsidRPr="00825D6A">
              <w:t xml:space="preserve"> of the progress and plans outlined in this report, and to </w:t>
            </w:r>
            <w:r w:rsidRPr="0024086B">
              <w:rPr>
                <w:b/>
                <w:bCs/>
              </w:rPr>
              <w:t>provide any guidance</w:t>
            </w:r>
            <w:r w:rsidRPr="00825D6A">
              <w:t xml:space="preserve"> as appropriate on the governance and implementation of ITU’s digital</w:t>
            </w:r>
            <w:r>
              <w:t>/ ICT</w:t>
            </w:r>
            <w:r w:rsidRPr="00825D6A">
              <w:t xml:space="preserve"> initiatives.</w:t>
            </w:r>
            <w:r>
              <w:t xml:space="preserve"> </w:t>
            </w:r>
          </w:p>
          <w:p w14:paraId="7B35FFE5" w14:textId="56712154" w:rsidR="0073553F" w:rsidRDefault="0073553F">
            <w:r>
              <w:t>______________</w:t>
            </w:r>
          </w:p>
          <w:p w14:paraId="00DEE14C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3E91CCFA" w:rsidR="00AD3606" w:rsidRPr="00E03C3D" w:rsidRDefault="00FD701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3" w:history="1">
              <w:r w:rsidRPr="00E03C3D">
                <w:rPr>
                  <w:rStyle w:val="Hyperlink"/>
                  <w:i/>
                  <w:iCs/>
                  <w:sz w:val="22"/>
                  <w:szCs w:val="22"/>
                </w:rPr>
                <w:t>CWG-FHR website</w:t>
              </w:r>
            </w:hyperlink>
            <w:r w:rsidRPr="00E03C3D">
              <w:rPr>
                <w:i/>
                <w:iCs/>
                <w:sz w:val="22"/>
                <w:szCs w:val="22"/>
              </w:rPr>
              <w:t xml:space="preserve">; </w:t>
            </w:r>
            <w:r w:rsidR="0061398D" w:rsidRPr="126554B6">
              <w:rPr>
                <w:i/>
                <w:iCs/>
                <w:sz w:val="22"/>
                <w:szCs w:val="22"/>
              </w:rPr>
              <w:t xml:space="preserve">Council Documents </w:t>
            </w:r>
            <w:hyperlink r:id="rId14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C20/61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15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C20/74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; </w:t>
            </w:r>
            <w:hyperlink r:id="rId16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C21/INF/15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; </w:t>
            </w:r>
            <w:hyperlink r:id="rId17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C22/INF/13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18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C22/40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19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C22/57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; </w:t>
            </w:r>
            <w:hyperlink r:id="rId20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C23/36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21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C23/50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22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C23/62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23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C23/INF/11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24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C23/INF/13</w:t>
              </w:r>
            </w:hyperlink>
            <w:r w:rsidR="0061398D" w:rsidRPr="126554B6">
              <w:rPr>
                <w:rStyle w:val="Hyperlink"/>
                <w:i/>
                <w:iCs/>
                <w:color w:val="auto"/>
                <w:sz w:val="22"/>
                <w:szCs w:val="22"/>
                <w:u w:val="none"/>
              </w:rPr>
              <w:t xml:space="preserve">; </w:t>
            </w:r>
            <w:hyperlink r:id="rId25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C24/19</w:t>
              </w:r>
            </w:hyperlink>
            <w:r w:rsidR="0061398D" w:rsidRPr="126554B6">
              <w:rPr>
                <w:rStyle w:val="Hyperlink"/>
                <w:i/>
                <w:iCs/>
                <w:color w:val="auto"/>
                <w:sz w:val="22"/>
                <w:szCs w:val="22"/>
                <w:u w:val="none"/>
              </w:rPr>
              <w:t xml:space="preserve">, </w:t>
            </w:r>
            <w:hyperlink r:id="rId26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C24/53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27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C24/31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; </w:t>
            </w:r>
            <w:hyperlink r:id="rId28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C25/50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, </w:t>
            </w:r>
            <w:hyperlink r:id="rId29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C25/55,</w:t>
              </w:r>
            </w:hyperlink>
            <w:r w:rsidR="0061398D" w:rsidRPr="126554B6">
              <w:rPr>
                <w:i/>
                <w:iCs/>
                <w:sz w:val="22"/>
                <w:szCs w:val="22"/>
              </w:rPr>
              <w:t xml:space="preserve"> </w:t>
            </w:r>
            <w:hyperlink r:id="rId30">
              <w:r w:rsidR="0061398D" w:rsidRPr="126554B6">
                <w:rPr>
                  <w:rStyle w:val="Hyperlink"/>
                  <w:i/>
                  <w:iCs/>
                  <w:sz w:val="22"/>
                  <w:szCs w:val="22"/>
                </w:rPr>
                <w:t>C25/66</w:t>
              </w:r>
              <w:r w:rsidR="0061398D" w:rsidRPr="0061398D">
                <w:rPr>
                  <w:rStyle w:val="Hyperlink"/>
                  <w:i/>
                  <w:iCs/>
                  <w:color w:val="auto"/>
                  <w:sz w:val="22"/>
                  <w:szCs w:val="22"/>
                  <w:u w:val="none"/>
                </w:rPr>
                <w:t>.</w:t>
              </w:r>
            </w:hyperlink>
          </w:p>
        </w:tc>
      </w:tr>
    </w:tbl>
    <w:p w14:paraId="2AB22824" w14:textId="1272F9E1" w:rsidR="000A6D2B" w:rsidRPr="000A6D2B" w:rsidRDefault="0090147A" w:rsidP="000A6D2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11" w:name="_Hlk133421428"/>
      <w:bookmarkEnd w:id="2"/>
      <w:bookmarkEnd w:id="3"/>
      <w:bookmarkEnd w:id="4"/>
      <w:bookmarkEnd w:id="10"/>
      <w:r w:rsidRPr="00AE78C0">
        <w:lastRenderedPageBreak/>
        <w:br w:type="page"/>
      </w:r>
      <w:bookmarkEnd w:id="5"/>
      <w:bookmarkEnd w:id="11"/>
    </w:p>
    <w:p w14:paraId="14FB9ACB" w14:textId="3603654C" w:rsidR="0061398D" w:rsidRPr="0061398D" w:rsidRDefault="0061398D" w:rsidP="000A612D">
      <w:pPr>
        <w:pStyle w:val="Heading1"/>
      </w:pPr>
      <w:r w:rsidRPr="0061398D">
        <w:rPr>
          <w:bCs/>
        </w:rPr>
        <w:lastRenderedPageBreak/>
        <w:t>1</w:t>
      </w:r>
      <w:r w:rsidRPr="0061398D">
        <w:rPr>
          <w:bCs/>
        </w:rPr>
        <w:tab/>
      </w:r>
      <w:r w:rsidR="004F10D7" w:rsidRPr="004F10D7">
        <w:rPr>
          <w:lang w:val="en-US"/>
        </w:rPr>
        <w:t>Strategic context and organizational transformation</w:t>
      </w:r>
    </w:p>
    <w:p w14:paraId="725E5788" w14:textId="3884868F" w:rsidR="00BF734E" w:rsidRPr="00BF734E" w:rsidRDefault="00BF734E" w:rsidP="00BF734E">
      <w:pPr>
        <w:jc w:val="both"/>
        <w:rPr>
          <w:rFonts w:eastAsiaTheme="minorEastAsia"/>
          <w:lang w:val="en-US"/>
        </w:rPr>
      </w:pPr>
      <w:r w:rsidRPr="00BF734E">
        <w:rPr>
          <w:rFonts w:eastAsiaTheme="minorEastAsia"/>
          <w:lang w:val="en-US"/>
        </w:rPr>
        <w:t xml:space="preserve">The ITU Strategic Plan 2024–2027 identifies organizational excellence and </w:t>
      </w:r>
      <w:r w:rsidR="005674CF">
        <w:rPr>
          <w:rFonts w:eastAsiaTheme="minorEastAsia"/>
          <w:lang w:val="en-US"/>
        </w:rPr>
        <w:t xml:space="preserve">internal </w:t>
      </w:r>
      <w:r w:rsidRPr="00BF734E">
        <w:rPr>
          <w:rFonts w:eastAsiaTheme="minorEastAsia"/>
          <w:lang w:val="en-US"/>
        </w:rPr>
        <w:t>digital transformation as key enablers for delivering value to Members and ensuring that the Union remains fit for purpose in a rapidly evolving global digital environment. Digital capabilities increasingly underpin how ITU delivers services, manages risk, supports decision-making and implements its mandate.</w:t>
      </w:r>
    </w:p>
    <w:p w14:paraId="28510168" w14:textId="572D2DDC" w:rsidR="00BF734E" w:rsidRPr="00BF734E" w:rsidRDefault="00BF734E" w:rsidP="00BF734E">
      <w:pPr>
        <w:jc w:val="both"/>
        <w:rPr>
          <w:rFonts w:eastAsiaTheme="minorEastAsia"/>
          <w:lang w:val="en-US"/>
        </w:rPr>
      </w:pPr>
      <w:r w:rsidRPr="00BF734E">
        <w:rPr>
          <w:rFonts w:eastAsiaTheme="minorEastAsia"/>
          <w:lang w:val="en-US"/>
        </w:rPr>
        <w:t xml:space="preserve">Since 2023, ITU has been implementing a broad organizational transformation </w:t>
      </w:r>
      <w:r w:rsidR="00B2575D" w:rsidRPr="00BF734E">
        <w:rPr>
          <w:rFonts w:eastAsiaTheme="minorEastAsia"/>
          <w:lang w:val="en-US"/>
        </w:rPr>
        <w:t>program</w:t>
      </w:r>
      <w:r w:rsidRPr="00BF734E">
        <w:rPr>
          <w:rFonts w:eastAsiaTheme="minorEastAsia"/>
          <w:lang w:val="en-US"/>
        </w:rPr>
        <w:t xml:space="preserve"> structured around five interrelated pillars, including governance, people and culture, processes, systems and tools. Experience from this </w:t>
      </w:r>
      <w:r w:rsidR="00B2575D" w:rsidRPr="00BF734E">
        <w:rPr>
          <w:rFonts w:eastAsiaTheme="minorEastAsia"/>
          <w:lang w:val="en-US"/>
        </w:rPr>
        <w:t>program</w:t>
      </w:r>
      <w:r w:rsidRPr="00BF734E">
        <w:rPr>
          <w:rFonts w:eastAsiaTheme="minorEastAsia"/>
          <w:lang w:val="en-US"/>
        </w:rPr>
        <w:t xml:space="preserve"> has demonstrated that </w:t>
      </w:r>
      <w:r w:rsidRPr="00BF734E">
        <w:rPr>
          <w:rFonts w:eastAsiaTheme="minorEastAsia"/>
          <w:b/>
          <w:bCs/>
          <w:lang w:val="en-US"/>
        </w:rPr>
        <w:t>digital capabilities</w:t>
      </w:r>
      <w:r w:rsidRPr="00BF734E">
        <w:rPr>
          <w:rFonts w:eastAsiaTheme="minorEastAsia"/>
          <w:lang w:val="en-US"/>
        </w:rPr>
        <w:t xml:space="preserve"> are not confined to a single pillar; rather, they act as a horizontal enabler across the transformation agenda. More than 70 per cent of transformation initiatives are either digital in nature or heavily digitally enabled, confirming digital transformation as a primary accelerator of organizational change.</w:t>
      </w:r>
    </w:p>
    <w:p w14:paraId="46AFB624" w14:textId="4AC697F2" w:rsidR="00BF734E" w:rsidRPr="00BF734E" w:rsidRDefault="00BF734E" w:rsidP="00BF734E">
      <w:pPr>
        <w:jc w:val="both"/>
        <w:rPr>
          <w:rFonts w:eastAsiaTheme="minorEastAsia"/>
          <w:lang w:val="en-US"/>
        </w:rPr>
      </w:pPr>
      <w:r w:rsidRPr="00BF734E">
        <w:rPr>
          <w:rFonts w:eastAsiaTheme="minorEastAsia"/>
          <w:lang w:val="en-US"/>
        </w:rPr>
        <w:t xml:space="preserve">In parallel, Council and its Working Groups have emphasized the need for improved clarity, transparency and coherence in IT and data/information governance, including clearer strategic direction, stronger alignment between ICT investments and business priorities, and enhanced oversight mechanisms. The present update situates the Secretariat’s </w:t>
      </w:r>
      <w:r w:rsidR="00062782">
        <w:rPr>
          <w:rFonts w:eastAsiaTheme="minorEastAsia"/>
          <w:lang w:val="en-US"/>
        </w:rPr>
        <w:t xml:space="preserve">internal </w:t>
      </w:r>
      <w:r w:rsidRPr="00BF734E">
        <w:rPr>
          <w:rFonts w:eastAsiaTheme="minorEastAsia"/>
          <w:lang w:val="en-US"/>
        </w:rPr>
        <w:t>digital initiatives squarely within this strategic and governance context.</w:t>
      </w:r>
    </w:p>
    <w:p w14:paraId="5E0C66F6" w14:textId="6AC546D0" w:rsidR="00A9779F" w:rsidRPr="00A9779F" w:rsidRDefault="00467EC6" w:rsidP="00A9779F">
      <w:pPr>
        <w:pStyle w:val="Heading1"/>
        <w:rPr>
          <w:lang w:val="en-US"/>
        </w:rPr>
      </w:pPr>
      <w:r>
        <w:rPr>
          <w:bCs/>
        </w:rPr>
        <w:t>2</w:t>
      </w:r>
      <w:r w:rsidRPr="0061398D">
        <w:rPr>
          <w:bCs/>
        </w:rPr>
        <w:tab/>
      </w:r>
      <w:r w:rsidR="00B03B21" w:rsidRPr="00B03B21">
        <w:rPr>
          <w:lang w:val="en-US"/>
        </w:rPr>
        <w:t>“Assess &amp; Transform” roadmap and progress to date</w:t>
      </w:r>
    </w:p>
    <w:p w14:paraId="68836790" w14:textId="54B8BA2F" w:rsidR="006D27D6" w:rsidRPr="008B3B86" w:rsidRDefault="00A9779F" w:rsidP="008B3B86">
      <w:pPr>
        <w:pStyle w:val="Heading2"/>
      </w:pPr>
      <w:r>
        <w:t>2.1</w:t>
      </w:r>
      <w:r w:rsidR="008B3B86">
        <w:tab/>
      </w:r>
      <w:r w:rsidR="00BF621F">
        <w:t>2023</w:t>
      </w:r>
      <w:r w:rsidR="00BF621F" w:rsidRPr="00BF621F">
        <w:t xml:space="preserve"> roadmap to digital excellence</w:t>
      </w:r>
    </w:p>
    <w:p w14:paraId="609CD60E" w14:textId="1F684F62" w:rsidR="00066D36" w:rsidRPr="00066D36" w:rsidRDefault="00066D36" w:rsidP="00066D36">
      <w:pPr>
        <w:jc w:val="both"/>
        <w:rPr>
          <w:rFonts w:eastAsiaTheme="minorEastAsia"/>
          <w:lang w:val="en-US"/>
        </w:rPr>
      </w:pPr>
      <w:r w:rsidRPr="00066D36">
        <w:rPr>
          <w:rFonts w:eastAsiaTheme="minorEastAsia"/>
          <w:lang w:val="en-US"/>
        </w:rPr>
        <w:t>In 2023, the</w:t>
      </w:r>
      <w:r w:rsidR="00A507EC" w:rsidRPr="00A507EC">
        <w:rPr>
          <w:rFonts w:eastAsiaTheme="minorEastAsia"/>
          <w:b/>
          <w:bCs/>
        </w:rPr>
        <w:t>“Assess &amp; Transform” report</w:t>
      </w:r>
      <w:r w:rsidR="00A507EC" w:rsidRPr="00A507EC">
        <w:rPr>
          <w:rFonts w:eastAsiaTheme="minorEastAsia"/>
        </w:rPr>
        <w:t xml:space="preserve"> (Council document </w:t>
      </w:r>
      <w:hyperlink r:id="rId31">
        <w:r w:rsidR="00A507EC" w:rsidRPr="00A507EC">
          <w:rPr>
            <w:rStyle w:val="Hyperlink"/>
            <w:rFonts w:eastAsiaTheme="minorEastAsia"/>
          </w:rPr>
          <w:t>C23/INF/11</w:t>
        </w:r>
      </w:hyperlink>
      <w:r w:rsidR="00A507EC" w:rsidRPr="00A507EC">
        <w:rPr>
          <w:rFonts w:eastAsiaTheme="minorEastAsia"/>
        </w:rPr>
        <w:t xml:space="preserve">) </w:t>
      </w:r>
      <w:r w:rsidRPr="00066D36">
        <w:rPr>
          <w:rFonts w:eastAsiaTheme="minorEastAsia"/>
          <w:lang w:val="en-US"/>
        </w:rPr>
        <w:t>provided ITU with a comprehensive assessment of its digital and IT landscape. The review included a business capability mapping and a structured roadmap towards digital excellence, highlighting the need to:</w:t>
      </w:r>
    </w:p>
    <w:p w14:paraId="7BCCCCDF" w14:textId="6C132277" w:rsidR="00066D36" w:rsidRPr="00066D36" w:rsidRDefault="00197D50" w:rsidP="00197D50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6D36" w:rsidRPr="00066D36">
        <w:rPr>
          <w:rFonts w:eastAsiaTheme="minorEastAsia"/>
          <w:lang w:val="en-US"/>
        </w:rPr>
        <w:t xml:space="preserve">establish a clear digital and IT strategy aligned with ITU’s strategic </w:t>
      </w:r>
      <w:r w:rsidR="0018265E" w:rsidRPr="00066D36">
        <w:rPr>
          <w:rFonts w:eastAsiaTheme="minorEastAsia"/>
          <w:lang w:val="en-US"/>
        </w:rPr>
        <w:t>objectives.</w:t>
      </w:r>
    </w:p>
    <w:p w14:paraId="7ADC7587" w14:textId="729325FD" w:rsidR="00066D36" w:rsidRPr="00066D36" w:rsidRDefault="00197D50" w:rsidP="00197D50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6D36" w:rsidRPr="00066D36">
        <w:rPr>
          <w:rFonts w:eastAsiaTheme="minorEastAsia"/>
          <w:lang w:val="en-US"/>
        </w:rPr>
        <w:t xml:space="preserve">strengthen ICT governance and </w:t>
      </w:r>
      <w:r w:rsidR="0018265E" w:rsidRPr="00066D36">
        <w:rPr>
          <w:rFonts w:eastAsiaTheme="minorEastAsia"/>
          <w:lang w:val="en-US"/>
        </w:rPr>
        <w:t>decision-making.</w:t>
      </w:r>
    </w:p>
    <w:p w14:paraId="7695B93F" w14:textId="59413A5F" w:rsidR="00066D36" w:rsidRPr="00066D36" w:rsidRDefault="00197D50" w:rsidP="00197D50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6D36" w:rsidRPr="00066D36">
        <w:rPr>
          <w:rFonts w:eastAsiaTheme="minorEastAsia"/>
          <w:lang w:val="en-US"/>
        </w:rPr>
        <w:t xml:space="preserve">develop enterprise architecture to align technology with business </w:t>
      </w:r>
      <w:r w:rsidR="0018265E" w:rsidRPr="00066D36">
        <w:rPr>
          <w:rFonts w:eastAsiaTheme="minorEastAsia"/>
          <w:lang w:val="en-US"/>
        </w:rPr>
        <w:t>capabilities.</w:t>
      </w:r>
    </w:p>
    <w:p w14:paraId="68F093CE" w14:textId="0D9AFEE6" w:rsidR="00066D36" w:rsidRPr="00066D36" w:rsidRDefault="00197D50" w:rsidP="00197D50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6D36" w:rsidRPr="00066D36">
        <w:rPr>
          <w:rFonts w:eastAsiaTheme="minorEastAsia"/>
          <w:lang w:val="en-US"/>
        </w:rPr>
        <w:t>modernize core systems and infrastructure, including cloud adoption; and</w:t>
      </w:r>
    </w:p>
    <w:p w14:paraId="706331A8" w14:textId="7794BFB9" w:rsidR="00066D36" w:rsidRPr="00066D36" w:rsidRDefault="00197D50" w:rsidP="00197D50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6D36" w:rsidRPr="00066D36">
        <w:rPr>
          <w:rFonts w:eastAsiaTheme="minorEastAsia"/>
          <w:lang w:val="en-US"/>
        </w:rPr>
        <w:t>ensure the availability of skilled teams to deliver and sustain transformation.</w:t>
      </w:r>
    </w:p>
    <w:p w14:paraId="2874E27C" w14:textId="623B1A4A" w:rsidR="00066D36" w:rsidRPr="00066D36" w:rsidRDefault="00066D36" w:rsidP="00066D36">
      <w:pPr>
        <w:jc w:val="both"/>
        <w:rPr>
          <w:rFonts w:eastAsiaTheme="minorEastAsia"/>
          <w:lang w:val="en-US"/>
        </w:rPr>
      </w:pPr>
      <w:r w:rsidRPr="00066D36">
        <w:rPr>
          <w:rFonts w:eastAsiaTheme="minorEastAsia"/>
          <w:lang w:val="en-US"/>
        </w:rPr>
        <w:t xml:space="preserve">This roadmap remains a key foundation for ITU’s digital </w:t>
      </w:r>
      <w:r w:rsidR="00E24C57">
        <w:rPr>
          <w:rFonts w:eastAsiaTheme="minorEastAsia"/>
          <w:lang w:val="en-US"/>
        </w:rPr>
        <w:t>and transfo</w:t>
      </w:r>
      <w:r w:rsidR="00F87133">
        <w:rPr>
          <w:rFonts w:eastAsiaTheme="minorEastAsia"/>
          <w:lang w:val="en-US"/>
        </w:rPr>
        <w:t xml:space="preserve">rmation </w:t>
      </w:r>
      <w:r w:rsidRPr="00066D36">
        <w:rPr>
          <w:rFonts w:eastAsiaTheme="minorEastAsia"/>
          <w:lang w:val="en-US"/>
        </w:rPr>
        <w:t>journey and informs the work underway.</w:t>
      </w:r>
    </w:p>
    <w:p w14:paraId="13635DFD" w14:textId="14A2FDE5" w:rsidR="00AD4094" w:rsidRDefault="00AD4094" w:rsidP="008B3B86">
      <w:pPr>
        <w:pStyle w:val="Heading2"/>
      </w:pPr>
      <w:r>
        <w:t>2.2</w:t>
      </w:r>
      <w:r w:rsidR="008B3B86">
        <w:tab/>
      </w:r>
      <w:r>
        <w:t>Progress Achieved Since 2023</w:t>
      </w:r>
    </w:p>
    <w:p w14:paraId="29658907" w14:textId="106C8711" w:rsidR="00AD4094" w:rsidRPr="00AD4094" w:rsidRDefault="00AD4094" w:rsidP="00AD4094">
      <w:pPr>
        <w:jc w:val="both"/>
        <w:rPr>
          <w:rFonts w:eastAsiaTheme="minorEastAsia"/>
          <w:lang w:val="en-US"/>
        </w:rPr>
      </w:pPr>
      <w:r w:rsidRPr="00AD4094">
        <w:rPr>
          <w:rFonts w:eastAsiaTheme="minorEastAsia"/>
          <w:lang w:val="en-US"/>
        </w:rPr>
        <w:t>Building on the</w:t>
      </w:r>
      <w:r w:rsidR="000A3939">
        <w:rPr>
          <w:rFonts w:eastAsiaTheme="minorEastAsia"/>
          <w:lang w:val="en-US"/>
        </w:rPr>
        <w:t xml:space="preserve"> </w:t>
      </w:r>
      <w:r w:rsidR="005967FA" w:rsidRPr="005967FA">
        <w:rPr>
          <w:rFonts w:eastAsiaTheme="minorEastAsia"/>
        </w:rPr>
        <w:t xml:space="preserve">recommendations in </w:t>
      </w:r>
      <w:r w:rsidR="000A3939" w:rsidRPr="00A507EC">
        <w:rPr>
          <w:rFonts w:eastAsiaTheme="minorEastAsia"/>
        </w:rPr>
        <w:t xml:space="preserve">Council document </w:t>
      </w:r>
      <w:r w:rsidR="00F87133">
        <w:rPr>
          <w:rFonts w:eastAsiaTheme="minorEastAsia"/>
        </w:rPr>
        <w:t>(</w:t>
      </w:r>
      <w:hyperlink r:id="rId32">
        <w:r w:rsidR="000A3939" w:rsidRPr="00A507EC">
          <w:rPr>
            <w:rStyle w:val="Hyperlink"/>
            <w:rFonts w:eastAsiaTheme="minorEastAsia"/>
          </w:rPr>
          <w:t>C23/INF/11</w:t>
        </w:r>
      </w:hyperlink>
      <w:r w:rsidR="000A3939" w:rsidRPr="00A507EC">
        <w:rPr>
          <w:rFonts w:eastAsiaTheme="minorEastAsia"/>
        </w:rPr>
        <w:t>)</w:t>
      </w:r>
      <w:r w:rsidRPr="00AD4094">
        <w:rPr>
          <w:rFonts w:eastAsiaTheme="minorEastAsia"/>
          <w:lang w:val="en-US"/>
        </w:rPr>
        <w:t>, the Secretariat has achieved notable progress, including:</w:t>
      </w:r>
    </w:p>
    <w:p w14:paraId="374689BD" w14:textId="57F46DBB" w:rsidR="00AD4094" w:rsidRPr="00AD4094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AD4094" w:rsidRPr="00AD4094">
        <w:rPr>
          <w:rFonts w:eastAsiaTheme="minorEastAsia"/>
          <w:lang w:val="en-US"/>
        </w:rPr>
        <w:t xml:space="preserve">establishment of a Transformation </w:t>
      </w:r>
      <w:r w:rsidR="00532E77">
        <w:rPr>
          <w:rFonts w:eastAsiaTheme="minorEastAsia"/>
          <w:lang w:val="en-US"/>
        </w:rPr>
        <w:t>Team</w:t>
      </w:r>
      <w:r w:rsidR="00AD4094" w:rsidRPr="00AD4094">
        <w:rPr>
          <w:rFonts w:eastAsiaTheme="minorEastAsia"/>
          <w:lang w:val="en-US"/>
        </w:rPr>
        <w:t xml:space="preserve"> with a mandate to drive systemic </w:t>
      </w:r>
      <w:r w:rsidR="00B21F31" w:rsidRPr="00AD4094">
        <w:rPr>
          <w:rFonts w:eastAsiaTheme="minorEastAsia"/>
          <w:lang w:val="en-US"/>
        </w:rPr>
        <w:t>changes</w:t>
      </w:r>
      <w:r w:rsidR="00AD4094" w:rsidRPr="00AD4094">
        <w:rPr>
          <w:rFonts w:eastAsiaTheme="minorEastAsia"/>
          <w:lang w:val="en-US"/>
        </w:rPr>
        <w:t xml:space="preserve"> across the </w:t>
      </w:r>
      <w:r w:rsidR="005967FA" w:rsidRPr="00AD4094">
        <w:rPr>
          <w:rFonts w:eastAsiaTheme="minorEastAsia"/>
          <w:lang w:val="en-US"/>
        </w:rPr>
        <w:t>organization.</w:t>
      </w:r>
    </w:p>
    <w:p w14:paraId="281EFA58" w14:textId="01481A48" w:rsidR="00AD4094" w:rsidRPr="00AD4094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AD4094" w:rsidRPr="00AD4094">
        <w:rPr>
          <w:rFonts w:eastAsiaTheme="minorEastAsia"/>
          <w:lang w:val="en-US"/>
        </w:rPr>
        <w:t xml:space="preserve">initiation of cloud migration and modernization of selected core </w:t>
      </w:r>
      <w:r w:rsidR="00532E77" w:rsidRPr="00AD4094">
        <w:rPr>
          <w:rFonts w:eastAsiaTheme="minorEastAsia"/>
          <w:lang w:val="en-US"/>
        </w:rPr>
        <w:t>platforms.</w:t>
      </w:r>
    </w:p>
    <w:p w14:paraId="4776BDE9" w14:textId="1FB67479" w:rsidR="00AD4094" w:rsidRPr="00AD4094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AD4094" w:rsidRPr="00AD4094">
        <w:rPr>
          <w:rFonts w:eastAsiaTheme="minorEastAsia"/>
          <w:lang w:val="en-US"/>
        </w:rPr>
        <w:t>strengthening of cybersecurity capabilities; and</w:t>
      </w:r>
    </w:p>
    <w:p w14:paraId="31607979" w14:textId="39DF4C60" w:rsidR="00AD4094" w:rsidRPr="00AD4094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AD4094" w:rsidRPr="00AD4094">
        <w:rPr>
          <w:rFonts w:eastAsiaTheme="minorEastAsia"/>
          <w:lang w:val="en-US"/>
        </w:rPr>
        <w:t>establishment of an ICT Governance Committee, chaired by the Deputy Secretary-General and composed of cross-bureau senior leadership, to oversee and prioritize ICT initiatives.</w:t>
      </w:r>
    </w:p>
    <w:p w14:paraId="2C43DE79" w14:textId="12BAE988" w:rsidR="000A6D2B" w:rsidRPr="00303C8E" w:rsidRDefault="00AD4094" w:rsidP="009B78E9">
      <w:pPr>
        <w:jc w:val="both"/>
        <w:rPr>
          <w:rFonts w:eastAsiaTheme="minorEastAsia"/>
        </w:rPr>
      </w:pPr>
      <w:r w:rsidRPr="00AD4094">
        <w:rPr>
          <w:rFonts w:eastAsiaTheme="minorEastAsia"/>
        </w:rPr>
        <w:t>These steps have strengthened coordination and delivery and underscored the growing interdependency between transformation outcomes and robust digital foundations.</w:t>
      </w:r>
    </w:p>
    <w:p w14:paraId="716D647B" w14:textId="094EE7E0" w:rsidR="00467EC6" w:rsidRPr="000A612D" w:rsidRDefault="00636428" w:rsidP="000A612D">
      <w:pPr>
        <w:pStyle w:val="Heading1"/>
      </w:pPr>
      <w:r w:rsidRPr="000A612D">
        <w:t>3</w:t>
      </w:r>
      <w:r w:rsidR="00467EC6" w:rsidRPr="000A612D">
        <w:tab/>
      </w:r>
      <w:r w:rsidR="00257B76" w:rsidRPr="00257B76">
        <w:rPr>
          <w:lang w:val="en-US"/>
        </w:rPr>
        <w:t xml:space="preserve">Why a refined </w:t>
      </w:r>
      <w:r w:rsidR="00D37946">
        <w:rPr>
          <w:lang w:val="en-US"/>
        </w:rPr>
        <w:t xml:space="preserve">internal </w:t>
      </w:r>
      <w:r w:rsidR="00257B76" w:rsidRPr="00257B76">
        <w:rPr>
          <w:lang w:val="en-US"/>
        </w:rPr>
        <w:t>digital strategy and enterprise architecture are now required</w:t>
      </w:r>
    </w:p>
    <w:p w14:paraId="1CCE706A" w14:textId="236DE8E5" w:rsidR="00FC1030" w:rsidRPr="00FC1030" w:rsidRDefault="00FC1030" w:rsidP="00FC1030">
      <w:pPr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 xml:space="preserve">Despite the progress achieved, developments since 2023 and lessons from the transformation program demonstrate that a refined </w:t>
      </w:r>
      <w:r w:rsidR="00E67B99">
        <w:rPr>
          <w:rFonts w:eastAsiaTheme="minorEastAsia"/>
          <w:lang w:val="en-US"/>
        </w:rPr>
        <w:t xml:space="preserve">internal </w:t>
      </w:r>
      <w:r w:rsidRPr="00FC1030">
        <w:rPr>
          <w:rFonts w:eastAsiaTheme="minorEastAsia"/>
          <w:lang w:val="en-US"/>
        </w:rPr>
        <w:t>digital strategy and enterprise architecture are essential.</w:t>
      </w:r>
    </w:p>
    <w:p w14:paraId="36BB4F80" w14:textId="77777777" w:rsidR="00FC1030" w:rsidRPr="00FC1030" w:rsidRDefault="00FC1030" w:rsidP="00FC1030">
      <w:pPr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>Five converging factors drive this requirement:</w:t>
      </w:r>
    </w:p>
    <w:p w14:paraId="4AE5B5CB" w14:textId="1172A56D" w:rsidR="00FC1030" w:rsidRPr="00FC1030" w:rsidRDefault="001F2533" w:rsidP="008B3B86">
      <w:pPr>
        <w:pStyle w:val="enumlev1"/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>1</w:t>
      </w:r>
      <w:r w:rsidRPr="00FC1030">
        <w:rPr>
          <w:rFonts w:eastAsiaTheme="minorEastAsia"/>
          <w:lang w:val="en-US"/>
        </w:rPr>
        <w:tab/>
      </w:r>
      <w:r w:rsidR="00FC1030" w:rsidRPr="00FC1030">
        <w:rPr>
          <w:rFonts w:eastAsiaTheme="minorEastAsia"/>
          <w:b/>
          <w:bCs/>
          <w:lang w:val="en-US"/>
        </w:rPr>
        <w:t>Generative AI:</w:t>
      </w:r>
      <w:r w:rsidR="00FC1030" w:rsidRPr="00FC1030">
        <w:rPr>
          <w:rFonts w:eastAsiaTheme="minorEastAsia"/>
          <w:lang w:val="en-US"/>
        </w:rPr>
        <w:t xml:space="preserve"> Rapid advances in AI since 2023 are transforming how organizations operate, requiring explicit strategy, governance and architectural readiness to leverage opportunities responsibly.</w:t>
      </w:r>
    </w:p>
    <w:p w14:paraId="697C13D8" w14:textId="764102E9" w:rsidR="00FC1030" w:rsidRPr="00FC1030" w:rsidRDefault="001F2533" w:rsidP="008B3B86">
      <w:pPr>
        <w:pStyle w:val="enumlev1"/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>2</w:t>
      </w:r>
      <w:r w:rsidRPr="00FC1030">
        <w:rPr>
          <w:rFonts w:eastAsiaTheme="minorEastAsia"/>
          <w:lang w:val="en-US"/>
        </w:rPr>
        <w:tab/>
      </w:r>
      <w:r w:rsidR="00FC1030" w:rsidRPr="00FC1030">
        <w:rPr>
          <w:rFonts w:eastAsiaTheme="minorEastAsia"/>
          <w:b/>
          <w:bCs/>
          <w:lang w:val="en-US"/>
        </w:rPr>
        <w:t>Cybersecurity:</w:t>
      </w:r>
      <w:r w:rsidR="00FC1030" w:rsidRPr="00FC1030">
        <w:rPr>
          <w:rFonts w:eastAsiaTheme="minorEastAsia"/>
          <w:lang w:val="en-US"/>
        </w:rPr>
        <w:t xml:space="preserve"> Escalating threats demand security-by-design across systems, data and processes.</w:t>
      </w:r>
    </w:p>
    <w:p w14:paraId="58124346" w14:textId="3719AD51" w:rsidR="00FC1030" w:rsidRPr="00FC1030" w:rsidRDefault="001F2533" w:rsidP="008B3B86">
      <w:pPr>
        <w:pStyle w:val="enumlev1"/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>3</w:t>
      </w:r>
      <w:r w:rsidRPr="00FC1030">
        <w:rPr>
          <w:rFonts w:eastAsiaTheme="minorEastAsia"/>
          <w:lang w:val="en-US"/>
        </w:rPr>
        <w:tab/>
      </w:r>
      <w:r w:rsidR="00FC1030" w:rsidRPr="00FC1030">
        <w:rPr>
          <w:rFonts w:eastAsiaTheme="minorEastAsia"/>
          <w:b/>
          <w:bCs/>
          <w:lang w:val="en-US"/>
        </w:rPr>
        <w:t>UN80 and efficiency agenda:</w:t>
      </w:r>
      <w:r w:rsidR="00FC1030" w:rsidRPr="00FC1030">
        <w:rPr>
          <w:rFonts w:eastAsiaTheme="minorEastAsia"/>
          <w:lang w:val="en-US"/>
        </w:rPr>
        <w:t xml:space="preserve"> Digital and technology capabilities are central to UN system-wide efficiency and transformation efforts.</w:t>
      </w:r>
    </w:p>
    <w:p w14:paraId="4FABAD4B" w14:textId="6F1ABBE3" w:rsidR="00FC1030" w:rsidRPr="00FC1030" w:rsidRDefault="001F2533" w:rsidP="008B3B86">
      <w:pPr>
        <w:pStyle w:val="enumlev1"/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>4</w:t>
      </w:r>
      <w:r w:rsidRPr="00FC1030">
        <w:rPr>
          <w:rFonts w:eastAsiaTheme="minorEastAsia"/>
          <w:lang w:val="en-US"/>
        </w:rPr>
        <w:tab/>
      </w:r>
      <w:r w:rsidR="00FC1030" w:rsidRPr="00FC1030">
        <w:rPr>
          <w:rFonts w:eastAsiaTheme="minorEastAsia"/>
          <w:b/>
          <w:bCs/>
          <w:lang w:val="en-US"/>
        </w:rPr>
        <w:t>Sustainability commitments:</w:t>
      </w:r>
      <w:r w:rsidR="00FC1030" w:rsidRPr="00FC1030">
        <w:rPr>
          <w:rFonts w:eastAsiaTheme="minorEastAsia"/>
          <w:lang w:val="en-US"/>
        </w:rPr>
        <w:t xml:space="preserve"> Digital choices increasingly affect ITU’s environmental footprint and resource efficiency.</w:t>
      </w:r>
    </w:p>
    <w:p w14:paraId="0824006C" w14:textId="6FA6EDE5" w:rsidR="00FC1030" w:rsidRPr="00FC1030" w:rsidRDefault="001F2533" w:rsidP="008B3B86">
      <w:pPr>
        <w:pStyle w:val="enumlev1"/>
        <w:jc w:val="both"/>
        <w:rPr>
          <w:rFonts w:eastAsiaTheme="minorEastAsia"/>
          <w:lang w:val="en-US"/>
        </w:rPr>
      </w:pPr>
      <w:r w:rsidRPr="00FC1030">
        <w:rPr>
          <w:rFonts w:eastAsiaTheme="minorEastAsia"/>
          <w:lang w:val="en-US"/>
        </w:rPr>
        <w:t>5</w:t>
      </w:r>
      <w:r w:rsidRPr="00FC1030">
        <w:rPr>
          <w:rFonts w:eastAsiaTheme="minorEastAsia"/>
          <w:lang w:val="en-US"/>
        </w:rPr>
        <w:tab/>
      </w:r>
      <w:r w:rsidR="00FC1030" w:rsidRPr="00FC1030">
        <w:rPr>
          <w:rFonts w:eastAsiaTheme="minorEastAsia"/>
          <w:b/>
          <w:bCs/>
          <w:lang w:val="en-US"/>
        </w:rPr>
        <w:t>Transformation dependency:</w:t>
      </w:r>
      <w:r w:rsidR="00FC1030" w:rsidRPr="00FC1030">
        <w:rPr>
          <w:rFonts w:eastAsiaTheme="minorEastAsia"/>
          <w:lang w:val="en-US"/>
        </w:rPr>
        <w:t xml:space="preserve"> The transformation program has revealed a strong dependency on digital capabilities, making </w:t>
      </w:r>
      <w:r w:rsidR="009039EB">
        <w:rPr>
          <w:rFonts w:eastAsiaTheme="minorEastAsia"/>
          <w:lang w:val="en-US"/>
        </w:rPr>
        <w:t xml:space="preserve">the internal </w:t>
      </w:r>
      <w:r w:rsidR="00FC1030" w:rsidRPr="00FC1030">
        <w:rPr>
          <w:rFonts w:eastAsiaTheme="minorEastAsia"/>
          <w:lang w:val="en-US"/>
        </w:rPr>
        <w:t>digital transformation a key enabler and accelerator of the overall mandate.</w:t>
      </w:r>
    </w:p>
    <w:p w14:paraId="7B6B1C5F" w14:textId="1DEC0771" w:rsidR="000A6D2B" w:rsidRPr="00AE7302" w:rsidRDefault="00FC1030" w:rsidP="009B78E9">
      <w:pPr>
        <w:jc w:val="both"/>
        <w:rPr>
          <w:rFonts w:eastAsiaTheme="minorEastAsia"/>
        </w:rPr>
      </w:pPr>
      <w:r w:rsidRPr="277202DD">
        <w:rPr>
          <w:rFonts w:eastAsiaTheme="minorEastAsia"/>
        </w:rPr>
        <w:t xml:space="preserve">Without a clear </w:t>
      </w:r>
      <w:r w:rsidR="00940D85">
        <w:rPr>
          <w:rFonts w:eastAsiaTheme="minorEastAsia"/>
        </w:rPr>
        <w:t>internal</w:t>
      </w:r>
      <w:r w:rsidRPr="277202DD">
        <w:rPr>
          <w:rFonts w:eastAsiaTheme="minorEastAsia"/>
        </w:rPr>
        <w:t xml:space="preserve"> digital strategy and enterprise architecture, governance bodies face inherent challenges in making informed, risk-aware and strategically aligned decisions on ICT investments.</w:t>
      </w:r>
    </w:p>
    <w:p w14:paraId="12CF7735" w14:textId="48A6FA0B" w:rsidR="00AF5EB0" w:rsidRPr="0061398D" w:rsidRDefault="00AF5EB0" w:rsidP="00453E7B">
      <w:pPr>
        <w:pStyle w:val="Heading1"/>
        <w:rPr>
          <w:b w:val="0"/>
        </w:rPr>
      </w:pPr>
      <w:r>
        <w:rPr>
          <w:bCs/>
        </w:rPr>
        <w:t>4</w:t>
      </w:r>
      <w:r w:rsidRPr="0061398D">
        <w:rPr>
          <w:bCs/>
        </w:rPr>
        <w:tab/>
      </w:r>
      <w:r w:rsidR="00881D5F" w:rsidRPr="00881D5F">
        <w:rPr>
          <w:bCs/>
          <w:lang w:val="en-US"/>
        </w:rPr>
        <w:t>Four interconnected and foundational digital elements</w:t>
      </w:r>
    </w:p>
    <w:p w14:paraId="3A7C9405" w14:textId="52F6CCAF" w:rsidR="0008012D" w:rsidRPr="0008012D" w:rsidRDefault="0008012D" w:rsidP="0008012D">
      <w:pPr>
        <w:jc w:val="both"/>
        <w:rPr>
          <w:rFonts w:eastAsiaTheme="minorEastAsia"/>
          <w:lang w:val="en-US"/>
        </w:rPr>
      </w:pPr>
      <w:r w:rsidRPr="0008012D">
        <w:rPr>
          <w:rFonts w:eastAsiaTheme="minorEastAsia"/>
          <w:lang w:val="en-US"/>
        </w:rPr>
        <w:t xml:space="preserve">To respond to these challenges and to Council’s request, the </w:t>
      </w:r>
      <w:r w:rsidR="009039EB">
        <w:rPr>
          <w:rFonts w:eastAsiaTheme="minorEastAsia"/>
          <w:lang w:val="en-US"/>
        </w:rPr>
        <w:t>secretariat</w:t>
      </w:r>
      <w:r w:rsidRPr="0008012D">
        <w:rPr>
          <w:rFonts w:eastAsiaTheme="minorEastAsia"/>
          <w:lang w:val="en-US"/>
        </w:rPr>
        <w:t xml:space="preserve"> has launched four </w:t>
      </w:r>
      <w:r w:rsidRPr="0008012D">
        <w:rPr>
          <w:rFonts w:eastAsiaTheme="minorEastAsia"/>
          <w:b/>
          <w:bCs/>
          <w:lang w:val="en-US"/>
        </w:rPr>
        <w:t>interconnected and foundational digital elements</w:t>
      </w:r>
      <w:r w:rsidRPr="0008012D">
        <w:rPr>
          <w:rFonts w:eastAsiaTheme="minorEastAsia"/>
          <w:lang w:val="en-US"/>
        </w:rPr>
        <w:t xml:space="preserve"> that together provide the strategic direction, coherence, governance discipline and delivery capacity required to enable and accelerate ITU’s organizational transformation.</w:t>
      </w:r>
    </w:p>
    <w:p w14:paraId="0C2A559F" w14:textId="3A3C035F" w:rsidR="0008012D" w:rsidRDefault="0034055B" w:rsidP="008B3B86">
      <w:pPr>
        <w:pStyle w:val="Heading2"/>
      </w:pPr>
      <w:r>
        <w:t>4.1</w:t>
      </w:r>
      <w:r w:rsidR="008B3B86">
        <w:tab/>
      </w:r>
      <w:r w:rsidR="00DE04FB">
        <w:t xml:space="preserve">ITU </w:t>
      </w:r>
      <w:r w:rsidR="009039EB">
        <w:t xml:space="preserve">Internal </w:t>
      </w:r>
      <w:r w:rsidR="00DE04FB" w:rsidRPr="00DE04FB">
        <w:t>Digital Strategy 2026–2027</w:t>
      </w:r>
    </w:p>
    <w:p w14:paraId="6E2D6583" w14:textId="77777777" w:rsidR="000615BF" w:rsidRPr="000615BF" w:rsidRDefault="000615BF" w:rsidP="000615BF">
      <w:pPr>
        <w:jc w:val="both"/>
        <w:rPr>
          <w:rFonts w:eastAsiaTheme="minorEastAsia"/>
          <w:lang w:val="en-US"/>
        </w:rPr>
      </w:pPr>
      <w:r w:rsidRPr="000615BF">
        <w:rPr>
          <w:rFonts w:eastAsiaTheme="minorEastAsia"/>
          <w:lang w:val="en-US"/>
        </w:rPr>
        <w:t>A refined internal Digital Strategy for 2026–2027 is under development to provide a clear, time-bound framework for ITU’s internal digital transformation. The strategy will:</w:t>
      </w:r>
    </w:p>
    <w:p w14:paraId="5E9C5437" w14:textId="250DB3D2" w:rsidR="000615BF" w:rsidRPr="000615BF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15BF" w:rsidRPr="000615BF">
        <w:rPr>
          <w:rFonts w:eastAsiaTheme="minorEastAsia"/>
          <w:lang w:val="en-US"/>
        </w:rPr>
        <w:t xml:space="preserve">align digital priorities with the ITU Strategic Plan 2024–2027 and the </w:t>
      </w:r>
      <w:r w:rsidR="00330FC2">
        <w:rPr>
          <w:rFonts w:eastAsiaTheme="minorEastAsia"/>
          <w:lang w:val="en-US"/>
        </w:rPr>
        <w:t xml:space="preserve">organizational </w:t>
      </w:r>
      <w:r w:rsidR="000615BF" w:rsidRPr="000615BF">
        <w:rPr>
          <w:rFonts w:eastAsiaTheme="minorEastAsia"/>
          <w:lang w:val="en-US"/>
        </w:rPr>
        <w:t xml:space="preserve">transformation </w:t>
      </w:r>
      <w:r w:rsidR="00DE04FB" w:rsidRPr="000615BF">
        <w:rPr>
          <w:rFonts w:eastAsiaTheme="minorEastAsia"/>
          <w:lang w:val="en-US"/>
        </w:rPr>
        <w:t>agenda</w:t>
      </w:r>
      <w:r>
        <w:rPr>
          <w:rFonts w:eastAsiaTheme="minorEastAsia"/>
          <w:lang w:val="en-US"/>
        </w:rPr>
        <w:t>;</w:t>
      </w:r>
    </w:p>
    <w:p w14:paraId="2E57A51D" w14:textId="5834EF52" w:rsidR="000615BF" w:rsidRPr="000615BF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15BF" w:rsidRPr="000615BF">
        <w:rPr>
          <w:rFonts w:eastAsiaTheme="minorEastAsia"/>
          <w:lang w:val="en-US"/>
        </w:rPr>
        <w:t>define a focused roadmap for enabling and accelerating transformation initiatives</w:t>
      </w:r>
      <w:r w:rsidR="00330FC2">
        <w:rPr>
          <w:rFonts w:eastAsiaTheme="minorEastAsia"/>
          <w:lang w:val="en-US"/>
        </w:rPr>
        <w:t xml:space="preserve"> (especially on</w:t>
      </w:r>
      <w:r w:rsidR="00B67862">
        <w:rPr>
          <w:rFonts w:eastAsiaTheme="minorEastAsia"/>
          <w:lang w:val="en-US"/>
        </w:rPr>
        <w:t xml:space="preserve"> AI and Data)</w:t>
      </w:r>
      <w:r w:rsidR="000615BF" w:rsidRPr="000615BF">
        <w:rPr>
          <w:rFonts w:eastAsiaTheme="minorEastAsia"/>
          <w:lang w:val="en-US"/>
        </w:rPr>
        <w:t>; and</w:t>
      </w:r>
    </w:p>
    <w:p w14:paraId="736608EC" w14:textId="1E130397" w:rsidR="000615BF" w:rsidRPr="000615BF" w:rsidRDefault="008B3B86" w:rsidP="008B3B86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615BF" w:rsidRPr="000615BF">
        <w:rPr>
          <w:rFonts w:eastAsiaTheme="minorEastAsia"/>
          <w:lang w:val="en-US"/>
        </w:rPr>
        <w:t>prepare the ground for the next strategic cycle (2028</w:t>
      </w:r>
      <w:r>
        <w:rPr>
          <w:rFonts w:eastAsiaTheme="minorEastAsia"/>
          <w:lang w:val="en-US"/>
        </w:rPr>
        <w:t>-</w:t>
      </w:r>
      <w:r w:rsidR="000615BF" w:rsidRPr="000615BF">
        <w:rPr>
          <w:rFonts w:eastAsiaTheme="minorEastAsia"/>
          <w:lang w:val="en-US"/>
        </w:rPr>
        <w:t>2031).</w:t>
      </w:r>
    </w:p>
    <w:p w14:paraId="62E2EFD7" w14:textId="078B95E5" w:rsidR="000615BF" w:rsidRDefault="000615BF" w:rsidP="00453E7B">
      <w:pPr>
        <w:jc w:val="both"/>
        <w:rPr>
          <w:rFonts w:eastAsiaTheme="minorEastAsia"/>
          <w:lang w:val="en-US"/>
        </w:rPr>
      </w:pPr>
      <w:r w:rsidRPr="000615BF">
        <w:rPr>
          <w:rFonts w:eastAsiaTheme="minorEastAsia"/>
          <w:lang w:val="en-US"/>
        </w:rPr>
        <w:t>The strategy is intentionally limited to a two-year horizon to ensure agility and responsiveness in a rapidly evolving technological and operational environment.</w:t>
      </w:r>
    </w:p>
    <w:p w14:paraId="1C04106E" w14:textId="2C57DB50" w:rsidR="00D32E51" w:rsidRDefault="00FF3DFB" w:rsidP="008B3B86">
      <w:pPr>
        <w:pStyle w:val="Heading2"/>
      </w:pPr>
      <w:r>
        <w:t>4.2</w:t>
      </w:r>
      <w:r w:rsidR="008B3B86">
        <w:tab/>
      </w:r>
      <w:r w:rsidR="004031EF" w:rsidRPr="004031EF">
        <w:t>Enterprise Architecture (EA) program and blueprint</w:t>
      </w:r>
    </w:p>
    <w:p w14:paraId="38364C64" w14:textId="470B01BD" w:rsidR="001D597C" w:rsidRPr="001D597C" w:rsidRDefault="001D597C" w:rsidP="008B3B86">
      <w:pPr>
        <w:jc w:val="both"/>
        <w:rPr>
          <w:rFonts w:eastAsiaTheme="minorEastAsia"/>
          <w:lang w:val="en-US"/>
        </w:rPr>
      </w:pPr>
      <w:r w:rsidRPr="001D597C">
        <w:rPr>
          <w:rFonts w:eastAsiaTheme="minorEastAsia"/>
          <w:lang w:val="en-US"/>
        </w:rPr>
        <w:t xml:space="preserve">An Enterprise Architecture (EA) </w:t>
      </w:r>
      <w:r w:rsidR="004031EF" w:rsidRPr="001D597C">
        <w:rPr>
          <w:rFonts w:eastAsiaTheme="minorEastAsia"/>
          <w:lang w:val="en-US"/>
        </w:rPr>
        <w:t>program</w:t>
      </w:r>
      <w:r w:rsidRPr="001D597C">
        <w:rPr>
          <w:rFonts w:eastAsiaTheme="minorEastAsia"/>
          <w:lang w:val="en-US"/>
        </w:rPr>
        <w:t xml:space="preserve"> has been launched to establish a coherent blueprint of ITU’s current and future digital landscape. The EA will:</w:t>
      </w:r>
    </w:p>
    <w:p w14:paraId="161D62F6" w14:textId="3E08C92F" w:rsidR="001D597C" w:rsidRPr="001D597C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1D597C" w:rsidRPr="001D597C">
        <w:rPr>
          <w:rFonts w:eastAsiaTheme="minorEastAsia"/>
          <w:lang w:val="en-US"/>
        </w:rPr>
        <w:t xml:space="preserve">align technology investments with business capabilities and strategic </w:t>
      </w:r>
      <w:r w:rsidR="004031EF" w:rsidRPr="001D597C">
        <w:rPr>
          <w:rFonts w:eastAsiaTheme="minorEastAsia"/>
          <w:lang w:val="en-US"/>
        </w:rPr>
        <w:t>objectives</w:t>
      </w:r>
      <w:r>
        <w:rPr>
          <w:rFonts w:eastAsiaTheme="minorEastAsia"/>
          <w:lang w:val="en-US"/>
        </w:rPr>
        <w:t>;</w:t>
      </w:r>
    </w:p>
    <w:p w14:paraId="006A278D" w14:textId="0CF70E68" w:rsidR="001D597C" w:rsidRPr="001D597C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1D597C" w:rsidRPr="001D597C">
        <w:rPr>
          <w:rFonts w:eastAsiaTheme="minorEastAsia"/>
          <w:lang w:val="en-US"/>
        </w:rPr>
        <w:t xml:space="preserve">reduce fragmentation, duplication and technical </w:t>
      </w:r>
      <w:r w:rsidR="004031EF" w:rsidRPr="001D597C">
        <w:rPr>
          <w:rFonts w:eastAsiaTheme="minorEastAsia"/>
          <w:lang w:val="en-US"/>
        </w:rPr>
        <w:t>debt</w:t>
      </w:r>
      <w:r>
        <w:rPr>
          <w:rFonts w:eastAsiaTheme="minorEastAsia"/>
          <w:lang w:val="en-US"/>
        </w:rPr>
        <w:t>;</w:t>
      </w:r>
    </w:p>
    <w:p w14:paraId="037BF7D6" w14:textId="6EDB2A93" w:rsidR="001D597C" w:rsidRPr="001D597C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1D597C" w:rsidRPr="001D597C">
        <w:rPr>
          <w:rFonts w:eastAsiaTheme="minorEastAsia"/>
          <w:lang w:val="en-US"/>
        </w:rPr>
        <w:t>enable AI-, data- and cloud-ready architecture by design; and</w:t>
      </w:r>
    </w:p>
    <w:p w14:paraId="45DF7548" w14:textId="5FD37E2A" w:rsidR="001D597C" w:rsidRPr="001D597C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1D597C" w:rsidRPr="001D597C">
        <w:rPr>
          <w:rFonts w:eastAsiaTheme="minorEastAsia"/>
          <w:lang w:val="en-US"/>
        </w:rPr>
        <w:t>provide a structured basis for ICT investment and portfolio decisions.</w:t>
      </w:r>
    </w:p>
    <w:p w14:paraId="28A31465" w14:textId="77777777" w:rsidR="001D597C" w:rsidRPr="001D597C" w:rsidRDefault="001D597C" w:rsidP="001D597C">
      <w:pPr>
        <w:rPr>
          <w:rFonts w:eastAsiaTheme="minorEastAsia"/>
          <w:lang w:val="en-US"/>
        </w:rPr>
      </w:pPr>
      <w:r w:rsidRPr="001D597C">
        <w:rPr>
          <w:rFonts w:eastAsiaTheme="minorEastAsia"/>
          <w:lang w:val="en-US"/>
        </w:rPr>
        <w:t>The EA blueprint will serve as a key reference for governance, prioritization and sequencing of digital initiatives.</w:t>
      </w:r>
    </w:p>
    <w:p w14:paraId="2C14E231" w14:textId="46BBE207" w:rsidR="001D597C" w:rsidRDefault="00EE330F" w:rsidP="008B3B86">
      <w:pPr>
        <w:pStyle w:val="Heading2"/>
      </w:pPr>
      <w:r>
        <w:t>4.3</w:t>
      </w:r>
      <w:r w:rsidR="008B3B86">
        <w:tab/>
      </w:r>
      <w:r w:rsidR="002A2CAF">
        <w:t xml:space="preserve">Enhanced </w:t>
      </w:r>
      <w:r>
        <w:t xml:space="preserve">ICT </w:t>
      </w:r>
      <w:r w:rsidR="00AE4E64">
        <w:t>governance framework</w:t>
      </w:r>
    </w:p>
    <w:p w14:paraId="4E079CA0" w14:textId="5742967B" w:rsidR="00EE330F" w:rsidRPr="00EE330F" w:rsidRDefault="00EE330F" w:rsidP="008B3B86">
      <w:pPr>
        <w:jc w:val="both"/>
        <w:rPr>
          <w:rFonts w:eastAsiaTheme="minorEastAsia"/>
          <w:lang w:val="en-US"/>
        </w:rPr>
      </w:pPr>
      <w:r w:rsidRPr="00EE330F">
        <w:rPr>
          <w:rFonts w:eastAsiaTheme="minorEastAsia"/>
          <w:lang w:val="en-US"/>
        </w:rPr>
        <w:t>An enhanced ICT governance framework is being developed to integrate digital, data, AI, cloud and cybersecurity. The framework will:</w:t>
      </w:r>
    </w:p>
    <w:p w14:paraId="15107EEB" w14:textId="08EC8477" w:rsidR="00EE330F" w:rsidRPr="00EE330F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EE330F" w:rsidRPr="00EE330F">
        <w:rPr>
          <w:rFonts w:eastAsiaTheme="minorEastAsia"/>
          <w:lang w:val="en-US"/>
        </w:rPr>
        <w:t xml:space="preserve">clarify roles, responsibilities and decision-making </w:t>
      </w:r>
      <w:r w:rsidR="004B753F" w:rsidRPr="00EE330F">
        <w:rPr>
          <w:rFonts w:eastAsiaTheme="minorEastAsia"/>
          <w:lang w:val="en-US"/>
        </w:rPr>
        <w:t>authorities</w:t>
      </w:r>
      <w:r>
        <w:rPr>
          <w:rFonts w:eastAsiaTheme="minorEastAsia"/>
          <w:lang w:val="en-US"/>
        </w:rPr>
        <w:t>;</w:t>
      </w:r>
    </w:p>
    <w:p w14:paraId="34E1BA37" w14:textId="5C631084" w:rsidR="00EE330F" w:rsidRPr="00EE330F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EE330F" w:rsidRPr="00EE330F">
        <w:rPr>
          <w:rFonts w:eastAsiaTheme="minorEastAsia"/>
          <w:lang w:val="en-US"/>
        </w:rPr>
        <w:t>strengthen transparency, accountability and risk management; and</w:t>
      </w:r>
    </w:p>
    <w:p w14:paraId="52B19656" w14:textId="22AAAF6A" w:rsidR="00EE330F" w:rsidRPr="00EE330F" w:rsidRDefault="008B3B86" w:rsidP="008B3B86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EE330F" w:rsidRPr="00EE330F">
        <w:rPr>
          <w:rFonts w:eastAsiaTheme="minorEastAsia"/>
          <w:lang w:val="en-US"/>
        </w:rPr>
        <w:t>support effective oversight by management and Member States.</w:t>
      </w:r>
    </w:p>
    <w:p w14:paraId="01E15097" w14:textId="77777777" w:rsidR="00EE330F" w:rsidRPr="00EE330F" w:rsidRDefault="00EE330F" w:rsidP="008B3B86">
      <w:pPr>
        <w:jc w:val="both"/>
        <w:rPr>
          <w:rFonts w:eastAsiaTheme="minorEastAsia"/>
          <w:lang w:val="en-US"/>
        </w:rPr>
      </w:pPr>
      <w:r w:rsidRPr="00EE330F">
        <w:rPr>
          <w:rFonts w:eastAsiaTheme="minorEastAsia"/>
          <w:lang w:val="en-US"/>
        </w:rPr>
        <w:t>A multi-tier model is envisaged, linking Council oversight, the ICT Governance Committee and operational delivery.</w:t>
      </w:r>
    </w:p>
    <w:p w14:paraId="44EAC85B" w14:textId="3A690498" w:rsidR="00EE330F" w:rsidRPr="00EE330F" w:rsidRDefault="00E4396C" w:rsidP="008B3B86">
      <w:pPr>
        <w:pStyle w:val="Heading2"/>
      </w:pPr>
      <w:r>
        <w:t>4.4</w:t>
      </w:r>
      <w:r w:rsidR="008B3B86">
        <w:tab/>
      </w:r>
      <w:r>
        <w:t xml:space="preserve">IT/ISD </w:t>
      </w:r>
      <w:r w:rsidR="00AE4E64">
        <w:t>operating model</w:t>
      </w:r>
    </w:p>
    <w:p w14:paraId="53B50A4B" w14:textId="77777777" w:rsidR="00E4396C" w:rsidRPr="00E4396C" w:rsidRDefault="00E4396C" w:rsidP="00E4396C">
      <w:pPr>
        <w:rPr>
          <w:rFonts w:eastAsiaTheme="minorEastAsia"/>
          <w:lang w:val="en-US"/>
        </w:rPr>
      </w:pPr>
      <w:r w:rsidRPr="00E4396C">
        <w:rPr>
          <w:rFonts w:eastAsiaTheme="minorEastAsia"/>
          <w:lang w:val="en-US"/>
        </w:rPr>
        <w:t>In parallel, work has been initiated on a modernized IT/ISD operating model that reflects the evolving role of IT in the era of data, AI and cloud. The model aims to:</w:t>
      </w:r>
    </w:p>
    <w:p w14:paraId="6358AF58" w14:textId="04A0AC70" w:rsidR="00E4396C" w:rsidRPr="00E4396C" w:rsidRDefault="001549AF" w:rsidP="001549AF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E4396C" w:rsidRPr="00E4396C">
        <w:rPr>
          <w:rFonts w:eastAsiaTheme="minorEastAsia"/>
          <w:lang w:val="en-US"/>
        </w:rPr>
        <w:t>shift from project-centric to product- and service-centric delivery</w:t>
      </w:r>
      <w:r>
        <w:rPr>
          <w:rFonts w:eastAsiaTheme="minorEastAsia"/>
          <w:lang w:val="en-US"/>
        </w:rPr>
        <w:t>;</w:t>
      </w:r>
    </w:p>
    <w:p w14:paraId="5C4BA37A" w14:textId="477E79C9" w:rsidR="00E4396C" w:rsidRPr="00E4396C" w:rsidRDefault="001549AF" w:rsidP="001549AF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E4396C" w:rsidRPr="00E4396C">
        <w:rPr>
          <w:rFonts w:eastAsiaTheme="minorEastAsia"/>
          <w:lang w:val="en-US"/>
        </w:rPr>
        <w:t>strengthen user-experience and value-focused approaches; and</w:t>
      </w:r>
    </w:p>
    <w:p w14:paraId="5CCB575C" w14:textId="71CD85CF" w:rsidR="00E4396C" w:rsidRPr="00E4396C" w:rsidRDefault="001549AF" w:rsidP="001549AF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E4396C" w:rsidRPr="00E4396C">
        <w:rPr>
          <w:rFonts w:eastAsiaTheme="minorEastAsia"/>
          <w:lang w:val="en-US"/>
        </w:rPr>
        <w:t>embed data and AI capabilities as core enablers of decision-making and service delivery.</w:t>
      </w:r>
    </w:p>
    <w:p w14:paraId="3A4DBF6A" w14:textId="7FE34EAB" w:rsidR="00E4396C" w:rsidRPr="00E4396C" w:rsidRDefault="00E4396C" w:rsidP="00E4396C">
      <w:pPr>
        <w:rPr>
          <w:rFonts w:eastAsiaTheme="minorEastAsia"/>
          <w:lang w:val="en-US"/>
        </w:rPr>
      </w:pPr>
      <w:r w:rsidRPr="00E4396C">
        <w:rPr>
          <w:rFonts w:eastAsiaTheme="minorEastAsia"/>
          <w:lang w:val="en-US"/>
        </w:rPr>
        <w:t>This operating model is intended to improve efficiency, optimize resources and enhance ITU’s capacity to deliver sustained digital value.</w:t>
      </w:r>
    </w:p>
    <w:p w14:paraId="1E8B34FB" w14:textId="1D842E27" w:rsidR="00AF5EB0" w:rsidRPr="000A6D2B" w:rsidRDefault="00AF5EB0" w:rsidP="00453E7B">
      <w:pPr>
        <w:pStyle w:val="Heading1"/>
      </w:pPr>
      <w:r>
        <w:t>5</w:t>
      </w:r>
      <w:r w:rsidRPr="0061398D">
        <w:tab/>
      </w:r>
      <w:r w:rsidR="00720B4A">
        <w:t xml:space="preserve">Internal </w:t>
      </w:r>
      <w:r w:rsidR="006563E6" w:rsidRPr="006563E6">
        <w:rPr>
          <w:lang w:val="en-US"/>
        </w:rPr>
        <w:t>Digital</w:t>
      </w:r>
      <w:r w:rsidR="00C538EA">
        <w:rPr>
          <w:lang w:val="en-US"/>
        </w:rPr>
        <w:t xml:space="preserve"> strategy</w:t>
      </w:r>
      <w:r w:rsidR="006563E6" w:rsidRPr="006563E6">
        <w:rPr>
          <w:lang w:val="en-US"/>
        </w:rPr>
        <w:t xml:space="preserve"> as an enabler and accelerator of </w:t>
      </w:r>
      <w:r w:rsidR="00881A82">
        <w:rPr>
          <w:lang w:val="en-US"/>
        </w:rPr>
        <w:t xml:space="preserve">organizational </w:t>
      </w:r>
      <w:r w:rsidR="006563E6" w:rsidRPr="006563E6">
        <w:rPr>
          <w:lang w:val="en-US"/>
        </w:rPr>
        <w:t>transformation</w:t>
      </w:r>
      <w:r w:rsidR="006563E6" w:rsidRPr="006563E6">
        <w:t xml:space="preserve"> </w:t>
      </w:r>
    </w:p>
    <w:p w14:paraId="64249279" w14:textId="64F52F64" w:rsidR="000747DA" w:rsidRPr="000747DA" w:rsidRDefault="000747DA" w:rsidP="000747DA">
      <w:pPr>
        <w:jc w:val="both"/>
        <w:rPr>
          <w:rFonts w:eastAsiaTheme="minorEastAsia"/>
          <w:lang w:val="en-US"/>
        </w:rPr>
      </w:pPr>
      <w:r w:rsidRPr="000747DA">
        <w:rPr>
          <w:rFonts w:eastAsiaTheme="minorEastAsia"/>
          <w:lang w:val="en-US"/>
        </w:rPr>
        <w:t xml:space="preserve">Digital </w:t>
      </w:r>
      <w:r w:rsidR="00C538EA">
        <w:rPr>
          <w:rFonts w:eastAsiaTheme="minorEastAsia"/>
          <w:lang w:val="en-US"/>
        </w:rPr>
        <w:t xml:space="preserve">strategy </w:t>
      </w:r>
      <w:r w:rsidRPr="000747DA">
        <w:rPr>
          <w:rFonts w:eastAsiaTheme="minorEastAsia"/>
          <w:lang w:val="en-US"/>
        </w:rPr>
        <w:t xml:space="preserve">is not an </w:t>
      </w:r>
      <w:proofErr w:type="gramStart"/>
      <w:r w:rsidRPr="000747DA">
        <w:rPr>
          <w:rFonts w:eastAsiaTheme="minorEastAsia"/>
          <w:lang w:val="en-US"/>
        </w:rPr>
        <w:t>end in itself</w:t>
      </w:r>
      <w:proofErr w:type="gramEnd"/>
      <w:r w:rsidRPr="000747DA">
        <w:rPr>
          <w:rFonts w:eastAsiaTheme="minorEastAsia"/>
          <w:lang w:val="en-US"/>
        </w:rPr>
        <w:t>. It functions as a horizontal enabler and accelerator across ITU’s transformation pillars, supporting:</w:t>
      </w:r>
    </w:p>
    <w:p w14:paraId="6A140545" w14:textId="4836FB37" w:rsidR="000747DA" w:rsidRPr="000747DA" w:rsidRDefault="001549AF" w:rsidP="001549AF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747DA" w:rsidRPr="000747DA">
        <w:rPr>
          <w:rFonts w:eastAsiaTheme="minorEastAsia"/>
          <w:lang w:val="en-US"/>
        </w:rPr>
        <w:t>automation and simplification of core business processes;</w:t>
      </w:r>
    </w:p>
    <w:p w14:paraId="1D1B15B0" w14:textId="5A115C3E" w:rsidR="000747DA" w:rsidRPr="000747DA" w:rsidRDefault="001549AF" w:rsidP="001549AF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747DA" w:rsidRPr="000747DA">
        <w:rPr>
          <w:rFonts w:eastAsiaTheme="minorEastAsia"/>
          <w:lang w:val="en-US"/>
        </w:rPr>
        <w:t>improved decision-making through better data and analytics;</w:t>
      </w:r>
    </w:p>
    <w:p w14:paraId="331BD0D0" w14:textId="6C172F89" w:rsidR="000747DA" w:rsidRPr="000747DA" w:rsidRDefault="001549AF" w:rsidP="001549AF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747DA" w:rsidRPr="000747DA">
        <w:rPr>
          <w:rFonts w:eastAsiaTheme="minorEastAsia"/>
          <w:lang w:val="en-US"/>
        </w:rPr>
        <w:t>enhanced service quality and user experience; and</w:t>
      </w:r>
    </w:p>
    <w:p w14:paraId="4D26872A" w14:textId="39835122" w:rsidR="000747DA" w:rsidRPr="000747DA" w:rsidRDefault="001549AF" w:rsidP="001549AF">
      <w:pPr>
        <w:pStyle w:val="enumlev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0747DA" w:rsidRPr="000747DA">
        <w:rPr>
          <w:rFonts w:eastAsiaTheme="minorEastAsia"/>
          <w:lang w:val="en-US"/>
        </w:rPr>
        <w:t>more agile, resilient and secure operations.</w:t>
      </w:r>
    </w:p>
    <w:p w14:paraId="5A1C3AA9" w14:textId="34F21284" w:rsidR="000747DA" w:rsidRPr="000747DA" w:rsidRDefault="000747DA" w:rsidP="000747DA">
      <w:pPr>
        <w:jc w:val="both"/>
        <w:rPr>
          <w:rFonts w:eastAsiaTheme="minorEastAsia"/>
          <w:lang w:val="en-US"/>
        </w:rPr>
      </w:pPr>
      <w:r w:rsidRPr="000747DA">
        <w:rPr>
          <w:rFonts w:eastAsiaTheme="minorEastAsia"/>
          <w:lang w:val="en-US"/>
        </w:rPr>
        <w:t>By consolidating digital initiatives under a coherent strategy, enterprise architecture and governance framework, ITU aims to maximize impact, avoid duplication and reduce risk across the</w:t>
      </w:r>
      <w:r w:rsidR="00720B4A">
        <w:rPr>
          <w:rFonts w:eastAsiaTheme="minorEastAsia"/>
          <w:lang w:val="en-US"/>
        </w:rPr>
        <w:t xml:space="preserve"> organizational</w:t>
      </w:r>
      <w:r w:rsidRPr="000747DA">
        <w:rPr>
          <w:rFonts w:eastAsiaTheme="minorEastAsia"/>
          <w:lang w:val="en-US"/>
        </w:rPr>
        <w:t xml:space="preserve"> transformation portfolio.</w:t>
      </w:r>
    </w:p>
    <w:p w14:paraId="0461852B" w14:textId="5887E871" w:rsidR="00B248B3" w:rsidRPr="000A6D2B" w:rsidRDefault="006563E6" w:rsidP="00DF0F50">
      <w:pPr>
        <w:pStyle w:val="Heading1"/>
      </w:pPr>
      <w:r>
        <w:t>6</w:t>
      </w:r>
      <w:r w:rsidR="00B248B3" w:rsidRPr="0061398D">
        <w:tab/>
      </w:r>
      <w:r w:rsidR="00B248B3" w:rsidRPr="000A6D2B">
        <w:t xml:space="preserve">Way </w:t>
      </w:r>
      <w:r w:rsidR="00E60DFF" w:rsidRPr="000A6D2B">
        <w:t>forward</w:t>
      </w:r>
      <w:r w:rsidR="00E60DFF">
        <w:t xml:space="preserve"> and next steps</w:t>
      </w:r>
    </w:p>
    <w:p w14:paraId="2246BE06" w14:textId="09E8C8EA" w:rsidR="0092730B" w:rsidRPr="0092730B" w:rsidRDefault="0092730B" w:rsidP="0092730B">
      <w:pPr>
        <w:jc w:val="both"/>
        <w:rPr>
          <w:rFonts w:eastAsiaTheme="minorEastAsia"/>
          <w:lang w:val="en-US"/>
        </w:rPr>
      </w:pPr>
      <w:r w:rsidRPr="0092730B">
        <w:rPr>
          <w:rFonts w:eastAsiaTheme="minorEastAsia"/>
          <w:lang w:val="en-US"/>
        </w:rPr>
        <w:t xml:space="preserve">The development of the </w:t>
      </w:r>
      <w:r w:rsidR="00506787">
        <w:rPr>
          <w:rFonts w:eastAsiaTheme="minorEastAsia"/>
          <w:lang w:val="en-US"/>
        </w:rPr>
        <w:t xml:space="preserve">Internal </w:t>
      </w:r>
      <w:r w:rsidRPr="0092730B">
        <w:rPr>
          <w:rFonts w:eastAsiaTheme="minorEastAsia"/>
          <w:lang w:val="en-US"/>
        </w:rPr>
        <w:t>Digital Strategy and Enterprise Architecture is underway using a participatory and iterative approach involving leadership and key stakeholders across the organization.</w:t>
      </w:r>
    </w:p>
    <w:p w14:paraId="0EF4ACD9" w14:textId="77777777" w:rsidR="0092730B" w:rsidRPr="0092730B" w:rsidRDefault="0092730B" w:rsidP="0092730B">
      <w:pPr>
        <w:jc w:val="both"/>
        <w:rPr>
          <w:rFonts w:eastAsiaTheme="minorEastAsia"/>
          <w:lang w:val="en-US"/>
        </w:rPr>
      </w:pPr>
      <w:r w:rsidRPr="0092730B">
        <w:rPr>
          <w:rFonts w:eastAsiaTheme="minorEastAsia"/>
          <w:lang w:val="en-US"/>
        </w:rPr>
        <w:t>Key next steps include:</w:t>
      </w:r>
    </w:p>
    <w:p w14:paraId="5B97B671" w14:textId="46D10F19" w:rsidR="0092730B" w:rsidRPr="0092730B" w:rsidRDefault="00AE4E64" w:rsidP="00AE4E64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92730B" w:rsidRPr="0092730B">
        <w:rPr>
          <w:rFonts w:eastAsiaTheme="minorEastAsia"/>
          <w:lang w:val="en-US"/>
        </w:rPr>
        <w:t>completion of the EA baseline and co-design of the future-state architecture</w:t>
      </w:r>
      <w:r>
        <w:rPr>
          <w:rFonts w:eastAsiaTheme="minorEastAsia"/>
          <w:lang w:val="en-US"/>
        </w:rPr>
        <w:t>;</w:t>
      </w:r>
    </w:p>
    <w:p w14:paraId="663EF8AF" w14:textId="6AEA3ACD" w:rsidR="0092730B" w:rsidRPr="0092730B" w:rsidRDefault="00AE4E64" w:rsidP="00AE4E64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92730B" w:rsidRPr="0092730B">
        <w:rPr>
          <w:rFonts w:eastAsiaTheme="minorEastAsia"/>
          <w:lang w:val="en-US"/>
        </w:rPr>
        <w:t xml:space="preserve">finalization of the </w:t>
      </w:r>
      <w:r w:rsidR="00356081">
        <w:rPr>
          <w:rFonts w:eastAsiaTheme="minorEastAsia"/>
          <w:lang w:val="en-US"/>
        </w:rPr>
        <w:t xml:space="preserve">internal </w:t>
      </w:r>
      <w:r w:rsidR="0092730B" w:rsidRPr="0092730B">
        <w:rPr>
          <w:rFonts w:eastAsiaTheme="minorEastAsia"/>
          <w:lang w:val="en-US"/>
        </w:rPr>
        <w:t>Digital Strategy 2026</w:t>
      </w:r>
      <w:r>
        <w:rPr>
          <w:rFonts w:eastAsiaTheme="minorEastAsia"/>
          <w:lang w:val="en-US"/>
        </w:rPr>
        <w:t>-</w:t>
      </w:r>
      <w:r w:rsidR="0092730B" w:rsidRPr="0092730B">
        <w:rPr>
          <w:rFonts w:eastAsiaTheme="minorEastAsia"/>
          <w:lang w:val="en-US"/>
        </w:rPr>
        <w:t xml:space="preserve">2027 and its associated </w:t>
      </w:r>
      <w:r w:rsidR="00773C3A">
        <w:rPr>
          <w:rFonts w:eastAsiaTheme="minorEastAsia"/>
          <w:lang w:val="en-US"/>
        </w:rPr>
        <w:t>roadmap and operational plan</w:t>
      </w:r>
      <w:r>
        <w:rPr>
          <w:rFonts w:eastAsiaTheme="minorEastAsia"/>
          <w:lang w:val="en-US"/>
        </w:rPr>
        <w:t>;</w:t>
      </w:r>
    </w:p>
    <w:p w14:paraId="18D73BD3" w14:textId="7D3AF803" w:rsidR="0092730B" w:rsidRPr="0092730B" w:rsidRDefault="00AE4E64" w:rsidP="00AE4E64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92730B" w:rsidRPr="0092730B">
        <w:rPr>
          <w:rFonts w:eastAsiaTheme="minorEastAsia"/>
          <w:lang w:val="en-US"/>
        </w:rPr>
        <w:t>refinement and formalization of the ICT governance framework; and</w:t>
      </w:r>
    </w:p>
    <w:p w14:paraId="141ED6DC" w14:textId="796121FC" w:rsidR="0092730B" w:rsidRPr="0092730B" w:rsidRDefault="00AE4E64" w:rsidP="00AE4E64">
      <w:pPr>
        <w:pStyle w:val="enumlev1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–</w:t>
      </w:r>
      <w:r>
        <w:rPr>
          <w:rFonts w:eastAsiaTheme="minorEastAsia"/>
          <w:lang w:val="en-US"/>
        </w:rPr>
        <w:tab/>
      </w:r>
      <w:r w:rsidR="0092730B" w:rsidRPr="0092730B">
        <w:rPr>
          <w:rFonts w:eastAsiaTheme="minorEastAsia"/>
          <w:lang w:val="en-US"/>
        </w:rPr>
        <w:t>progressive implementation of the new IT/ISD operating model.</w:t>
      </w:r>
    </w:p>
    <w:p w14:paraId="02DC26BB" w14:textId="37306EDC" w:rsidR="000A6D2B" w:rsidRDefault="0092730B" w:rsidP="0092730B">
      <w:pPr>
        <w:jc w:val="both"/>
        <w:rPr>
          <w:rFonts w:eastAsiaTheme="minorEastAsia"/>
          <w:lang w:val="en-US"/>
        </w:rPr>
      </w:pPr>
      <w:r w:rsidRPr="0092730B">
        <w:rPr>
          <w:rFonts w:eastAsiaTheme="minorEastAsia"/>
          <w:lang w:val="en-US"/>
        </w:rPr>
        <w:t xml:space="preserve">Together, these actions will enable the Secretariat to deliver on the </w:t>
      </w:r>
      <w:r w:rsidR="00C538EA">
        <w:rPr>
          <w:rFonts w:eastAsiaTheme="minorEastAsia"/>
          <w:lang w:val="en-US"/>
        </w:rPr>
        <w:t>organizati</w:t>
      </w:r>
      <w:r w:rsidR="00356081">
        <w:rPr>
          <w:rFonts w:eastAsiaTheme="minorEastAsia"/>
          <w:lang w:val="en-US"/>
        </w:rPr>
        <w:t xml:space="preserve">on </w:t>
      </w:r>
      <w:r w:rsidRPr="0092730B">
        <w:rPr>
          <w:rFonts w:eastAsiaTheme="minorEastAsia"/>
          <w:lang w:val="en-US"/>
        </w:rPr>
        <w:t>transformation plan in 2026, strengthen governance and transparency in line with Council expectations, and establish a robust foundation for ITU’s next chapter</w:t>
      </w:r>
      <w:r w:rsidR="002E462B">
        <w:rPr>
          <w:rFonts w:eastAsiaTheme="minorEastAsia"/>
          <w:lang w:val="en-US"/>
        </w:rPr>
        <w:t xml:space="preserve"> of </w:t>
      </w:r>
      <w:r w:rsidR="001E7CAE">
        <w:rPr>
          <w:rFonts w:eastAsiaTheme="minorEastAsia"/>
          <w:lang w:val="en-US"/>
        </w:rPr>
        <w:t>organizational excellence.</w:t>
      </w:r>
    </w:p>
    <w:p w14:paraId="72FE1C1F" w14:textId="6CC7D8EF" w:rsidR="000435A9" w:rsidRPr="000435A9" w:rsidRDefault="000435A9" w:rsidP="000435A9">
      <w:pPr>
        <w:spacing w:before="2760"/>
        <w:jc w:val="both"/>
        <w:rPr>
          <w:rFonts w:eastAsiaTheme="minorEastAsia"/>
          <w:i/>
          <w:iCs/>
        </w:rPr>
      </w:pPr>
      <w:r w:rsidRPr="000435A9">
        <w:rPr>
          <w:rFonts w:eastAsiaTheme="minorEastAsia"/>
          <w:b/>
          <w:bCs/>
          <w:i/>
          <w:iCs/>
          <w:lang w:val="en-US"/>
        </w:rPr>
        <w:t>Annex:</w:t>
      </w:r>
      <w:r w:rsidRPr="000435A9">
        <w:rPr>
          <w:rFonts w:eastAsiaTheme="minorEastAsia"/>
          <w:i/>
          <w:iCs/>
          <w:lang w:val="en-US"/>
        </w:rPr>
        <w:t xml:space="preserve"> 1</w:t>
      </w:r>
    </w:p>
    <w:p w14:paraId="2C04BD9A" w14:textId="7368AF98" w:rsidR="0024086B" w:rsidRDefault="002408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770966BC" w14:textId="3C1A107C" w:rsidR="00B248B3" w:rsidRPr="00B248B3" w:rsidRDefault="0C92AB6B" w:rsidP="009B78E9">
      <w:pPr>
        <w:pStyle w:val="AnnexNo"/>
        <w:rPr>
          <w:rFonts w:eastAsiaTheme="minorEastAsia"/>
        </w:rPr>
      </w:pPr>
      <w:r w:rsidRPr="61B99C04">
        <w:rPr>
          <w:rFonts w:eastAsiaTheme="minorEastAsia"/>
        </w:rPr>
        <w:t>Annex</w:t>
      </w:r>
    </w:p>
    <w:p w14:paraId="74ECDFFB" w14:textId="2D27E9B1" w:rsidR="374B11F6" w:rsidRDefault="374B11F6" w:rsidP="009B78E9">
      <w:pPr>
        <w:pStyle w:val="Annextitle"/>
        <w:rPr>
          <w:rFonts w:eastAsiaTheme="minorEastAsia"/>
        </w:rPr>
      </w:pPr>
      <w:r w:rsidRPr="61B99C04">
        <w:rPr>
          <w:rFonts w:eastAsiaTheme="minorEastAsia"/>
        </w:rPr>
        <w:t>Summary of “Assess &amp; Transform” Report – Roadmap to Digital and Operational Excellence</w:t>
      </w:r>
    </w:p>
    <w:p w14:paraId="3715E45A" w14:textId="5E925B0E" w:rsidR="374B11F6" w:rsidRPr="00970514" w:rsidRDefault="374B11F6" w:rsidP="00970514">
      <w:pPr>
        <w:pStyle w:val="Figure"/>
      </w:pPr>
      <w:r w:rsidRPr="00970514">
        <w:drawing>
          <wp:inline distT="0" distB="0" distL="0" distR="0" wp14:anchorId="43397257" wp14:editId="63159983">
            <wp:extent cx="5762625" cy="3238500"/>
            <wp:effectExtent l="0" t="0" r="0" b="0"/>
            <wp:docPr id="529392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9222" name="Picture 52939222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6A0B" w14:textId="0ED244A7" w:rsidR="29D781B8" w:rsidRPr="00970514" w:rsidRDefault="29D781B8" w:rsidP="00970514">
      <w:pPr>
        <w:pStyle w:val="Figure"/>
      </w:pPr>
      <w:r w:rsidRPr="00970514">
        <w:drawing>
          <wp:inline distT="0" distB="0" distL="0" distR="0" wp14:anchorId="406721FF" wp14:editId="5A887DB8">
            <wp:extent cx="5762625" cy="3228975"/>
            <wp:effectExtent l="0" t="0" r="0" b="0"/>
            <wp:docPr id="11257229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22932" name="Picture 1125722932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0B825" w14:textId="0582BDCB" w:rsidR="00EE3CBA" w:rsidRPr="00970514" w:rsidRDefault="29D781B8" w:rsidP="00970514">
      <w:pPr>
        <w:pStyle w:val="Figure"/>
        <w:rPr>
          <w:rFonts w:eastAsiaTheme="minorEastAsia"/>
        </w:rPr>
      </w:pPr>
      <w:r w:rsidRPr="00970514">
        <w:drawing>
          <wp:inline distT="0" distB="0" distL="0" distR="0" wp14:anchorId="55D3F8E7" wp14:editId="11FCCA33">
            <wp:extent cx="5762625" cy="3228975"/>
            <wp:effectExtent l="0" t="0" r="0" b="0"/>
            <wp:docPr id="7014882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88256" name="Picture 701488256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28A6" w14:textId="77777777" w:rsidR="00EE3CBA" w:rsidRPr="00EE3CBA" w:rsidRDefault="00EE3CBA" w:rsidP="00EE3CBA">
      <w:pPr>
        <w:spacing w:after="120"/>
        <w:jc w:val="both"/>
        <w:rPr>
          <w:rFonts w:eastAsiaTheme="minorEastAsia"/>
        </w:rPr>
      </w:pPr>
    </w:p>
    <w:p w14:paraId="1AB8A483" w14:textId="77777777" w:rsidR="00970514" w:rsidRDefault="00970514">
      <w:pPr>
        <w:jc w:val="center"/>
      </w:pPr>
      <w:r>
        <w:t>______________</w:t>
      </w:r>
    </w:p>
    <w:sectPr w:rsidR="00970514" w:rsidSect="00AD3606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D610" w14:textId="77777777" w:rsidR="004C785E" w:rsidRDefault="004C785E">
      <w:r>
        <w:separator/>
      </w:r>
    </w:p>
  </w:endnote>
  <w:endnote w:type="continuationSeparator" w:id="0">
    <w:p w14:paraId="249D4D3D" w14:textId="77777777" w:rsidR="004C785E" w:rsidRDefault="004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5A10" w14:textId="77777777" w:rsidR="00EF1CD4" w:rsidRDefault="00EF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3ADC27AF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3C5B1C">
            <w:rPr>
              <w:bCs/>
            </w:rPr>
            <w:t>14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AE78C0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613063C6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Pr="00623AE3">
            <w:rPr>
              <w:bCs/>
            </w:rPr>
            <w:t>/</w:t>
          </w:r>
          <w:r w:rsidR="003C5B1C">
            <w:rPr>
              <w:bCs/>
            </w:rPr>
            <w:t>14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700D" w14:textId="77777777" w:rsidR="004C785E" w:rsidRDefault="004C785E">
      <w:r>
        <w:t>____________________</w:t>
      </w:r>
    </w:p>
  </w:footnote>
  <w:footnote w:type="continuationSeparator" w:id="0">
    <w:p w14:paraId="5FDCA7C8" w14:textId="77777777" w:rsidR="004C785E" w:rsidRDefault="004C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1F5C" w14:textId="77777777" w:rsidR="00EF1CD4" w:rsidRDefault="00EF1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3718" w14:textId="77777777" w:rsidR="00EF1CD4" w:rsidRDefault="00EF1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535C34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A80DD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30384AD1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AD6D7C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30384AD1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AD6D7C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69EA945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4AEB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2777805"/>
    <w:multiLevelType w:val="multilevel"/>
    <w:tmpl w:val="614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1546D"/>
    <w:multiLevelType w:val="multilevel"/>
    <w:tmpl w:val="6222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92F16"/>
    <w:multiLevelType w:val="multilevel"/>
    <w:tmpl w:val="4A6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D0DEE"/>
    <w:multiLevelType w:val="multilevel"/>
    <w:tmpl w:val="64AE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45474"/>
    <w:multiLevelType w:val="multilevel"/>
    <w:tmpl w:val="4964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1B24D"/>
    <w:multiLevelType w:val="hybridMultilevel"/>
    <w:tmpl w:val="FFFFFFFF"/>
    <w:lvl w:ilvl="0" w:tplc="D86C6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A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CB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6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A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E5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65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C6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C8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4D32"/>
    <w:multiLevelType w:val="multilevel"/>
    <w:tmpl w:val="64AE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A74EE"/>
    <w:multiLevelType w:val="multilevel"/>
    <w:tmpl w:val="4AA4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727261625">
    <w:abstractNumId w:val="8"/>
  </w:num>
  <w:num w:numId="3" w16cid:durableId="1363824959">
    <w:abstractNumId w:val="4"/>
  </w:num>
  <w:num w:numId="4" w16cid:durableId="2117171316">
    <w:abstractNumId w:val="3"/>
  </w:num>
  <w:num w:numId="5" w16cid:durableId="2021661857">
    <w:abstractNumId w:val="7"/>
  </w:num>
  <w:num w:numId="6" w16cid:durableId="1194927721">
    <w:abstractNumId w:val="10"/>
  </w:num>
  <w:num w:numId="7" w16cid:durableId="61954054">
    <w:abstractNumId w:val="5"/>
  </w:num>
  <w:num w:numId="8" w16cid:durableId="113722183">
    <w:abstractNumId w:val="9"/>
  </w:num>
  <w:num w:numId="9" w16cid:durableId="263000588">
    <w:abstractNumId w:val="6"/>
  </w:num>
  <w:num w:numId="10" w16cid:durableId="446169719">
    <w:abstractNumId w:val="1"/>
  </w:num>
  <w:num w:numId="11" w16cid:durableId="14301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6CCF"/>
    <w:rsid w:val="00012679"/>
    <w:rsid w:val="000156BC"/>
    <w:rsid w:val="00015A6A"/>
    <w:rsid w:val="000172D7"/>
    <w:rsid w:val="000210D4"/>
    <w:rsid w:val="000244B2"/>
    <w:rsid w:val="0002575C"/>
    <w:rsid w:val="000276DC"/>
    <w:rsid w:val="0003142B"/>
    <w:rsid w:val="000338D1"/>
    <w:rsid w:val="00035132"/>
    <w:rsid w:val="00037D6E"/>
    <w:rsid w:val="000435A9"/>
    <w:rsid w:val="00047DCA"/>
    <w:rsid w:val="00055BEC"/>
    <w:rsid w:val="000615BF"/>
    <w:rsid w:val="00062782"/>
    <w:rsid w:val="00062A9A"/>
    <w:rsid w:val="00063016"/>
    <w:rsid w:val="00066795"/>
    <w:rsid w:val="00066D36"/>
    <w:rsid w:val="000747DA"/>
    <w:rsid w:val="0007660E"/>
    <w:rsid w:val="00076AF6"/>
    <w:rsid w:val="0008012D"/>
    <w:rsid w:val="00085CF2"/>
    <w:rsid w:val="00093076"/>
    <w:rsid w:val="00096E4E"/>
    <w:rsid w:val="000A103D"/>
    <w:rsid w:val="000A2B17"/>
    <w:rsid w:val="000A3939"/>
    <w:rsid w:val="000A612D"/>
    <w:rsid w:val="000A6D2B"/>
    <w:rsid w:val="000B147B"/>
    <w:rsid w:val="000B1705"/>
    <w:rsid w:val="000B6BEF"/>
    <w:rsid w:val="000C62D7"/>
    <w:rsid w:val="000C6A89"/>
    <w:rsid w:val="000D194C"/>
    <w:rsid w:val="000D38AD"/>
    <w:rsid w:val="000D454F"/>
    <w:rsid w:val="000D75B2"/>
    <w:rsid w:val="000F7DB2"/>
    <w:rsid w:val="001001B7"/>
    <w:rsid w:val="00101038"/>
    <w:rsid w:val="00106BAF"/>
    <w:rsid w:val="00110C38"/>
    <w:rsid w:val="00111B2F"/>
    <w:rsid w:val="001121F5"/>
    <w:rsid w:val="0012318F"/>
    <w:rsid w:val="00124DDD"/>
    <w:rsid w:val="00130599"/>
    <w:rsid w:val="00135283"/>
    <w:rsid w:val="001400DC"/>
    <w:rsid w:val="00140CE1"/>
    <w:rsid w:val="00143676"/>
    <w:rsid w:val="00143AA9"/>
    <w:rsid w:val="001549AF"/>
    <w:rsid w:val="001569A9"/>
    <w:rsid w:val="00156AC6"/>
    <w:rsid w:val="001651AB"/>
    <w:rsid w:val="001709F1"/>
    <w:rsid w:val="001751FF"/>
    <w:rsid w:val="0017539C"/>
    <w:rsid w:val="00175AC2"/>
    <w:rsid w:val="0017600F"/>
    <w:rsid w:val="0017609F"/>
    <w:rsid w:val="00181EE4"/>
    <w:rsid w:val="0018265E"/>
    <w:rsid w:val="00182CE6"/>
    <w:rsid w:val="00184C1B"/>
    <w:rsid w:val="0019628A"/>
    <w:rsid w:val="001966D9"/>
    <w:rsid w:val="00197D50"/>
    <w:rsid w:val="001A72C5"/>
    <w:rsid w:val="001A7D1D"/>
    <w:rsid w:val="001B51DD"/>
    <w:rsid w:val="001C2159"/>
    <w:rsid w:val="001C628E"/>
    <w:rsid w:val="001C64AF"/>
    <w:rsid w:val="001D00B9"/>
    <w:rsid w:val="001D597C"/>
    <w:rsid w:val="001D5F54"/>
    <w:rsid w:val="001E0F7B"/>
    <w:rsid w:val="001E0FBE"/>
    <w:rsid w:val="001E12CB"/>
    <w:rsid w:val="001E4759"/>
    <w:rsid w:val="001E7CAE"/>
    <w:rsid w:val="001F02F5"/>
    <w:rsid w:val="001F2533"/>
    <w:rsid w:val="001F44E2"/>
    <w:rsid w:val="001F64B8"/>
    <w:rsid w:val="001F6C72"/>
    <w:rsid w:val="002061EA"/>
    <w:rsid w:val="00206229"/>
    <w:rsid w:val="002079A2"/>
    <w:rsid w:val="002119FD"/>
    <w:rsid w:val="002130E0"/>
    <w:rsid w:val="00215A2C"/>
    <w:rsid w:val="0022521F"/>
    <w:rsid w:val="00227EF4"/>
    <w:rsid w:val="00235964"/>
    <w:rsid w:val="002404ED"/>
    <w:rsid w:val="0024086B"/>
    <w:rsid w:val="00244F7F"/>
    <w:rsid w:val="0025651B"/>
    <w:rsid w:val="002570C8"/>
    <w:rsid w:val="00257B76"/>
    <w:rsid w:val="00260ACE"/>
    <w:rsid w:val="00264425"/>
    <w:rsid w:val="00265875"/>
    <w:rsid w:val="0027303B"/>
    <w:rsid w:val="00280AF6"/>
    <w:rsid w:val="0028109B"/>
    <w:rsid w:val="00286702"/>
    <w:rsid w:val="00294A17"/>
    <w:rsid w:val="002A2188"/>
    <w:rsid w:val="002A2CAF"/>
    <w:rsid w:val="002B1F58"/>
    <w:rsid w:val="002B7C69"/>
    <w:rsid w:val="002C1C7A"/>
    <w:rsid w:val="002C3AEB"/>
    <w:rsid w:val="002C54E2"/>
    <w:rsid w:val="002C6F0E"/>
    <w:rsid w:val="002D27F1"/>
    <w:rsid w:val="002D4D25"/>
    <w:rsid w:val="002E32E1"/>
    <w:rsid w:val="002E462B"/>
    <w:rsid w:val="002F45B9"/>
    <w:rsid w:val="002F595C"/>
    <w:rsid w:val="0030160F"/>
    <w:rsid w:val="00303C8E"/>
    <w:rsid w:val="00305F01"/>
    <w:rsid w:val="0032017C"/>
    <w:rsid w:val="00320223"/>
    <w:rsid w:val="00322D0D"/>
    <w:rsid w:val="00322D2C"/>
    <w:rsid w:val="00330FC2"/>
    <w:rsid w:val="00331379"/>
    <w:rsid w:val="00331D15"/>
    <w:rsid w:val="00333A02"/>
    <w:rsid w:val="0034055B"/>
    <w:rsid w:val="0034699C"/>
    <w:rsid w:val="00351246"/>
    <w:rsid w:val="00352C11"/>
    <w:rsid w:val="00356081"/>
    <w:rsid w:val="003608E9"/>
    <w:rsid w:val="00361465"/>
    <w:rsid w:val="00361793"/>
    <w:rsid w:val="003722A2"/>
    <w:rsid w:val="00374AFC"/>
    <w:rsid w:val="0038218D"/>
    <w:rsid w:val="00382F92"/>
    <w:rsid w:val="003877F5"/>
    <w:rsid w:val="003900BD"/>
    <w:rsid w:val="003942D4"/>
    <w:rsid w:val="003958A8"/>
    <w:rsid w:val="003A00D6"/>
    <w:rsid w:val="003A2E0B"/>
    <w:rsid w:val="003A7852"/>
    <w:rsid w:val="003B6D69"/>
    <w:rsid w:val="003C2533"/>
    <w:rsid w:val="003C5758"/>
    <w:rsid w:val="003C5B1C"/>
    <w:rsid w:val="003D55B9"/>
    <w:rsid w:val="003D5A7F"/>
    <w:rsid w:val="003D613D"/>
    <w:rsid w:val="003D6CF8"/>
    <w:rsid w:val="003E1427"/>
    <w:rsid w:val="003E2E72"/>
    <w:rsid w:val="003F4096"/>
    <w:rsid w:val="003F6873"/>
    <w:rsid w:val="004002FF"/>
    <w:rsid w:val="004016E2"/>
    <w:rsid w:val="0040234D"/>
    <w:rsid w:val="004031EF"/>
    <w:rsid w:val="0040435A"/>
    <w:rsid w:val="0040516F"/>
    <w:rsid w:val="00415E69"/>
    <w:rsid w:val="00416A24"/>
    <w:rsid w:val="00431D9E"/>
    <w:rsid w:val="00433CE8"/>
    <w:rsid w:val="00434A5C"/>
    <w:rsid w:val="00440DC4"/>
    <w:rsid w:val="004533C6"/>
    <w:rsid w:val="00453E7B"/>
    <w:rsid w:val="004544D9"/>
    <w:rsid w:val="00460A5E"/>
    <w:rsid w:val="00467EC6"/>
    <w:rsid w:val="00472BAD"/>
    <w:rsid w:val="00482E4D"/>
    <w:rsid w:val="00484009"/>
    <w:rsid w:val="00490E72"/>
    <w:rsid w:val="00491157"/>
    <w:rsid w:val="004921C8"/>
    <w:rsid w:val="00493BE8"/>
    <w:rsid w:val="00495B0B"/>
    <w:rsid w:val="004A1B8B"/>
    <w:rsid w:val="004A7111"/>
    <w:rsid w:val="004B753F"/>
    <w:rsid w:val="004B7F60"/>
    <w:rsid w:val="004C363F"/>
    <w:rsid w:val="004C785E"/>
    <w:rsid w:val="004D1831"/>
    <w:rsid w:val="004D1851"/>
    <w:rsid w:val="004D3EEA"/>
    <w:rsid w:val="004D599D"/>
    <w:rsid w:val="004E18BD"/>
    <w:rsid w:val="004E2037"/>
    <w:rsid w:val="004E2EA5"/>
    <w:rsid w:val="004E3AEB"/>
    <w:rsid w:val="004F10D7"/>
    <w:rsid w:val="004F18E8"/>
    <w:rsid w:val="0050223C"/>
    <w:rsid w:val="005041F3"/>
    <w:rsid w:val="00506787"/>
    <w:rsid w:val="00511298"/>
    <w:rsid w:val="00514A22"/>
    <w:rsid w:val="005203BE"/>
    <w:rsid w:val="005243FF"/>
    <w:rsid w:val="005263EB"/>
    <w:rsid w:val="005273CB"/>
    <w:rsid w:val="005307A7"/>
    <w:rsid w:val="00532E77"/>
    <w:rsid w:val="00533F76"/>
    <w:rsid w:val="00551B10"/>
    <w:rsid w:val="00564FBC"/>
    <w:rsid w:val="005674CF"/>
    <w:rsid w:val="00570D5B"/>
    <w:rsid w:val="00571E55"/>
    <w:rsid w:val="00573140"/>
    <w:rsid w:val="005749F9"/>
    <w:rsid w:val="0057501C"/>
    <w:rsid w:val="005800BC"/>
    <w:rsid w:val="00582185"/>
    <w:rsid w:val="00582442"/>
    <w:rsid w:val="00584A7A"/>
    <w:rsid w:val="00586E3D"/>
    <w:rsid w:val="00593DD5"/>
    <w:rsid w:val="005967FA"/>
    <w:rsid w:val="005A335D"/>
    <w:rsid w:val="005A6295"/>
    <w:rsid w:val="005A75FE"/>
    <w:rsid w:val="005B105F"/>
    <w:rsid w:val="005B1D13"/>
    <w:rsid w:val="005B2492"/>
    <w:rsid w:val="005B4F1C"/>
    <w:rsid w:val="005B7E77"/>
    <w:rsid w:val="005C043E"/>
    <w:rsid w:val="005C5474"/>
    <w:rsid w:val="005C586B"/>
    <w:rsid w:val="005D20B1"/>
    <w:rsid w:val="005E2BD5"/>
    <w:rsid w:val="005E44AB"/>
    <w:rsid w:val="005E7C2E"/>
    <w:rsid w:val="005F3269"/>
    <w:rsid w:val="005F553B"/>
    <w:rsid w:val="006079B8"/>
    <w:rsid w:val="0061398D"/>
    <w:rsid w:val="00623AE3"/>
    <w:rsid w:val="00636428"/>
    <w:rsid w:val="00636B4E"/>
    <w:rsid w:val="00643EBC"/>
    <w:rsid w:val="0064737F"/>
    <w:rsid w:val="0064765F"/>
    <w:rsid w:val="006535F1"/>
    <w:rsid w:val="0065557D"/>
    <w:rsid w:val="006563E6"/>
    <w:rsid w:val="00657176"/>
    <w:rsid w:val="00660CA7"/>
    <w:rsid w:val="00660D50"/>
    <w:rsid w:val="00661138"/>
    <w:rsid w:val="00661557"/>
    <w:rsid w:val="00662984"/>
    <w:rsid w:val="006633D6"/>
    <w:rsid w:val="00667CA1"/>
    <w:rsid w:val="006716BB"/>
    <w:rsid w:val="00672F27"/>
    <w:rsid w:val="00676C7D"/>
    <w:rsid w:val="00686B2F"/>
    <w:rsid w:val="00694263"/>
    <w:rsid w:val="006A51DE"/>
    <w:rsid w:val="006A74A1"/>
    <w:rsid w:val="006B1859"/>
    <w:rsid w:val="006B6680"/>
    <w:rsid w:val="006B6DCC"/>
    <w:rsid w:val="006C0356"/>
    <w:rsid w:val="006C3C6E"/>
    <w:rsid w:val="006D27D6"/>
    <w:rsid w:val="006D2D89"/>
    <w:rsid w:val="006D7E80"/>
    <w:rsid w:val="006E64BC"/>
    <w:rsid w:val="00701111"/>
    <w:rsid w:val="00701B29"/>
    <w:rsid w:val="00702DEF"/>
    <w:rsid w:val="00706861"/>
    <w:rsid w:val="007111E0"/>
    <w:rsid w:val="007129E3"/>
    <w:rsid w:val="00720B4A"/>
    <w:rsid w:val="00724DE4"/>
    <w:rsid w:val="00733D81"/>
    <w:rsid w:val="0073553F"/>
    <w:rsid w:val="0073688A"/>
    <w:rsid w:val="0075051B"/>
    <w:rsid w:val="00754780"/>
    <w:rsid w:val="00754B19"/>
    <w:rsid w:val="00760A0C"/>
    <w:rsid w:val="00765D9C"/>
    <w:rsid w:val="00773479"/>
    <w:rsid w:val="00773C3A"/>
    <w:rsid w:val="00775655"/>
    <w:rsid w:val="007810F1"/>
    <w:rsid w:val="00793188"/>
    <w:rsid w:val="00794D34"/>
    <w:rsid w:val="00795EEB"/>
    <w:rsid w:val="007A7BC4"/>
    <w:rsid w:val="007C38DE"/>
    <w:rsid w:val="007D3BE3"/>
    <w:rsid w:val="007D4FFB"/>
    <w:rsid w:val="007E20A1"/>
    <w:rsid w:val="007E2CC2"/>
    <w:rsid w:val="007E598A"/>
    <w:rsid w:val="007F02C5"/>
    <w:rsid w:val="007F54A4"/>
    <w:rsid w:val="007F63D6"/>
    <w:rsid w:val="008104D0"/>
    <w:rsid w:val="00813E5E"/>
    <w:rsid w:val="00815317"/>
    <w:rsid w:val="008161FE"/>
    <w:rsid w:val="00822B94"/>
    <w:rsid w:val="00825D54"/>
    <w:rsid w:val="00825D6A"/>
    <w:rsid w:val="00827963"/>
    <w:rsid w:val="00832538"/>
    <w:rsid w:val="0083581B"/>
    <w:rsid w:val="00840582"/>
    <w:rsid w:val="00840CB8"/>
    <w:rsid w:val="00863874"/>
    <w:rsid w:val="00864AFF"/>
    <w:rsid w:val="00865925"/>
    <w:rsid w:val="00865C63"/>
    <w:rsid w:val="008662C2"/>
    <w:rsid w:val="00881A82"/>
    <w:rsid w:val="00881D5F"/>
    <w:rsid w:val="00891503"/>
    <w:rsid w:val="008964B4"/>
    <w:rsid w:val="00897756"/>
    <w:rsid w:val="008A4157"/>
    <w:rsid w:val="008A4509"/>
    <w:rsid w:val="008A5535"/>
    <w:rsid w:val="008B3B86"/>
    <w:rsid w:val="008B4A6A"/>
    <w:rsid w:val="008B76A9"/>
    <w:rsid w:val="008C37BC"/>
    <w:rsid w:val="008C7E27"/>
    <w:rsid w:val="008D12B8"/>
    <w:rsid w:val="008D4EBC"/>
    <w:rsid w:val="008E0F2F"/>
    <w:rsid w:val="008E270F"/>
    <w:rsid w:val="008E3DB9"/>
    <w:rsid w:val="008F23DB"/>
    <w:rsid w:val="008F7448"/>
    <w:rsid w:val="0090147A"/>
    <w:rsid w:val="009039EB"/>
    <w:rsid w:val="00904499"/>
    <w:rsid w:val="00913988"/>
    <w:rsid w:val="009173EF"/>
    <w:rsid w:val="00920D55"/>
    <w:rsid w:val="009238E7"/>
    <w:rsid w:val="0092730B"/>
    <w:rsid w:val="00930606"/>
    <w:rsid w:val="00932906"/>
    <w:rsid w:val="00940D85"/>
    <w:rsid w:val="00941417"/>
    <w:rsid w:val="0094429F"/>
    <w:rsid w:val="00950BA4"/>
    <w:rsid w:val="00956C9C"/>
    <w:rsid w:val="00961B0B"/>
    <w:rsid w:val="00962D33"/>
    <w:rsid w:val="00965A78"/>
    <w:rsid w:val="00970514"/>
    <w:rsid w:val="00971C28"/>
    <w:rsid w:val="009955ED"/>
    <w:rsid w:val="009A1275"/>
    <w:rsid w:val="009A1ECC"/>
    <w:rsid w:val="009A5103"/>
    <w:rsid w:val="009B07A6"/>
    <w:rsid w:val="009B2D4B"/>
    <w:rsid w:val="009B38C3"/>
    <w:rsid w:val="009B4345"/>
    <w:rsid w:val="009B4B52"/>
    <w:rsid w:val="009B78E9"/>
    <w:rsid w:val="009C253A"/>
    <w:rsid w:val="009C2E07"/>
    <w:rsid w:val="009E17BD"/>
    <w:rsid w:val="009E485A"/>
    <w:rsid w:val="009E790A"/>
    <w:rsid w:val="009F3114"/>
    <w:rsid w:val="009F347C"/>
    <w:rsid w:val="00A03370"/>
    <w:rsid w:val="00A0461C"/>
    <w:rsid w:val="00A04CEC"/>
    <w:rsid w:val="00A12A3D"/>
    <w:rsid w:val="00A1771A"/>
    <w:rsid w:val="00A204AE"/>
    <w:rsid w:val="00A2078D"/>
    <w:rsid w:val="00A23FA8"/>
    <w:rsid w:val="00A27D93"/>
    <w:rsid w:val="00A27F92"/>
    <w:rsid w:val="00A32257"/>
    <w:rsid w:val="00A34664"/>
    <w:rsid w:val="00A36C62"/>
    <w:rsid w:val="00A36D20"/>
    <w:rsid w:val="00A41473"/>
    <w:rsid w:val="00A434CD"/>
    <w:rsid w:val="00A44F5F"/>
    <w:rsid w:val="00A467DF"/>
    <w:rsid w:val="00A507EC"/>
    <w:rsid w:val="00A514A4"/>
    <w:rsid w:val="00A52C84"/>
    <w:rsid w:val="00A55622"/>
    <w:rsid w:val="00A83502"/>
    <w:rsid w:val="00A877A0"/>
    <w:rsid w:val="00A94376"/>
    <w:rsid w:val="00A9779F"/>
    <w:rsid w:val="00AA02D4"/>
    <w:rsid w:val="00AB1989"/>
    <w:rsid w:val="00AC33D2"/>
    <w:rsid w:val="00AD15B3"/>
    <w:rsid w:val="00AD3606"/>
    <w:rsid w:val="00AD4094"/>
    <w:rsid w:val="00AD4A3D"/>
    <w:rsid w:val="00AD6D7C"/>
    <w:rsid w:val="00AE4867"/>
    <w:rsid w:val="00AE4E64"/>
    <w:rsid w:val="00AE7302"/>
    <w:rsid w:val="00AE78C0"/>
    <w:rsid w:val="00AF1E37"/>
    <w:rsid w:val="00AF4E60"/>
    <w:rsid w:val="00AF5235"/>
    <w:rsid w:val="00AF5418"/>
    <w:rsid w:val="00AF5EB0"/>
    <w:rsid w:val="00AF6E49"/>
    <w:rsid w:val="00B03B21"/>
    <w:rsid w:val="00B04A67"/>
    <w:rsid w:val="00B0583C"/>
    <w:rsid w:val="00B121B5"/>
    <w:rsid w:val="00B14E21"/>
    <w:rsid w:val="00B156AF"/>
    <w:rsid w:val="00B163FA"/>
    <w:rsid w:val="00B166FF"/>
    <w:rsid w:val="00B21F31"/>
    <w:rsid w:val="00B22592"/>
    <w:rsid w:val="00B248B3"/>
    <w:rsid w:val="00B2548D"/>
    <w:rsid w:val="00B2575D"/>
    <w:rsid w:val="00B358B2"/>
    <w:rsid w:val="00B40A81"/>
    <w:rsid w:val="00B41533"/>
    <w:rsid w:val="00B44910"/>
    <w:rsid w:val="00B46E70"/>
    <w:rsid w:val="00B515DE"/>
    <w:rsid w:val="00B613D8"/>
    <w:rsid w:val="00B623DE"/>
    <w:rsid w:val="00B67862"/>
    <w:rsid w:val="00B72267"/>
    <w:rsid w:val="00B743F3"/>
    <w:rsid w:val="00B76EB6"/>
    <w:rsid w:val="00B7737B"/>
    <w:rsid w:val="00B824C8"/>
    <w:rsid w:val="00B84B9D"/>
    <w:rsid w:val="00B97F4A"/>
    <w:rsid w:val="00BA1E46"/>
    <w:rsid w:val="00BA206E"/>
    <w:rsid w:val="00BA459F"/>
    <w:rsid w:val="00BB7F2D"/>
    <w:rsid w:val="00BC251A"/>
    <w:rsid w:val="00BC63B8"/>
    <w:rsid w:val="00BD0193"/>
    <w:rsid w:val="00BD032B"/>
    <w:rsid w:val="00BD1693"/>
    <w:rsid w:val="00BD5C4D"/>
    <w:rsid w:val="00BE1213"/>
    <w:rsid w:val="00BE2640"/>
    <w:rsid w:val="00BF621F"/>
    <w:rsid w:val="00BF734E"/>
    <w:rsid w:val="00C01189"/>
    <w:rsid w:val="00C01A47"/>
    <w:rsid w:val="00C03190"/>
    <w:rsid w:val="00C0772A"/>
    <w:rsid w:val="00C13E57"/>
    <w:rsid w:val="00C1718C"/>
    <w:rsid w:val="00C23FD2"/>
    <w:rsid w:val="00C30CF3"/>
    <w:rsid w:val="00C34FDA"/>
    <w:rsid w:val="00C374DE"/>
    <w:rsid w:val="00C4735A"/>
    <w:rsid w:val="00C47AD4"/>
    <w:rsid w:val="00C51846"/>
    <w:rsid w:val="00C52D81"/>
    <w:rsid w:val="00C538EA"/>
    <w:rsid w:val="00C55198"/>
    <w:rsid w:val="00C6012B"/>
    <w:rsid w:val="00C60AA5"/>
    <w:rsid w:val="00C726CF"/>
    <w:rsid w:val="00C84863"/>
    <w:rsid w:val="00C8743F"/>
    <w:rsid w:val="00C87B85"/>
    <w:rsid w:val="00C87F10"/>
    <w:rsid w:val="00C939AC"/>
    <w:rsid w:val="00CA0DD1"/>
    <w:rsid w:val="00CA3975"/>
    <w:rsid w:val="00CA6393"/>
    <w:rsid w:val="00CA7CB8"/>
    <w:rsid w:val="00CB18FF"/>
    <w:rsid w:val="00CB34AD"/>
    <w:rsid w:val="00CD0C08"/>
    <w:rsid w:val="00CD3182"/>
    <w:rsid w:val="00CD5EA0"/>
    <w:rsid w:val="00CE03FB"/>
    <w:rsid w:val="00CE0F48"/>
    <w:rsid w:val="00CE433C"/>
    <w:rsid w:val="00CF00BF"/>
    <w:rsid w:val="00CF0161"/>
    <w:rsid w:val="00CF14CB"/>
    <w:rsid w:val="00CF33F3"/>
    <w:rsid w:val="00D013A7"/>
    <w:rsid w:val="00D06183"/>
    <w:rsid w:val="00D061DB"/>
    <w:rsid w:val="00D154E2"/>
    <w:rsid w:val="00D161F8"/>
    <w:rsid w:val="00D20390"/>
    <w:rsid w:val="00D218E8"/>
    <w:rsid w:val="00D22C42"/>
    <w:rsid w:val="00D241F4"/>
    <w:rsid w:val="00D25716"/>
    <w:rsid w:val="00D32E51"/>
    <w:rsid w:val="00D35955"/>
    <w:rsid w:val="00D37946"/>
    <w:rsid w:val="00D37BCF"/>
    <w:rsid w:val="00D42468"/>
    <w:rsid w:val="00D464CC"/>
    <w:rsid w:val="00D476A9"/>
    <w:rsid w:val="00D53C61"/>
    <w:rsid w:val="00D5789F"/>
    <w:rsid w:val="00D64791"/>
    <w:rsid w:val="00D65041"/>
    <w:rsid w:val="00D67B15"/>
    <w:rsid w:val="00D87711"/>
    <w:rsid w:val="00DA56F8"/>
    <w:rsid w:val="00DA59BD"/>
    <w:rsid w:val="00DB00D5"/>
    <w:rsid w:val="00DB1936"/>
    <w:rsid w:val="00DB384B"/>
    <w:rsid w:val="00DB46C9"/>
    <w:rsid w:val="00DC4841"/>
    <w:rsid w:val="00DD3B39"/>
    <w:rsid w:val="00DD59EE"/>
    <w:rsid w:val="00DE046D"/>
    <w:rsid w:val="00DE04FB"/>
    <w:rsid w:val="00DE6062"/>
    <w:rsid w:val="00DE64BE"/>
    <w:rsid w:val="00DF0189"/>
    <w:rsid w:val="00DF0F50"/>
    <w:rsid w:val="00DF56FF"/>
    <w:rsid w:val="00E03C3D"/>
    <w:rsid w:val="00E04CE5"/>
    <w:rsid w:val="00E06FD5"/>
    <w:rsid w:val="00E10E80"/>
    <w:rsid w:val="00E124F0"/>
    <w:rsid w:val="00E227F3"/>
    <w:rsid w:val="00E24C57"/>
    <w:rsid w:val="00E26498"/>
    <w:rsid w:val="00E35DBD"/>
    <w:rsid w:val="00E40E3D"/>
    <w:rsid w:val="00E4396C"/>
    <w:rsid w:val="00E51117"/>
    <w:rsid w:val="00E545C6"/>
    <w:rsid w:val="00E60DFF"/>
    <w:rsid w:val="00E60F04"/>
    <w:rsid w:val="00E636B5"/>
    <w:rsid w:val="00E65B24"/>
    <w:rsid w:val="00E67B99"/>
    <w:rsid w:val="00E732CB"/>
    <w:rsid w:val="00E8192E"/>
    <w:rsid w:val="00E854E4"/>
    <w:rsid w:val="00E86813"/>
    <w:rsid w:val="00E86DBF"/>
    <w:rsid w:val="00EA0802"/>
    <w:rsid w:val="00EA0D73"/>
    <w:rsid w:val="00EB0D6F"/>
    <w:rsid w:val="00EB2232"/>
    <w:rsid w:val="00EB7453"/>
    <w:rsid w:val="00EC1653"/>
    <w:rsid w:val="00EC4BCD"/>
    <w:rsid w:val="00EC5337"/>
    <w:rsid w:val="00ED35CE"/>
    <w:rsid w:val="00ED454D"/>
    <w:rsid w:val="00ED67C7"/>
    <w:rsid w:val="00ED7487"/>
    <w:rsid w:val="00EE046B"/>
    <w:rsid w:val="00EE086F"/>
    <w:rsid w:val="00EE330F"/>
    <w:rsid w:val="00EE3CBA"/>
    <w:rsid w:val="00EE49E8"/>
    <w:rsid w:val="00EF1A02"/>
    <w:rsid w:val="00EF1CD4"/>
    <w:rsid w:val="00F044EF"/>
    <w:rsid w:val="00F04661"/>
    <w:rsid w:val="00F062BB"/>
    <w:rsid w:val="00F07824"/>
    <w:rsid w:val="00F10747"/>
    <w:rsid w:val="00F1199A"/>
    <w:rsid w:val="00F16BAB"/>
    <w:rsid w:val="00F2150A"/>
    <w:rsid w:val="00F21D3A"/>
    <w:rsid w:val="00F231D8"/>
    <w:rsid w:val="00F258E4"/>
    <w:rsid w:val="00F26287"/>
    <w:rsid w:val="00F26F55"/>
    <w:rsid w:val="00F277E1"/>
    <w:rsid w:val="00F301F7"/>
    <w:rsid w:val="00F32FED"/>
    <w:rsid w:val="00F41B10"/>
    <w:rsid w:val="00F43A2B"/>
    <w:rsid w:val="00F44C00"/>
    <w:rsid w:val="00F45D2C"/>
    <w:rsid w:val="00F46C5F"/>
    <w:rsid w:val="00F50519"/>
    <w:rsid w:val="00F51ACD"/>
    <w:rsid w:val="00F632C0"/>
    <w:rsid w:val="00F65EBA"/>
    <w:rsid w:val="00F672FA"/>
    <w:rsid w:val="00F7186B"/>
    <w:rsid w:val="00F74694"/>
    <w:rsid w:val="00F75987"/>
    <w:rsid w:val="00F76802"/>
    <w:rsid w:val="00F87133"/>
    <w:rsid w:val="00F8719D"/>
    <w:rsid w:val="00F94A63"/>
    <w:rsid w:val="00F958B5"/>
    <w:rsid w:val="00F9647F"/>
    <w:rsid w:val="00FA1585"/>
    <w:rsid w:val="00FA1C28"/>
    <w:rsid w:val="00FA3469"/>
    <w:rsid w:val="00FB1279"/>
    <w:rsid w:val="00FB6B76"/>
    <w:rsid w:val="00FB7596"/>
    <w:rsid w:val="00FC1030"/>
    <w:rsid w:val="00FD7016"/>
    <w:rsid w:val="00FE1129"/>
    <w:rsid w:val="00FE1319"/>
    <w:rsid w:val="00FE4077"/>
    <w:rsid w:val="00FE500D"/>
    <w:rsid w:val="00FE77D2"/>
    <w:rsid w:val="00FF3DFB"/>
    <w:rsid w:val="00FF5582"/>
    <w:rsid w:val="06CE0097"/>
    <w:rsid w:val="083DA854"/>
    <w:rsid w:val="08E20AC0"/>
    <w:rsid w:val="093A4DA1"/>
    <w:rsid w:val="0C92AB6B"/>
    <w:rsid w:val="0E218A23"/>
    <w:rsid w:val="156AFA2E"/>
    <w:rsid w:val="15A823C6"/>
    <w:rsid w:val="15DFA71E"/>
    <w:rsid w:val="17179A40"/>
    <w:rsid w:val="179A29A0"/>
    <w:rsid w:val="1D61B341"/>
    <w:rsid w:val="1E752172"/>
    <w:rsid w:val="1F254BD4"/>
    <w:rsid w:val="2127B9DD"/>
    <w:rsid w:val="277202DD"/>
    <w:rsid w:val="29B2B2F8"/>
    <w:rsid w:val="29D781B8"/>
    <w:rsid w:val="2EB084E8"/>
    <w:rsid w:val="2EC7A4C8"/>
    <w:rsid w:val="301E54FF"/>
    <w:rsid w:val="32529708"/>
    <w:rsid w:val="3377F7A0"/>
    <w:rsid w:val="374B11F6"/>
    <w:rsid w:val="38160110"/>
    <w:rsid w:val="3B0A7C3E"/>
    <w:rsid w:val="3BD942A8"/>
    <w:rsid w:val="3C3C8082"/>
    <w:rsid w:val="3D44F2AB"/>
    <w:rsid w:val="3EE357EE"/>
    <w:rsid w:val="40ED9A19"/>
    <w:rsid w:val="4E22A0BB"/>
    <w:rsid w:val="50EB68E0"/>
    <w:rsid w:val="5F995185"/>
    <w:rsid w:val="61718868"/>
    <w:rsid w:val="61B99C04"/>
    <w:rsid w:val="625B8B82"/>
    <w:rsid w:val="64862CD8"/>
    <w:rsid w:val="6BE0FD97"/>
    <w:rsid w:val="7111303B"/>
    <w:rsid w:val="775CF135"/>
    <w:rsid w:val="7BFC05AB"/>
    <w:rsid w:val="7EF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4A81CF9C-64AD-4A19-BF5E-4A16A21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A612D"/>
    <w:pPr>
      <w:keepNext/>
      <w:keepLines/>
      <w:spacing w:before="360"/>
      <w:ind w:left="567" w:hanging="567"/>
      <w:outlineLvl w:val="0"/>
    </w:pPr>
    <w:rPr>
      <w:rFonts w:eastAsiaTheme="minorEastAsia"/>
      <w:b/>
      <w:sz w:val="28"/>
      <w:szCs w:val="28"/>
    </w:rPr>
  </w:style>
  <w:style w:type="paragraph" w:styleId="Heading2">
    <w:name w:val="heading 2"/>
    <w:basedOn w:val="Heading1"/>
    <w:next w:val="Normal"/>
    <w:qFormat/>
    <w:rsid w:val="008B3B86"/>
    <w:pPr>
      <w:spacing w:before="240"/>
      <w:outlineLvl w:val="1"/>
    </w:pPr>
    <w:rPr>
      <w:sz w:val="24"/>
      <w:lang w:val="en-US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970514"/>
    <w:pPr>
      <w:spacing w:after="240"/>
      <w:jc w:val="center"/>
    </w:pPr>
    <w:rPr>
      <w:noProof/>
    </w:r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paragraph" w:styleId="CommentText">
    <w:name w:val="annotation text"/>
    <w:basedOn w:val="Normal"/>
    <w:link w:val="CommentTextChar"/>
    <w:unhideWhenUsed/>
    <w:rsid w:val="006139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398D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61398D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61398D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553B"/>
    <w:rPr>
      <w:rFonts w:ascii="Calibri" w:hAnsi="Calibri"/>
      <w:b/>
      <w:bCs/>
      <w:lang w:val="en-GB" w:eastAsia="en-US"/>
    </w:rPr>
  </w:style>
  <w:style w:type="paragraph" w:customStyle="1" w:styleId="Reasons">
    <w:name w:val="Reasons"/>
    <w:basedOn w:val="Normal"/>
    <w:qFormat/>
    <w:rsid w:val="00EE3CB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5B4F1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council/cwg-fhr/Pages/default.aspx" TargetMode="External"/><Relationship Id="rId18" Type="http://schemas.openxmlformats.org/officeDocument/2006/relationships/hyperlink" Target="https://www.itu.int/md/S22-CL-C-0040/en" TargetMode="External"/><Relationship Id="rId26" Type="http://schemas.openxmlformats.org/officeDocument/2006/relationships/hyperlink" Target="https://www.itu.int/md/S24-CL-C-0053/en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itu.int/md/S23-CL-C-0050/en" TargetMode="External"/><Relationship Id="rId34" Type="http://schemas.openxmlformats.org/officeDocument/2006/relationships/image" Target="media/image2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1-CL-INF-0015/en" TargetMode="External"/><Relationship Id="rId20" Type="http://schemas.openxmlformats.org/officeDocument/2006/relationships/hyperlink" Target="https://www.itu.int/md/S23-CL-C-0036/en" TargetMode="External"/><Relationship Id="rId29" Type="http://schemas.openxmlformats.org/officeDocument/2006/relationships/hyperlink" Target="https://www.itu.int/md/S25-CL-C-0055/en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084/en" TargetMode="External"/><Relationship Id="rId24" Type="http://schemas.openxmlformats.org/officeDocument/2006/relationships/hyperlink" Target="https://www.itu.int/md/S23-CL-INF-0013/en" TargetMode="External"/><Relationship Id="rId32" Type="http://schemas.openxmlformats.org/officeDocument/2006/relationships/hyperlink" Target="https://www.itu.int/md/S23-CL-INF-0011/en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0-CL-C-0074/en" TargetMode="External"/><Relationship Id="rId23" Type="http://schemas.openxmlformats.org/officeDocument/2006/relationships/hyperlink" Target="https://www.itu.int/md/S23-CL-INF-0011/en" TargetMode="External"/><Relationship Id="rId28" Type="http://schemas.openxmlformats.org/officeDocument/2006/relationships/hyperlink" Target="https://www.itu.int/md/S25-CL-C-0050/en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2-CL-C-0057/en" TargetMode="External"/><Relationship Id="rId31" Type="http://schemas.openxmlformats.org/officeDocument/2006/relationships/hyperlink" Target="https://www.itu.int/md/S23-CL-INF-0011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0-CL-C-0061/en" TargetMode="External"/><Relationship Id="rId22" Type="http://schemas.openxmlformats.org/officeDocument/2006/relationships/hyperlink" Target="https://www.itu.int/md/S23-CL-C-0063/en" TargetMode="External"/><Relationship Id="rId27" Type="http://schemas.openxmlformats.org/officeDocument/2006/relationships/hyperlink" Target="https://www.itu.int/md/S24-CL-C-0031/en" TargetMode="External"/><Relationship Id="rId30" Type="http://schemas.openxmlformats.org/officeDocument/2006/relationships/hyperlink" Target="https://www.itu.int/md/S25-CL-C-0066/en" TargetMode="External"/><Relationship Id="rId35" Type="http://schemas.openxmlformats.org/officeDocument/2006/relationships/image" Target="media/image3.pn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md/S25-CL-C-0084/en" TargetMode="External"/><Relationship Id="rId17" Type="http://schemas.openxmlformats.org/officeDocument/2006/relationships/hyperlink" Target="https://www.itu.int/md/S22-CL-INF-0013/en" TargetMode="External"/><Relationship Id="rId25" Type="http://schemas.openxmlformats.org/officeDocument/2006/relationships/hyperlink" Target="https://www.itu.int/md/S24-CL-C-0019/en" TargetMode="External"/><Relationship Id="rId33" Type="http://schemas.openxmlformats.org/officeDocument/2006/relationships/image" Target="media/image1.png"/><Relationship Id="rId38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C3555-FA0A-49B8-9871-C1F2A59CB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FCF49-78BD-4B38-986A-E3FEA6B5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27C9A-418E-4081-99FB-FF1C22B34192}">
  <ds:schemaRefs>
    <ds:schemaRef ds:uri="http://purl.org/dc/elements/1.1/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1522</Words>
  <Characters>11327</Characters>
  <Application>Microsoft Office Word</Application>
  <DocSecurity>0</DocSecurity>
  <Lines>213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Strengthening ITU’s digital foundations for transformation: Strategy, enterprise architecture, ICT governance and IT operating model</vt:lpstr>
    </vt:vector>
  </TitlesOfParts>
  <Manager/>
  <Company/>
  <LinksUpToDate>false</LinksUpToDate>
  <CharactersWithSpaces>12732</CharactersWithSpaces>
  <SharedDoc>false</SharedDoc>
  <HLinks>
    <vt:vector size="144" baseType="variant">
      <vt:variant>
        <vt:i4>1966161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https://www.itu.int/md/S23-CL-INF-0011/en</vt:lpwstr>
      </vt:variant>
      <vt:variant>
        <vt:lpwstr/>
      </vt:variant>
      <vt:variant>
        <vt:i4>1966161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https://www.itu.int/md/S23-CL-INF-0011/en</vt:lpwstr>
      </vt:variant>
      <vt:variant>
        <vt:lpwstr/>
      </vt:variant>
      <vt:variant>
        <vt:i4>7405626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https://www.itu.int/md/S25-CL-C-0066/en</vt:lpwstr>
      </vt:variant>
      <vt:variant>
        <vt:lpwstr/>
      </vt:variant>
      <vt:variant>
        <vt:i4>7471161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https://www.itu.int/md/S25-CL-C-0055/en</vt:lpwstr>
      </vt:variant>
      <vt:variant>
        <vt:lpwstr/>
      </vt:variant>
      <vt:variant>
        <vt:i4>7798841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https://www.itu.int/md/S25-CL-C-0050/en</vt:lpwstr>
      </vt:variant>
      <vt:variant>
        <vt:lpwstr/>
      </vt:variant>
      <vt:variant>
        <vt:i4>7798847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https://www.itu.int/md/S24-CL-C-0031/en</vt:lpwstr>
      </vt:variant>
      <vt:variant>
        <vt:lpwstr/>
      </vt:variant>
      <vt:variant>
        <vt:i4>7667769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https://www.itu.int/md/S24-CL-C-0053/en</vt:lpwstr>
      </vt:variant>
      <vt:variant>
        <vt:lpwstr/>
      </vt:variant>
      <vt:variant>
        <vt:i4>8323133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https://www.itu.int/md/S24-CL-C-0019/en</vt:lpwstr>
      </vt:variant>
      <vt:variant>
        <vt:lpwstr/>
      </vt:variant>
      <vt:variant>
        <vt:i4>1835089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https://www.itu.int/md/S23-CL-INF-0013/en</vt:lpwstr>
      </vt:variant>
      <vt:variant>
        <vt:lpwstr/>
      </vt:variant>
      <vt:variant>
        <vt:i4>1966161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https://www.itu.int/md/S23-CL-INF-0011/en</vt:lpwstr>
      </vt:variant>
      <vt:variant>
        <vt:lpwstr/>
      </vt:variant>
      <vt:variant>
        <vt:i4>7471162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https://www.itu.int/md/S23-CL-C-0063/en</vt:lpwstr>
      </vt:variant>
      <vt:variant>
        <vt:lpwstr/>
      </vt:variant>
      <vt:variant>
        <vt:i4>7405625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https://www.itu.int/md/S23-CL-C-0050/en</vt:lpwstr>
      </vt:variant>
      <vt:variant>
        <vt:lpwstr/>
      </vt:variant>
      <vt:variant>
        <vt:i4>7798847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https://www.itu.int/md/S23-CL-C-0036/en</vt:lpwstr>
      </vt:variant>
      <vt:variant>
        <vt:lpwstr/>
      </vt:variant>
      <vt:variant>
        <vt:i4>7798841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https://www.itu.int/md/S22-CL-C-0057/en</vt:lpwstr>
      </vt:variant>
      <vt:variant>
        <vt:lpwstr/>
      </vt:variant>
      <vt:variant>
        <vt:i4>7340088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https://www.itu.int/md/S22-CL-C-0040/en</vt:lpwstr>
      </vt:variant>
      <vt:variant>
        <vt:lpwstr/>
      </vt:variant>
      <vt:variant>
        <vt:i4>1900625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https://www.itu.int/md/S22-CL-INF-0013/en</vt:lpwstr>
      </vt:variant>
      <vt:variant>
        <vt:lpwstr/>
      </vt:variant>
      <vt:variant>
        <vt:i4>1572945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https://www.itu.int/md/S21-CL-INF-0015/en</vt:lpwstr>
      </vt:variant>
      <vt:variant>
        <vt:lpwstr/>
      </vt:variant>
      <vt:variant>
        <vt:i4>7733307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https://www.itu.int/md/S20-CL-C-0074/en</vt:lpwstr>
      </vt:variant>
      <vt:variant>
        <vt:lpwstr/>
      </vt:variant>
      <vt:variant>
        <vt:i4>7536698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https://www.itu.int/md/S20-CL-C-0061/en</vt:lpwstr>
      </vt:variant>
      <vt:variant>
        <vt:lpwstr/>
      </vt:variant>
      <vt:variant>
        <vt:i4>4325455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https://www.itu.int/en/council/cwg-fhr/Pages/default.aspx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https://www.itu.int/md/S25-CL-C-0084/en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https://www.itu.int/md/S25-CL-C-0084/en</vt:lpwstr>
      </vt:variant>
      <vt:variant>
        <vt:lpwstr/>
      </vt:variant>
      <vt:variant>
        <vt:i4>3342442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https://council.itu.int/2026/en/working-groups/</vt:lpwstr>
      </vt:variant>
      <vt:variant>
        <vt:lpwstr/>
      </vt:variant>
      <vt:variant>
        <vt:i4>4849697</vt:i4>
      </vt:variant>
      <vt:variant>
        <vt:i4>0</vt:i4>
      </vt:variant>
      <vt:variant>
        <vt:i4>0</vt:i4>
      </vt:variant>
      <vt:variant>
        <vt:i4>5</vt:i4>
      </vt:variant>
      <vt:variant>
        <vt:lpwstr>mailto:beatrice.pluchon@itu.int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ITU’s internal digital foundations for transformation: Strategy, enterprise architecture, ICT governance and IT operating model</dc:title>
  <dc:subject>ITU Council Working Group on Financial and Human Resources</dc:subject>
  <dc:creator/>
  <cp:keywords>CWG-FHR; C26; Council-26</cp:keywords>
  <dc:description/>
  <cp:lastModifiedBy>GBS</cp:lastModifiedBy>
  <cp:revision>3</cp:revision>
  <dcterms:created xsi:type="dcterms:W3CDTF">2025-12-15T18:14:00Z</dcterms:created>
  <dcterms:modified xsi:type="dcterms:W3CDTF">2025-12-15T18:19:00Z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