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A85935"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2B10FC16" w:rsidR="00AD3606" w:rsidRPr="00A94376" w:rsidRDefault="00AD3606" w:rsidP="00472BAD">
            <w:pPr>
              <w:tabs>
                <w:tab w:val="left" w:pos="851"/>
              </w:tabs>
              <w:spacing w:before="0" w:line="240" w:lineRule="atLeast"/>
              <w:jc w:val="right"/>
              <w:rPr>
                <w:b/>
                <w:lang w:val="it-IT"/>
              </w:rPr>
            </w:pPr>
            <w:r w:rsidRPr="00A94376">
              <w:rPr>
                <w:b/>
                <w:lang w:val="it-IT"/>
              </w:rPr>
              <w:t>Document C</w:t>
            </w:r>
            <w:r w:rsidR="00A52C84" w:rsidRPr="00A94376">
              <w:rPr>
                <w:b/>
                <w:lang w:val="it-IT"/>
              </w:rPr>
              <w:t>WG-</w:t>
            </w:r>
            <w:r w:rsidR="009F347C" w:rsidRPr="00A94376">
              <w:rPr>
                <w:b/>
                <w:lang w:val="it-IT"/>
              </w:rPr>
              <w:t>FHR</w:t>
            </w:r>
            <w:r w:rsidR="00A52C84" w:rsidRPr="00A94376">
              <w:rPr>
                <w:b/>
                <w:lang w:val="it-IT"/>
              </w:rPr>
              <w:t>-</w:t>
            </w:r>
            <w:r w:rsidR="001C540D">
              <w:rPr>
                <w:b/>
                <w:lang w:val="it-IT"/>
              </w:rPr>
              <w:t>22</w:t>
            </w:r>
            <w:r w:rsidRPr="00A94376">
              <w:rPr>
                <w:b/>
                <w:lang w:val="it-IT"/>
              </w:rPr>
              <w:t>/</w:t>
            </w:r>
            <w:r w:rsidR="00261150">
              <w:rPr>
                <w:b/>
                <w:lang w:val="it-IT"/>
              </w:rPr>
              <w:t>12</w:t>
            </w:r>
          </w:p>
        </w:tc>
      </w:tr>
      <w:tr w:rsidR="00AD3606" w:rsidRPr="00A94376" w14:paraId="789B45BA" w14:textId="77777777" w:rsidTr="00AD3606">
        <w:trPr>
          <w:cantSplit/>
        </w:trPr>
        <w:tc>
          <w:tcPr>
            <w:tcW w:w="3969" w:type="dxa"/>
            <w:vMerge/>
          </w:tcPr>
          <w:p w14:paraId="3F3D4E17" w14:textId="77777777" w:rsidR="00AD3606" w:rsidRPr="009B2D4B"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6610B121" w:rsidR="00AD3606" w:rsidRPr="00A94376" w:rsidRDefault="00261150" w:rsidP="00AD3606">
            <w:pPr>
              <w:tabs>
                <w:tab w:val="left" w:pos="851"/>
              </w:tabs>
              <w:spacing w:before="0"/>
              <w:jc w:val="right"/>
              <w:rPr>
                <w:b/>
              </w:rPr>
            </w:pPr>
            <w:r>
              <w:rPr>
                <w:b/>
              </w:rPr>
              <w:t>11</w:t>
            </w:r>
            <w:r w:rsidR="00A8405F">
              <w:rPr>
                <w:b/>
              </w:rPr>
              <w:t xml:space="preserve"> December</w:t>
            </w:r>
            <w:r w:rsidR="00811C82">
              <w:rPr>
                <w:b/>
              </w:rPr>
              <w:t xml:space="preserve"> 2025</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E85629" w:rsidRDefault="00891503" w:rsidP="00AD3606">
            <w:pPr>
              <w:tabs>
                <w:tab w:val="left" w:pos="851"/>
              </w:tabs>
              <w:spacing w:before="0" w:line="240" w:lineRule="atLeast"/>
              <w:jc w:val="right"/>
              <w:rPr>
                <w:b/>
              </w:rPr>
            </w:pPr>
            <w:r>
              <w:rPr>
                <w:b/>
              </w:rPr>
              <w:t>English</w:t>
            </w:r>
            <w:r w:rsidR="009B2D4B">
              <w:rPr>
                <w:b/>
              </w:rPr>
              <w:t xml:space="preserve">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5A8450D3" w:rsidR="00AD3606" w:rsidRPr="00676C7D" w:rsidRDefault="006552DC" w:rsidP="00676C7D">
            <w:pPr>
              <w:pStyle w:val="Source"/>
              <w:framePr w:hSpace="0" w:wrap="auto" w:vAnchor="margin" w:hAnchor="text" w:xAlign="left" w:yAlign="inline"/>
            </w:pPr>
            <w:bookmarkStart w:id="8" w:name="dsource" w:colFirst="0" w:colLast="0"/>
            <w:bookmarkEnd w:id="7"/>
            <w:r w:rsidRPr="006552DC">
              <w:t>Report</w:t>
            </w:r>
            <w:r w:rsidR="00AD3606" w:rsidRPr="00676C7D">
              <w:t xml:space="preserve"> by the </w:t>
            </w:r>
            <w:r w:rsidR="00273D84">
              <w:t>Secretary-General</w:t>
            </w:r>
          </w:p>
        </w:tc>
      </w:tr>
      <w:tr w:rsidR="00AD3606" w:rsidRPr="00813E5E" w14:paraId="2340750D" w14:textId="77777777" w:rsidTr="00AD3606">
        <w:trPr>
          <w:cantSplit/>
        </w:trPr>
        <w:tc>
          <w:tcPr>
            <w:tcW w:w="9214" w:type="dxa"/>
            <w:gridSpan w:val="2"/>
            <w:tcMar>
              <w:left w:w="0" w:type="dxa"/>
            </w:tcMar>
          </w:tcPr>
          <w:p w14:paraId="47B91AA8" w14:textId="5F546C0E" w:rsidR="00AD3606" w:rsidRPr="00676C7D" w:rsidRDefault="002541DF" w:rsidP="00676C7D">
            <w:pPr>
              <w:pStyle w:val="Subtitle"/>
              <w:framePr w:hSpace="0" w:wrap="auto" w:xAlign="left" w:yAlign="inline"/>
            </w:pPr>
            <w:bookmarkStart w:id="9" w:name="dtitle1" w:colFirst="0" w:colLast="0"/>
            <w:bookmarkEnd w:id="8"/>
            <w:r>
              <w:rPr>
                <w:lang w:eastAsia="zh-CN"/>
              </w:rPr>
              <w:t>PEOPLE AND CULTURE INITIATIVES</w:t>
            </w:r>
          </w:p>
        </w:tc>
      </w:tr>
      <w:tr w:rsidR="00AD3606" w:rsidRPr="00811C82"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3FD6B8BF" w14:textId="77777777" w:rsidR="00811C82" w:rsidRPr="00A40033" w:rsidRDefault="00811C82" w:rsidP="00811C82">
            <w:pPr>
              <w:spacing w:before="160"/>
              <w:jc w:val="both"/>
            </w:pPr>
            <w:r w:rsidRPr="00C073E9">
              <w:t>In line with the People and Culture pillar of the ITU Transformation Roadmap and the Human Resources Transformation Plan</w:t>
            </w:r>
            <w:r w:rsidRPr="00A30938">
              <w:t>, ITU continues to advance initiatives under the People and Culture framework to foster an inclusive, engaged and high-performing workforce. This</w:t>
            </w:r>
            <w:r>
              <w:rPr>
                <w:rFonts w:hint="eastAsia"/>
                <w:lang w:eastAsia="zh-CN"/>
              </w:rPr>
              <w:t xml:space="preserve"> information </w:t>
            </w:r>
            <w:r w:rsidRPr="00A30938">
              <w:t xml:space="preserve">document provides an update on key initiatives, including the Leadership Development Programme, the </w:t>
            </w:r>
            <w:r>
              <w:rPr>
                <w:rFonts w:hint="eastAsia"/>
                <w:lang w:eastAsia="zh-CN"/>
              </w:rPr>
              <w:t xml:space="preserve">Mental Health and </w:t>
            </w:r>
            <w:r w:rsidRPr="00A30938">
              <w:t>Well-being Action Plan, the Reward and Recognition Framework and the Employee Engagement Survey and its follow-up actions.</w:t>
            </w:r>
          </w:p>
          <w:p w14:paraId="5076D5C4" w14:textId="28F00572" w:rsidR="00AD3606" w:rsidRPr="00F16BAB" w:rsidRDefault="00AD3606" w:rsidP="00F16BAB">
            <w:pPr>
              <w:spacing w:before="160"/>
              <w:rPr>
                <w:b/>
                <w:bCs/>
                <w:sz w:val="26"/>
                <w:szCs w:val="26"/>
              </w:rPr>
            </w:pPr>
            <w:r w:rsidRPr="00F16BAB">
              <w:rPr>
                <w:b/>
                <w:bCs/>
                <w:sz w:val="26"/>
                <w:szCs w:val="26"/>
              </w:rPr>
              <w:t>Action required</w:t>
            </w:r>
          </w:p>
          <w:p w14:paraId="53A776F1" w14:textId="7F904EBE" w:rsidR="00891503" w:rsidRDefault="006552DC" w:rsidP="00555DFB">
            <w:pPr>
              <w:spacing w:before="160"/>
              <w:jc w:val="both"/>
            </w:pPr>
            <w:r w:rsidRPr="006552DC">
              <w:t>T</w:t>
            </w:r>
            <w:r w:rsidR="004F5EC4" w:rsidRPr="006552DC">
              <w:t xml:space="preserve">he Council Working Group on </w:t>
            </w:r>
            <w:r w:rsidR="001C1EAF" w:rsidRPr="006552DC">
              <w:t xml:space="preserve">financial </w:t>
            </w:r>
            <w:r w:rsidR="004F5EC4" w:rsidRPr="006552DC">
              <w:t xml:space="preserve">and </w:t>
            </w:r>
            <w:r w:rsidR="001C1EAF" w:rsidRPr="006552DC">
              <w:t xml:space="preserve">human resources </w:t>
            </w:r>
            <w:r w:rsidRPr="006552DC">
              <w:t xml:space="preserve">is invited to </w:t>
            </w:r>
            <w:r w:rsidRPr="006552DC">
              <w:rPr>
                <w:b/>
                <w:bCs/>
              </w:rPr>
              <w:t>note</w:t>
            </w:r>
            <w:r w:rsidRPr="006552DC">
              <w:t xml:space="preserve"> this document</w:t>
            </w:r>
            <w:r w:rsidR="004F5EC4" w:rsidRPr="006552DC">
              <w:t>.</w:t>
            </w:r>
          </w:p>
          <w:p w14:paraId="5FBA6FD5" w14:textId="77777777" w:rsidR="009B5104" w:rsidRDefault="009B5104">
            <w:r>
              <w:t>_______________</w:t>
            </w:r>
          </w:p>
          <w:p w14:paraId="00DEE14C" w14:textId="77777777" w:rsidR="00AD3606" w:rsidRDefault="00AD3606" w:rsidP="00F16BAB">
            <w:pPr>
              <w:spacing w:before="160"/>
              <w:rPr>
                <w:b/>
                <w:bCs/>
                <w:sz w:val="26"/>
                <w:szCs w:val="26"/>
              </w:rPr>
            </w:pPr>
            <w:r w:rsidRPr="00F16BAB">
              <w:rPr>
                <w:b/>
                <w:bCs/>
                <w:sz w:val="26"/>
                <w:szCs w:val="26"/>
              </w:rPr>
              <w:t>References</w:t>
            </w:r>
          </w:p>
          <w:p w14:paraId="0175CD6C" w14:textId="30280A28" w:rsidR="00AD3606" w:rsidRPr="00811C82" w:rsidRDefault="00FD7016" w:rsidP="00F16BAB">
            <w:pPr>
              <w:spacing w:after="160"/>
              <w:rPr>
                <w:i/>
                <w:iCs/>
                <w:sz w:val="22"/>
                <w:szCs w:val="22"/>
                <w:lang w:val="fr-FR"/>
              </w:rPr>
            </w:pPr>
            <w:hyperlink r:id="rId11" w:history="1">
              <w:proofErr w:type="spellStart"/>
              <w:r w:rsidRPr="00811C82">
                <w:rPr>
                  <w:rStyle w:val="Hyperlink"/>
                  <w:i/>
                  <w:iCs/>
                  <w:sz w:val="22"/>
                  <w:szCs w:val="22"/>
                  <w:lang w:val="fr-FR"/>
                </w:rPr>
                <w:t>CWG-FHR</w:t>
              </w:r>
              <w:proofErr w:type="spellEnd"/>
              <w:r w:rsidRPr="00811C82">
                <w:rPr>
                  <w:rStyle w:val="Hyperlink"/>
                  <w:i/>
                  <w:iCs/>
                  <w:sz w:val="22"/>
                  <w:szCs w:val="22"/>
                  <w:lang w:val="fr-FR"/>
                </w:rPr>
                <w:t xml:space="preserve"> </w:t>
              </w:r>
              <w:proofErr w:type="spellStart"/>
              <w:r w:rsidRPr="00811C82">
                <w:rPr>
                  <w:rStyle w:val="Hyperlink"/>
                  <w:i/>
                  <w:iCs/>
                  <w:sz w:val="22"/>
                  <w:szCs w:val="22"/>
                  <w:lang w:val="fr-FR"/>
                </w:rPr>
                <w:t>website</w:t>
              </w:r>
              <w:proofErr w:type="spellEnd"/>
            </w:hyperlink>
            <w:r w:rsidRPr="00811C82">
              <w:rPr>
                <w:i/>
                <w:iCs/>
                <w:sz w:val="22"/>
                <w:szCs w:val="22"/>
                <w:lang w:val="fr-FR"/>
              </w:rPr>
              <w:t>;</w:t>
            </w:r>
            <w:r w:rsidR="00811C82" w:rsidRPr="00811C82">
              <w:rPr>
                <w:rFonts w:hint="eastAsia"/>
                <w:i/>
                <w:iCs/>
                <w:sz w:val="22"/>
                <w:szCs w:val="22"/>
                <w:lang w:val="fr-FR" w:eastAsia="zh-CN"/>
              </w:rPr>
              <w:t xml:space="preserve"> Document </w:t>
            </w:r>
            <w:hyperlink r:id="rId12" w:history="1">
              <w:proofErr w:type="spellStart"/>
              <w:r w:rsidR="00811C82" w:rsidRPr="00811C82">
                <w:rPr>
                  <w:rStyle w:val="Hyperlink"/>
                  <w:i/>
                  <w:iCs/>
                  <w:sz w:val="22"/>
                  <w:szCs w:val="22"/>
                  <w:lang w:val="fr-FR"/>
                </w:rPr>
                <w:t>C23</w:t>
              </w:r>
              <w:proofErr w:type="spellEnd"/>
              <w:r w:rsidR="00811C82" w:rsidRPr="00811C82">
                <w:rPr>
                  <w:rStyle w:val="Hyperlink"/>
                  <w:i/>
                  <w:iCs/>
                  <w:sz w:val="22"/>
                  <w:szCs w:val="22"/>
                  <w:lang w:val="fr-FR"/>
                </w:rPr>
                <w:t>/</w:t>
              </w:r>
              <w:proofErr w:type="spellStart"/>
              <w:r w:rsidR="00811C82" w:rsidRPr="00811C82">
                <w:rPr>
                  <w:rStyle w:val="Hyperlink"/>
                  <w:i/>
                  <w:iCs/>
                  <w:sz w:val="22"/>
                  <w:szCs w:val="22"/>
                  <w:lang w:val="fr-FR"/>
                </w:rPr>
                <w:t>INF</w:t>
              </w:r>
              <w:proofErr w:type="spellEnd"/>
              <w:r w:rsidR="00811C82" w:rsidRPr="00811C82">
                <w:rPr>
                  <w:rStyle w:val="Hyperlink"/>
                  <w:i/>
                  <w:iCs/>
                  <w:sz w:val="22"/>
                  <w:szCs w:val="22"/>
                  <w:lang w:val="fr-FR"/>
                </w:rPr>
                <w:t>/13</w:t>
              </w:r>
            </w:hyperlink>
          </w:p>
        </w:tc>
      </w:tr>
    </w:tbl>
    <w:p w14:paraId="4CDB8B60" w14:textId="77777777" w:rsidR="00E227F3" w:rsidRPr="00811C82" w:rsidRDefault="00E227F3">
      <w:pPr>
        <w:tabs>
          <w:tab w:val="clear" w:pos="567"/>
          <w:tab w:val="clear" w:pos="1134"/>
          <w:tab w:val="clear" w:pos="1701"/>
          <w:tab w:val="clear" w:pos="2268"/>
          <w:tab w:val="clear" w:pos="2835"/>
        </w:tabs>
        <w:overflowPunct/>
        <w:autoSpaceDE/>
        <w:autoSpaceDN/>
        <w:adjustRightInd/>
        <w:spacing w:before="0"/>
        <w:textAlignment w:val="auto"/>
        <w:rPr>
          <w:lang w:val="fr-FR"/>
        </w:rPr>
      </w:pPr>
      <w:bookmarkStart w:id="10" w:name="_Hlk133421428"/>
      <w:bookmarkEnd w:id="2"/>
      <w:bookmarkEnd w:id="9"/>
    </w:p>
    <w:bookmarkEnd w:id="3"/>
    <w:bookmarkEnd w:id="4"/>
    <w:p w14:paraId="1D7ED322" w14:textId="77777777" w:rsidR="0090147A" w:rsidRPr="00811C82" w:rsidRDefault="0090147A">
      <w:pPr>
        <w:tabs>
          <w:tab w:val="clear" w:pos="567"/>
          <w:tab w:val="clear" w:pos="1134"/>
          <w:tab w:val="clear" w:pos="1701"/>
          <w:tab w:val="clear" w:pos="2268"/>
          <w:tab w:val="clear" w:pos="2835"/>
        </w:tabs>
        <w:overflowPunct/>
        <w:autoSpaceDE/>
        <w:autoSpaceDN/>
        <w:adjustRightInd/>
        <w:spacing w:before="0"/>
        <w:textAlignment w:val="auto"/>
        <w:rPr>
          <w:b/>
          <w:lang w:val="fr-FR"/>
        </w:rPr>
      </w:pPr>
      <w:r w:rsidRPr="00811C82">
        <w:rPr>
          <w:lang w:val="fr-FR"/>
        </w:rPr>
        <w:br w:type="page"/>
      </w:r>
    </w:p>
    <w:bookmarkEnd w:id="5"/>
    <w:bookmarkEnd w:id="10"/>
    <w:p w14:paraId="7D8B75BB" w14:textId="77777777" w:rsidR="00811C82" w:rsidRPr="00811C82" w:rsidRDefault="00811C82" w:rsidP="005D10A6">
      <w:pPr>
        <w:pStyle w:val="Heading1"/>
      </w:pPr>
      <w:r w:rsidRPr="00811C82">
        <w:lastRenderedPageBreak/>
        <w:t>1</w:t>
      </w:r>
      <w:r w:rsidRPr="00811C82">
        <w:tab/>
        <w:t>Background</w:t>
      </w:r>
    </w:p>
    <w:p w14:paraId="6A308C9A" w14:textId="1D43E8D6" w:rsidR="00811C82" w:rsidRDefault="00811C82" w:rsidP="00811C82">
      <w:pPr>
        <w:jc w:val="both"/>
        <w:rPr>
          <w:shd w:val="clear" w:color="auto" w:fill="FFFFFF"/>
        </w:rPr>
      </w:pPr>
      <w:r w:rsidRPr="00A30938">
        <w:rPr>
          <w:shd w:val="clear" w:color="auto" w:fill="FFFFFF"/>
        </w:rPr>
        <w:t xml:space="preserve">As part of the implementation of the </w:t>
      </w:r>
      <w:r w:rsidRPr="00977D2A">
        <w:rPr>
          <w:shd w:val="clear" w:color="auto" w:fill="FFFFFF"/>
        </w:rPr>
        <w:t>Human Resources Transformation Plan</w:t>
      </w:r>
      <w:r w:rsidRPr="00A30938">
        <w:rPr>
          <w:shd w:val="clear" w:color="auto" w:fill="FFFFFF"/>
        </w:rPr>
        <w:t>,</w:t>
      </w:r>
      <w:r>
        <w:rPr>
          <w:rFonts w:hint="eastAsia"/>
          <w:shd w:val="clear" w:color="auto" w:fill="FFFFFF"/>
          <w:lang w:eastAsia="zh-CN"/>
        </w:rPr>
        <w:t xml:space="preserve"> </w:t>
      </w:r>
      <w:r w:rsidRPr="00A30938">
        <w:rPr>
          <w:shd w:val="clear" w:color="auto" w:fill="FFFFFF"/>
        </w:rPr>
        <w:t>ITU</w:t>
      </w:r>
      <w:r>
        <w:rPr>
          <w:rFonts w:hint="eastAsia"/>
          <w:shd w:val="clear" w:color="auto" w:fill="FFFFFF"/>
          <w:lang w:eastAsia="zh-CN"/>
        </w:rPr>
        <w:t xml:space="preserve"> </w:t>
      </w:r>
      <w:r w:rsidRPr="00A30938">
        <w:rPr>
          <w:shd w:val="clear" w:color="auto" w:fill="FFFFFF"/>
        </w:rPr>
        <w:t xml:space="preserve">has continued advancing initiatives under the </w:t>
      </w:r>
      <w:r w:rsidRPr="00A30938">
        <w:rPr>
          <w:b/>
          <w:bCs/>
          <w:shd w:val="clear" w:color="auto" w:fill="FFFFFF"/>
        </w:rPr>
        <w:t xml:space="preserve">People and Culture </w:t>
      </w:r>
      <w:r w:rsidR="0097780F" w:rsidRPr="00963464">
        <w:rPr>
          <w:shd w:val="clear" w:color="auto" w:fill="FFFFFF"/>
        </w:rPr>
        <w:t>pillar of the ITU Transformation Roadmap</w:t>
      </w:r>
      <w:r w:rsidRPr="00A30938">
        <w:rPr>
          <w:shd w:val="clear" w:color="auto" w:fill="FFFFFF"/>
        </w:rPr>
        <w:t>.</w:t>
      </w:r>
    </w:p>
    <w:p w14:paraId="638EF1F2" w14:textId="77777777" w:rsidR="00811C82" w:rsidRPr="005D10A6" w:rsidRDefault="00811C82" w:rsidP="00811C82">
      <w:pPr>
        <w:jc w:val="both"/>
        <w:rPr>
          <w:spacing w:val="-2"/>
          <w:shd w:val="clear" w:color="auto" w:fill="FFFFFF"/>
        </w:rPr>
      </w:pPr>
      <w:r w:rsidRPr="005D10A6">
        <w:rPr>
          <w:spacing w:val="-2"/>
          <w:lang w:eastAsia="zh-CN"/>
        </w:rPr>
        <w:t xml:space="preserve">These efforts reflect ITU’s commitment to fostering an inclusive, engaged, and high-performing workforce, aligned with its strategic objectives. The initiatives focus on leadership development, </w:t>
      </w:r>
      <w:r w:rsidRPr="005D10A6">
        <w:rPr>
          <w:rFonts w:hint="eastAsia"/>
          <w:spacing w:val="-2"/>
          <w:lang w:eastAsia="zh-CN"/>
        </w:rPr>
        <w:t>mental health and</w:t>
      </w:r>
      <w:r w:rsidRPr="005D10A6">
        <w:rPr>
          <w:spacing w:val="-2"/>
          <w:lang w:eastAsia="zh-CN"/>
        </w:rPr>
        <w:t xml:space="preserve"> well-being, reward and recognition, and employee engagement.</w:t>
      </w:r>
    </w:p>
    <w:p w14:paraId="7DE4B05F" w14:textId="6C9E7D7F" w:rsidR="00811C82" w:rsidRPr="005D10A6" w:rsidRDefault="00811C82" w:rsidP="005D10A6">
      <w:pPr>
        <w:pStyle w:val="Heading1"/>
      </w:pPr>
      <w:r w:rsidRPr="005D10A6">
        <w:rPr>
          <w:rFonts w:hint="eastAsia"/>
        </w:rPr>
        <w:t>2</w:t>
      </w:r>
      <w:r w:rsidRPr="005D10A6">
        <w:tab/>
        <w:t>People and Culture Initiatives</w:t>
      </w:r>
    </w:p>
    <w:p w14:paraId="494F1616" w14:textId="7DCCB284" w:rsidR="00811C82" w:rsidRPr="00483C8E" w:rsidRDefault="00811C82" w:rsidP="005D10A6">
      <w:pPr>
        <w:pStyle w:val="Heading2"/>
      </w:pPr>
      <w:r w:rsidRPr="00483C8E">
        <w:rPr>
          <w:rFonts w:hint="eastAsia"/>
        </w:rPr>
        <w:t>2</w:t>
      </w:r>
      <w:r w:rsidRPr="00483C8E">
        <w:t>.1</w:t>
      </w:r>
      <w:r w:rsidRPr="00483C8E">
        <w:tab/>
        <w:t>Leadership Development</w:t>
      </w:r>
    </w:p>
    <w:p w14:paraId="7A0F2148" w14:textId="4FBBB90F" w:rsidR="00811C82" w:rsidRPr="00A30938" w:rsidRDefault="00811C82" w:rsidP="685AB3BE">
      <w:pPr>
        <w:tabs>
          <w:tab w:val="clear" w:pos="567"/>
          <w:tab w:val="clear" w:pos="1134"/>
          <w:tab w:val="clear" w:pos="1701"/>
          <w:tab w:val="clear" w:pos="2268"/>
          <w:tab w:val="clear" w:pos="2835"/>
        </w:tabs>
        <w:overflowPunct/>
        <w:autoSpaceDE/>
        <w:autoSpaceDN/>
        <w:adjustRightInd/>
        <w:jc w:val="both"/>
        <w:textAlignment w:val="auto"/>
        <w:rPr>
          <w:lang w:eastAsia="zh-CN"/>
        </w:rPr>
      </w:pPr>
      <w:r w:rsidRPr="685AB3BE">
        <w:rPr>
          <w:lang w:eastAsia="zh-CN"/>
        </w:rPr>
        <w:t xml:space="preserve">In 2025, ITU continued a comprehensive </w:t>
      </w:r>
      <w:r w:rsidRPr="685AB3BE">
        <w:rPr>
          <w:b/>
          <w:bCs/>
          <w:lang w:eastAsia="zh-CN"/>
        </w:rPr>
        <w:t>Leadership Development Programme</w:t>
      </w:r>
      <w:r w:rsidRPr="685AB3BE">
        <w:rPr>
          <w:lang w:eastAsia="zh-CN"/>
        </w:rPr>
        <w:t xml:space="preserve"> </w:t>
      </w:r>
      <w:r w:rsidR="17FB6424" w:rsidRPr="685AB3BE">
        <w:rPr>
          <w:rFonts w:eastAsia="Calibri" w:cs="Calibri"/>
          <w:szCs w:val="24"/>
        </w:rPr>
        <w:t xml:space="preserve">that integrated the principles of inclusive and adaptive leadership, </w:t>
      </w:r>
      <w:r w:rsidRPr="685AB3BE">
        <w:rPr>
          <w:lang w:eastAsia="zh-CN"/>
        </w:rPr>
        <w:t>aimed at strengthening leadership capabilities and alignment across all levels of the organization. The programme seeks to foster a cohesive leadership culture built on accountability, trust, and collaboration, while supporting the Union’s transformation priorities.</w:t>
      </w:r>
    </w:p>
    <w:p w14:paraId="317CB873" w14:textId="35A937CB" w:rsidR="00811C82" w:rsidRDefault="33295182" w:rsidP="00517782">
      <w:pPr>
        <w:jc w:val="both"/>
        <w:rPr>
          <w:lang w:eastAsia="zh-CN"/>
        </w:rPr>
      </w:pPr>
      <w:r w:rsidRPr="685AB3BE">
        <w:rPr>
          <w:lang w:eastAsia="zh-CN"/>
        </w:rPr>
        <w:t xml:space="preserve">The </w:t>
      </w:r>
      <w:r w:rsidR="718157D4" w:rsidRPr="685AB3BE">
        <w:rPr>
          <w:lang w:eastAsia="zh-CN"/>
        </w:rPr>
        <w:t>p</w:t>
      </w:r>
      <w:r w:rsidRPr="685AB3BE">
        <w:rPr>
          <w:lang w:eastAsia="zh-CN"/>
        </w:rPr>
        <w:t xml:space="preserve">rogramme </w:t>
      </w:r>
      <w:r w:rsidR="546EB405" w:rsidRPr="685AB3BE">
        <w:rPr>
          <w:lang w:eastAsia="zh-CN"/>
        </w:rPr>
        <w:t>focused on</w:t>
      </w:r>
      <w:r w:rsidR="7D76E295" w:rsidRPr="685AB3BE">
        <w:rPr>
          <w:lang w:eastAsia="zh-CN"/>
        </w:rPr>
        <w:t xml:space="preserve"> </w:t>
      </w:r>
      <w:r w:rsidR="546EB405" w:rsidRPr="685AB3BE">
        <w:rPr>
          <w:lang w:eastAsia="zh-CN"/>
        </w:rPr>
        <w:t xml:space="preserve">inclusive </w:t>
      </w:r>
      <w:r w:rsidR="36A4722B" w:rsidRPr="685AB3BE">
        <w:rPr>
          <w:lang w:eastAsia="zh-CN"/>
        </w:rPr>
        <w:t xml:space="preserve">leadership </w:t>
      </w:r>
      <w:r w:rsidR="36A4722B" w:rsidRPr="685AB3BE">
        <w:t xml:space="preserve">(managing bias, identity and microaggressions, advancing gender and racial equity and inclusion, </w:t>
      </w:r>
      <w:r w:rsidR="36632201" w:rsidRPr="685AB3BE">
        <w:t xml:space="preserve">and </w:t>
      </w:r>
      <w:r w:rsidR="36A4722B" w:rsidRPr="685AB3BE">
        <w:t>fostering psychological safety) and</w:t>
      </w:r>
      <w:r w:rsidR="29578F06" w:rsidRPr="685AB3BE">
        <w:t xml:space="preserve"> </w:t>
      </w:r>
      <w:r w:rsidR="36A4722B" w:rsidRPr="685AB3BE">
        <w:t>adaptive leadership principles to support our management in leading effectively through uncertainty and change</w:t>
      </w:r>
      <w:r w:rsidR="546EB405" w:rsidRPr="685AB3BE">
        <w:rPr>
          <w:lang w:eastAsia="zh-CN"/>
        </w:rPr>
        <w:t>,</w:t>
      </w:r>
      <w:r w:rsidR="7DE1BC2E" w:rsidRPr="685AB3BE">
        <w:rPr>
          <w:lang w:eastAsia="zh-CN"/>
        </w:rPr>
        <w:t xml:space="preserve"> </w:t>
      </w:r>
      <w:r w:rsidRPr="685AB3BE">
        <w:rPr>
          <w:lang w:eastAsia="zh-CN"/>
        </w:rPr>
        <w:t>engag</w:t>
      </w:r>
      <w:r w:rsidR="546EB405" w:rsidRPr="685AB3BE">
        <w:rPr>
          <w:lang w:eastAsia="zh-CN"/>
        </w:rPr>
        <w:t>ing</w:t>
      </w:r>
      <w:r w:rsidRPr="685AB3BE">
        <w:rPr>
          <w:lang w:eastAsia="zh-CN"/>
        </w:rPr>
        <w:t xml:space="preserve"> </w:t>
      </w:r>
      <w:r w:rsidR="00811C82" w:rsidRPr="685AB3BE">
        <w:rPr>
          <w:lang w:eastAsia="zh-CN"/>
        </w:rPr>
        <w:t>elected officials</w:t>
      </w:r>
      <w:r w:rsidR="2CCC3019" w:rsidRPr="685AB3BE">
        <w:rPr>
          <w:lang w:eastAsia="zh-CN"/>
        </w:rPr>
        <w:t xml:space="preserve"> (</w:t>
      </w:r>
      <w:r w:rsidRPr="685AB3BE">
        <w:rPr>
          <w:lang w:eastAsia="zh-CN"/>
        </w:rPr>
        <w:t xml:space="preserve">with a </w:t>
      </w:r>
      <w:r w:rsidR="2CCC3019" w:rsidRPr="685AB3BE">
        <w:rPr>
          <w:lang w:eastAsia="zh-CN"/>
        </w:rPr>
        <w:t>dedicated workshop to enhance strategic leadership and alignment on key priorities)</w:t>
      </w:r>
      <w:r w:rsidR="00811C82" w:rsidRPr="685AB3BE">
        <w:rPr>
          <w:lang w:eastAsia="zh-CN"/>
        </w:rPr>
        <w:t>, senior managers</w:t>
      </w:r>
      <w:r w:rsidRPr="685AB3BE">
        <w:rPr>
          <w:lang w:eastAsia="zh-CN"/>
        </w:rPr>
        <w:t xml:space="preserve"> (</w:t>
      </w:r>
      <w:r w:rsidR="486067A6" w:rsidRPr="685AB3BE">
        <w:rPr>
          <w:lang w:eastAsia="zh-CN"/>
        </w:rPr>
        <w:t>building leadership capabilities to manage effectively in times of change</w:t>
      </w:r>
      <w:r w:rsidRPr="685AB3BE">
        <w:rPr>
          <w:lang w:eastAsia="zh-CN"/>
        </w:rPr>
        <w:t>)</w:t>
      </w:r>
      <w:r w:rsidR="00811C82" w:rsidRPr="685AB3BE">
        <w:rPr>
          <w:lang w:eastAsia="zh-CN"/>
        </w:rPr>
        <w:t>, and change makers</w:t>
      </w:r>
      <w:r w:rsidR="4A3C976D" w:rsidRPr="685AB3BE">
        <w:rPr>
          <w:lang w:eastAsia="zh-CN"/>
        </w:rPr>
        <w:t xml:space="preserve"> (</w:t>
      </w:r>
      <w:r w:rsidR="037582BB" w:rsidRPr="685AB3BE">
        <w:rPr>
          <w:lang w:eastAsia="zh-CN"/>
        </w:rPr>
        <w:t>to strengthen their role as champions of change across the organization</w:t>
      </w:r>
      <w:r w:rsidR="4A3C976D" w:rsidRPr="685AB3BE">
        <w:rPr>
          <w:lang w:eastAsia="zh-CN"/>
        </w:rPr>
        <w:t>)</w:t>
      </w:r>
      <w:r w:rsidR="00811C82" w:rsidRPr="685AB3BE">
        <w:rPr>
          <w:lang w:eastAsia="zh-CN"/>
        </w:rPr>
        <w:t>.</w:t>
      </w:r>
    </w:p>
    <w:p w14:paraId="18BCDFD5" w14:textId="05F5A3E8" w:rsidR="00811C82" w:rsidRPr="00483C8E" w:rsidRDefault="00811C82" w:rsidP="005D10A6">
      <w:pPr>
        <w:pStyle w:val="Heading2"/>
      </w:pPr>
      <w:r w:rsidRPr="00483C8E">
        <w:rPr>
          <w:rFonts w:hint="eastAsia"/>
        </w:rPr>
        <w:t>2</w:t>
      </w:r>
      <w:r w:rsidRPr="00483C8E">
        <w:t>.2</w:t>
      </w:r>
      <w:r w:rsidRPr="00483C8E">
        <w:tab/>
      </w:r>
      <w:r w:rsidRPr="00483C8E">
        <w:rPr>
          <w:rFonts w:hint="eastAsia"/>
        </w:rPr>
        <w:t xml:space="preserve">Mental Health and </w:t>
      </w:r>
      <w:r w:rsidRPr="00483C8E">
        <w:t xml:space="preserve">Well-being </w:t>
      </w:r>
      <w:r w:rsidRPr="00483C8E">
        <w:rPr>
          <w:rFonts w:hint="eastAsia"/>
        </w:rPr>
        <w:t>Action Plan</w:t>
      </w:r>
    </w:p>
    <w:p w14:paraId="20E3AFDE" w14:textId="54397175" w:rsidR="00811C82" w:rsidRPr="00D95C9A" w:rsidRDefault="00811C82" w:rsidP="00811C82">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pacing w:val="2"/>
          <w:lang w:eastAsia="zh-CN"/>
        </w:rPr>
      </w:pPr>
      <w:r w:rsidRPr="00D95C9A">
        <w:rPr>
          <w:rFonts w:asciiTheme="minorHAnsi" w:hAnsiTheme="minorHAnsi" w:cstheme="minorHAnsi"/>
          <w:spacing w:val="2"/>
          <w:lang w:eastAsia="zh-CN"/>
        </w:rPr>
        <w:t>Implementation of the</w:t>
      </w:r>
      <w:r w:rsidRPr="00D95C9A">
        <w:rPr>
          <w:rFonts w:asciiTheme="minorHAnsi" w:hAnsiTheme="minorHAnsi" w:cstheme="minorHAnsi"/>
          <w:b/>
          <w:bCs/>
          <w:spacing w:val="2"/>
          <w:lang w:eastAsia="zh-CN"/>
        </w:rPr>
        <w:t xml:space="preserve"> ITU Mental Health and Well-being Action Plan</w:t>
      </w:r>
      <w:r w:rsidRPr="00D95C9A">
        <w:rPr>
          <w:rFonts w:asciiTheme="minorHAnsi" w:hAnsiTheme="minorHAnsi" w:cstheme="minorHAnsi"/>
          <w:spacing w:val="2"/>
          <w:lang w:eastAsia="zh-CN"/>
        </w:rPr>
        <w:t xml:space="preserve"> remains a cornerstone of the People and Culture agenda. The Plan takes a holistic approach to well</w:t>
      </w:r>
      <w:r w:rsidR="00D95C9A">
        <w:rPr>
          <w:rFonts w:asciiTheme="minorHAnsi" w:hAnsiTheme="minorHAnsi" w:cstheme="minorHAnsi"/>
          <w:spacing w:val="2"/>
          <w:lang w:eastAsia="zh-CN"/>
        </w:rPr>
        <w:noBreakHyphen/>
      </w:r>
      <w:r w:rsidRPr="00D95C9A">
        <w:rPr>
          <w:rFonts w:asciiTheme="minorHAnsi" w:hAnsiTheme="minorHAnsi" w:cstheme="minorHAnsi"/>
          <w:spacing w:val="2"/>
          <w:lang w:eastAsia="zh-CN"/>
        </w:rPr>
        <w:t xml:space="preserve">being </w:t>
      </w:r>
      <w:r w:rsidR="00483C8E" w:rsidRPr="00D95C9A">
        <w:rPr>
          <w:rFonts w:asciiTheme="minorHAnsi" w:hAnsiTheme="minorHAnsi" w:cstheme="minorHAnsi"/>
          <w:spacing w:val="2"/>
          <w:lang w:eastAsia="zh-CN"/>
        </w:rPr>
        <w:t>—</w:t>
      </w:r>
      <w:r w:rsidRPr="00D95C9A">
        <w:rPr>
          <w:rFonts w:asciiTheme="minorHAnsi" w:hAnsiTheme="minorHAnsi" w:cstheme="minorHAnsi"/>
          <w:spacing w:val="2"/>
          <w:lang w:eastAsia="zh-CN"/>
        </w:rPr>
        <w:t>encompassing physical, psychological, and social dimensions</w:t>
      </w:r>
      <w:r w:rsidR="005D10A6">
        <w:rPr>
          <w:rFonts w:asciiTheme="minorHAnsi" w:hAnsiTheme="minorHAnsi" w:cstheme="minorHAnsi"/>
          <w:spacing w:val="2"/>
          <w:lang w:eastAsia="zh-CN"/>
        </w:rPr>
        <w:t>—</w:t>
      </w:r>
      <w:r w:rsidRPr="00D95C9A">
        <w:rPr>
          <w:rFonts w:asciiTheme="minorHAnsi" w:hAnsiTheme="minorHAnsi" w:cstheme="minorHAnsi"/>
          <w:spacing w:val="2"/>
          <w:lang w:eastAsia="zh-CN"/>
        </w:rPr>
        <w:t xml:space="preserve"> with a strong focus on prevention, early intervention, and sustained support.</w:t>
      </w:r>
    </w:p>
    <w:p w14:paraId="59DEA80C" w14:textId="77777777" w:rsidR="00811C82" w:rsidRDefault="00811C82" w:rsidP="00811C82">
      <w:pPr>
        <w:tabs>
          <w:tab w:val="clear" w:pos="567"/>
          <w:tab w:val="clear" w:pos="1134"/>
          <w:tab w:val="clear" w:pos="1701"/>
          <w:tab w:val="clear" w:pos="2268"/>
          <w:tab w:val="clear" w:pos="2835"/>
        </w:tabs>
        <w:overflowPunct/>
        <w:autoSpaceDE/>
        <w:autoSpaceDN/>
        <w:adjustRightInd/>
        <w:jc w:val="both"/>
        <w:textAlignment w:val="auto"/>
        <w:rPr>
          <w:lang w:eastAsia="zh-CN"/>
        </w:rPr>
      </w:pPr>
      <w:r w:rsidRPr="0010137B">
        <w:rPr>
          <w:lang w:eastAsia="zh-CN"/>
        </w:rPr>
        <w:t>Key initiatives include</w:t>
      </w:r>
      <w:r w:rsidRPr="00317DC4">
        <w:rPr>
          <w:lang w:eastAsia="zh-CN"/>
        </w:rPr>
        <w:t xml:space="preserve"> </w:t>
      </w:r>
      <w:r>
        <w:rPr>
          <w:rFonts w:hint="eastAsia"/>
          <w:lang w:eastAsia="zh-CN"/>
        </w:rPr>
        <w:t>the</w:t>
      </w:r>
      <w:r>
        <w:rPr>
          <w:lang w:eastAsia="zh-CN"/>
        </w:rPr>
        <w:t xml:space="preserve"> introduction of an</w:t>
      </w:r>
      <w:r>
        <w:rPr>
          <w:rFonts w:hint="eastAsia"/>
          <w:lang w:eastAsia="zh-CN"/>
        </w:rPr>
        <w:t xml:space="preserve"> </w:t>
      </w:r>
      <w:r>
        <w:rPr>
          <w:lang w:eastAsia="zh-CN"/>
        </w:rPr>
        <w:t>O</w:t>
      </w:r>
      <w:r w:rsidRPr="00317DC4">
        <w:rPr>
          <w:lang w:eastAsia="zh-CN"/>
        </w:rPr>
        <w:t>mbudsman</w:t>
      </w:r>
      <w:r w:rsidRPr="009E6A9D">
        <w:rPr>
          <w:lang w:eastAsia="zh-CN"/>
        </w:rPr>
        <w:t xml:space="preserve">, </w:t>
      </w:r>
      <w:r>
        <w:rPr>
          <w:rFonts w:hint="eastAsia"/>
          <w:lang w:eastAsia="zh-CN"/>
        </w:rPr>
        <w:t xml:space="preserve">the </w:t>
      </w:r>
      <w:r>
        <w:rPr>
          <w:lang w:eastAsia="zh-CN"/>
        </w:rPr>
        <w:t>‘</w:t>
      </w:r>
      <w:r>
        <w:rPr>
          <w:rFonts w:hint="eastAsia"/>
          <w:lang w:eastAsia="zh-CN"/>
        </w:rPr>
        <w:t>Where to Go</w:t>
      </w:r>
      <w:r>
        <w:rPr>
          <w:lang w:eastAsia="zh-CN"/>
        </w:rPr>
        <w:t>’</w:t>
      </w:r>
      <w:r>
        <w:rPr>
          <w:rFonts w:hint="eastAsia"/>
          <w:lang w:eastAsia="zh-CN"/>
        </w:rPr>
        <w:t xml:space="preserve"> guide</w:t>
      </w:r>
      <w:r w:rsidRPr="0010137B">
        <w:rPr>
          <w:lang w:eastAsia="zh-CN"/>
        </w:rPr>
        <w:t xml:space="preserve">, </w:t>
      </w:r>
      <w:r>
        <w:rPr>
          <w:rFonts w:hint="eastAsia"/>
          <w:lang w:eastAsia="zh-CN"/>
        </w:rPr>
        <w:t xml:space="preserve">effective communication </w:t>
      </w:r>
      <w:r>
        <w:rPr>
          <w:lang w:eastAsia="zh-CN"/>
        </w:rPr>
        <w:t>session</w:t>
      </w:r>
      <w:r>
        <w:rPr>
          <w:rFonts w:hint="eastAsia"/>
          <w:lang w:eastAsia="zh-CN"/>
        </w:rPr>
        <w:t xml:space="preserve">s, </w:t>
      </w:r>
      <w:r w:rsidRPr="0010137B">
        <w:rPr>
          <w:lang w:eastAsia="zh-CN"/>
        </w:rPr>
        <w:t xml:space="preserve">mental-health literacy training for staff and managers, individual counselling support, </w:t>
      </w:r>
      <w:r w:rsidRPr="00861ED3">
        <w:rPr>
          <w:lang w:eastAsia="zh-CN"/>
        </w:rPr>
        <w:t>the incorporation of stigma-reduction interventions</w:t>
      </w:r>
      <w:r>
        <w:rPr>
          <w:rFonts w:hint="eastAsia"/>
          <w:lang w:eastAsia="zh-CN"/>
        </w:rPr>
        <w:t xml:space="preserve">, </w:t>
      </w:r>
      <w:r w:rsidRPr="0010137B">
        <w:rPr>
          <w:lang w:eastAsia="zh-CN"/>
        </w:rPr>
        <w:t xml:space="preserve">and </w:t>
      </w:r>
      <w:r w:rsidRPr="00B668AE">
        <w:rPr>
          <w:lang w:eastAsia="zh-CN"/>
        </w:rPr>
        <w:t>return-to-work programmes</w:t>
      </w:r>
      <w:r>
        <w:rPr>
          <w:rFonts w:hint="eastAsia"/>
          <w:lang w:eastAsia="zh-CN"/>
        </w:rPr>
        <w:t>, among others (shown below in Figure 1)</w:t>
      </w:r>
      <w:r w:rsidRPr="0010137B">
        <w:rPr>
          <w:lang w:eastAsia="zh-CN"/>
        </w:rPr>
        <w:t>.</w:t>
      </w:r>
      <w:r>
        <w:rPr>
          <w:rFonts w:hint="eastAsia"/>
          <w:lang w:eastAsia="zh-CN"/>
        </w:rPr>
        <w:t xml:space="preserve"> </w:t>
      </w:r>
      <w:r w:rsidRPr="00A432D2">
        <w:rPr>
          <w:lang w:eastAsia="zh-CN"/>
        </w:rPr>
        <w:t>These measures are reinforced by cross-cutting actions related to leadership, investment, participation, and compliance, creating an enabling environment for lasting impact.</w:t>
      </w:r>
      <w:r>
        <w:rPr>
          <w:rFonts w:hint="eastAsia"/>
          <w:lang w:eastAsia="zh-CN"/>
        </w:rPr>
        <w:t xml:space="preserve"> </w:t>
      </w:r>
      <w:r w:rsidRPr="00A432D2">
        <w:rPr>
          <w:lang w:eastAsia="zh-CN"/>
        </w:rPr>
        <w:t xml:space="preserve">The Employee Engagement Survey and the Mental Health and Well-being Action Plan </w:t>
      </w:r>
      <w:r w:rsidRPr="005C671F">
        <w:rPr>
          <w:lang w:eastAsia="zh-CN"/>
        </w:rPr>
        <w:t>are closely aligned and</w:t>
      </w:r>
      <w:r>
        <w:rPr>
          <w:rFonts w:hint="eastAsia"/>
          <w:lang w:eastAsia="zh-CN"/>
        </w:rPr>
        <w:t xml:space="preserve"> </w:t>
      </w:r>
      <w:r w:rsidRPr="00A432D2">
        <w:rPr>
          <w:lang w:eastAsia="zh-CN"/>
        </w:rPr>
        <w:t>operate in a mutually reinforcing feedback loop</w:t>
      </w:r>
      <w:r>
        <w:rPr>
          <w:rFonts w:hint="eastAsia"/>
          <w:lang w:eastAsia="zh-CN"/>
        </w:rPr>
        <w:t>.</w:t>
      </w:r>
    </w:p>
    <w:p w14:paraId="60CDED70" w14:textId="77777777" w:rsidR="00811C82" w:rsidRPr="00811C82" w:rsidRDefault="00811C82" w:rsidP="005D10A6">
      <w:pPr>
        <w:pStyle w:val="FigureNo"/>
      </w:pPr>
      <w:r w:rsidRPr="005D10A6">
        <w:lastRenderedPageBreak/>
        <w:t>Figure</w:t>
      </w:r>
      <w:r w:rsidRPr="009E6A9D">
        <w:t xml:space="preserve"> 1</w:t>
      </w:r>
    </w:p>
    <w:p w14:paraId="5012E672" w14:textId="30D06CCF" w:rsidR="00811C82" w:rsidRPr="009E6A9D" w:rsidRDefault="00811C82" w:rsidP="00811C82">
      <w:pPr>
        <w:pStyle w:val="Figuretitle"/>
        <w:rPr>
          <w:bCs/>
        </w:rPr>
      </w:pPr>
      <w:r>
        <w:t xml:space="preserve">Progress </w:t>
      </w:r>
      <w:r w:rsidR="00517782" w:rsidRPr="00811C82">
        <w:t>update</w:t>
      </w:r>
      <w:r w:rsidR="00517782">
        <w:t xml:space="preserve"> </w:t>
      </w:r>
      <w:r>
        <w:t>as of November 2025</w:t>
      </w:r>
    </w:p>
    <w:p w14:paraId="4DE1AA60" w14:textId="77777777" w:rsidR="00811C82" w:rsidRPr="005D10A6" w:rsidRDefault="00811C82" w:rsidP="005D10A6">
      <w:pPr>
        <w:pStyle w:val="Figure"/>
      </w:pPr>
      <w:r w:rsidRPr="005D10A6">
        <w:drawing>
          <wp:inline distT="0" distB="0" distL="0" distR="0" wp14:anchorId="5782E9D4" wp14:editId="545140DB">
            <wp:extent cx="4195244" cy="2305050"/>
            <wp:effectExtent l="19050" t="19050" r="15240" b="19050"/>
            <wp:docPr id="12696137" name="Picture 1" descr="A diagram of a health care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6137" name="Picture 1" descr="A diagram of a health care system&#10;&#10;AI-generated content may be incorrect."/>
                    <pic:cNvPicPr/>
                  </pic:nvPicPr>
                  <pic:blipFill>
                    <a:blip r:embed="rId13"/>
                    <a:stretch>
                      <a:fillRect/>
                    </a:stretch>
                  </pic:blipFill>
                  <pic:spPr>
                    <a:xfrm>
                      <a:off x="0" y="0"/>
                      <a:ext cx="4274562" cy="2348631"/>
                    </a:xfrm>
                    <a:prstGeom prst="rect">
                      <a:avLst/>
                    </a:prstGeom>
                    <a:ln>
                      <a:solidFill>
                        <a:schemeClr val="tx1"/>
                      </a:solidFill>
                    </a:ln>
                  </pic:spPr>
                </pic:pic>
              </a:graphicData>
            </a:graphic>
          </wp:inline>
        </w:drawing>
      </w:r>
    </w:p>
    <w:p w14:paraId="18A7E17F" w14:textId="3FA5F3D0" w:rsidR="00811C82" w:rsidRPr="00E703B4" w:rsidRDefault="00811C82" w:rsidP="005D10A6">
      <w:pPr>
        <w:pStyle w:val="Heading2"/>
      </w:pPr>
      <w:r>
        <w:rPr>
          <w:rFonts w:hint="eastAsia"/>
        </w:rPr>
        <w:t>2</w:t>
      </w:r>
      <w:r w:rsidRPr="00E703B4">
        <w:t>.</w:t>
      </w:r>
      <w:r>
        <w:rPr>
          <w:rFonts w:hint="eastAsia"/>
        </w:rPr>
        <w:t>3</w:t>
      </w:r>
      <w:r>
        <w:tab/>
      </w:r>
      <w:r w:rsidRPr="00A30938">
        <w:t>Reward and Recognition</w:t>
      </w:r>
    </w:p>
    <w:p w14:paraId="7B828040" w14:textId="77777777" w:rsidR="00811C82" w:rsidRPr="0010137B" w:rsidRDefault="00811C82" w:rsidP="00811C82">
      <w:pPr>
        <w:tabs>
          <w:tab w:val="clear" w:pos="567"/>
          <w:tab w:val="clear" w:pos="1134"/>
          <w:tab w:val="clear" w:pos="1701"/>
          <w:tab w:val="clear" w:pos="2268"/>
          <w:tab w:val="clear" w:pos="2835"/>
        </w:tabs>
        <w:overflowPunct/>
        <w:autoSpaceDE/>
        <w:autoSpaceDN/>
        <w:adjustRightInd/>
        <w:jc w:val="both"/>
        <w:textAlignment w:val="auto"/>
        <w:rPr>
          <w:lang w:eastAsia="zh-CN"/>
        </w:rPr>
      </w:pPr>
      <w:r w:rsidRPr="0010137B">
        <w:rPr>
          <w:lang w:eastAsia="zh-CN"/>
        </w:rPr>
        <w:t>ITU is developing a comprehensive</w:t>
      </w:r>
      <w:r w:rsidRPr="0010137B">
        <w:rPr>
          <w:b/>
          <w:bCs/>
          <w:lang w:eastAsia="zh-CN"/>
        </w:rPr>
        <w:t xml:space="preserve"> Reward and Recognition Framework</w:t>
      </w:r>
      <w:r w:rsidRPr="0010137B">
        <w:rPr>
          <w:lang w:eastAsia="zh-CN"/>
        </w:rPr>
        <w:t xml:space="preserve"> to strengthen a culture of appreciation</w:t>
      </w:r>
      <w:r>
        <w:rPr>
          <w:rFonts w:hint="eastAsia"/>
          <w:lang w:eastAsia="zh-CN"/>
        </w:rPr>
        <w:t xml:space="preserve"> and </w:t>
      </w:r>
      <w:r w:rsidRPr="0010137B">
        <w:rPr>
          <w:lang w:eastAsia="zh-CN"/>
        </w:rPr>
        <w:t>performance across the Union</w:t>
      </w:r>
      <w:r>
        <w:rPr>
          <w:rFonts w:hint="eastAsia"/>
          <w:lang w:eastAsia="zh-CN"/>
        </w:rPr>
        <w:t xml:space="preserve">, </w:t>
      </w:r>
      <w:r w:rsidRPr="00603673">
        <w:rPr>
          <w:lang w:eastAsia="zh-CN"/>
        </w:rPr>
        <w:t>with the aim of fostering a highly motivated workforce</w:t>
      </w:r>
      <w:r w:rsidRPr="0010137B">
        <w:rPr>
          <w:lang w:eastAsia="zh-CN"/>
        </w:rPr>
        <w:t>. The Framework combines both formal and informal mechanisms to acknowledge individual and collective achievements that contribute to ITU’s strategic objectives and values.</w:t>
      </w:r>
    </w:p>
    <w:p w14:paraId="587F2384" w14:textId="307DE799" w:rsidR="00811C82" w:rsidRPr="00A30938" w:rsidRDefault="00811C82" w:rsidP="685AB3BE">
      <w:pPr>
        <w:tabs>
          <w:tab w:val="clear" w:pos="567"/>
          <w:tab w:val="clear" w:pos="1134"/>
          <w:tab w:val="clear" w:pos="1701"/>
          <w:tab w:val="clear" w:pos="2268"/>
          <w:tab w:val="clear" w:pos="2835"/>
        </w:tabs>
        <w:overflowPunct/>
        <w:autoSpaceDE/>
        <w:autoSpaceDN/>
        <w:adjustRightInd/>
        <w:jc w:val="both"/>
        <w:textAlignment w:val="auto"/>
        <w:rPr>
          <w:rFonts w:eastAsia="Calibri" w:cs="Calibri"/>
          <w:szCs w:val="24"/>
        </w:rPr>
      </w:pPr>
      <w:r w:rsidRPr="685AB3BE">
        <w:rPr>
          <w:lang w:eastAsia="zh-CN"/>
        </w:rPr>
        <w:t xml:space="preserve">Key elements include encouraging managers to give informal shout-outs to promote day-to-day appreciation </w:t>
      </w:r>
      <w:r w:rsidR="26FCCDAA" w:rsidRPr="685AB3BE">
        <w:rPr>
          <w:lang w:eastAsia="zh-CN"/>
        </w:rPr>
        <w:t xml:space="preserve">and feedback </w:t>
      </w:r>
      <w:r w:rsidRPr="685AB3BE">
        <w:rPr>
          <w:lang w:eastAsia="zh-CN"/>
        </w:rPr>
        <w:t>among colleagues, long-standing service awards recogni</w:t>
      </w:r>
      <w:r w:rsidR="003B236F">
        <w:rPr>
          <w:lang w:eastAsia="zh-CN"/>
        </w:rPr>
        <w:t>z</w:t>
      </w:r>
      <w:r w:rsidRPr="685AB3BE">
        <w:rPr>
          <w:lang w:eastAsia="zh-CN"/>
        </w:rPr>
        <w:t xml:space="preserve">ing years of dedication and commitment, a team award to highlight collaborative achievements across all </w:t>
      </w:r>
      <w:r w:rsidRPr="003B7FBD">
        <w:rPr>
          <w:lang w:eastAsia="zh-CN"/>
        </w:rPr>
        <w:t>levels, and an ITU-wide recognition of excellent performance celebrating excellence, innovation and teamwork.</w:t>
      </w:r>
      <w:r w:rsidR="4257C954" w:rsidRPr="00517782">
        <w:rPr>
          <w:rFonts w:eastAsia="Calibri" w:cs="Calibri"/>
          <w:szCs w:val="24"/>
        </w:rPr>
        <w:t xml:space="preserve"> This people-centred approach to recognition</w:t>
      </w:r>
      <w:r w:rsidR="00D64F94">
        <w:rPr>
          <w:rFonts w:eastAsia="Calibri" w:cs="Calibri"/>
          <w:szCs w:val="24"/>
        </w:rPr>
        <w:t xml:space="preserve"> –highlighted by</w:t>
      </w:r>
      <w:r w:rsidR="4257C954" w:rsidRPr="009417E0">
        <w:rPr>
          <w:rFonts w:eastAsia="Calibri" w:cs="Calibri"/>
          <w:szCs w:val="24"/>
        </w:rPr>
        <w:t xml:space="preserve"> the Secretary-General as </w:t>
      </w:r>
      <w:r w:rsidR="00D64F94">
        <w:rPr>
          <w:rFonts w:eastAsia="Calibri" w:cs="Calibri"/>
          <w:szCs w:val="24"/>
        </w:rPr>
        <w:t>essential</w:t>
      </w:r>
      <w:r w:rsidR="4257C954" w:rsidRPr="009417E0">
        <w:rPr>
          <w:rFonts w:eastAsia="Calibri" w:cs="Calibri"/>
          <w:szCs w:val="24"/>
        </w:rPr>
        <w:t xml:space="preserve"> to nurturing a strong sense of community within the Union</w:t>
      </w:r>
      <w:r w:rsidR="00785849">
        <w:rPr>
          <w:rFonts w:eastAsia="Calibri" w:cs="Calibri"/>
          <w:szCs w:val="24"/>
        </w:rPr>
        <w:t xml:space="preserve"> –</w:t>
      </w:r>
      <w:r w:rsidR="4257C954" w:rsidRPr="009417E0">
        <w:rPr>
          <w:rFonts w:eastAsia="Calibri" w:cs="Calibri"/>
          <w:szCs w:val="24"/>
        </w:rPr>
        <w:t xml:space="preserve"> </w:t>
      </w:r>
      <w:r w:rsidR="00785849">
        <w:rPr>
          <w:rFonts w:eastAsia="Calibri" w:cs="Calibri"/>
          <w:szCs w:val="24"/>
        </w:rPr>
        <w:t>came</w:t>
      </w:r>
      <w:r w:rsidR="4257C954" w:rsidRPr="009417E0">
        <w:rPr>
          <w:rFonts w:eastAsia="Calibri" w:cs="Calibri"/>
          <w:szCs w:val="24"/>
        </w:rPr>
        <w:t xml:space="preserve"> to life on 8 December </w:t>
      </w:r>
      <w:r w:rsidR="00D13C53" w:rsidRPr="009417E0">
        <w:rPr>
          <w:rFonts w:eastAsia="Calibri" w:cs="Calibri"/>
          <w:szCs w:val="24"/>
        </w:rPr>
        <w:t xml:space="preserve">2025 </w:t>
      </w:r>
      <w:r w:rsidR="4257C954" w:rsidRPr="009417E0">
        <w:rPr>
          <w:rFonts w:eastAsia="Calibri" w:cs="Calibri"/>
          <w:szCs w:val="24"/>
        </w:rPr>
        <w:t>during a hybrid recognition ceremony</w:t>
      </w:r>
      <w:r w:rsidR="0081577F">
        <w:rPr>
          <w:rFonts w:eastAsia="Calibri" w:cs="Calibri"/>
          <w:szCs w:val="24"/>
        </w:rPr>
        <w:t xml:space="preserve">. Speaking </w:t>
      </w:r>
      <w:r w:rsidR="4257C954" w:rsidRPr="009417E0">
        <w:rPr>
          <w:rFonts w:eastAsia="Calibri" w:cs="Calibri"/>
          <w:szCs w:val="24"/>
        </w:rPr>
        <w:t xml:space="preserve">to a full room in Popov, the Secretary-General personally presented long-standing service awards to staff members, </w:t>
      </w:r>
      <w:r w:rsidR="00D26766">
        <w:rPr>
          <w:rFonts w:eastAsia="Calibri" w:cs="Calibri"/>
          <w:szCs w:val="24"/>
        </w:rPr>
        <w:t>joined by</w:t>
      </w:r>
      <w:r w:rsidR="4257C954" w:rsidRPr="00517782">
        <w:rPr>
          <w:rFonts w:eastAsia="Calibri" w:cs="Calibri"/>
          <w:szCs w:val="24"/>
        </w:rPr>
        <w:t xml:space="preserve"> the other elected officials in honouring th</w:t>
      </w:r>
      <w:r w:rsidR="00D26766">
        <w:rPr>
          <w:rFonts w:eastAsia="Calibri" w:cs="Calibri"/>
          <w:szCs w:val="24"/>
        </w:rPr>
        <w:t>ose with more than</w:t>
      </w:r>
      <w:r w:rsidR="4257C954" w:rsidRPr="009417E0">
        <w:rPr>
          <w:rFonts w:eastAsia="Calibri" w:cs="Calibri"/>
          <w:szCs w:val="24"/>
        </w:rPr>
        <w:t xml:space="preserve"> 20 years of dedicated service. This ceremony was a testament that the dedication and commitment of colleagues across the various department is fundamental to ITU’s achievements over its 160-year history.</w:t>
      </w:r>
    </w:p>
    <w:p w14:paraId="208259FE" w14:textId="692AB08C" w:rsidR="00811C82" w:rsidRPr="00651C6B" w:rsidRDefault="21F3FD34" w:rsidP="005D10A6">
      <w:pPr>
        <w:pStyle w:val="Heading1"/>
        <w:rPr>
          <w:lang w:eastAsia="zh-CN"/>
        </w:rPr>
      </w:pPr>
      <w:r>
        <w:t>3</w:t>
      </w:r>
      <w:r w:rsidR="00627F3F">
        <w:tab/>
      </w:r>
      <w:r w:rsidR="00811C82">
        <w:t>Employee Engagement Survey</w:t>
      </w:r>
      <w:r w:rsidR="00811C82" w:rsidRPr="685AB3BE">
        <w:rPr>
          <w:lang w:eastAsia="zh-CN"/>
        </w:rPr>
        <w:t xml:space="preserve"> and follow-up</w:t>
      </w:r>
    </w:p>
    <w:p w14:paraId="43C33359" w14:textId="25C3CE24" w:rsidR="00811C82" w:rsidRDefault="2ACBEA1A" w:rsidP="005D10A6">
      <w:pPr>
        <w:pStyle w:val="Heading2"/>
      </w:pPr>
      <w:r>
        <w:t>3</w:t>
      </w:r>
      <w:r w:rsidR="00811C82">
        <w:t>.1</w:t>
      </w:r>
      <w:r w:rsidR="00811C82">
        <w:tab/>
        <w:t>Employee Engagement Survey</w:t>
      </w:r>
    </w:p>
    <w:p w14:paraId="3295C183" w14:textId="77777777" w:rsidR="00811C82" w:rsidRPr="00B41A04" w:rsidRDefault="00811C82" w:rsidP="00811C82">
      <w:pPr>
        <w:jc w:val="both"/>
        <w:rPr>
          <w:rFonts w:asciiTheme="minorHAnsi" w:hAnsiTheme="minorHAnsi"/>
          <w:shd w:val="clear" w:color="auto" w:fill="FFFFFF"/>
        </w:rPr>
      </w:pPr>
      <w:r w:rsidRPr="00B41A04">
        <w:rPr>
          <w:rFonts w:asciiTheme="minorHAnsi" w:hAnsiTheme="minorHAnsi"/>
          <w:shd w:val="clear" w:color="auto" w:fill="FFFFFF"/>
        </w:rPr>
        <w:t xml:space="preserve">As part of the Human Resources Transformation Plan, ITU conducted its first </w:t>
      </w:r>
      <w:r w:rsidRPr="00B41A04">
        <w:rPr>
          <w:rFonts w:asciiTheme="minorHAnsi" w:hAnsiTheme="minorHAnsi"/>
          <w:b/>
          <w:bCs/>
          <w:shd w:val="clear" w:color="auto" w:fill="FFFFFF"/>
        </w:rPr>
        <w:t>Employee Engagement Survey (EES)</w:t>
      </w:r>
      <w:r w:rsidRPr="00B41A04">
        <w:rPr>
          <w:rFonts w:asciiTheme="minorHAnsi" w:hAnsiTheme="minorHAnsi"/>
          <w:shd w:val="clear" w:color="auto" w:fill="FFFFFF"/>
        </w:rPr>
        <w:t xml:space="preserve"> in early 2025. The survey served as a </w:t>
      </w:r>
      <w:r w:rsidRPr="00187FCF">
        <w:rPr>
          <w:rFonts w:asciiTheme="minorHAnsi" w:hAnsiTheme="minorHAnsi"/>
          <w:shd w:val="clear" w:color="auto" w:fill="FFFFFF"/>
        </w:rPr>
        <w:t>diagnostic tool to understand employees’ levels of commitment, motivation and connection to their work and to the Organization, to drive efficiency and effectiveness, and to pinpoint strengths and areas for improvement in workplace culture, management practices and operational efficiency</w:t>
      </w:r>
      <w:r w:rsidRPr="00B41A04">
        <w:rPr>
          <w:rFonts w:asciiTheme="minorHAnsi" w:hAnsiTheme="minorHAnsi"/>
          <w:shd w:val="clear" w:color="auto" w:fill="FFFFFF"/>
        </w:rPr>
        <w:t>.</w:t>
      </w:r>
    </w:p>
    <w:p w14:paraId="362D92CF" w14:textId="00B33CB0" w:rsidR="00811C82" w:rsidRPr="00B41A04" w:rsidRDefault="00811C82" w:rsidP="685AB3BE">
      <w:pPr>
        <w:jc w:val="both"/>
        <w:rPr>
          <w:rFonts w:asciiTheme="minorHAnsi" w:hAnsiTheme="minorHAnsi"/>
          <w:shd w:val="clear" w:color="auto" w:fill="FFFFFF"/>
        </w:rPr>
      </w:pPr>
      <w:r w:rsidRPr="685AB3BE">
        <w:rPr>
          <w:rFonts w:asciiTheme="minorHAnsi" w:hAnsiTheme="minorHAnsi"/>
          <w:shd w:val="clear" w:color="auto" w:fill="FFFFFF"/>
        </w:rPr>
        <w:t xml:space="preserve">With a participation rate of 72 </w:t>
      </w:r>
      <w:r w:rsidRPr="685AB3BE">
        <w:rPr>
          <w:rFonts w:asciiTheme="minorHAnsi" w:hAnsiTheme="minorHAnsi"/>
        </w:rPr>
        <w:t>per cent</w:t>
      </w:r>
      <w:r w:rsidR="7C058A5E" w:rsidRPr="685AB3BE">
        <w:rPr>
          <w:rFonts w:eastAsia="Calibri" w:cs="Calibri"/>
          <w:color w:val="000000" w:themeColor="text1"/>
          <w:szCs w:val="24"/>
        </w:rPr>
        <w:t xml:space="preserve"> of all ITU colleagues</w:t>
      </w:r>
      <w:r w:rsidRPr="685AB3BE">
        <w:rPr>
          <w:rFonts w:asciiTheme="minorHAnsi" w:hAnsiTheme="minorHAnsi"/>
          <w:shd w:val="clear" w:color="auto" w:fill="FFFFFF"/>
        </w:rPr>
        <w:t>, the EES provided a solid evidence base for identifying strengths and areas requiring further attention.</w:t>
      </w:r>
      <w:r w:rsidRPr="685AB3BE">
        <w:rPr>
          <w:rFonts w:asciiTheme="minorHAnsi" w:hAnsiTheme="minorHAnsi"/>
          <w:shd w:val="clear" w:color="auto" w:fill="FFFFFF"/>
          <w:lang w:eastAsia="zh-CN"/>
        </w:rPr>
        <w:t xml:space="preserve"> </w:t>
      </w:r>
      <w:r w:rsidR="580B60F5" w:rsidRPr="00627F3F">
        <w:rPr>
          <w:rFonts w:eastAsia="Calibri" w:cs="Calibri"/>
          <w:color w:val="000000" w:themeColor="text1"/>
          <w:szCs w:val="24"/>
        </w:rPr>
        <w:t xml:space="preserve"> Building on the survey </w:t>
      </w:r>
      <w:r w:rsidR="580B60F5" w:rsidRPr="00627F3F">
        <w:rPr>
          <w:rFonts w:eastAsia="Calibri" w:cs="Calibri"/>
          <w:color w:val="000000" w:themeColor="text1"/>
          <w:szCs w:val="24"/>
        </w:rPr>
        <w:lastRenderedPageBreak/>
        <w:t>results and to maintain staff engagement in the follow-up process, ITU convened an all-staff townhall and workshop to discuss the findings and jointly brainstorm on actions to address the key challenges identified. The findings and subsequent grassroots exercise</w:t>
      </w:r>
      <w:r w:rsidR="00326A89">
        <w:rPr>
          <w:rFonts w:eastAsia="Calibri" w:cs="Calibri"/>
          <w:color w:val="000000" w:themeColor="text1"/>
          <w:szCs w:val="24"/>
        </w:rPr>
        <w:t>, which took place across all departments and Bureaux,</w:t>
      </w:r>
      <w:r w:rsidR="580B60F5" w:rsidRPr="00627F3F">
        <w:rPr>
          <w:rFonts w:eastAsia="Calibri" w:cs="Calibri"/>
          <w:color w:val="000000" w:themeColor="text1"/>
          <w:szCs w:val="24"/>
        </w:rPr>
        <w:t xml:space="preserve"> informed the design of targeted actions to enhance employee experience and strengthen collaboration, feedback</w:t>
      </w:r>
      <w:r w:rsidR="004317EE" w:rsidRPr="00627F3F">
        <w:rPr>
          <w:rFonts w:eastAsia="Calibri" w:cs="Calibri"/>
          <w:color w:val="000000" w:themeColor="text1"/>
          <w:szCs w:val="24"/>
        </w:rPr>
        <w:t>,</w:t>
      </w:r>
      <w:r w:rsidR="580B60F5" w:rsidRPr="00627F3F">
        <w:rPr>
          <w:rFonts w:eastAsia="Calibri" w:cs="Calibri"/>
          <w:color w:val="000000" w:themeColor="text1"/>
          <w:szCs w:val="24"/>
        </w:rPr>
        <w:t xml:space="preserve"> and communication</w:t>
      </w:r>
      <w:r w:rsidRPr="004317EE">
        <w:t>.</w:t>
      </w:r>
      <w:r w:rsidRPr="0DB287A6">
        <w:rPr>
          <w:lang w:eastAsia="zh-CN"/>
        </w:rPr>
        <w:t xml:space="preserve"> </w:t>
      </w:r>
    </w:p>
    <w:p w14:paraId="0D65EF56" w14:textId="3455EA54" w:rsidR="00811C82" w:rsidRDefault="54F5E9A6" w:rsidP="005D10A6">
      <w:pPr>
        <w:pStyle w:val="Heading2"/>
      </w:pPr>
      <w:r>
        <w:t>3</w:t>
      </w:r>
      <w:r w:rsidR="00811C82">
        <w:t>.2</w:t>
      </w:r>
      <w:r w:rsidR="00811C82">
        <w:tab/>
        <w:t>Employee Engagement Survey follow-up</w:t>
      </w:r>
    </w:p>
    <w:p w14:paraId="1A9B6B72" w14:textId="77777777" w:rsidR="00811C82" w:rsidRPr="00B41A04" w:rsidRDefault="00811C82" w:rsidP="00811C82">
      <w:pPr>
        <w:jc w:val="both"/>
        <w:rPr>
          <w:rFonts w:asciiTheme="minorHAnsi" w:hAnsiTheme="minorHAnsi"/>
          <w:shd w:val="clear" w:color="auto" w:fill="FFFFFF"/>
        </w:rPr>
      </w:pPr>
      <w:r w:rsidRPr="00B41A04">
        <w:rPr>
          <w:rFonts w:asciiTheme="minorHAnsi" w:hAnsiTheme="minorHAnsi"/>
          <w:shd w:val="clear" w:color="auto" w:fill="FFFFFF"/>
        </w:rPr>
        <w:t xml:space="preserve">The follow-up to the EES is being </w:t>
      </w:r>
      <w:r>
        <w:rPr>
          <w:rFonts w:asciiTheme="minorHAnsi" w:hAnsiTheme="minorHAnsi" w:hint="eastAsia"/>
          <w:shd w:val="clear" w:color="auto" w:fill="FFFFFF"/>
        </w:rPr>
        <w:t xml:space="preserve">designed and </w:t>
      </w:r>
      <w:r w:rsidRPr="00A4431A">
        <w:rPr>
          <w:rFonts w:asciiTheme="minorHAnsi" w:hAnsiTheme="minorHAnsi"/>
          <w:shd w:val="clear" w:color="auto" w:fill="FFFFFF"/>
        </w:rPr>
        <w:t>operationalized</w:t>
      </w:r>
      <w:r>
        <w:rPr>
          <w:rFonts w:asciiTheme="minorHAnsi" w:hAnsiTheme="minorHAnsi" w:hint="eastAsia"/>
          <w:shd w:val="clear" w:color="auto" w:fill="FFFFFF"/>
        </w:rPr>
        <w:t xml:space="preserve"> by staff at the grassroots level through departmental teams and </w:t>
      </w:r>
      <w:r w:rsidRPr="00B41A04">
        <w:rPr>
          <w:rFonts w:asciiTheme="minorHAnsi" w:hAnsiTheme="minorHAnsi"/>
          <w:shd w:val="clear" w:color="auto" w:fill="FFFFFF"/>
        </w:rPr>
        <w:t xml:space="preserve">designated </w:t>
      </w:r>
      <w:r w:rsidRPr="00187FCF">
        <w:rPr>
          <w:rFonts w:asciiTheme="minorHAnsi" w:hAnsiTheme="minorHAnsi"/>
          <w:shd w:val="clear" w:color="auto" w:fill="FFFFFF"/>
        </w:rPr>
        <w:t>Engagement Ambassadors</w:t>
      </w:r>
      <w:r w:rsidRPr="009E6A9D">
        <w:rPr>
          <w:rFonts w:asciiTheme="minorHAnsi" w:hAnsiTheme="minorHAnsi"/>
          <w:shd w:val="clear" w:color="auto" w:fill="FFFFFF"/>
        </w:rPr>
        <w:t xml:space="preserve">, with HRMD </w:t>
      </w:r>
      <w:r w:rsidRPr="004B4EBC">
        <w:rPr>
          <w:rFonts w:asciiTheme="minorHAnsi" w:hAnsiTheme="minorHAnsi"/>
          <w:shd w:val="clear" w:color="auto" w:fill="FFFFFF"/>
        </w:rPr>
        <w:t>exercising overarching facilitation and</w:t>
      </w:r>
      <w:r>
        <w:rPr>
          <w:rFonts w:asciiTheme="minorHAnsi" w:hAnsiTheme="minorHAnsi" w:hint="eastAsia"/>
          <w:shd w:val="clear" w:color="auto" w:fill="FFFFFF"/>
          <w:lang w:eastAsia="zh-CN"/>
        </w:rPr>
        <w:t xml:space="preserve"> </w:t>
      </w:r>
      <w:r w:rsidRPr="004B4EBC">
        <w:rPr>
          <w:rFonts w:asciiTheme="minorHAnsi" w:hAnsiTheme="minorHAnsi"/>
          <w:shd w:val="clear" w:color="auto" w:fill="FFFFFF"/>
        </w:rPr>
        <w:t>support</w:t>
      </w:r>
      <w:r w:rsidRPr="009E6A9D">
        <w:rPr>
          <w:rFonts w:asciiTheme="minorHAnsi" w:hAnsiTheme="minorHAnsi"/>
          <w:shd w:val="clear" w:color="auto" w:fill="FFFFFF"/>
        </w:rPr>
        <w:t>.</w:t>
      </w:r>
    </w:p>
    <w:p w14:paraId="7C4CA5F7" w14:textId="772BE900" w:rsidR="00811C82" w:rsidRDefault="00811C82" w:rsidP="685AB3BE">
      <w:pPr>
        <w:jc w:val="both"/>
        <w:rPr>
          <w:rFonts w:eastAsia="Calibri" w:cs="Calibri"/>
          <w:szCs w:val="24"/>
        </w:rPr>
      </w:pPr>
      <w:r w:rsidRPr="00054BB8">
        <w:rPr>
          <w:shd w:val="clear" w:color="auto" w:fill="FFFFFF"/>
        </w:rPr>
        <w:t>At the corporate level, an ITU-wide action plan</w:t>
      </w:r>
      <w:r>
        <w:rPr>
          <w:shd w:val="clear" w:color="auto" w:fill="FFFFFF"/>
        </w:rPr>
        <w:t>,</w:t>
      </w:r>
      <w:r w:rsidRPr="00054BB8">
        <w:rPr>
          <w:shd w:val="clear" w:color="auto" w:fill="FFFFFF"/>
        </w:rPr>
        <w:t xml:space="preserve"> at the request of the Secretary-General, is being developed and led by the Chief of HRMD with the participation of the </w:t>
      </w:r>
      <w:r w:rsidRPr="009C6D3E">
        <w:rPr>
          <w:shd w:val="clear" w:color="auto" w:fill="FFFFFF"/>
        </w:rPr>
        <w:t xml:space="preserve">Secretary-General’s </w:t>
      </w:r>
      <w:r w:rsidRPr="0DB287A6">
        <w:rPr>
          <w:shd w:val="clear" w:color="auto" w:fill="FFFFFF"/>
          <w:lang w:eastAsia="zh-CN"/>
        </w:rPr>
        <w:t>o</w:t>
      </w:r>
      <w:r w:rsidRPr="009C6D3E">
        <w:rPr>
          <w:shd w:val="clear" w:color="auto" w:fill="FFFFFF"/>
        </w:rPr>
        <w:t>ffice</w:t>
      </w:r>
      <w:r w:rsidRPr="00054BB8">
        <w:rPr>
          <w:shd w:val="clear" w:color="auto" w:fill="FFFFFF"/>
        </w:rPr>
        <w:t xml:space="preserve"> and the Staff Council.</w:t>
      </w:r>
      <w:r>
        <w:rPr>
          <w:shd w:val="clear" w:color="auto" w:fill="FFFFFF"/>
        </w:rPr>
        <w:t xml:space="preserve"> </w:t>
      </w:r>
      <w:r w:rsidR="777592CB" w:rsidRPr="00627F3F">
        <w:rPr>
          <w:rFonts w:eastAsia="Calibri" w:cs="Calibri"/>
          <w:color w:val="000000" w:themeColor="text1"/>
          <w:szCs w:val="24"/>
        </w:rPr>
        <w:t xml:space="preserve">As part of this plan, </w:t>
      </w:r>
      <w:r w:rsidR="777592CB" w:rsidRPr="00627F3F">
        <w:rPr>
          <w:rFonts w:eastAsia="Calibri" w:cs="Calibri"/>
          <w:b/>
          <w:bCs/>
          <w:color w:val="000000" w:themeColor="text1"/>
          <w:szCs w:val="24"/>
        </w:rPr>
        <w:t>four key actions</w:t>
      </w:r>
      <w:r w:rsidR="777592CB" w:rsidRPr="00627F3F">
        <w:rPr>
          <w:rFonts w:eastAsia="Calibri" w:cs="Calibri"/>
          <w:color w:val="000000" w:themeColor="text1"/>
          <w:szCs w:val="24"/>
        </w:rPr>
        <w:t xml:space="preserve"> will be introduced in 2026: </w:t>
      </w:r>
      <w:r w:rsidR="777592CB" w:rsidRPr="00627F3F">
        <w:rPr>
          <w:rFonts w:eastAsia="Calibri" w:cs="Calibri"/>
          <w:b/>
          <w:bCs/>
          <w:color w:val="000000" w:themeColor="text1"/>
          <w:szCs w:val="24"/>
        </w:rPr>
        <w:t xml:space="preserve">Open-Door Sessions with Elected Officials </w:t>
      </w:r>
      <w:r w:rsidR="777592CB" w:rsidRPr="00627F3F">
        <w:rPr>
          <w:rFonts w:eastAsia="Calibri" w:cs="Calibri"/>
          <w:color w:val="000000" w:themeColor="text1"/>
          <w:szCs w:val="24"/>
        </w:rPr>
        <w:t xml:space="preserve">will provide regular, bookable opportunities for individual staff members to engage directly with elected officials in short informal meetings, thereby strengthening transparency, dialogue and trust; a </w:t>
      </w:r>
      <w:r w:rsidR="777592CB" w:rsidRPr="00627F3F">
        <w:rPr>
          <w:rFonts w:eastAsia="Calibri" w:cs="Calibri"/>
          <w:b/>
          <w:bCs/>
          <w:color w:val="000000" w:themeColor="text1"/>
          <w:szCs w:val="24"/>
        </w:rPr>
        <w:t>Brown Bag Lunch Series</w:t>
      </w:r>
      <w:r w:rsidR="777592CB" w:rsidRPr="00627F3F">
        <w:rPr>
          <w:rFonts w:eastAsia="Calibri" w:cs="Calibri"/>
          <w:color w:val="000000" w:themeColor="text1"/>
          <w:szCs w:val="24"/>
        </w:rPr>
        <w:t xml:space="preserve"> will create an informal, hybrid forum for cross-departmental knowledge-sharing, showcasing ongoing work and lessons learned, and</w:t>
      </w:r>
      <w:r w:rsidR="777592CB" w:rsidRPr="00627F3F">
        <w:rPr>
          <w:rFonts w:eastAsia="Calibri" w:cs="Calibri"/>
          <w:szCs w:val="24"/>
        </w:rPr>
        <w:t xml:space="preserve"> </w:t>
      </w:r>
      <w:r w:rsidR="777592CB" w:rsidRPr="00627F3F">
        <w:rPr>
          <w:rFonts w:eastAsia="Calibri" w:cs="Calibri"/>
          <w:color w:val="000000" w:themeColor="text1"/>
          <w:szCs w:val="24"/>
        </w:rPr>
        <w:t xml:space="preserve">building mutual understanding; </w:t>
      </w:r>
      <w:r w:rsidR="777592CB" w:rsidRPr="00627F3F">
        <w:rPr>
          <w:rFonts w:eastAsia="Calibri" w:cs="Calibri"/>
          <w:b/>
          <w:bCs/>
          <w:color w:val="000000" w:themeColor="text1"/>
          <w:szCs w:val="24"/>
        </w:rPr>
        <w:t xml:space="preserve">Innovation Days </w:t>
      </w:r>
      <w:r w:rsidR="777592CB" w:rsidRPr="00627F3F">
        <w:rPr>
          <w:rFonts w:eastAsia="Calibri" w:cs="Calibri"/>
          <w:color w:val="000000" w:themeColor="text1"/>
          <w:szCs w:val="24"/>
        </w:rPr>
        <w:t xml:space="preserve">will set aside a protected day each month for staff to experiment with new ideas, tools and ways of working, including cross-team collaboration and peer review; and an </w:t>
      </w:r>
      <w:r w:rsidR="777592CB" w:rsidRPr="00627F3F">
        <w:rPr>
          <w:rFonts w:eastAsia="Calibri" w:cs="Calibri"/>
          <w:b/>
          <w:bCs/>
          <w:color w:val="000000" w:themeColor="text1"/>
          <w:szCs w:val="24"/>
        </w:rPr>
        <w:t>ITU-wide Mentorship Programme,</w:t>
      </w:r>
      <w:r w:rsidR="777592CB" w:rsidRPr="00627F3F">
        <w:rPr>
          <w:rFonts w:eastAsia="Calibri" w:cs="Calibri"/>
          <w:color w:val="000000" w:themeColor="text1"/>
          <w:szCs w:val="24"/>
        </w:rPr>
        <w:t xml:space="preserve"> open to staff from all grades, categories and duty stations, will foster professional and personal development through structured mentoring relationships supported by workshops, peer exchanges and online resources. Taken together, these actions are mutually reinforcing and help embed a culture of openness, learning</w:t>
      </w:r>
      <w:r w:rsidR="00EC0C77">
        <w:rPr>
          <w:rFonts w:eastAsia="Calibri" w:cs="Calibri"/>
          <w:color w:val="000000" w:themeColor="text1"/>
          <w:szCs w:val="24"/>
        </w:rPr>
        <w:t>,</w:t>
      </w:r>
      <w:r w:rsidR="777592CB" w:rsidRPr="00627F3F">
        <w:rPr>
          <w:rFonts w:eastAsia="Calibri" w:cs="Calibri"/>
          <w:color w:val="000000" w:themeColor="text1"/>
          <w:szCs w:val="24"/>
        </w:rPr>
        <w:t xml:space="preserve"> and accountability.</w:t>
      </w:r>
      <w:r w:rsidR="777592CB" w:rsidRPr="685AB3BE">
        <w:rPr>
          <w:rFonts w:eastAsia="Calibri" w:cs="Calibri"/>
          <w:szCs w:val="24"/>
        </w:rPr>
        <w:t xml:space="preserve"> </w:t>
      </w:r>
    </w:p>
    <w:p w14:paraId="18DAE6AD" w14:textId="77777777" w:rsidR="00811C82" w:rsidRPr="00811C82" w:rsidRDefault="00811C82" w:rsidP="00811C82">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hd w:val="clear" w:color="auto" w:fill="FFFFFF"/>
        </w:rPr>
      </w:pPr>
    </w:p>
    <w:p w14:paraId="641BB55A" w14:textId="77777777" w:rsidR="00811C82" w:rsidRDefault="00811C82">
      <w:pPr>
        <w:jc w:val="center"/>
      </w:pPr>
      <w:r>
        <w:t>______________</w:t>
      </w:r>
    </w:p>
    <w:sectPr w:rsidR="00811C82" w:rsidSect="00AD3606">
      <w:headerReference w:type="even" r:id="rId14"/>
      <w:headerReference w:type="default" r:id="rId15"/>
      <w:footerReference w:type="even" r:id="rId16"/>
      <w:footerReference w:type="default" r:id="rId17"/>
      <w:headerReference w:type="first" r:id="rId18"/>
      <w:footerReference w:type="first" r:id="rId1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E9590" w14:textId="77777777" w:rsidR="00931135" w:rsidRDefault="00931135">
      <w:r>
        <w:separator/>
      </w:r>
    </w:p>
  </w:endnote>
  <w:endnote w:type="continuationSeparator" w:id="0">
    <w:p w14:paraId="0AD05A84" w14:textId="77777777" w:rsidR="00931135" w:rsidRDefault="00931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D1CE" w14:textId="77777777" w:rsidR="002541DF" w:rsidRDefault="00254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555DFB" w14:paraId="07402CB9" w14:textId="77777777">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593C858A" w:rsidR="00EE49E8" w:rsidRPr="001C540D" w:rsidRDefault="00EE49E8" w:rsidP="00A52C84">
          <w:pPr>
            <w:pStyle w:val="Header"/>
            <w:tabs>
              <w:tab w:val="left" w:pos="6028"/>
              <w:tab w:val="right" w:pos="8505"/>
              <w:tab w:val="right" w:pos="9639"/>
            </w:tabs>
            <w:jc w:val="left"/>
            <w:rPr>
              <w:rFonts w:ascii="Arial" w:hAnsi="Arial" w:cs="Arial"/>
              <w:b/>
              <w:bCs/>
              <w:szCs w:val="18"/>
              <w:lang w:val="es-ES"/>
            </w:rPr>
          </w:pPr>
          <w:r>
            <w:rPr>
              <w:bCs/>
            </w:rPr>
            <w:tab/>
          </w:r>
          <w:proofErr w:type="spellStart"/>
          <w:r w:rsidR="00A52C84" w:rsidRPr="001C540D">
            <w:rPr>
              <w:bCs/>
              <w:lang w:val="es-ES"/>
            </w:rPr>
            <w:t>CWG</w:t>
          </w:r>
          <w:proofErr w:type="spellEnd"/>
          <w:r w:rsidR="00A52C84" w:rsidRPr="001C540D">
            <w:rPr>
              <w:bCs/>
              <w:lang w:val="es-ES"/>
            </w:rPr>
            <w:t>-</w:t>
          </w:r>
          <w:proofErr w:type="spellStart"/>
          <w:r w:rsidR="009F347C" w:rsidRPr="001C540D">
            <w:rPr>
              <w:bCs/>
              <w:lang w:val="es-ES"/>
            </w:rPr>
            <w:t>FHR</w:t>
          </w:r>
          <w:proofErr w:type="spellEnd"/>
          <w:r w:rsidR="00A52C84" w:rsidRPr="001C540D">
            <w:rPr>
              <w:bCs/>
              <w:lang w:val="es-ES"/>
            </w:rPr>
            <w:t>-</w:t>
          </w:r>
          <w:r w:rsidR="001C540D">
            <w:rPr>
              <w:bCs/>
              <w:lang w:val="es-ES"/>
            </w:rPr>
            <w:t>22</w:t>
          </w:r>
          <w:r w:rsidR="00A52C84" w:rsidRPr="001C540D">
            <w:rPr>
              <w:bCs/>
              <w:lang w:val="es-ES"/>
            </w:rPr>
            <w:t>/</w:t>
          </w:r>
          <w:r w:rsidR="002541DF">
            <w:rPr>
              <w:bCs/>
              <w:lang w:val="es-ES"/>
            </w:rPr>
            <w:t>12</w:t>
          </w:r>
          <w:r w:rsidR="00A52C84" w:rsidRPr="001C540D">
            <w:rPr>
              <w:bCs/>
              <w:lang w:val="es-ES"/>
            </w:rPr>
            <w:t>-E</w:t>
          </w:r>
          <w:r w:rsidRPr="001C540D">
            <w:rPr>
              <w:bCs/>
              <w:lang w:val="es-ES"/>
            </w:rPr>
            <w:tab/>
          </w:r>
          <w:r>
            <w:fldChar w:fldCharType="begin"/>
          </w:r>
          <w:r w:rsidRPr="001C540D">
            <w:rPr>
              <w:lang w:val="es-ES"/>
            </w:rPr>
            <w:instrText>PAGE</w:instrText>
          </w:r>
          <w:r>
            <w:fldChar w:fldCharType="separate"/>
          </w:r>
          <w:r w:rsidRPr="001C540D">
            <w:rPr>
              <w:lang w:val="es-ES"/>
            </w:rPr>
            <w:t>1</w:t>
          </w:r>
          <w:r>
            <w:rPr>
              <w:noProof/>
            </w:rPr>
            <w:fldChar w:fldCharType="end"/>
          </w:r>
        </w:p>
      </w:tc>
    </w:tr>
  </w:tbl>
  <w:p w14:paraId="44006CCE" w14:textId="77777777" w:rsidR="00EE49E8" w:rsidRPr="001C540D" w:rsidRDefault="00EE49E8" w:rsidP="00555DFB">
    <w:pPr>
      <w:pStyle w:val="Header"/>
      <w:tabs>
        <w:tab w:val="left" w:pos="8080"/>
        <w:tab w:val="right" w:pos="9072"/>
      </w:tabs>
      <w:jc w:val="left"/>
      <w:rPr>
        <w:bCs/>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555DFB" w14:paraId="4F588A4C" w14:textId="77777777" w:rsidTr="00A52C84">
      <w:trPr>
        <w:jc w:val="center"/>
      </w:trPr>
      <w:tc>
        <w:tcPr>
          <w:tcW w:w="3107" w:type="dxa"/>
          <w:vAlign w:val="center"/>
        </w:tcPr>
        <w:p w14:paraId="4E7A2825" w14:textId="09A9DCC8" w:rsidR="00EE49E8" w:rsidRDefault="00A52C84" w:rsidP="00EE49E8">
          <w:pPr>
            <w:pStyle w:val="Header"/>
            <w:jc w:val="left"/>
            <w:rPr>
              <w:noProof/>
            </w:rPr>
          </w:pPr>
          <w:hyperlink r:id="rId1" w:history="1">
            <w:proofErr w:type="spellStart"/>
            <w:r w:rsidRPr="001C540D">
              <w:rPr>
                <w:rStyle w:val="Hyperlink"/>
              </w:rPr>
              <w:t>council.itu.int</w:t>
            </w:r>
            <w:proofErr w:type="spellEnd"/>
            <w:r w:rsidRPr="001C540D">
              <w:rPr>
                <w:rStyle w:val="Hyperlink"/>
              </w:rPr>
              <w:t>/working-groups</w:t>
            </w:r>
          </w:hyperlink>
        </w:p>
      </w:tc>
      <w:tc>
        <w:tcPr>
          <w:tcW w:w="6957" w:type="dxa"/>
        </w:tcPr>
        <w:p w14:paraId="3F62E0D8" w14:textId="714104A9" w:rsidR="00EE49E8" w:rsidRPr="001C540D" w:rsidRDefault="00EE49E8" w:rsidP="00A52C84">
          <w:pPr>
            <w:pStyle w:val="Header"/>
            <w:tabs>
              <w:tab w:val="left" w:pos="4718"/>
              <w:tab w:val="right" w:pos="8505"/>
              <w:tab w:val="right" w:pos="9639"/>
            </w:tabs>
            <w:jc w:val="left"/>
            <w:rPr>
              <w:rFonts w:ascii="Arial" w:hAnsi="Arial" w:cs="Arial"/>
              <w:b/>
              <w:bCs/>
              <w:szCs w:val="18"/>
              <w:lang w:val="es-ES"/>
            </w:rPr>
          </w:pPr>
          <w:r>
            <w:rPr>
              <w:bCs/>
            </w:rPr>
            <w:tab/>
          </w:r>
          <w:proofErr w:type="spellStart"/>
          <w:r w:rsidRPr="001C540D">
            <w:rPr>
              <w:bCs/>
              <w:lang w:val="es-ES"/>
            </w:rPr>
            <w:t>C</w:t>
          </w:r>
          <w:r w:rsidR="00A52C84" w:rsidRPr="001C540D">
            <w:rPr>
              <w:bCs/>
              <w:lang w:val="es-ES"/>
            </w:rPr>
            <w:t>WG</w:t>
          </w:r>
          <w:proofErr w:type="spellEnd"/>
          <w:r w:rsidR="00A52C84" w:rsidRPr="001C540D">
            <w:rPr>
              <w:bCs/>
              <w:lang w:val="es-ES"/>
            </w:rPr>
            <w:t>-</w:t>
          </w:r>
          <w:proofErr w:type="spellStart"/>
          <w:r w:rsidR="009F347C" w:rsidRPr="001C540D">
            <w:rPr>
              <w:bCs/>
              <w:lang w:val="es-ES"/>
            </w:rPr>
            <w:t>FHR</w:t>
          </w:r>
          <w:proofErr w:type="spellEnd"/>
          <w:r w:rsidR="00A52C84" w:rsidRPr="001C540D">
            <w:rPr>
              <w:bCs/>
              <w:lang w:val="es-ES"/>
            </w:rPr>
            <w:t>-</w:t>
          </w:r>
          <w:r w:rsidR="001C540D">
            <w:rPr>
              <w:bCs/>
              <w:lang w:val="es-ES"/>
            </w:rPr>
            <w:t>22</w:t>
          </w:r>
          <w:r w:rsidRPr="001C540D">
            <w:rPr>
              <w:bCs/>
              <w:lang w:val="es-ES"/>
            </w:rPr>
            <w:t>/</w:t>
          </w:r>
          <w:r w:rsidR="002541DF">
            <w:rPr>
              <w:bCs/>
              <w:lang w:val="es-ES"/>
            </w:rPr>
            <w:t>12</w:t>
          </w:r>
          <w:r w:rsidRPr="001C540D">
            <w:rPr>
              <w:bCs/>
              <w:lang w:val="es-ES"/>
            </w:rPr>
            <w:t>-E</w:t>
          </w:r>
          <w:r w:rsidRPr="001C540D">
            <w:rPr>
              <w:bCs/>
              <w:lang w:val="es-ES"/>
            </w:rPr>
            <w:tab/>
          </w:r>
          <w:r>
            <w:fldChar w:fldCharType="begin"/>
          </w:r>
          <w:r w:rsidRPr="001C540D">
            <w:rPr>
              <w:lang w:val="es-ES"/>
            </w:rPr>
            <w:instrText>PAGE</w:instrText>
          </w:r>
          <w:r>
            <w:fldChar w:fldCharType="separate"/>
          </w:r>
          <w:r w:rsidRPr="001C540D">
            <w:rPr>
              <w:lang w:val="es-ES"/>
            </w:rPr>
            <w:t>1</w:t>
          </w:r>
          <w:r>
            <w:rPr>
              <w:noProof/>
            </w:rPr>
            <w:fldChar w:fldCharType="end"/>
          </w:r>
        </w:p>
      </w:tc>
    </w:tr>
  </w:tbl>
  <w:p w14:paraId="12BE588F" w14:textId="77777777" w:rsidR="00A514A4" w:rsidRPr="001C540D"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3311" w14:textId="77777777" w:rsidR="00931135" w:rsidRDefault="00931135">
      <w:r>
        <w:t>____________________</w:t>
      </w:r>
    </w:p>
  </w:footnote>
  <w:footnote w:type="continuationSeparator" w:id="0">
    <w:p w14:paraId="5BD6F416" w14:textId="77777777" w:rsidR="00931135" w:rsidRDefault="00931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0DE5" w14:textId="77777777" w:rsidR="002541DF" w:rsidRDefault="002541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4AD12" w14:textId="77777777" w:rsidR="002541DF" w:rsidRDefault="002541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p w14:paraId="3E21B143" w14:textId="178FA05C" w:rsidR="00AD3606" w:rsidRPr="009621F8" w:rsidRDefault="00DB00D5" w:rsidP="00130599">
          <w:pPr>
            <w:pStyle w:val="Header"/>
            <w:jc w:val="left"/>
            <w:rPr>
              <w:rFonts w:ascii="Arial" w:hAnsi="Arial" w:cs="Arial"/>
              <w:b/>
              <w:bCs/>
              <w:color w:val="009CD6"/>
              <w:sz w:val="36"/>
              <w:szCs w:val="36"/>
            </w:rPr>
          </w:pPr>
          <w:bookmarkStart w:id="11" w:name="_Hlk133422111"/>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03C18"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FA570"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6089C2E3"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1C1EAF">
                            <w:rPr>
                              <w:b/>
                              <w:bCs/>
                              <w:szCs w:val="24"/>
                            </w:rPr>
                            <w:t xml:space="preserve">financial </w:t>
                          </w:r>
                          <w:r w:rsidR="009F347C">
                            <w:rPr>
                              <w:b/>
                              <w:bCs/>
                              <w:szCs w:val="24"/>
                            </w:rPr>
                            <w:t xml:space="preserve">and </w:t>
                          </w:r>
                          <w:r w:rsidR="001C1EAF">
                            <w:rPr>
                              <w:b/>
                              <w:bCs/>
                              <w:szCs w:val="24"/>
                            </w:rPr>
                            <w:t>human resources</w:t>
                          </w:r>
                          <w:r>
                            <w:br/>
                          </w:r>
                          <w:r w:rsidR="001C540D">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BD6D46">
                            <w:rPr>
                              <w:sz w:val="20"/>
                            </w:rPr>
                            <w:t>14 (p.m.)</w:t>
                          </w:r>
                          <w:r w:rsidR="00E03C3D">
                            <w:rPr>
                              <w:sz w:val="20"/>
                            </w:rPr>
                            <w:t xml:space="preserve"> to </w:t>
                          </w:r>
                          <w:r w:rsidR="00BD6D46">
                            <w:rPr>
                              <w:sz w:val="20"/>
                            </w:rPr>
                            <w:t>16</w:t>
                          </w:r>
                          <w:r w:rsidR="00E03C3D">
                            <w:rPr>
                              <w:sz w:val="20"/>
                            </w:rPr>
                            <w:t xml:space="preserve"> </w:t>
                          </w:r>
                          <w:r w:rsidR="001C540D">
                            <w:rPr>
                              <w:sz w:val="20"/>
                            </w:rPr>
                            <w:t xml:space="preserve">January </w:t>
                          </w:r>
                          <w:r w:rsidR="00E03C3D">
                            <w:rPr>
                              <w:sz w:val="20"/>
                            </w:rPr>
                            <w:t>202</w:t>
                          </w:r>
                          <w:r w:rsidR="001C540D">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6089C2E3"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1C1EAF">
                      <w:rPr>
                        <w:b/>
                        <w:bCs/>
                        <w:szCs w:val="24"/>
                      </w:rPr>
                      <w:t xml:space="preserve">financial </w:t>
                    </w:r>
                    <w:r w:rsidR="009F347C">
                      <w:rPr>
                        <w:b/>
                        <w:bCs/>
                        <w:szCs w:val="24"/>
                      </w:rPr>
                      <w:t xml:space="preserve">and </w:t>
                    </w:r>
                    <w:r w:rsidR="001C1EAF">
                      <w:rPr>
                        <w:b/>
                        <w:bCs/>
                        <w:szCs w:val="24"/>
                      </w:rPr>
                      <w:t>human resources</w:t>
                    </w:r>
                    <w:r>
                      <w:br/>
                    </w:r>
                    <w:r w:rsidR="001C540D">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BD6D46">
                      <w:rPr>
                        <w:sz w:val="20"/>
                      </w:rPr>
                      <w:t>14 (p.m.)</w:t>
                    </w:r>
                    <w:r w:rsidR="00E03C3D">
                      <w:rPr>
                        <w:sz w:val="20"/>
                      </w:rPr>
                      <w:t xml:space="preserve"> to </w:t>
                    </w:r>
                    <w:r w:rsidR="00BD6D46">
                      <w:rPr>
                        <w:sz w:val="20"/>
                      </w:rPr>
                      <w:t>16</w:t>
                    </w:r>
                    <w:r w:rsidR="00E03C3D">
                      <w:rPr>
                        <w:sz w:val="20"/>
                      </w:rPr>
                      <w:t xml:space="preserve"> </w:t>
                    </w:r>
                    <w:r w:rsidR="001C540D">
                      <w:rPr>
                        <w:sz w:val="20"/>
                      </w:rPr>
                      <w:t xml:space="preserve">January </w:t>
                    </w:r>
                    <w:r w:rsidR="00E03C3D">
                      <w:rPr>
                        <w:sz w:val="20"/>
                      </w:rPr>
                      <w:t>202</w:t>
                    </w:r>
                    <w:r w:rsidR="001C540D">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0BAE"/>
    <w:rsid w:val="000120C1"/>
    <w:rsid w:val="000175FB"/>
    <w:rsid w:val="000210D4"/>
    <w:rsid w:val="000313BE"/>
    <w:rsid w:val="00063016"/>
    <w:rsid w:val="00066795"/>
    <w:rsid w:val="00076AF6"/>
    <w:rsid w:val="00085AA5"/>
    <w:rsid w:val="00085CF2"/>
    <w:rsid w:val="0009667C"/>
    <w:rsid w:val="000B1705"/>
    <w:rsid w:val="000D194C"/>
    <w:rsid w:val="000D75B2"/>
    <w:rsid w:val="000F61CE"/>
    <w:rsid w:val="0010444C"/>
    <w:rsid w:val="001121F5"/>
    <w:rsid w:val="0011640E"/>
    <w:rsid w:val="001267DC"/>
    <w:rsid w:val="00130599"/>
    <w:rsid w:val="001318F0"/>
    <w:rsid w:val="001400DC"/>
    <w:rsid w:val="00140CE1"/>
    <w:rsid w:val="00160E85"/>
    <w:rsid w:val="001751FF"/>
    <w:rsid w:val="0017539C"/>
    <w:rsid w:val="00175AC2"/>
    <w:rsid w:val="0017609F"/>
    <w:rsid w:val="0019628A"/>
    <w:rsid w:val="001A72C5"/>
    <w:rsid w:val="001A7D1D"/>
    <w:rsid w:val="001B51DD"/>
    <w:rsid w:val="001C1EAF"/>
    <w:rsid w:val="001C540D"/>
    <w:rsid w:val="001C628E"/>
    <w:rsid w:val="001D1E68"/>
    <w:rsid w:val="001D37B1"/>
    <w:rsid w:val="001E0F7B"/>
    <w:rsid w:val="001E0FBE"/>
    <w:rsid w:val="001E1C72"/>
    <w:rsid w:val="001E1F52"/>
    <w:rsid w:val="001E7A9E"/>
    <w:rsid w:val="001F1DAE"/>
    <w:rsid w:val="001F1E1F"/>
    <w:rsid w:val="002019F1"/>
    <w:rsid w:val="00207B55"/>
    <w:rsid w:val="002119FD"/>
    <w:rsid w:val="002130E0"/>
    <w:rsid w:val="00215A2C"/>
    <w:rsid w:val="00233738"/>
    <w:rsid w:val="002404ED"/>
    <w:rsid w:val="00243D6B"/>
    <w:rsid w:val="00244F7F"/>
    <w:rsid w:val="002541DF"/>
    <w:rsid w:val="00260ACE"/>
    <w:rsid w:val="00261150"/>
    <w:rsid w:val="00264425"/>
    <w:rsid w:val="00265875"/>
    <w:rsid w:val="0027303B"/>
    <w:rsid w:val="00273D84"/>
    <w:rsid w:val="0028109B"/>
    <w:rsid w:val="002909C9"/>
    <w:rsid w:val="002A2188"/>
    <w:rsid w:val="002B1F58"/>
    <w:rsid w:val="002B65CB"/>
    <w:rsid w:val="002C1C7A"/>
    <w:rsid w:val="002C54E2"/>
    <w:rsid w:val="002E3199"/>
    <w:rsid w:val="0030160F"/>
    <w:rsid w:val="0030388E"/>
    <w:rsid w:val="00320223"/>
    <w:rsid w:val="00322D0D"/>
    <w:rsid w:val="00326A89"/>
    <w:rsid w:val="003515F5"/>
    <w:rsid w:val="00361465"/>
    <w:rsid w:val="003877F5"/>
    <w:rsid w:val="003942D4"/>
    <w:rsid w:val="003958A8"/>
    <w:rsid w:val="003A08CD"/>
    <w:rsid w:val="003A1ECF"/>
    <w:rsid w:val="003B236F"/>
    <w:rsid w:val="003B7FBD"/>
    <w:rsid w:val="003C2533"/>
    <w:rsid w:val="003D354E"/>
    <w:rsid w:val="003D55B9"/>
    <w:rsid w:val="003D5A7F"/>
    <w:rsid w:val="004016E2"/>
    <w:rsid w:val="0040435A"/>
    <w:rsid w:val="00416A24"/>
    <w:rsid w:val="004317EE"/>
    <w:rsid w:val="00431D9E"/>
    <w:rsid w:val="00433CE8"/>
    <w:rsid w:val="00434A5C"/>
    <w:rsid w:val="00453C5C"/>
    <w:rsid w:val="004544D9"/>
    <w:rsid w:val="00472BAD"/>
    <w:rsid w:val="0048133A"/>
    <w:rsid w:val="00483C8E"/>
    <w:rsid w:val="00484009"/>
    <w:rsid w:val="00490E72"/>
    <w:rsid w:val="00491157"/>
    <w:rsid w:val="004921C8"/>
    <w:rsid w:val="00495B0B"/>
    <w:rsid w:val="004A1B8B"/>
    <w:rsid w:val="004D1851"/>
    <w:rsid w:val="004D4702"/>
    <w:rsid w:val="004D599D"/>
    <w:rsid w:val="004D7BCE"/>
    <w:rsid w:val="004E01DD"/>
    <w:rsid w:val="004E2037"/>
    <w:rsid w:val="004E2EA5"/>
    <w:rsid w:val="004E3AEB"/>
    <w:rsid w:val="004F5EC4"/>
    <w:rsid w:val="0050223C"/>
    <w:rsid w:val="00517782"/>
    <w:rsid w:val="005243FF"/>
    <w:rsid w:val="00532300"/>
    <w:rsid w:val="00541464"/>
    <w:rsid w:val="00555DFB"/>
    <w:rsid w:val="00564FBC"/>
    <w:rsid w:val="005800BC"/>
    <w:rsid w:val="00582442"/>
    <w:rsid w:val="00591B76"/>
    <w:rsid w:val="005A335D"/>
    <w:rsid w:val="005D10A6"/>
    <w:rsid w:val="005E2BD5"/>
    <w:rsid w:val="005F1C6B"/>
    <w:rsid w:val="005F3269"/>
    <w:rsid w:val="006061EE"/>
    <w:rsid w:val="00623AE3"/>
    <w:rsid w:val="00627F3F"/>
    <w:rsid w:val="0064737F"/>
    <w:rsid w:val="006535F1"/>
    <w:rsid w:val="006552DC"/>
    <w:rsid w:val="0065557D"/>
    <w:rsid w:val="00660D50"/>
    <w:rsid w:val="00662984"/>
    <w:rsid w:val="006716BB"/>
    <w:rsid w:val="00676C7D"/>
    <w:rsid w:val="006A46EA"/>
    <w:rsid w:val="006B1859"/>
    <w:rsid w:val="006B6680"/>
    <w:rsid w:val="006B6DCC"/>
    <w:rsid w:val="006C328D"/>
    <w:rsid w:val="006D2462"/>
    <w:rsid w:val="006D42C6"/>
    <w:rsid w:val="006F5E7B"/>
    <w:rsid w:val="00702DEF"/>
    <w:rsid w:val="00706861"/>
    <w:rsid w:val="00720C71"/>
    <w:rsid w:val="0073605F"/>
    <w:rsid w:val="00745BE2"/>
    <w:rsid w:val="00747BD8"/>
    <w:rsid w:val="0075051B"/>
    <w:rsid w:val="00765EBD"/>
    <w:rsid w:val="00767892"/>
    <w:rsid w:val="00775655"/>
    <w:rsid w:val="00785849"/>
    <w:rsid w:val="00792E89"/>
    <w:rsid w:val="00793188"/>
    <w:rsid w:val="00794D34"/>
    <w:rsid w:val="007E1970"/>
    <w:rsid w:val="007F7A37"/>
    <w:rsid w:val="0081048F"/>
    <w:rsid w:val="00811C82"/>
    <w:rsid w:val="00813E5E"/>
    <w:rsid w:val="0081577F"/>
    <w:rsid w:val="0083581B"/>
    <w:rsid w:val="008407C7"/>
    <w:rsid w:val="00863874"/>
    <w:rsid w:val="00864AFF"/>
    <w:rsid w:val="00865925"/>
    <w:rsid w:val="00876891"/>
    <w:rsid w:val="00891503"/>
    <w:rsid w:val="008964B4"/>
    <w:rsid w:val="008A4C6B"/>
    <w:rsid w:val="008B4A6A"/>
    <w:rsid w:val="008C3676"/>
    <w:rsid w:val="008C7E27"/>
    <w:rsid w:val="008F1670"/>
    <w:rsid w:val="008F7448"/>
    <w:rsid w:val="0090147A"/>
    <w:rsid w:val="009173EF"/>
    <w:rsid w:val="00930A5D"/>
    <w:rsid w:val="00931135"/>
    <w:rsid w:val="00932906"/>
    <w:rsid w:val="00941417"/>
    <w:rsid w:val="009417E0"/>
    <w:rsid w:val="00945B89"/>
    <w:rsid w:val="00946875"/>
    <w:rsid w:val="00961B0B"/>
    <w:rsid w:val="00962D33"/>
    <w:rsid w:val="00963464"/>
    <w:rsid w:val="00965A78"/>
    <w:rsid w:val="00971C28"/>
    <w:rsid w:val="0097780F"/>
    <w:rsid w:val="00981E2E"/>
    <w:rsid w:val="00986BCE"/>
    <w:rsid w:val="00997C59"/>
    <w:rsid w:val="009A55F0"/>
    <w:rsid w:val="009B2D4B"/>
    <w:rsid w:val="009B38C3"/>
    <w:rsid w:val="009B4345"/>
    <w:rsid w:val="009B5104"/>
    <w:rsid w:val="009C204F"/>
    <w:rsid w:val="009C253A"/>
    <w:rsid w:val="009D2928"/>
    <w:rsid w:val="009E0A59"/>
    <w:rsid w:val="009E17BD"/>
    <w:rsid w:val="009E485A"/>
    <w:rsid w:val="009E4EC5"/>
    <w:rsid w:val="009F347C"/>
    <w:rsid w:val="00A04CEC"/>
    <w:rsid w:val="00A27F92"/>
    <w:rsid w:val="00A32257"/>
    <w:rsid w:val="00A34664"/>
    <w:rsid w:val="00A36D20"/>
    <w:rsid w:val="00A467DF"/>
    <w:rsid w:val="00A514A4"/>
    <w:rsid w:val="00A52C84"/>
    <w:rsid w:val="00A53FC6"/>
    <w:rsid w:val="00A55622"/>
    <w:rsid w:val="00A557C2"/>
    <w:rsid w:val="00A57578"/>
    <w:rsid w:val="00A713F9"/>
    <w:rsid w:val="00A83502"/>
    <w:rsid w:val="00A8405F"/>
    <w:rsid w:val="00A85935"/>
    <w:rsid w:val="00A94376"/>
    <w:rsid w:val="00AC74C0"/>
    <w:rsid w:val="00AD15B3"/>
    <w:rsid w:val="00AD3606"/>
    <w:rsid w:val="00AD4A3D"/>
    <w:rsid w:val="00AE4C7D"/>
    <w:rsid w:val="00AF6E49"/>
    <w:rsid w:val="00B0236B"/>
    <w:rsid w:val="00B033E1"/>
    <w:rsid w:val="00B04A67"/>
    <w:rsid w:val="00B0583C"/>
    <w:rsid w:val="00B358B2"/>
    <w:rsid w:val="00B40A81"/>
    <w:rsid w:val="00B44910"/>
    <w:rsid w:val="00B53C4D"/>
    <w:rsid w:val="00B62908"/>
    <w:rsid w:val="00B72267"/>
    <w:rsid w:val="00B76EB6"/>
    <w:rsid w:val="00B7737B"/>
    <w:rsid w:val="00B824C8"/>
    <w:rsid w:val="00B84B9D"/>
    <w:rsid w:val="00BA1727"/>
    <w:rsid w:val="00BC251A"/>
    <w:rsid w:val="00BD032B"/>
    <w:rsid w:val="00BD1693"/>
    <w:rsid w:val="00BD6D46"/>
    <w:rsid w:val="00BE2640"/>
    <w:rsid w:val="00C01189"/>
    <w:rsid w:val="00C03A13"/>
    <w:rsid w:val="00C374DE"/>
    <w:rsid w:val="00C47AD4"/>
    <w:rsid w:val="00C52D81"/>
    <w:rsid w:val="00C55198"/>
    <w:rsid w:val="00C76348"/>
    <w:rsid w:val="00CA6393"/>
    <w:rsid w:val="00CA7CB8"/>
    <w:rsid w:val="00CB18FF"/>
    <w:rsid w:val="00CD0C08"/>
    <w:rsid w:val="00CE03FB"/>
    <w:rsid w:val="00CE32F2"/>
    <w:rsid w:val="00CE433C"/>
    <w:rsid w:val="00CF0161"/>
    <w:rsid w:val="00CF33F3"/>
    <w:rsid w:val="00D06183"/>
    <w:rsid w:val="00D06564"/>
    <w:rsid w:val="00D13C53"/>
    <w:rsid w:val="00D15CB6"/>
    <w:rsid w:val="00D16D71"/>
    <w:rsid w:val="00D22C42"/>
    <w:rsid w:val="00D26766"/>
    <w:rsid w:val="00D464CC"/>
    <w:rsid w:val="00D53C61"/>
    <w:rsid w:val="00D64F94"/>
    <w:rsid w:val="00D65041"/>
    <w:rsid w:val="00D74A5A"/>
    <w:rsid w:val="00D95C9A"/>
    <w:rsid w:val="00DA7C60"/>
    <w:rsid w:val="00DB00D5"/>
    <w:rsid w:val="00DB1936"/>
    <w:rsid w:val="00DB384B"/>
    <w:rsid w:val="00DD5D60"/>
    <w:rsid w:val="00DF0189"/>
    <w:rsid w:val="00E03C3D"/>
    <w:rsid w:val="00E06FD5"/>
    <w:rsid w:val="00E10E80"/>
    <w:rsid w:val="00E124F0"/>
    <w:rsid w:val="00E227F3"/>
    <w:rsid w:val="00E545C6"/>
    <w:rsid w:val="00E60F04"/>
    <w:rsid w:val="00E65B24"/>
    <w:rsid w:val="00E667DE"/>
    <w:rsid w:val="00E854E4"/>
    <w:rsid w:val="00E86DBF"/>
    <w:rsid w:val="00E872D9"/>
    <w:rsid w:val="00E96F76"/>
    <w:rsid w:val="00EA427B"/>
    <w:rsid w:val="00EB0D6F"/>
    <w:rsid w:val="00EB2232"/>
    <w:rsid w:val="00EC0C77"/>
    <w:rsid w:val="00EC5337"/>
    <w:rsid w:val="00EC595D"/>
    <w:rsid w:val="00ED454D"/>
    <w:rsid w:val="00EE49E8"/>
    <w:rsid w:val="00EF64F6"/>
    <w:rsid w:val="00F06572"/>
    <w:rsid w:val="00F16BAB"/>
    <w:rsid w:val="00F2150A"/>
    <w:rsid w:val="00F231D8"/>
    <w:rsid w:val="00F27E39"/>
    <w:rsid w:val="00F3093E"/>
    <w:rsid w:val="00F325EA"/>
    <w:rsid w:val="00F44C00"/>
    <w:rsid w:val="00F45D2C"/>
    <w:rsid w:val="00F46C5F"/>
    <w:rsid w:val="00F632C0"/>
    <w:rsid w:val="00F74694"/>
    <w:rsid w:val="00F94A63"/>
    <w:rsid w:val="00FA1C28"/>
    <w:rsid w:val="00FB1279"/>
    <w:rsid w:val="00FB6B76"/>
    <w:rsid w:val="00FB7596"/>
    <w:rsid w:val="00FD6F61"/>
    <w:rsid w:val="00FD7016"/>
    <w:rsid w:val="00FE4077"/>
    <w:rsid w:val="00FE500D"/>
    <w:rsid w:val="00FE77D2"/>
    <w:rsid w:val="037582BB"/>
    <w:rsid w:val="05C8EEC6"/>
    <w:rsid w:val="0DB287A6"/>
    <w:rsid w:val="0F2484CB"/>
    <w:rsid w:val="17FB6424"/>
    <w:rsid w:val="21F3FD34"/>
    <w:rsid w:val="26FCCDAA"/>
    <w:rsid w:val="29578F06"/>
    <w:rsid w:val="2ACBEA1A"/>
    <w:rsid w:val="2CCC3019"/>
    <w:rsid w:val="33295182"/>
    <w:rsid w:val="36632201"/>
    <w:rsid w:val="36A4722B"/>
    <w:rsid w:val="3B311887"/>
    <w:rsid w:val="4257C954"/>
    <w:rsid w:val="486067A6"/>
    <w:rsid w:val="4A3C976D"/>
    <w:rsid w:val="4C65C79D"/>
    <w:rsid w:val="4D40E182"/>
    <w:rsid w:val="546EB405"/>
    <w:rsid w:val="54F5E9A6"/>
    <w:rsid w:val="580B60F5"/>
    <w:rsid w:val="5FB6EDFA"/>
    <w:rsid w:val="62A0D57A"/>
    <w:rsid w:val="62AC88AD"/>
    <w:rsid w:val="685AB3BE"/>
    <w:rsid w:val="6933BB63"/>
    <w:rsid w:val="69EF069F"/>
    <w:rsid w:val="718157D4"/>
    <w:rsid w:val="777592CB"/>
    <w:rsid w:val="7C058A5E"/>
    <w:rsid w:val="7D76E295"/>
    <w:rsid w:val="7DE1BC2E"/>
    <w:rsid w:val="7FEFED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ED3013EF-EB4D-4EFE-90A9-E99C5AD8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5D10A6"/>
    <w:pPr>
      <w:keepNext/>
      <w:keepLines/>
      <w:spacing w:before="360"/>
      <w:ind w:left="567" w:hanging="567"/>
      <w:outlineLvl w:val="0"/>
    </w:pPr>
    <w:rPr>
      <w:b/>
      <w:sz w:val="28"/>
    </w:rPr>
  </w:style>
  <w:style w:type="paragraph" w:styleId="Heading2">
    <w:name w:val="heading 2"/>
    <w:basedOn w:val="Heading1"/>
    <w:next w:val="Normal"/>
    <w:qFormat/>
    <w:rsid w:val="00483C8E"/>
    <w:pPr>
      <w:spacing w:before="240"/>
      <w:outlineLvl w:val="1"/>
    </w:pPr>
    <w:rPr>
      <w:sz w:val="24"/>
      <w:lang w:eastAsia="zh-CN"/>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5D10A6"/>
    <w:pPr>
      <w:spacing w:before="0" w:after="240"/>
      <w:jc w:val="center"/>
    </w:pPr>
    <w:rPr>
      <w:noProof/>
      <w:lang w:eastAsia="zh-CN"/>
    </w:rPr>
  </w:style>
  <w:style w:type="paragraph" w:customStyle="1" w:styleId="Figuretitle">
    <w:name w:val="Figure_title"/>
    <w:basedOn w:val="Tabletitle"/>
    <w:next w:val="Normalaftertitle"/>
    <w:rsid w:val="00811C82"/>
    <w:pPr>
      <w:spacing w:before="120"/>
    </w:pPr>
    <w:rPr>
      <w:lang w:eastAsia="zh-CN"/>
    </w:r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811C82"/>
    <w:pPr>
      <w:keepNext/>
      <w:keepLines/>
      <w:spacing w:before="480"/>
      <w:jc w:val="center"/>
    </w:pPr>
    <w:rPr>
      <w:caps/>
      <w:lang w:eastAsia="zh-CN"/>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EA427B"/>
    <w:rPr>
      <w:color w:val="666666"/>
    </w:rPr>
  </w:style>
  <w:style w:type="paragraph" w:customStyle="1" w:styleId="Reasons">
    <w:name w:val="Reasons"/>
    <w:basedOn w:val="Normal"/>
    <w:qFormat/>
    <w:rsid w:val="00811C82"/>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Revision">
    <w:name w:val="Revision"/>
    <w:hidden/>
    <w:uiPriority w:val="99"/>
    <w:semiHidden/>
    <w:rsid w:val="001D1E68"/>
    <w:rPr>
      <w:rFonts w:ascii="Calibri" w:hAnsi="Calibri"/>
      <w:sz w:val="24"/>
      <w:lang w:val="en-GB" w:eastAsia="en-US"/>
    </w:rPr>
  </w:style>
  <w:style w:type="character" w:styleId="CommentReference">
    <w:name w:val="annotation reference"/>
    <w:basedOn w:val="DefaultParagraphFont"/>
    <w:semiHidden/>
    <w:unhideWhenUsed/>
    <w:rsid w:val="00EC595D"/>
    <w:rPr>
      <w:sz w:val="16"/>
      <w:szCs w:val="16"/>
    </w:rPr>
  </w:style>
  <w:style w:type="paragraph" w:styleId="CommentText">
    <w:name w:val="annotation text"/>
    <w:basedOn w:val="Normal"/>
    <w:link w:val="CommentTextChar"/>
    <w:unhideWhenUsed/>
    <w:rsid w:val="00EC595D"/>
    <w:rPr>
      <w:sz w:val="20"/>
    </w:rPr>
  </w:style>
  <w:style w:type="character" w:customStyle="1" w:styleId="CommentTextChar">
    <w:name w:val="Comment Text Char"/>
    <w:basedOn w:val="DefaultParagraphFont"/>
    <w:link w:val="CommentText"/>
    <w:rsid w:val="00EC595D"/>
    <w:rPr>
      <w:rFonts w:ascii="Calibri" w:hAnsi="Calibri"/>
      <w:lang w:val="en-GB" w:eastAsia="en-US"/>
    </w:rPr>
  </w:style>
  <w:style w:type="paragraph" w:styleId="CommentSubject">
    <w:name w:val="annotation subject"/>
    <w:basedOn w:val="CommentText"/>
    <w:next w:val="CommentText"/>
    <w:link w:val="CommentSubjectChar"/>
    <w:semiHidden/>
    <w:unhideWhenUsed/>
    <w:rsid w:val="00EC595D"/>
    <w:rPr>
      <w:b/>
      <w:bCs/>
    </w:rPr>
  </w:style>
  <w:style w:type="character" w:customStyle="1" w:styleId="CommentSubjectChar">
    <w:name w:val="Comment Subject Char"/>
    <w:basedOn w:val="CommentTextChar"/>
    <w:link w:val="CommentSubject"/>
    <w:semiHidden/>
    <w:rsid w:val="00EC595D"/>
    <w:rPr>
      <w:rFonts w:ascii="Calibri" w:hAnsi="Calibri"/>
      <w:b/>
      <w:bCs/>
      <w:lang w:val="en-GB" w:eastAsia="en-US"/>
    </w:rPr>
  </w:style>
  <w:style w:type="character" w:styleId="Mention">
    <w:name w:val="Mention"/>
    <w:basedOn w:val="DefaultParagraphFont"/>
    <w:uiPriority w:val="99"/>
    <w:unhideWhenUsed/>
    <w:rsid w:val="00EC595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tu.int/md/S23-CL-INF-0013/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fhr/Pages/default.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F24150-F7C7-4265-AEB3-FAA7FBCC0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98E95F-45EC-4361-AE76-B192E6832547}">
  <ds:schemaRefs>
    <ds:schemaRef ds:uri="http://schemas.microsoft.com/sharepoint/v3/contenttype/fo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480BCC2B-F877-4EEF-8E3D-7C5622931321}">
  <ds:schemaRefs>
    <ds:schemaRef ds:uri="http://schemas.microsoft.com/office/2006/metadata/properties"/>
    <ds:schemaRef ds:uri="http://purl.org/dc/terms/"/>
    <ds:schemaRef ds:uri="http://purl.org/dc/dcmitype/"/>
    <ds:schemaRef ds:uri="http://schemas.microsoft.com/office/2006/documentManagement/types"/>
    <ds:schemaRef ds:uri="http://www.w3.org/XML/1998/namespace"/>
    <ds:schemaRef ds:uri="a4c22657-7647-457b-a399-8471255bb166"/>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1056</Words>
  <Characters>6607</Characters>
  <Application>Microsoft Office Word</Application>
  <DocSecurity>0</DocSecurity>
  <Lines>115</Lines>
  <Paragraphs>41</Paragraphs>
  <ScaleCrop>false</ScaleCrop>
  <Manager/>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People and Culture Initiatives</dc:title>
  <dc:subject>ITU Council Working Group on Financial and Human Resources</dc:subject>
  <cp:keywords>CWG-FHR; C26; Council-26</cp:keywords>
  <dc:description/>
  <dcterms:created xsi:type="dcterms:W3CDTF">2025-12-11T16:02:00Z</dcterms:created>
  <dcterms:modified xsi:type="dcterms:W3CDTF">2025-12-11T16:02:00Z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910b91c3-3234-46ed-bb25-8ecb22cede4a</vt:lpwstr>
  </property>
  <property fmtid="{D5CDD505-2E9C-101B-9397-08002B2CF9AE}" pid="3" name="ContentTypeId">
    <vt:lpwstr>0x010100814E447ED7B9DA4C9F10BB2808D9DCA9</vt:lpwstr>
  </property>
  <property fmtid="{D5CDD505-2E9C-101B-9397-08002B2CF9AE}" pid="4" name="docLang">
    <vt:lpwstr>en</vt:lpwstr>
  </property>
</Properties>
</file>