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929" w:tblpY="2317"/>
        <w:tblW w:w="9214" w:type="dxa"/>
        <w:tblLayout w:type="fixed"/>
        <w:tblLook w:val="0000" w:firstRow="0" w:lastRow="0" w:firstColumn="0" w:lastColumn="0" w:noHBand="0" w:noVBand="0"/>
      </w:tblPr>
      <w:tblGrid>
        <w:gridCol w:w="3969"/>
        <w:gridCol w:w="5245"/>
      </w:tblGrid>
      <w:tr w:rsidR="00AD3606" w:rsidRPr="00A94376" w14:paraId="0043AC80" w14:textId="77777777" w:rsidTr="60FF53D1">
        <w:trPr>
          <w:cantSplit/>
          <w:trHeight w:val="23"/>
        </w:trPr>
        <w:tc>
          <w:tcPr>
            <w:tcW w:w="3969" w:type="dxa"/>
            <w:vMerge w:val="restart"/>
            <w:tcMar>
              <w:left w:w="0" w:type="dxa"/>
            </w:tcMar>
          </w:tcPr>
          <w:p w14:paraId="60A806D3" w14:textId="6316C87D" w:rsidR="00AD3606" w:rsidRPr="00E85629" w:rsidRDefault="00AD3606" w:rsidP="0003682C">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06B42994" w:rsidR="00AD3606" w:rsidRPr="00A94376" w:rsidRDefault="00AD3606" w:rsidP="0003682C">
            <w:pPr>
              <w:tabs>
                <w:tab w:val="left" w:pos="851"/>
              </w:tabs>
              <w:spacing w:before="0" w:line="240" w:lineRule="atLeast"/>
              <w:jc w:val="right"/>
              <w:rPr>
                <w:b/>
                <w:lang w:val="it-IT"/>
              </w:rPr>
            </w:pPr>
            <w:r w:rsidRPr="00A94376">
              <w:rPr>
                <w:b/>
                <w:lang w:val="it-IT"/>
              </w:rPr>
              <w:t>Document C</w:t>
            </w:r>
            <w:r w:rsidR="00A52C84" w:rsidRPr="00A94376">
              <w:rPr>
                <w:b/>
                <w:lang w:val="it-IT"/>
              </w:rPr>
              <w:t>WG-</w:t>
            </w:r>
            <w:r w:rsidR="009F347C" w:rsidRPr="00A94376">
              <w:rPr>
                <w:b/>
                <w:lang w:val="it-IT"/>
              </w:rPr>
              <w:t>FHR</w:t>
            </w:r>
            <w:r w:rsidR="00A52C84" w:rsidRPr="00A94376">
              <w:rPr>
                <w:b/>
                <w:lang w:val="it-IT"/>
              </w:rPr>
              <w:t>-</w:t>
            </w:r>
            <w:r w:rsidR="00AE78C0">
              <w:rPr>
                <w:b/>
                <w:lang w:val="it-IT"/>
              </w:rPr>
              <w:t>22</w:t>
            </w:r>
            <w:r w:rsidRPr="00A94376">
              <w:rPr>
                <w:b/>
                <w:lang w:val="it-IT"/>
              </w:rPr>
              <w:t>/</w:t>
            </w:r>
            <w:r w:rsidR="00E43392">
              <w:rPr>
                <w:b/>
                <w:lang w:val="it-IT"/>
              </w:rPr>
              <w:t>7</w:t>
            </w:r>
          </w:p>
        </w:tc>
      </w:tr>
      <w:tr w:rsidR="00AD3606" w:rsidRPr="00A94376" w14:paraId="789B45BA" w14:textId="77777777" w:rsidTr="60FF53D1">
        <w:trPr>
          <w:cantSplit/>
        </w:trPr>
        <w:tc>
          <w:tcPr>
            <w:tcW w:w="3969" w:type="dxa"/>
            <w:vMerge/>
          </w:tcPr>
          <w:p w14:paraId="3F3D4E17" w14:textId="77777777" w:rsidR="00AD3606" w:rsidRPr="009B2D4B" w:rsidRDefault="00AD3606" w:rsidP="0003682C">
            <w:pPr>
              <w:tabs>
                <w:tab w:val="left" w:pos="851"/>
              </w:tabs>
              <w:spacing w:line="240" w:lineRule="atLeast"/>
              <w:rPr>
                <w:b/>
                <w:lang w:val="it-IT"/>
              </w:rPr>
            </w:pPr>
            <w:bookmarkStart w:id="6" w:name="ddate" w:colFirst="1" w:colLast="1"/>
            <w:bookmarkEnd w:id="0"/>
            <w:bookmarkEnd w:id="1"/>
          </w:p>
        </w:tc>
        <w:tc>
          <w:tcPr>
            <w:tcW w:w="5245" w:type="dxa"/>
          </w:tcPr>
          <w:p w14:paraId="2DE9ACEA" w14:textId="36CD4B69" w:rsidR="00AD3606" w:rsidRPr="00A94376" w:rsidRDefault="00740139" w:rsidP="0003682C">
            <w:pPr>
              <w:tabs>
                <w:tab w:val="left" w:pos="851"/>
              </w:tabs>
              <w:spacing w:before="0"/>
              <w:jc w:val="right"/>
              <w:rPr>
                <w:b/>
              </w:rPr>
            </w:pPr>
            <w:r>
              <w:rPr>
                <w:b/>
              </w:rPr>
              <w:t>11</w:t>
            </w:r>
            <w:r w:rsidR="00F46F77">
              <w:rPr>
                <w:b/>
              </w:rPr>
              <w:t xml:space="preserve"> </w:t>
            </w:r>
            <w:r w:rsidR="00833D26">
              <w:rPr>
                <w:b/>
              </w:rPr>
              <w:t>December</w:t>
            </w:r>
            <w:r w:rsidR="00F46F77">
              <w:rPr>
                <w:b/>
              </w:rPr>
              <w:t xml:space="preserve"> 2025</w:t>
            </w:r>
          </w:p>
        </w:tc>
      </w:tr>
      <w:tr w:rsidR="00AD3606" w:rsidRPr="00813E5E" w14:paraId="58A84C4A" w14:textId="77777777" w:rsidTr="60FF53D1">
        <w:trPr>
          <w:cantSplit/>
          <w:trHeight w:val="23"/>
        </w:trPr>
        <w:tc>
          <w:tcPr>
            <w:tcW w:w="3969" w:type="dxa"/>
            <w:vMerge/>
          </w:tcPr>
          <w:p w14:paraId="77CEDDAA" w14:textId="77777777" w:rsidR="00AD3606" w:rsidRPr="00813E5E" w:rsidRDefault="00AD3606" w:rsidP="0003682C">
            <w:pPr>
              <w:tabs>
                <w:tab w:val="left" w:pos="851"/>
              </w:tabs>
              <w:spacing w:line="240" w:lineRule="atLeast"/>
              <w:rPr>
                <w:b/>
              </w:rPr>
            </w:pPr>
            <w:bookmarkStart w:id="7" w:name="dorlang" w:colFirst="1" w:colLast="1"/>
            <w:bookmarkEnd w:id="6"/>
          </w:p>
        </w:tc>
        <w:tc>
          <w:tcPr>
            <w:tcW w:w="5245" w:type="dxa"/>
          </w:tcPr>
          <w:p w14:paraId="561AAE94" w14:textId="21480245" w:rsidR="00AD3606" w:rsidRPr="00E85629" w:rsidRDefault="00891503" w:rsidP="0003682C">
            <w:pPr>
              <w:tabs>
                <w:tab w:val="left" w:pos="851"/>
              </w:tabs>
              <w:spacing w:before="0" w:line="240" w:lineRule="atLeast"/>
              <w:jc w:val="right"/>
              <w:rPr>
                <w:b/>
              </w:rPr>
            </w:pPr>
            <w:r>
              <w:rPr>
                <w:b/>
              </w:rPr>
              <w:t>English</w:t>
            </w:r>
            <w:r w:rsidR="009B2D4B">
              <w:rPr>
                <w:b/>
              </w:rPr>
              <w:t xml:space="preserve"> only</w:t>
            </w:r>
          </w:p>
        </w:tc>
      </w:tr>
      <w:tr w:rsidR="00472BAD" w:rsidRPr="00813E5E" w14:paraId="12C5EF5F" w14:textId="77777777" w:rsidTr="60FF53D1">
        <w:trPr>
          <w:cantSplit/>
          <w:trHeight w:val="23"/>
        </w:trPr>
        <w:tc>
          <w:tcPr>
            <w:tcW w:w="3969" w:type="dxa"/>
          </w:tcPr>
          <w:p w14:paraId="4B839BA2" w14:textId="77777777" w:rsidR="00472BAD" w:rsidRPr="00813E5E" w:rsidRDefault="00472BAD" w:rsidP="0003682C">
            <w:pPr>
              <w:tabs>
                <w:tab w:val="left" w:pos="851"/>
              </w:tabs>
              <w:spacing w:line="240" w:lineRule="atLeast"/>
              <w:rPr>
                <w:b/>
              </w:rPr>
            </w:pPr>
          </w:p>
        </w:tc>
        <w:tc>
          <w:tcPr>
            <w:tcW w:w="5245" w:type="dxa"/>
          </w:tcPr>
          <w:p w14:paraId="12F66D25" w14:textId="77777777" w:rsidR="00472BAD" w:rsidRDefault="00472BAD" w:rsidP="0003682C">
            <w:pPr>
              <w:tabs>
                <w:tab w:val="left" w:pos="851"/>
              </w:tabs>
              <w:spacing w:before="0" w:line="240" w:lineRule="atLeast"/>
              <w:jc w:val="right"/>
              <w:rPr>
                <w:b/>
              </w:rPr>
            </w:pPr>
          </w:p>
        </w:tc>
      </w:tr>
      <w:tr w:rsidR="00833D26" w:rsidRPr="00C80B5D" w14:paraId="3B01FB1D" w14:textId="77777777" w:rsidTr="60FF53D1">
        <w:trPr>
          <w:cantSplit/>
        </w:trPr>
        <w:tc>
          <w:tcPr>
            <w:tcW w:w="9210" w:type="dxa"/>
            <w:gridSpan w:val="2"/>
            <w:tcMar>
              <w:left w:w="0" w:type="dxa"/>
            </w:tcMar>
          </w:tcPr>
          <w:p w14:paraId="6023084A" w14:textId="77777777" w:rsidR="00833D26" w:rsidRPr="00C80B5D" w:rsidRDefault="00833D26" w:rsidP="0003682C">
            <w:pPr>
              <w:pStyle w:val="Source"/>
              <w:framePr w:hSpace="0" w:wrap="auto" w:vAnchor="margin" w:hAnchor="text" w:xAlign="left" w:yAlign="inline"/>
            </w:pPr>
            <w:bookmarkStart w:id="8" w:name="_Hlk133421428"/>
            <w:bookmarkEnd w:id="2"/>
            <w:bookmarkEnd w:id="7"/>
            <w:r w:rsidRPr="00C80B5D">
              <w:t>Report by the Secretary-General</w:t>
            </w:r>
          </w:p>
        </w:tc>
      </w:tr>
      <w:tr w:rsidR="00833D26" w:rsidRPr="00C80B5D" w14:paraId="0E8F26F2" w14:textId="77777777" w:rsidTr="60FF53D1">
        <w:trPr>
          <w:cantSplit/>
        </w:trPr>
        <w:tc>
          <w:tcPr>
            <w:tcW w:w="9210" w:type="dxa"/>
            <w:gridSpan w:val="2"/>
            <w:tcMar>
              <w:left w:w="0" w:type="dxa"/>
            </w:tcMar>
          </w:tcPr>
          <w:p w14:paraId="560B6784" w14:textId="6D1F0B21" w:rsidR="00833D26" w:rsidRPr="00C80B5D" w:rsidRDefault="00362E8D" w:rsidP="0003682C">
            <w:pPr>
              <w:pStyle w:val="Subtitle"/>
              <w:framePr w:hSpace="0" w:wrap="auto" w:xAlign="left" w:yAlign="inline"/>
            </w:pPr>
            <w:r w:rsidRPr="00C80B5D">
              <w:t xml:space="preserve">ANNUAL BUDGETARY IMPLICATIONS OF ADDRESSING THE </w:t>
            </w:r>
            <w:proofErr w:type="spellStart"/>
            <w:r w:rsidRPr="00C80B5D">
              <w:t>WT</w:t>
            </w:r>
            <w:r>
              <w:t>DC</w:t>
            </w:r>
            <w:proofErr w:type="spellEnd"/>
            <w:r w:rsidRPr="00C80B5D">
              <w:t>-2</w:t>
            </w:r>
            <w:r>
              <w:t>5</w:t>
            </w:r>
            <w:r w:rsidRPr="00C80B5D">
              <w:t xml:space="preserve"> </w:t>
            </w:r>
            <w:r>
              <w:t>RESOLUTIONS</w:t>
            </w:r>
          </w:p>
        </w:tc>
      </w:tr>
      <w:tr w:rsidR="00833D26" w:rsidRPr="00C80B5D" w14:paraId="07055F8A" w14:textId="77777777" w:rsidTr="60FF53D1">
        <w:trPr>
          <w:cantSplit/>
        </w:trPr>
        <w:tc>
          <w:tcPr>
            <w:tcW w:w="9210" w:type="dxa"/>
            <w:gridSpan w:val="2"/>
            <w:tcBorders>
              <w:top w:val="single" w:sz="4" w:space="0" w:color="auto"/>
              <w:bottom w:val="single" w:sz="4" w:space="0" w:color="auto"/>
            </w:tcBorders>
            <w:tcMar>
              <w:left w:w="0" w:type="dxa"/>
            </w:tcMar>
          </w:tcPr>
          <w:p w14:paraId="24D5CC49" w14:textId="77777777" w:rsidR="00833D26" w:rsidRPr="00C80B5D" w:rsidRDefault="00833D26" w:rsidP="0003682C">
            <w:pPr>
              <w:spacing w:before="160"/>
              <w:rPr>
                <w:b/>
                <w:bCs/>
                <w:sz w:val="26"/>
                <w:szCs w:val="26"/>
              </w:rPr>
            </w:pPr>
            <w:r w:rsidRPr="00C80B5D">
              <w:rPr>
                <w:b/>
                <w:bCs/>
                <w:sz w:val="26"/>
                <w:szCs w:val="26"/>
              </w:rPr>
              <w:t>Purpose</w:t>
            </w:r>
          </w:p>
          <w:p w14:paraId="390AD31A" w14:textId="2BCCD21D" w:rsidR="00833D26" w:rsidRDefault="00833D26" w:rsidP="0003682C">
            <w:pPr>
              <w:jc w:val="both"/>
            </w:pPr>
            <w:r>
              <w:t xml:space="preserve">The Report of the Budget Control Committee of </w:t>
            </w:r>
            <w:proofErr w:type="spellStart"/>
            <w:r>
              <w:t>WTDC</w:t>
            </w:r>
            <w:proofErr w:type="spellEnd"/>
            <w:r>
              <w:t xml:space="preserve">-25, identified the conference resolutions decisions, including additional areas of work, technical studies, and workshops, that required additional financial resources to be implemented. The estimated costs for the completion of these new activities are in the magnitude of </w:t>
            </w:r>
            <w:proofErr w:type="spellStart"/>
            <w:r>
              <w:t>MCHF</w:t>
            </w:r>
            <w:proofErr w:type="spellEnd"/>
            <w:r>
              <w:t xml:space="preserve"> 4.208 in combined one-time and recurrent expenses. </w:t>
            </w:r>
            <w:proofErr w:type="spellStart"/>
            <w:r>
              <w:t>WTDC</w:t>
            </w:r>
            <w:proofErr w:type="spellEnd"/>
            <w:r>
              <w:t>-25 requested the Secretary-General to bring this to the attention of the CWG-FHR meeting in January 2026 to discuss the most effective methodology for the funding of these activities as they should be concluded prior to the World Telecommunication Development Conference scheduled to take place in 2029 (</w:t>
            </w:r>
            <w:proofErr w:type="spellStart"/>
            <w:r>
              <w:t>WTDC</w:t>
            </w:r>
            <w:proofErr w:type="spellEnd"/>
            <w:r>
              <w:t>-29).</w:t>
            </w:r>
            <w:r w:rsidR="00512A6F">
              <w:t xml:space="preserve"> </w:t>
            </w:r>
            <w:r w:rsidR="70D72F29">
              <w:t>T</w:t>
            </w:r>
            <w:r w:rsidR="009E0A56">
              <w:t>he attention of the World Telecommunication Development Conference (</w:t>
            </w:r>
            <w:proofErr w:type="spellStart"/>
            <w:r w:rsidR="009E0A56">
              <w:t>WTDC</w:t>
            </w:r>
            <w:proofErr w:type="spellEnd"/>
            <w:r w:rsidR="009E0A56">
              <w:t xml:space="preserve">-25) </w:t>
            </w:r>
            <w:r w:rsidR="00860014">
              <w:t>wa</w:t>
            </w:r>
            <w:r w:rsidR="009E0A56">
              <w:t>s drawn to No. 142 (Article 22) of the Constitution of the International Telecommunication Union.</w:t>
            </w:r>
          </w:p>
          <w:p w14:paraId="2BEE989E" w14:textId="77777777" w:rsidR="00324DEE" w:rsidRPr="003A68CE" w:rsidRDefault="00324DEE" w:rsidP="00921ACD">
            <w:pPr>
              <w:jc w:val="both"/>
              <w:rPr>
                <w:lang w:val="en-US"/>
              </w:rPr>
            </w:pPr>
            <w:r w:rsidRPr="003A68CE">
              <w:rPr>
                <w:lang w:val="en-US"/>
              </w:rPr>
              <w:t>For 20</w:t>
            </w:r>
            <w:r>
              <w:rPr>
                <w:lang w:val="en-US"/>
              </w:rPr>
              <w:t>26</w:t>
            </w:r>
            <w:r w:rsidRPr="003A68CE">
              <w:rPr>
                <w:lang w:val="en-US"/>
              </w:rPr>
              <w:t xml:space="preserve">, </w:t>
            </w:r>
            <w:r>
              <w:rPr>
                <w:lang w:val="en-US"/>
              </w:rPr>
              <w:t>BDT</w:t>
            </w:r>
            <w:r w:rsidRPr="003A68CE">
              <w:rPr>
                <w:lang w:val="en-US"/>
              </w:rPr>
              <w:t xml:space="preserve"> will endeavor to accommodate the new requirements within the approved 20</w:t>
            </w:r>
            <w:r>
              <w:rPr>
                <w:lang w:val="en-US"/>
              </w:rPr>
              <w:t>26</w:t>
            </w:r>
            <w:r w:rsidRPr="003A68CE">
              <w:rPr>
                <w:lang w:val="en-US"/>
              </w:rPr>
              <w:t>-20</w:t>
            </w:r>
            <w:r>
              <w:rPr>
                <w:lang w:val="en-US"/>
              </w:rPr>
              <w:t>27</w:t>
            </w:r>
            <w:r w:rsidRPr="003A68CE">
              <w:rPr>
                <w:lang w:val="en-US"/>
              </w:rPr>
              <w:t xml:space="preserve"> budget, although this may be challenging.</w:t>
            </w:r>
          </w:p>
          <w:p w14:paraId="6F516A54" w14:textId="77777777" w:rsidR="00833D26" w:rsidRPr="00C80B5D" w:rsidRDefault="00833D26" w:rsidP="0003682C">
            <w:pPr>
              <w:spacing w:before="160"/>
              <w:rPr>
                <w:b/>
                <w:bCs/>
                <w:sz w:val="26"/>
                <w:szCs w:val="26"/>
              </w:rPr>
            </w:pPr>
            <w:r w:rsidRPr="00C80B5D">
              <w:rPr>
                <w:b/>
                <w:bCs/>
                <w:sz w:val="26"/>
                <w:szCs w:val="26"/>
              </w:rPr>
              <w:t>Action required</w:t>
            </w:r>
          </w:p>
          <w:p w14:paraId="21690936" w14:textId="77777777" w:rsidR="00833D26" w:rsidRPr="00C80B5D" w:rsidRDefault="00833D26" w:rsidP="006A2A16">
            <w:pPr>
              <w:spacing w:before="160"/>
              <w:jc w:val="both"/>
            </w:pPr>
            <w:r w:rsidRPr="00C80B5D">
              <w:t xml:space="preserve">The Council Working Group on financial and human resources is invited to </w:t>
            </w:r>
            <w:r w:rsidRPr="00C80B5D">
              <w:rPr>
                <w:b/>
              </w:rPr>
              <w:t>consider</w:t>
            </w:r>
            <w:r w:rsidRPr="00C80B5D">
              <w:t xml:space="preserve"> the report and </w:t>
            </w:r>
            <w:r w:rsidRPr="00C80B5D">
              <w:rPr>
                <w:b/>
              </w:rPr>
              <w:t xml:space="preserve">provide </w:t>
            </w:r>
            <w:r w:rsidRPr="00C80B5D">
              <w:rPr>
                <w:b/>
                <w:bCs/>
              </w:rPr>
              <w:t xml:space="preserve">further </w:t>
            </w:r>
            <w:r w:rsidRPr="00C80B5D">
              <w:rPr>
                <w:b/>
              </w:rPr>
              <w:t>guidance</w:t>
            </w:r>
            <w:r w:rsidRPr="00C80B5D">
              <w:t xml:space="preserve">. </w:t>
            </w:r>
          </w:p>
          <w:p w14:paraId="55931749" w14:textId="77777777" w:rsidR="00833D26" w:rsidRPr="00C80B5D" w:rsidRDefault="00833D26" w:rsidP="0003682C">
            <w:r w:rsidRPr="00C80B5D">
              <w:t>_______________</w:t>
            </w:r>
          </w:p>
          <w:p w14:paraId="06F12DFB" w14:textId="77777777" w:rsidR="00833D26" w:rsidRPr="00C80B5D" w:rsidRDefault="00833D26" w:rsidP="0003682C">
            <w:pPr>
              <w:spacing w:before="160"/>
              <w:rPr>
                <w:b/>
                <w:bCs/>
                <w:sz w:val="26"/>
                <w:szCs w:val="26"/>
              </w:rPr>
            </w:pPr>
            <w:r w:rsidRPr="00C80B5D">
              <w:rPr>
                <w:b/>
                <w:bCs/>
                <w:sz w:val="26"/>
                <w:szCs w:val="26"/>
              </w:rPr>
              <w:t xml:space="preserve">References </w:t>
            </w:r>
          </w:p>
          <w:p w14:paraId="6D7D9D38" w14:textId="59607119" w:rsidR="00833D26" w:rsidRPr="00C80B5D" w:rsidRDefault="00833D26" w:rsidP="0003682C">
            <w:pPr>
              <w:spacing w:after="160"/>
              <w:rPr>
                <w:i/>
                <w:iCs/>
                <w:sz w:val="22"/>
                <w:szCs w:val="22"/>
              </w:rPr>
            </w:pPr>
            <w:hyperlink r:id="rId11" w:history="1">
              <w:r w:rsidRPr="00C80B5D">
                <w:rPr>
                  <w:rStyle w:val="Hyperlink"/>
                  <w:i/>
                  <w:iCs/>
                  <w:sz w:val="22"/>
                  <w:szCs w:val="22"/>
                </w:rPr>
                <w:t>CWG-FHR website</w:t>
              </w:r>
            </w:hyperlink>
            <w:r w:rsidRPr="00C80B5D">
              <w:rPr>
                <w:i/>
                <w:iCs/>
                <w:sz w:val="22"/>
                <w:szCs w:val="22"/>
              </w:rPr>
              <w:t>;</w:t>
            </w:r>
            <w:r w:rsidR="006A2A16">
              <w:rPr>
                <w:i/>
                <w:iCs/>
                <w:sz w:val="22"/>
                <w:szCs w:val="22"/>
              </w:rPr>
              <w:t xml:space="preserve"> </w:t>
            </w:r>
            <w:r w:rsidR="006A2A16" w:rsidRPr="006A2A16">
              <w:rPr>
                <w:i/>
                <w:iCs/>
                <w:sz w:val="22"/>
                <w:szCs w:val="22"/>
              </w:rPr>
              <w:t xml:space="preserve">Document </w:t>
            </w:r>
            <w:hyperlink r:id="rId12" w:history="1">
              <w:proofErr w:type="spellStart"/>
              <w:r w:rsidR="00116459">
                <w:rPr>
                  <w:rStyle w:val="Hyperlink"/>
                  <w:i/>
                  <w:iCs/>
                  <w:sz w:val="22"/>
                  <w:szCs w:val="22"/>
                </w:rPr>
                <w:t>WTDC</w:t>
              </w:r>
              <w:proofErr w:type="spellEnd"/>
              <w:r w:rsidR="00116459">
                <w:rPr>
                  <w:rStyle w:val="Hyperlink"/>
                  <w:i/>
                  <w:iCs/>
                  <w:sz w:val="22"/>
                  <w:szCs w:val="22"/>
                </w:rPr>
                <w:t>-25/70</w:t>
              </w:r>
            </w:hyperlink>
          </w:p>
        </w:tc>
      </w:tr>
    </w:tbl>
    <w:p w14:paraId="4CDB8B60" w14:textId="77777777" w:rsidR="00E227F3" w:rsidRDefault="00E227F3">
      <w:pPr>
        <w:tabs>
          <w:tab w:val="clear" w:pos="567"/>
          <w:tab w:val="clear" w:pos="1134"/>
          <w:tab w:val="clear" w:pos="1701"/>
          <w:tab w:val="clear" w:pos="2268"/>
          <w:tab w:val="clear" w:pos="2835"/>
        </w:tabs>
        <w:overflowPunct/>
        <w:autoSpaceDE/>
        <w:autoSpaceDN/>
        <w:adjustRightInd/>
        <w:spacing w:before="0"/>
        <w:textAlignment w:val="auto"/>
      </w:pPr>
    </w:p>
    <w:p w14:paraId="70723835" w14:textId="77777777" w:rsidR="00833D26" w:rsidRPr="00C80B5D" w:rsidRDefault="00F46F77" w:rsidP="00833D26">
      <w:pPr>
        <w:tabs>
          <w:tab w:val="clear" w:pos="567"/>
          <w:tab w:val="clear" w:pos="1134"/>
          <w:tab w:val="clear" w:pos="1701"/>
          <w:tab w:val="clear" w:pos="2268"/>
          <w:tab w:val="clear" w:pos="2835"/>
        </w:tabs>
        <w:overflowPunct/>
        <w:autoSpaceDE/>
        <w:autoSpaceDN/>
        <w:adjustRightInd/>
        <w:spacing w:before="0"/>
        <w:textAlignment w:val="auto"/>
        <w:rPr>
          <w:b/>
        </w:rPr>
      </w:pPr>
      <w:r w:rsidRPr="00F46F77">
        <w:tab/>
      </w:r>
      <w:r w:rsidR="00833D26" w:rsidRPr="00C80B5D">
        <w:br w:type="page"/>
      </w:r>
    </w:p>
    <w:p w14:paraId="68E33034" w14:textId="3A0F4F7F" w:rsidR="00833D26" w:rsidRPr="00116459" w:rsidRDefault="00116459" w:rsidP="00116459">
      <w:pPr>
        <w:pStyle w:val="Heading1"/>
      </w:pPr>
      <w:r>
        <w:lastRenderedPageBreak/>
        <w:t>1</w:t>
      </w:r>
      <w:r>
        <w:tab/>
      </w:r>
      <w:r w:rsidR="00833D26" w:rsidRPr="00116459">
        <w:t>Introduction</w:t>
      </w:r>
    </w:p>
    <w:p w14:paraId="6EBD2AE8" w14:textId="14D37B2B" w:rsidR="00833D26" w:rsidRPr="00C80B5D" w:rsidRDefault="00833D26" w:rsidP="00833D26">
      <w:pPr>
        <w:jc w:val="both"/>
      </w:pPr>
      <w:r>
        <w:t xml:space="preserve">The World Telecommunication Development </w:t>
      </w:r>
      <w:r w:rsidR="2DA8722F">
        <w:t>Conference</w:t>
      </w:r>
      <w:r>
        <w:t xml:space="preserve">, held in Baku, Azerbaijan Republic, from 17 to 28 November 2025, adopted some decisions on new activities, studies, and workshops to enable the Telecommunication </w:t>
      </w:r>
      <w:r w:rsidR="74383E09">
        <w:t xml:space="preserve">Development </w:t>
      </w:r>
      <w:r>
        <w:t xml:space="preserve">Bureau to respond in a timely manner to membership demands and address strategic issues that will require the attention of </w:t>
      </w:r>
      <w:proofErr w:type="spellStart"/>
      <w:r>
        <w:t>WTDC</w:t>
      </w:r>
      <w:proofErr w:type="spellEnd"/>
      <w:r>
        <w:t xml:space="preserve">-29. </w:t>
      </w:r>
    </w:p>
    <w:p w14:paraId="172EE993" w14:textId="6E1C6D0B" w:rsidR="005C5BA7" w:rsidRPr="00A22828" w:rsidRDefault="005C5BA7" w:rsidP="007F567D">
      <w:pPr>
        <w:jc w:val="both"/>
        <w:rPr>
          <w:szCs w:val="24"/>
        </w:rPr>
      </w:pPr>
      <w:r w:rsidRPr="00A22828">
        <w:rPr>
          <w:szCs w:val="24"/>
        </w:rPr>
        <w:t xml:space="preserve">The attention of the Conference </w:t>
      </w:r>
      <w:r>
        <w:rPr>
          <w:szCs w:val="24"/>
        </w:rPr>
        <w:t xml:space="preserve">was </w:t>
      </w:r>
      <w:r w:rsidRPr="00A22828">
        <w:rPr>
          <w:szCs w:val="24"/>
        </w:rPr>
        <w:t>drawn to Nos. 488 and 489 (Article 34) of the Convention of the International Telecommunication Union which provide respectively that:</w:t>
      </w:r>
    </w:p>
    <w:p w14:paraId="7DC375C1" w14:textId="77777777" w:rsidR="005C5BA7" w:rsidRPr="00A22828" w:rsidRDefault="005C5BA7" w:rsidP="007F567D">
      <w:pPr>
        <w:pStyle w:val="enumlev1"/>
        <w:jc w:val="both"/>
      </w:pPr>
      <w:r w:rsidRPr="00A22828">
        <w:tab/>
        <w:t>1</w:t>
      </w:r>
      <w:r w:rsidRPr="00A22828">
        <w:tab/>
        <w:t>“Before adopting proposals or taking decisions with financial implications, the conferences of the Union shall take account of all the Union’s budgetary provisions with a view to ensuring that they will not result in expenses beyond the credits which the Council is empowered to authorize.</w:t>
      </w:r>
    </w:p>
    <w:p w14:paraId="4E8966A5" w14:textId="77777777" w:rsidR="005C5BA7" w:rsidRPr="00A22828" w:rsidRDefault="005C5BA7" w:rsidP="007F567D">
      <w:pPr>
        <w:pStyle w:val="enumlev1"/>
        <w:jc w:val="both"/>
      </w:pPr>
      <w:r w:rsidRPr="00A22828">
        <w:tab/>
        <w:t>2</w:t>
      </w:r>
      <w:r w:rsidRPr="00A22828">
        <w:tab/>
        <w:t>No decision of a conference shall be put into effect if it will result in a direct or indirect increase in expenses beyond the credits that the Council is empowered to authorize.</w:t>
      </w:r>
    </w:p>
    <w:p w14:paraId="62743703" w14:textId="275629D3" w:rsidR="00833D26" w:rsidRPr="00C80B5D" w:rsidRDefault="00833D26" w:rsidP="00833D26">
      <w:pPr>
        <w:jc w:val="both"/>
      </w:pPr>
      <w:r w:rsidRPr="00C80B5D">
        <w:t xml:space="preserve">The </w:t>
      </w:r>
      <w:r>
        <w:t xml:space="preserve">Bureau of Development and </w:t>
      </w:r>
      <w:r w:rsidRPr="00C80B5D">
        <w:t>Telecommunication (</w:t>
      </w:r>
      <w:r>
        <w:t>BDT</w:t>
      </w:r>
      <w:r w:rsidRPr="00C80B5D">
        <w:t xml:space="preserve">) is mandated to implement these activities and report to the forthcoming </w:t>
      </w:r>
      <w:r>
        <w:t xml:space="preserve">Conference </w:t>
      </w:r>
      <w:r w:rsidRPr="00C80B5D">
        <w:t>(</w:t>
      </w:r>
      <w:proofErr w:type="spellStart"/>
      <w:r w:rsidRPr="00C80B5D">
        <w:t>WT</w:t>
      </w:r>
      <w:r>
        <w:t>DC</w:t>
      </w:r>
      <w:proofErr w:type="spellEnd"/>
      <w:r w:rsidRPr="00C80B5D">
        <w:t>-2</w:t>
      </w:r>
      <w:r>
        <w:t>9</w:t>
      </w:r>
      <w:r w:rsidRPr="00C80B5D">
        <w:t xml:space="preserve">). On the basis of the outcomes of the assembly, the Budget Control Committee estimated </w:t>
      </w:r>
      <w:r w:rsidRPr="00C80B5D">
        <w:rPr>
          <w:spacing w:val="-2"/>
        </w:rPr>
        <w:t xml:space="preserve">that the financial implications of the </w:t>
      </w:r>
      <w:proofErr w:type="spellStart"/>
      <w:r w:rsidRPr="00C80B5D">
        <w:rPr>
          <w:spacing w:val="-2"/>
        </w:rPr>
        <w:t>WT</w:t>
      </w:r>
      <w:r>
        <w:rPr>
          <w:spacing w:val="-2"/>
        </w:rPr>
        <w:t>DC</w:t>
      </w:r>
      <w:proofErr w:type="spellEnd"/>
      <w:r w:rsidRPr="00C80B5D">
        <w:rPr>
          <w:spacing w:val="-2"/>
        </w:rPr>
        <w:t>-2</w:t>
      </w:r>
      <w:r>
        <w:rPr>
          <w:spacing w:val="-2"/>
        </w:rPr>
        <w:t>5</w:t>
      </w:r>
      <w:r w:rsidRPr="00C80B5D">
        <w:rPr>
          <w:spacing w:val="-2"/>
        </w:rPr>
        <w:t xml:space="preserve"> decisions were CHF </w:t>
      </w:r>
      <w:r>
        <w:rPr>
          <w:spacing w:val="-2"/>
        </w:rPr>
        <w:t>4.208</w:t>
      </w:r>
      <w:r w:rsidRPr="00C80B5D">
        <w:rPr>
          <w:spacing w:val="-2"/>
        </w:rPr>
        <w:t> million (see</w:t>
      </w:r>
      <w:r w:rsidR="00116459">
        <w:rPr>
          <w:spacing w:val="-2"/>
        </w:rPr>
        <w:t xml:space="preserve"> Document</w:t>
      </w:r>
      <w:r w:rsidRPr="00C80B5D">
        <w:rPr>
          <w:spacing w:val="-2"/>
        </w:rPr>
        <w:t xml:space="preserve"> </w:t>
      </w:r>
      <w:hyperlink r:id="rId13" w:history="1">
        <w:proofErr w:type="spellStart"/>
        <w:r w:rsidR="00116459">
          <w:rPr>
            <w:color w:val="0563C1"/>
            <w:u w:val="single"/>
          </w:rPr>
          <w:t>WTDC</w:t>
        </w:r>
        <w:proofErr w:type="spellEnd"/>
        <w:r w:rsidR="00116459">
          <w:rPr>
            <w:color w:val="0563C1"/>
            <w:u w:val="single"/>
          </w:rPr>
          <w:t>-25/70</w:t>
        </w:r>
      </w:hyperlink>
      <w:r w:rsidRPr="00C80B5D">
        <w:rPr>
          <w:spacing w:val="-2"/>
        </w:rPr>
        <w:t>).</w:t>
      </w:r>
      <w:r w:rsidRPr="00C80B5D">
        <w:t xml:space="preserve"> </w:t>
      </w:r>
      <w:r w:rsidRPr="00C80B5D">
        <w:rPr>
          <w:spacing w:val="-2"/>
        </w:rPr>
        <w:t>For convenience, this section presents the information provided in the Report of the</w:t>
      </w:r>
      <w:r w:rsidRPr="00C80B5D">
        <w:t xml:space="preserve"> </w:t>
      </w:r>
      <w:proofErr w:type="spellStart"/>
      <w:r w:rsidRPr="00C80B5D">
        <w:t>WT</w:t>
      </w:r>
      <w:r>
        <w:t>DC</w:t>
      </w:r>
      <w:proofErr w:type="spellEnd"/>
      <w:r w:rsidRPr="00C80B5D">
        <w:t>-2</w:t>
      </w:r>
      <w:r>
        <w:t>5</w:t>
      </w:r>
      <w:r w:rsidRPr="00C80B5D">
        <w:t xml:space="preserve"> Budget Control Committee. </w:t>
      </w:r>
      <w:r w:rsidR="00116459">
        <w:t>The table</w:t>
      </w:r>
      <w:r w:rsidRPr="00C80B5D">
        <w:t xml:space="preserve"> </w:t>
      </w:r>
      <w:r>
        <w:t xml:space="preserve">in the document </w:t>
      </w:r>
      <w:r w:rsidRPr="00C80B5D">
        <w:t xml:space="preserve">sets an overall summary of the estimates for </w:t>
      </w:r>
      <w:r>
        <w:t xml:space="preserve">new and revised </w:t>
      </w:r>
      <w:proofErr w:type="spellStart"/>
      <w:r w:rsidRPr="00C80B5D">
        <w:t>WT</w:t>
      </w:r>
      <w:r>
        <w:t>DC</w:t>
      </w:r>
      <w:proofErr w:type="spellEnd"/>
      <w:r w:rsidRPr="00C80B5D">
        <w:t xml:space="preserve"> resolutions, as follows:</w:t>
      </w:r>
    </w:p>
    <w:p w14:paraId="5C5A5611" w14:textId="1732C3A0" w:rsidR="00833D26" w:rsidRPr="00116459" w:rsidRDefault="00833D26" w:rsidP="00116459">
      <w:pPr>
        <w:pStyle w:val="Heading1"/>
      </w:pPr>
      <w:bookmarkStart w:id="9" w:name="_Hlk163251339"/>
      <w:r w:rsidRPr="00116459">
        <w:t>2</w:t>
      </w:r>
      <w:r w:rsidRPr="00116459">
        <w:tab/>
        <w:t xml:space="preserve">Budgetary implications of </w:t>
      </w:r>
      <w:proofErr w:type="spellStart"/>
      <w:r w:rsidRPr="00116459">
        <w:t>WTDC</w:t>
      </w:r>
      <w:proofErr w:type="spellEnd"/>
      <w:r w:rsidRPr="00116459">
        <w:t>-25 resolutions</w:t>
      </w:r>
    </w:p>
    <w:bookmarkEnd w:id="9"/>
    <w:p w14:paraId="63DC9796" w14:textId="0B098D3F" w:rsidR="00DB4FAC" w:rsidRDefault="00DB4FAC" w:rsidP="0020471F">
      <w:pPr>
        <w:jc w:val="both"/>
      </w:pPr>
      <w:r w:rsidRPr="00C80B5D">
        <w:t xml:space="preserve">The Budget Control Committee identified the costs of the </w:t>
      </w:r>
      <w:proofErr w:type="spellStart"/>
      <w:r w:rsidRPr="00C80B5D">
        <w:t>WT</w:t>
      </w:r>
      <w:r>
        <w:t>DC</w:t>
      </w:r>
      <w:proofErr w:type="spellEnd"/>
      <w:r w:rsidRPr="00C80B5D">
        <w:t>-2</w:t>
      </w:r>
      <w:r>
        <w:t>5</w:t>
      </w:r>
      <w:r w:rsidRPr="00C80B5D">
        <w:t xml:space="preserve"> r</w:t>
      </w:r>
      <w:r>
        <w:t xml:space="preserve">esolutions </w:t>
      </w:r>
      <w:r w:rsidRPr="00C80B5D">
        <w:t>with respect to the resources needed to implement th</w:t>
      </w:r>
      <w:r>
        <w:t>e new and the modified resolutions</w:t>
      </w:r>
      <w:r w:rsidR="0020471F">
        <w:t>. The table below provides</w:t>
      </w:r>
      <w:r w:rsidRPr="00C80B5D">
        <w:t xml:space="preserve"> the details of the financial implications of </w:t>
      </w:r>
      <w:proofErr w:type="spellStart"/>
      <w:r w:rsidRPr="00C80B5D">
        <w:t>WT</w:t>
      </w:r>
      <w:r>
        <w:t>DC</w:t>
      </w:r>
      <w:proofErr w:type="spellEnd"/>
      <w:r w:rsidRPr="00C80B5D">
        <w:t>-2</w:t>
      </w:r>
      <w:r>
        <w:t>5</w:t>
      </w:r>
      <w:r w:rsidRPr="00C80B5D">
        <w:t xml:space="preserve"> in terms of both one-time and annual recurring costs.</w:t>
      </w:r>
      <w:r>
        <w:t xml:space="preserve"> </w:t>
      </w:r>
    </w:p>
    <w:p w14:paraId="628AEDD0" w14:textId="0C9BB8F8" w:rsidR="00833D26" w:rsidRDefault="00DB4FAC" w:rsidP="0020471F">
      <w:pPr>
        <w:jc w:val="both"/>
      </w:pPr>
      <w:r>
        <w:t>O</w:t>
      </w:r>
      <w:r w:rsidR="00833D26">
        <w:t xml:space="preserve">ne </w:t>
      </w:r>
      <w:r w:rsidR="00833D26" w:rsidRPr="00C80B5D">
        <w:t xml:space="preserve">new resolution and </w:t>
      </w:r>
      <w:r w:rsidR="00833D26">
        <w:t>five</w:t>
      </w:r>
      <w:r w:rsidR="00833D26" w:rsidRPr="00C80B5D">
        <w:t xml:space="preserve"> resolutions updated </w:t>
      </w:r>
      <w:r w:rsidR="00833D26">
        <w:t xml:space="preserve">were adopted </w:t>
      </w:r>
      <w:r w:rsidR="00833D26" w:rsidRPr="00C80B5D">
        <w:t xml:space="preserve">at </w:t>
      </w:r>
      <w:proofErr w:type="spellStart"/>
      <w:r w:rsidR="00833D26" w:rsidRPr="00C80B5D">
        <w:t>WT</w:t>
      </w:r>
      <w:r w:rsidR="00833D26">
        <w:t>DC</w:t>
      </w:r>
      <w:proofErr w:type="spellEnd"/>
      <w:r w:rsidR="00833D26" w:rsidRPr="00C80B5D">
        <w:t>-2</w:t>
      </w:r>
      <w:r w:rsidR="00833D26">
        <w:t>5</w:t>
      </w:r>
      <w:r w:rsidR="00833D26" w:rsidRPr="00C80B5D">
        <w:t>.</w:t>
      </w:r>
    </w:p>
    <w:p w14:paraId="10A4B986" w14:textId="4C6774CC" w:rsidR="00833D26" w:rsidRPr="00C80B5D" w:rsidRDefault="00833D26" w:rsidP="0020471F">
      <w:pPr>
        <w:jc w:val="both"/>
      </w:pPr>
      <w:r w:rsidRPr="00C80B5D">
        <w:t xml:space="preserve">The following sources could be considered for funding the costs of the implementation of </w:t>
      </w:r>
      <w:proofErr w:type="spellStart"/>
      <w:r w:rsidRPr="00C80B5D">
        <w:t>WT</w:t>
      </w:r>
      <w:r>
        <w:t>DC</w:t>
      </w:r>
      <w:proofErr w:type="spellEnd"/>
      <w:r w:rsidRPr="00C80B5D">
        <w:t xml:space="preserve"> decisions:</w:t>
      </w:r>
    </w:p>
    <w:p w14:paraId="1A6DFA03" w14:textId="6018FD74" w:rsidR="00833D26" w:rsidRPr="00116459" w:rsidRDefault="00116459" w:rsidP="0020471F">
      <w:pPr>
        <w:pStyle w:val="enumlev1"/>
        <w:jc w:val="both"/>
      </w:pPr>
      <w:r w:rsidRPr="00116459">
        <w:t>1</w:t>
      </w:r>
      <w:r w:rsidRPr="00116459">
        <w:tab/>
      </w:r>
      <w:r w:rsidR="00833D26" w:rsidRPr="00116459">
        <w:t>savings from the funding provided by the host country to the organization of the Conference, subject to the agreement of the host country.</w:t>
      </w:r>
    </w:p>
    <w:p w14:paraId="081CFEA3" w14:textId="5C91CAAC" w:rsidR="00833D26" w:rsidRPr="00116459" w:rsidRDefault="00116459" w:rsidP="0020471F">
      <w:pPr>
        <w:pStyle w:val="enumlev1"/>
        <w:jc w:val="both"/>
      </w:pPr>
      <w:r w:rsidRPr="00116459">
        <w:t>2</w:t>
      </w:r>
      <w:r w:rsidRPr="00116459">
        <w:tab/>
      </w:r>
      <w:r w:rsidR="00833D26" w:rsidRPr="00116459">
        <w:t>voluntary contributions.</w:t>
      </w:r>
    </w:p>
    <w:p w14:paraId="49BD0A55" w14:textId="123420DE" w:rsidR="00833D26" w:rsidRPr="00116459" w:rsidRDefault="007666E6" w:rsidP="0020471F">
      <w:pPr>
        <w:pStyle w:val="enumlev1"/>
        <w:jc w:val="both"/>
      </w:pPr>
      <w:r>
        <w:t>3</w:t>
      </w:r>
      <w:r w:rsidR="00116459" w:rsidRPr="00116459">
        <w:tab/>
      </w:r>
      <w:r w:rsidR="00833D26" w:rsidRPr="00116459">
        <w:t>additional appropriations from the regular budget, subject to the additional revenue sources identified.</w:t>
      </w:r>
    </w:p>
    <w:p w14:paraId="5797BEDB" w14:textId="5F6AB37A" w:rsidR="00833D26" w:rsidRDefault="00833D26" w:rsidP="0020471F">
      <w:pPr>
        <w:jc w:val="both"/>
        <w:rPr>
          <w:lang w:val="en-US"/>
        </w:rPr>
      </w:pPr>
      <w:r w:rsidRPr="003A68CE">
        <w:rPr>
          <w:lang w:val="en-US"/>
        </w:rPr>
        <w:t xml:space="preserve">In summary, the additional expenses identified in the various Resolutions of </w:t>
      </w:r>
      <w:proofErr w:type="spellStart"/>
      <w:r w:rsidRPr="003A68CE">
        <w:rPr>
          <w:lang w:val="en-US"/>
        </w:rPr>
        <w:t>WT</w:t>
      </w:r>
      <w:r>
        <w:rPr>
          <w:lang w:val="en-US"/>
        </w:rPr>
        <w:t>DC</w:t>
      </w:r>
      <w:proofErr w:type="spellEnd"/>
      <w:r w:rsidRPr="003A68CE">
        <w:rPr>
          <w:lang w:val="en-US"/>
        </w:rPr>
        <w:t>-</w:t>
      </w:r>
      <w:r>
        <w:rPr>
          <w:lang w:val="en-US"/>
        </w:rPr>
        <w:t>25</w:t>
      </w:r>
      <w:r w:rsidRPr="003A68CE">
        <w:rPr>
          <w:lang w:val="en-US"/>
        </w:rPr>
        <w:t xml:space="preserve"> are estimated </w:t>
      </w:r>
      <w:r>
        <w:rPr>
          <w:lang w:val="en-US"/>
        </w:rPr>
        <w:t xml:space="preserve">at </w:t>
      </w:r>
      <w:proofErr w:type="spellStart"/>
      <w:r>
        <w:rPr>
          <w:lang w:val="en-US"/>
        </w:rPr>
        <w:t>KCHF</w:t>
      </w:r>
      <w:proofErr w:type="spellEnd"/>
      <w:r>
        <w:rPr>
          <w:lang w:val="en-US"/>
        </w:rPr>
        <w:t xml:space="preserve"> 4</w:t>
      </w:r>
      <w:r w:rsidR="0020471F">
        <w:rPr>
          <w:lang w:val="en-US"/>
        </w:rPr>
        <w:t> </w:t>
      </w:r>
      <w:r>
        <w:rPr>
          <w:lang w:val="en-US"/>
        </w:rPr>
        <w:t xml:space="preserve">208 </w:t>
      </w:r>
      <w:r w:rsidRPr="003A68CE">
        <w:rPr>
          <w:lang w:val="en-US"/>
        </w:rPr>
        <w:t xml:space="preserve">for </w:t>
      </w:r>
      <w:r>
        <w:rPr>
          <w:lang w:val="en-US"/>
        </w:rPr>
        <w:t>the 4-year period.</w:t>
      </w:r>
    </w:p>
    <w:p w14:paraId="7381B8F6" w14:textId="0FCD3D78" w:rsidR="00833D26" w:rsidRDefault="0020471F" w:rsidP="0020471F">
      <w:pPr>
        <w:jc w:val="both"/>
        <w:rPr>
          <w:lang w:val="en-US"/>
        </w:rPr>
      </w:pPr>
      <w:r w:rsidRPr="1C85DB31">
        <w:rPr>
          <w:lang w:val="en-US"/>
        </w:rPr>
        <w:t>T</w:t>
      </w:r>
      <w:r w:rsidR="00833D26" w:rsidRPr="1C85DB31">
        <w:rPr>
          <w:lang w:val="en-US"/>
        </w:rPr>
        <w:t xml:space="preserve">he cost estimation methodology had been presented at two CWG-FHR meetings during 2025. The </w:t>
      </w:r>
      <w:r w:rsidR="00297FC6" w:rsidRPr="1C85DB31">
        <w:rPr>
          <w:lang w:val="en-US"/>
        </w:rPr>
        <w:t>s</w:t>
      </w:r>
      <w:r w:rsidR="00833D26" w:rsidRPr="1C85DB31">
        <w:rPr>
          <w:lang w:val="en-US"/>
        </w:rPr>
        <w:t>ecretariat will continue to work closely with members to further improve calculation methods and consistency in estimates.</w:t>
      </w:r>
    </w:p>
    <w:p w14:paraId="52A1BAAA" w14:textId="6FBE7410" w:rsidR="00833D26" w:rsidRDefault="03E88E87" w:rsidP="0020471F">
      <w:pPr>
        <w:jc w:val="both"/>
        <w:rPr>
          <w:lang w:val="en-US"/>
        </w:rPr>
      </w:pPr>
      <w:proofErr w:type="spellStart"/>
      <w:r w:rsidRPr="1C85DB31">
        <w:rPr>
          <w:lang w:val="en-US"/>
        </w:rPr>
        <w:lastRenderedPageBreak/>
        <w:t>WTDC</w:t>
      </w:r>
      <w:proofErr w:type="spellEnd"/>
      <w:r w:rsidRPr="1C85DB31">
        <w:rPr>
          <w:lang w:val="en-US"/>
        </w:rPr>
        <w:t xml:space="preserve">, COM </w:t>
      </w:r>
      <w:r w:rsidR="00362E8D" w:rsidRPr="1C85DB31">
        <w:rPr>
          <w:lang w:val="en-US"/>
        </w:rPr>
        <w:t>2, was</w:t>
      </w:r>
      <w:r w:rsidR="00833D26" w:rsidRPr="1C85DB31">
        <w:rPr>
          <w:lang w:val="en-US"/>
        </w:rPr>
        <w:t xml:space="preserve"> requested that the BDT </w:t>
      </w:r>
      <w:r w:rsidR="34DDBB35" w:rsidRPr="1C85DB31">
        <w:rPr>
          <w:lang w:val="en-US"/>
        </w:rPr>
        <w:t>bureau work</w:t>
      </w:r>
      <w:r w:rsidR="00833D26" w:rsidRPr="1C85DB31">
        <w:rPr>
          <w:lang w:val="en-US"/>
        </w:rPr>
        <w:t xml:space="preserve"> with other offices (particularly the TSB) </w:t>
      </w:r>
      <w:r w:rsidR="5A057FD8" w:rsidRPr="1C85DB31">
        <w:rPr>
          <w:lang w:val="en-US"/>
        </w:rPr>
        <w:t>avoid</w:t>
      </w:r>
      <w:r w:rsidR="00833D26" w:rsidRPr="1C85DB31">
        <w:rPr>
          <w:lang w:val="en-US"/>
        </w:rPr>
        <w:t xml:space="preserve"> duplication in the implementation of resolutions. This collaboration between </w:t>
      </w:r>
      <w:r w:rsidR="00775CE4" w:rsidRPr="1C85DB31">
        <w:rPr>
          <w:lang w:val="en-US"/>
        </w:rPr>
        <w:t>S</w:t>
      </w:r>
      <w:r w:rsidR="00833D26" w:rsidRPr="1C85DB31">
        <w:rPr>
          <w:lang w:val="en-US"/>
        </w:rPr>
        <w:t xml:space="preserve">ectors would help to reduce the financial implications and would continue to ensure greater efficiency in the implementation of some resolutions. </w:t>
      </w:r>
    </w:p>
    <w:p w14:paraId="2182EAFE" w14:textId="77777777" w:rsidR="00833D26" w:rsidRPr="00AA234F" w:rsidRDefault="00833D26" w:rsidP="0020471F">
      <w:pPr>
        <w:jc w:val="both"/>
        <w:rPr>
          <w:lang w:val="en-US"/>
        </w:rPr>
      </w:pPr>
      <w:r w:rsidRPr="00FA52F2">
        <w:rPr>
          <w:lang w:val="en-US"/>
        </w:rPr>
        <w:t>The Chair of the CWG</w:t>
      </w:r>
      <w:r>
        <w:rPr>
          <w:lang w:val="en-US"/>
        </w:rPr>
        <w:t>-FHR</w:t>
      </w:r>
      <w:r w:rsidRPr="00FA52F2">
        <w:rPr>
          <w:lang w:val="en-US"/>
        </w:rPr>
        <w:t xml:space="preserve">, having noted a surplus in the conference's financial situation, proposed that this surplus be allocated to </w:t>
      </w:r>
      <w:r>
        <w:rPr>
          <w:lang w:val="en-US"/>
        </w:rPr>
        <w:t>start</w:t>
      </w:r>
      <w:r w:rsidRPr="00FA52F2">
        <w:rPr>
          <w:lang w:val="en-US"/>
        </w:rPr>
        <w:t xml:space="preserve"> implementing Resolutions with financial implications</w:t>
      </w:r>
      <w:r>
        <w:rPr>
          <w:lang w:val="en-US"/>
        </w:rPr>
        <w:t xml:space="preserve"> approved at this conference.</w:t>
      </w:r>
    </w:p>
    <w:p w14:paraId="17118F22" w14:textId="219320DB" w:rsidR="00833D26" w:rsidRPr="00C80B5D" w:rsidRDefault="00833D26" w:rsidP="00833D26">
      <w:pPr>
        <w:jc w:val="both"/>
      </w:pPr>
      <w:r w:rsidRPr="00C80B5D">
        <w:t xml:space="preserve">The </w:t>
      </w:r>
      <w:r w:rsidR="00874A25">
        <w:t>s</w:t>
      </w:r>
      <w:r w:rsidRPr="00C80B5D">
        <w:t xml:space="preserve">ecretariat invites Member States to provide voluntary contributions to support </w:t>
      </w:r>
      <w:r>
        <w:t xml:space="preserve">the </w:t>
      </w:r>
      <w:r w:rsidRPr="00C80B5D">
        <w:t xml:space="preserve">implementation of the </w:t>
      </w:r>
      <w:proofErr w:type="spellStart"/>
      <w:r w:rsidRPr="00C80B5D">
        <w:t>WT</w:t>
      </w:r>
      <w:r>
        <w:t>DC</w:t>
      </w:r>
      <w:proofErr w:type="spellEnd"/>
      <w:r w:rsidRPr="00C80B5D">
        <w:t xml:space="preserve"> </w:t>
      </w:r>
      <w:r>
        <w:t>resolutions</w:t>
      </w:r>
      <w:r w:rsidRPr="00C80B5D">
        <w:t xml:space="preserve"> and provide guidance regarding additional revenue sources. The </w:t>
      </w:r>
      <w:r w:rsidR="00F443AF">
        <w:t>s</w:t>
      </w:r>
      <w:r w:rsidRPr="00C80B5D">
        <w:t>ecretariat will make efforts to provide a recommendation to the Council on the funding of the balance of the costs, subject to the availability of corresponding sources of revenue or savings.</w:t>
      </w:r>
    </w:p>
    <w:p w14:paraId="6444AE69" w14:textId="1E2CE250" w:rsidR="0020471F" w:rsidRDefault="0020471F">
      <w:pPr>
        <w:tabs>
          <w:tab w:val="clear" w:pos="567"/>
          <w:tab w:val="clear" w:pos="1134"/>
          <w:tab w:val="clear" w:pos="1701"/>
          <w:tab w:val="clear" w:pos="2268"/>
          <w:tab w:val="clear" w:pos="2835"/>
        </w:tabs>
        <w:overflowPunct/>
        <w:autoSpaceDE/>
        <w:autoSpaceDN/>
        <w:adjustRightInd/>
        <w:spacing w:before="0"/>
        <w:textAlignment w:val="auto"/>
        <w:rPr>
          <w:b/>
          <w:bCs/>
          <w:sz w:val="28"/>
          <w:szCs w:val="28"/>
        </w:rPr>
      </w:pPr>
      <w:r>
        <w:rPr>
          <w:b/>
          <w:bCs/>
          <w:sz w:val="28"/>
          <w:szCs w:val="28"/>
        </w:rPr>
        <w:br w:type="page"/>
      </w:r>
    </w:p>
    <w:p w14:paraId="6303B4D7" w14:textId="7A2D18C3" w:rsidR="00833D26" w:rsidRDefault="00833D26" w:rsidP="0020471F">
      <w:pPr>
        <w:pStyle w:val="Tabletitle"/>
        <w:keepLines/>
        <w:rPr>
          <w:szCs w:val="24"/>
        </w:rPr>
      </w:pPr>
      <w:r w:rsidRPr="00EA4517">
        <w:lastRenderedPageBreak/>
        <w:t xml:space="preserve">Financial implications arising from modified or new </w:t>
      </w:r>
      <w:proofErr w:type="spellStart"/>
      <w:r w:rsidRPr="00EA4517">
        <w:t>WTDC</w:t>
      </w:r>
      <w:proofErr w:type="spellEnd"/>
      <w:r w:rsidRPr="00EA4517">
        <w:t>-25 resolutions</w:t>
      </w:r>
    </w:p>
    <w:tbl>
      <w:tblPr>
        <w:tblStyle w:val="TableGrid"/>
        <w:tblW w:w="10260" w:type="dxa"/>
        <w:jc w:val="center"/>
        <w:tblLook w:val="04A0" w:firstRow="1" w:lastRow="0" w:firstColumn="1" w:lastColumn="0" w:noHBand="0" w:noVBand="1"/>
      </w:tblPr>
      <w:tblGrid>
        <w:gridCol w:w="5800"/>
        <w:gridCol w:w="1348"/>
        <w:gridCol w:w="1472"/>
        <w:gridCol w:w="1640"/>
      </w:tblGrid>
      <w:tr w:rsidR="00833D26" w:rsidRPr="00BB0C69" w14:paraId="2E8CD237" w14:textId="77777777" w:rsidTr="00E445F3">
        <w:trPr>
          <w:cantSplit/>
          <w:tblHeader/>
          <w:jc w:val="center"/>
        </w:trPr>
        <w:tc>
          <w:tcPr>
            <w:tcW w:w="5800" w:type="dxa"/>
            <w:noWrap/>
            <w:hideMark/>
          </w:tcPr>
          <w:p w14:paraId="75CD9DF0" w14:textId="77777777" w:rsidR="00833D26" w:rsidRPr="00BB0C69" w:rsidRDefault="00833D26" w:rsidP="0020471F">
            <w:pPr>
              <w:pStyle w:val="Tablehead"/>
              <w:rPr>
                <w:rFonts w:asciiTheme="minorHAnsi" w:hAnsiTheme="minorHAnsi" w:cstheme="minorHAnsi"/>
                <w:sz w:val="18"/>
                <w:szCs w:val="18"/>
                <w:lang w:eastAsia="en-GB"/>
              </w:rPr>
            </w:pPr>
          </w:p>
        </w:tc>
        <w:tc>
          <w:tcPr>
            <w:tcW w:w="4460" w:type="dxa"/>
            <w:gridSpan w:val="3"/>
            <w:noWrap/>
            <w:hideMark/>
          </w:tcPr>
          <w:p w14:paraId="6C30FDFD" w14:textId="77777777" w:rsidR="00833D26" w:rsidRPr="00BB0C69" w:rsidRDefault="00833D26" w:rsidP="0020471F">
            <w:pPr>
              <w:pStyle w:val="Tablehead"/>
              <w:rPr>
                <w:rFonts w:asciiTheme="minorHAnsi" w:hAnsiTheme="minorHAnsi" w:cstheme="minorHAnsi"/>
                <w:color w:val="000000"/>
                <w:sz w:val="18"/>
                <w:szCs w:val="18"/>
                <w:lang w:eastAsia="en-GB"/>
              </w:rPr>
            </w:pPr>
            <w:r w:rsidRPr="00BB0C69">
              <w:rPr>
                <w:rFonts w:asciiTheme="minorHAnsi" w:hAnsiTheme="minorHAnsi" w:cstheme="minorHAnsi"/>
                <w:color w:val="000000"/>
                <w:sz w:val="18"/>
                <w:szCs w:val="18"/>
                <w:lang w:eastAsia="en-GB"/>
              </w:rPr>
              <w:t>CHF (000)</w:t>
            </w:r>
          </w:p>
        </w:tc>
      </w:tr>
      <w:tr w:rsidR="00833D26" w:rsidRPr="00BB0C69" w14:paraId="39DD3B20" w14:textId="77777777" w:rsidTr="00E445F3">
        <w:trPr>
          <w:cantSplit/>
          <w:tblHeader/>
          <w:jc w:val="center"/>
        </w:trPr>
        <w:tc>
          <w:tcPr>
            <w:tcW w:w="5800" w:type="dxa"/>
            <w:noWrap/>
            <w:hideMark/>
          </w:tcPr>
          <w:p w14:paraId="6B6952D5" w14:textId="77777777" w:rsidR="00833D26" w:rsidRPr="00BB0C69" w:rsidRDefault="00833D26" w:rsidP="00BB0C69">
            <w:pPr>
              <w:pStyle w:val="Tablehead"/>
            </w:pPr>
          </w:p>
        </w:tc>
        <w:tc>
          <w:tcPr>
            <w:tcW w:w="1348" w:type="dxa"/>
            <w:noWrap/>
            <w:hideMark/>
          </w:tcPr>
          <w:p w14:paraId="429BA0D4" w14:textId="77777777" w:rsidR="00833D26" w:rsidRPr="00BB0C69" w:rsidRDefault="00833D26" w:rsidP="00BB0C69">
            <w:pPr>
              <w:pStyle w:val="Tablehead"/>
            </w:pPr>
            <w:r w:rsidRPr="00BB0C69">
              <w:t>Initial costs</w:t>
            </w:r>
          </w:p>
        </w:tc>
        <w:tc>
          <w:tcPr>
            <w:tcW w:w="1472" w:type="dxa"/>
            <w:hideMark/>
          </w:tcPr>
          <w:p w14:paraId="6775AAC6" w14:textId="6EDDFFB1" w:rsidR="00833D26" w:rsidRPr="00BB0C69" w:rsidRDefault="00833D26" w:rsidP="00BB0C69">
            <w:pPr>
              <w:pStyle w:val="Tablehead"/>
            </w:pPr>
            <w:r w:rsidRPr="00BB0C69">
              <w:t xml:space="preserve">Recurrent costs over </w:t>
            </w:r>
            <w:r w:rsidR="00BB0C69" w:rsidRPr="00BB0C69">
              <w:br/>
            </w:r>
            <w:r w:rsidR="00DB4FAC" w:rsidRPr="00BB0C69">
              <w:t>3-year</w:t>
            </w:r>
            <w:r w:rsidRPr="00BB0C69">
              <w:t xml:space="preserve"> period</w:t>
            </w:r>
          </w:p>
        </w:tc>
        <w:tc>
          <w:tcPr>
            <w:tcW w:w="1640" w:type="dxa"/>
            <w:hideMark/>
          </w:tcPr>
          <w:p w14:paraId="28254BE4" w14:textId="77777777" w:rsidR="00833D26" w:rsidRPr="00BB0C69" w:rsidRDefault="00833D26" w:rsidP="00BB0C69">
            <w:pPr>
              <w:pStyle w:val="Tablehead"/>
            </w:pPr>
            <w:r w:rsidRPr="00BB0C69">
              <w:t>Initial costs + recurrent costs over 3 years</w:t>
            </w:r>
          </w:p>
        </w:tc>
      </w:tr>
      <w:tr w:rsidR="00833D26" w:rsidRPr="00BB0C69" w14:paraId="06DBCCE0" w14:textId="77777777" w:rsidTr="00BB0C69">
        <w:trPr>
          <w:cantSplit/>
          <w:jc w:val="center"/>
        </w:trPr>
        <w:tc>
          <w:tcPr>
            <w:tcW w:w="5800" w:type="dxa"/>
            <w:noWrap/>
            <w:hideMark/>
          </w:tcPr>
          <w:p w14:paraId="77321788" w14:textId="14A2CA32" w:rsidR="00833D26" w:rsidRPr="00BB0C69" w:rsidRDefault="00833D26" w:rsidP="0020471F">
            <w:pPr>
              <w:pStyle w:val="Tabletext"/>
              <w:rPr>
                <w:rFonts w:asciiTheme="minorHAnsi" w:hAnsiTheme="minorHAnsi" w:cstheme="minorHAnsi"/>
                <w:b/>
                <w:bCs/>
                <w:color w:val="000000"/>
                <w:lang w:eastAsia="en-GB"/>
              </w:rPr>
            </w:pPr>
            <w:r w:rsidRPr="00BB0C69">
              <w:rPr>
                <w:rFonts w:asciiTheme="minorHAnsi" w:hAnsiTheme="minorHAnsi" w:cstheme="minorHAnsi"/>
                <w:b/>
                <w:bCs/>
                <w:color w:val="000000"/>
                <w:lang w:eastAsia="en-GB"/>
              </w:rPr>
              <w:t xml:space="preserve">New Resolution </w:t>
            </w:r>
            <w:r w:rsidR="00E445F3">
              <w:rPr>
                <w:rFonts w:asciiTheme="minorHAnsi" w:hAnsiTheme="minorHAnsi" w:cstheme="minorHAnsi"/>
                <w:color w:val="000000"/>
                <w:lang w:eastAsia="en-GB"/>
              </w:rPr>
              <w:t>–</w:t>
            </w:r>
            <w:r w:rsidRPr="00BB0C69">
              <w:rPr>
                <w:rFonts w:asciiTheme="minorHAnsi" w:hAnsiTheme="minorHAnsi" w:cstheme="minorHAnsi"/>
                <w:b/>
                <w:bCs/>
                <w:color w:val="000000"/>
                <w:lang w:eastAsia="en-GB"/>
              </w:rPr>
              <w:t xml:space="preserve"> </w:t>
            </w:r>
            <w:r w:rsidRPr="00BB0C69">
              <w:rPr>
                <w:rFonts w:asciiTheme="minorHAnsi" w:hAnsiTheme="minorHAnsi" w:cstheme="minorHAnsi"/>
                <w:color w:val="000000"/>
                <w:lang w:eastAsia="en-GB"/>
              </w:rPr>
              <w:t>AI for Development</w:t>
            </w:r>
          </w:p>
        </w:tc>
        <w:tc>
          <w:tcPr>
            <w:tcW w:w="1348" w:type="dxa"/>
            <w:noWrap/>
            <w:hideMark/>
          </w:tcPr>
          <w:p w14:paraId="57BDC599"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199</w:t>
            </w:r>
          </w:p>
        </w:tc>
        <w:tc>
          <w:tcPr>
            <w:tcW w:w="1472" w:type="dxa"/>
            <w:noWrap/>
            <w:hideMark/>
          </w:tcPr>
          <w:p w14:paraId="26526EE7"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453</w:t>
            </w:r>
          </w:p>
        </w:tc>
        <w:tc>
          <w:tcPr>
            <w:tcW w:w="1640" w:type="dxa"/>
            <w:noWrap/>
            <w:hideMark/>
          </w:tcPr>
          <w:p w14:paraId="4375521C" w14:textId="77777777" w:rsidR="00833D26" w:rsidRPr="00BB0C69" w:rsidRDefault="00833D26" w:rsidP="00B07C74">
            <w:pPr>
              <w:pStyle w:val="Tabletext"/>
              <w:ind w:right="283"/>
              <w:jc w:val="right"/>
              <w:rPr>
                <w:rFonts w:asciiTheme="minorHAnsi" w:hAnsiTheme="minorHAnsi" w:cstheme="minorHAnsi"/>
                <w:b/>
                <w:bCs/>
                <w:color w:val="000000"/>
                <w:lang w:eastAsia="en-GB"/>
              </w:rPr>
            </w:pPr>
            <w:r w:rsidRPr="00BB0C69">
              <w:rPr>
                <w:rFonts w:asciiTheme="minorHAnsi" w:hAnsiTheme="minorHAnsi" w:cstheme="minorHAnsi"/>
                <w:b/>
                <w:bCs/>
                <w:color w:val="000000"/>
                <w:lang w:eastAsia="en-GB"/>
              </w:rPr>
              <w:t>652</w:t>
            </w:r>
          </w:p>
        </w:tc>
      </w:tr>
      <w:tr w:rsidR="00833D26" w:rsidRPr="00BB0C69" w14:paraId="60596732" w14:textId="77777777" w:rsidTr="00BB0C69">
        <w:trPr>
          <w:cantSplit/>
          <w:jc w:val="center"/>
        </w:trPr>
        <w:tc>
          <w:tcPr>
            <w:tcW w:w="5800" w:type="dxa"/>
            <w:hideMark/>
          </w:tcPr>
          <w:p w14:paraId="394F528A" w14:textId="17D48A41" w:rsidR="00833D26" w:rsidRPr="00BB0C69" w:rsidRDefault="00BB0C69" w:rsidP="00BB0C69">
            <w:pPr>
              <w:pStyle w:val="Tabletext"/>
              <w:ind w:left="284" w:hanging="284"/>
              <w:rPr>
                <w:rFonts w:asciiTheme="minorHAnsi" w:hAnsiTheme="minorHAnsi" w:cstheme="minorHAnsi"/>
                <w:color w:val="000000"/>
                <w:lang w:eastAsia="en-GB"/>
              </w:rPr>
            </w:pPr>
            <w:r w:rsidRPr="00BB0C69">
              <w:rPr>
                <w:rFonts w:asciiTheme="minorHAnsi" w:hAnsiTheme="minorHAnsi" w:cstheme="minorHAnsi"/>
                <w:color w:val="000000"/>
                <w:lang w:eastAsia="en-GB"/>
              </w:rPr>
              <w:t>–</w:t>
            </w:r>
            <w:r w:rsidRPr="00BB0C69">
              <w:rPr>
                <w:rFonts w:asciiTheme="minorHAnsi" w:hAnsiTheme="minorHAnsi" w:cstheme="minorHAnsi"/>
                <w:color w:val="000000"/>
                <w:lang w:eastAsia="en-GB"/>
              </w:rPr>
              <w:tab/>
            </w:r>
            <w:r w:rsidR="00833D26" w:rsidRPr="00BB0C69">
              <w:rPr>
                <w:rFonts w:asciiTheme="minorHAnsi" w:hAnsiTheme="minorHAnsi" w:cstheme="minorHAnsi"/>
                <w:color w:val="000000"/>
                <w:lang w:eastAsia="en-GB"/>
              </w:rPr>
              <w:t xml:space="preserve">Expert to develop and implement an integrated AI support Service for Member States </w:t>
            </w:r>
          </w:p>
        </w:tc>
        <w:tc>
          <w:tcPr>
            <w:tcW w:w="1348" w:type="dxa"/>
            <w:noWrap/>
            <w:hideMark/>
          </w:tcPr>
          <w:p w14:paraId="331E5592"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96</w:t>
            </w:r>
          </w:p>
        </w:tc>
        <w:tc>
          <w:tcPr>
            <w:tcW w:w="1472" w:type="dxa"/>
            <w:noWrap/>
            <w:hideMark/>
          </w:tcPr>
          <w:p w14:paraId="2DC588EC"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144</w:t>
            </w:r>
          </w:p>
        </w:tc>
        <w:tc>
          <w:tcPr>
            <w:tcW w:w="1640" w:type="dxa"/>
            <w:noWrap/>
            <w:hideMark/>
          </w:tcPr>
          <w:p w14:paraId="0E229922"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240</w:t>
            </w:r>
          </w:p>
        </w:tc>
      </w:tr>
      <w:tr w:rsidR="00833D26" w:rsidRPr="00BB0C69" w14:paraId="61456030" w14:textId="77777777" w:rsidTr="00BB0C69">
        <w:trPr>
          <w:cantSplit/>
          <w:jc w:val="center"/>
        </w:trPr>
        <w:tc>
          <w:tcPr>
            <w:tcW w:w="5800" w:type="dxa"/>
            <w:noWrap/>
            <w:hideMark/>
          </w:tcPr>
          <w:p w14:paraId="60D8CBB1" w14:textId="303337E0" w:rsidR="00833D26" w:rsidRPr="00BB0C69" w:rsidRDefault="00BB0C69" w:rsidP="00BB0C69">
            <w:pPr>
              <w:pStyle w:val="Tabletext"/>
              <w:ind w:left="284" w:hanging="284"/>
              <w:rPr>
                <w:rFonts w:asciiTheme="minorHAnsi" w:hAnsiTheme="minorHAnsi" w:cstheme="minorHAnsi"/>
                <w:color w:val="000000"/>
                <w:lang w:eastAsia="en-GB"/>
              </w:rPr>
            </w:pPr>
            <w:r w:rsidRPr="00BB0C69">
              <w:rPr>
                <w:rFonts w:asciiTheme="minorHAnsi" w:hAnsiTheme="minorHAnsi" w:cstheme="minorHAnsi"/>
                <w:color w:val="000000"/>
                <w:lang w:eastAsia="en-GB"/>
              </w:rPr>
              <w:t>–</w:t>
            </w:r>
            <w:r w:rsidRPr="00BB0C69">
              <w:rPr>
                <w:rFonts w:asciiTheme="minorHAnsi" w:hAnsiTheme="minorHAnsi" w:cstheme="minorHAnsi"/>
                <w:color w:val="000000"/>
                <w:lang w:eastAsia="en-GB"/>
              </w:rPr>
              <w:tab/>
            </w:r>
            <w:r w:rsidR="00833D26" w:rsidRPr="00BB0C69">
              <w:rPr>
                <w:rFonts w:asciiTheme="minorHAnsi" w:hAnsiTheme="minorHAnsi" w:cstheme="minorHAnsi"/>
                <w:color w:val="000000"/>
                <w:lang w:eastAsia="en-GB"/>
              </w:rPr>
              <w:t>Organization of training and fellowships</w:t>
            </w:r>
          </w:p>
        </w:tc>
        <w:tc>
          <w:tcPr>
            <w:tcW w:w="1348" w:type="dxa"/>
            <w:noWrap/>
            <w:hideMark/>
          </w:tcPr>
          <w:p w14:paraId="780B4008"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60</w:t>
            </w:r>
          </w:p>
        </w:tc>
        <w:tc>
          <w:tcPr>
            <w:tcW w:w="1472" w:type="dxa"/>
            <w:noWrap/>
            <w:hideMark/>
          </w:tcPr>
          <w:p w14:paraId="62A460F9"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180</w:t>
            </w:r>
          </w:p>
        </w:tc>
        <w:tc>
          <w:tcPr>
            <w:tcW w:w="1640" w:type="dxa"/>
            <w:noWrap/>
            <w:hideMark/>
          </w:tcPr>
          <w:p w14:paraId="57292A37"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240</w:t>
            </w:r>
          </w:p>
        </w:tc>
      </w:tr>
      <w:tr w:rsidR="00833D26" w:rsidRPr="00BB0C69" w14:paraId="41368B77" w14:textId="77777777" w:rsidTr="00BB0C69">
        <w:trPr>
          <w:cantSplit/>
          <w:jc w:val="center"/>
        </w:trPr>
        <w:tc>
          <w:tcPr>
            <w:tcW w:w="5800" w:type="dxa"/>
            <w:noWrap/>
            <w:hideMark/>
          </w:tcPr>
          <w:p w14:paraId="3D87F3F8" w14:textId="00129EA5" w:rsidR="00833D26" w:rsidRPr="00BB0C69" w:rsidRDefault="00BB0C69" w:rsidP="00BB0C69">
            <w:pPr>
              <w:pStyle w:val="Tabletext"/>
              <w:ind w:left="284" w:hanging="284"/>
              <w:rPr>
                <w:rFonts w:asciiTheme="minorHAnsi" w:hAnsiTheme="minorHAnsi" w:cstheme="minorHAnsi"/>
                <w:color w:val="000000"/>
                <w:lang w:eastAsia="en-GB"/>
              </w:rPr>
            </w:pPr>
            <w:r w:rsidRPr="00BB0C69">
              <w:rPr>
                <w:rFonts w:asciiTheme="minorHAnsi" w:hAnsiTheme="minorHAnsi" w:cstheme="minorHAnsi"/>
                <w:color w:val="000000"/>
                <w:lang w:eastAsia="en-GB"/>
              </w:rPr>
              <w:t>–</w:t>
            </w:r>
            <w:r w:rsidRPr="00BB0C69">
              <w:rPr>
                <w:rFonts w:asciiTheme="minorHAnsi" w:hAnsiTheme="minorHAnsi" w:cstheme="minorHAnsi"/>
                <w:color w:val="000000"/>
                <w:lang w:eastAsia="en-GB"/>
              </w:rPr>
              <w:tab/>
            </w:r>
            <w:r w:rsidR="00833D26" w:rsidRPr="00BB0C69">
              <w:rPr>
                <w:rFonts w:asciiTheme="minorHAnsi" w:hAnsiTheme="minorHAnsi" w:cstheme="minorHAnsi"/>
                <w:color w:val="000000"/>
                <w:lang w:eastAsia="en-GB"/>
              </w:rPr>
              <w:t>Translation (+ text processing)</w:t>
            </w:r>
          </w:p>
        </w:tc>
        <w:tc>
          <w:tcPr>
            <w:tcW w:w="1348" w:type="dxa"/>
            <w:noWrap/>
            <w:hideMark/>
          </w:tcPr>
          <w:p w14:paraId="23A74577"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43</w:t>
            </w:r>
          </w:p>
        </w:tc>
        <w:tc>
          <w:tcPr>
            <w:tcW w:w="1472" w:type="dxa"/>
            <w:noWrap/>
            <w:hideMark/>
          </w:tcPr>
          <w:p w14:paraId="6320ADEF"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129</w:t>
            </w:r>
          </w:p>
        </w:tc>
        <w:tc>
          <w:tcPr>
            <w:tcW w:w="1640" w:type="dxa"/>
            <w:noWrap/>
            <w:hideMark/>
          </w:tcPr>
          <w:p w14:paraId="77BDA381"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172</w:t>
            </w:r>
          </w:p>
        </w:tc>
      </w:tr>
      <w:tr w:rsidR="00833D26" w:rsidRPr="00BB0C69" w14:paraId="13B4DCDD" w14:textId="77777777" w:rsidTr="00BB0C69">
        <w:trPr>
          <w:cantSplit/>
          <w:jc w:val="center"/>
        </w:trPr>
        <w:tc>
          <w:tcPr>
            <w:tcW w:w="5800" w:type="dxa"/>
            <w:noWrap/>
            <w:hideMark/>
          </w:tcPr>
          <w:p w14:paraId="64913AF5" w14:textId="655CE33A" w:rsidR="00833D26" w:rsidRPr="00BB0C69" w:rsidRDefault="00833D26" w:rsidP="0020471F">
            <w:pPr>
              <w:pStyle w:val="Tabletext"/>
              <w:rPr>
                <w:rFonts w:asciiTheme="minorHAnsi" w:hAnsiTheme="minorHAnsi" w:cstheme="minorHAnsi"/>
                <w:color w:val="000000"/>
                <w:sz w:val="10"/>
                <w:szCs w:val="10"/>
                <w:lang w:eastAsia="en-GB"/>
              </w:rPr>
            </w:pPr>
          </w:p>
        </w:tc>
        <w:tc>
          <w:tcPr>
            <w:tcW w:w="1348" w:type="dxa"/>
            <w:noWrap/>
            <w:hideMark/>
          </w:tcPr>
          <w:p w14:paraId="328FA3F8" w14:textId="7DE8891E" w:rsidR="00833D26" w:rsidRPr="00BB0C69" w:rsidRDefault="00833D26" w:rsidP="00BB0C69">
            <w:pPr>
              <w:pStyle w:val="Tabletext"/>
              <w:jc w:val="center"/>
              <w:rPr>
                <w:rFonts w:asciiTheme="minorHAnsi" w:hAnsiTheme="minorHAnsi" w:cstheme="minorHAnsi"/>
                <w:color w:val="000000"/>
                <w:sz w:val="10"/>
                <w:szCs w:val="10"/>
                <w:lang w:eastAsia="en-GB"/>
              </w:rPr>
            </w:pPr>
          </w:p>
        </w:tc>
        <w:tc>
          <w:tcPr>
            <w:tcW w:w="1472" w:type="dxa"/>
            <w:noWrap/>
            <w:hideMark/>
          </w:tcPr>
          <w:p w14:paraId="4B922833" w14:textId="5CE13FAE" w:rsidR="00833D26" w:rsidRPr="00BB0C69" w:rsidRDefault="00833D26" w:rsidP="00BB0C69">
            <w:pPr>
              <w:pStyle w:val="Tabletext"/>
              <w:jc w:val="center"/>
              <w:rPr>
                <w:rFonts w:asciiTheme="minorHAnsi" w:hAnsiTheme="minorHAnsi" w:cstheme="minorHAnsi"/>
                <w:color w:val="000000"/>
                <w:sz w:val="10"/>
                <w:szCs w:val="10"/>
                <w:lang w:eastAsia="en-GB"/>
              </w:rPr>
            </w:pPr>
          </w:p>
        </w:tc>
        <w:tc>
          <w:tcPr>
            <w:tcW w:w="1640" w:type="dxa"/>
            <w:noWrap/>
            <w:hideMark/>
          </w:tcPr>
          <w:p w14:paraId="411D14D4" w14:textId="4854D2BF" w:rsidR="00833D26" w:rsidRPr="00BB0C69" w:rsidRDefault="00833D26" w:rsidP="00BB0C69">
            <w:pPr>
              <w:pStyle w:val="Tabletext"/>
              <w:jc w:val="center"/>
              <w:rPr>
                <w:rFonts w:asciiTheme="minorHAnsi" w:hAnsiTheme="minorHAnsi" w:cstheme="minorHAnsi"/>
                <w:color w:val="000000"/>
                <w:sz w:val="10"/>
                <w:szCs w:val="10"/>
                <w:lang w:eastAsia="en-GB"/>
              </w:rPr>
            </w:pPr>
          </w:p>
        </w:tc>
      </w:tr>
      <w:tr w:rsidR="00833D26" w:rsidRPr="00BB0C69" w14:paraId="1E4FE53D" w14:textId="77777777" w:rsidTr="00BB0C69">
        <w:trPr>
          <w:cantSplit/>
          <w:jc w:val="center"/>
        </w:trPr>
        <w:tc>
          <w:tcPr>
            <w:tcW w:w="5800" w:type="dxa"/>
            <w:hideMark/>
          </w:tcPr>
          <w:p w14:paraId="1C89C794" w14:textId="5C0B6E64" w:rsidR="00833D26" w:rsidRPr="00BB0C69" w:rsidRDefault="00833D26" w:rsidP="0020471F">
            <w:pPr>
              <w:pStyle w:val="Tabletext"/>
              <w:rPr>
                <w:rFonts w:asciiTheme="minorHAnsi" w:hAnsiTheme="minorHAnsi" w:cstheme="minorHAnsi"/>
                <w:color w:val="000000"/>
                <w:lang w:eastAsia="en-GB"/>
              </w:rPr>
            </w:pPr>
            <w:r w:rsidRPr="00BB0C69">
              <w:rPr>
                <w:rFonts w:asciiTheme="minorHAnsi" w:hAnsiTheme="minorHAnsi" w:cstheme="minorHAnsi"/>
                <w:b/>
                <w:bCs/>
                <w:color w:val="000000"/>
                <w:lang w:eastAsia="en-GB"/>
              </w:rPr>
              <w:t>Resolution 34</w:t>
            </w:r>
            <w:r w:rsidRPr="00BB0C69">
              <w:rPr>
                <w:rFonts w:asciiTheme="minorHAnsi" w:hAnsiTheme="minorHAnsi" w:cstheme="minorHAnsi"/>
                <w:color w:val="000000"/>
                <w:lang w:eastAsia="en-GB"/>
              </w:rPr>
              <w:t xml:space="preserve"> </w:t>
            </w:r>
            <w:r w:rsidR="00E445F3">
              <w:rPr>
                <w:rFonts w:asciiTheme="minorHAnsi" w:hAnsiTheme="minorHAnsi" w:cstheme="minorHAnsi"/>
                <w:color w:val="000000"/>
                <w:lang w:eastAsia="en-GB"/>
              </w:rPr>
              <w:t>–</w:t>
            </w:r>
            <w:r w:rsidRPr="00BB0C69">
              <w:rPr>
                <w:rFonts w:asciiTheme="minorHAnsi" w:hAnsiTheme="minorHAnsi" w:cstheme="minorHAnsi"/>
                <w:color w:val="000000"/>
                <w:lang w:eastAsia="en-GB"/>
              </w:rPr>
              <w:t xml:space="preserve"> The role of telecommunications/information and communication technology in disaster preparedness, early warning, rescue, mitigation, relief and response</w:t>
            </w:r>
          </w:p>
        </w:tc>
        <w:tc>
          <w:tcPr>
            <w:tcW w:w="1348" w:type="dxa"/>
            <w:noWrap/>
            <w:hideMark/>
          </w:tcPr>
          <w:p w14:paraId="6CBA4291"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156</w:t>
            </w:r>
          </w:p>
        </w:tc>
        <w:tc>
          <w:tcPr>
            <w:tcW w:w="1472" w:type="dxa"/>
            <w:noWrap/>
            <w:hideMark/>
          </w:tcPr>
          <w:p w14:paraId="4098B1A8"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468</w:t>
            </w:r>
          </w:p>
        </w:tc>
        <w:tc>
          <w:tcPr>
            <w:tcW w:w="1640" w:type="dxa"/>
            <w:noWrap/>
            <w:hideMark/>
          </w:tcPr>
          <w:p w14:paraId="3CE452F9" w14:textId="77777777" w:rsidR="00833D26" w:rsidRPr="00BB0C69" w:rsidRDefault="00833D26" w:rsidP="00B07C74">
            <w:pPr>
              <w:pStyle w:val="Tabletext"/>
              <w:ind w:right="283"/>
              <w:jc w:val="right"/>
              <w:rPr>
                <w:rFonts w:asciiTheme="minorHAnsi" w:hAnsiTheme="minorHAnsi" w:cstheme="minorHAnsi"/>
                <w:b/>
                <w:bCs/>
                <w:color w:val="000000"/>
                <w:lang w:eastAsia="en-GB"/>
              </w:rPr>
            </w:pPr>
            <w:r w:rsidRPr="00BB0C69">
              <w:rPr>
                <w:rFonts w:asciiTheme="minorHAnsi" w:hAnsiTheme="minorHAnsi" w:cstheme="minorHAnsi"/>
                <w:b/>
                <w:bCs/>
                <w:color w:val="000000"/>
                <w:lang w:eastAsia="en-GB"/>
              </w:rPr>
              <w:t>624</w:t>
            </w:r>
          </w:p>
        </w:tc>
      </w:tr>
      <w:tr w:rsidR="00833D26" w:rsidRPr="00BB0C69" w14:paraId="2426672C" w14:textId="77777777" w:rsidTr="00BB0C69">
        <w:trPr>
          <w:cantSplit/>
          <w:jc w:val="center"/>
        </w:trPr>
        <w:tc>
          <w:tcPr>
            <w:tcW w:w="5800" w:type="dxa"/>
            <w:hideMark/>
          </w:tcPr>
          <w:p w14:paraId="7A1A1346" w14:textId="16DCA786" w:rsidR="00833D26" w:rsidRPr="00BB0C69" w:rsidRDefault="00E445F3" w:rsidP="00E445F3">
            <w:pPr>
              <w:pStyle w:val="Tabletext"/>
              <w:ind w:left="284" w:hanging="284"/>
              <w:rPr>
                <w:rFonts w:asciiTheme="minorHAnsi" w:hAnsiTheme="minorHAnsi" w:cstheme="minorHAnsi"/>
                <w:color w:val="000000"/>
                <w:lang w:eastAsia="en-GB"/>
              </w:rPr>
            </w:pPr>
            <w:r w:rsidRPr="00BB0C69">
              <w:rPr>
                <w:rFonts w:asciiTheme="minorHAnsi" w:hAnsiTheme="minorHAnsi" w:cstheme="minorHAnsi"/>
                <w:color w:val="000000"/>
                <w:lang w:eastAsia="en-GB"/>
              </w:rPr>
              <w:t>–</w:t>
            </w:r>
            <w:r w:rsidRPr="00BB0C69">
              <w:rPr>
                <w:rFonts w:asciiTheme="minorHAnsi" w:hAnsiTheme="minorHAnsi" w:cstheme="minorHAnsi"/>
                <w:color w:val="000000"/>
                <w:lang w:eastAsia="en-GB"/>
              </w:rPr>
              <w:tab/>
            </w:r>
            <w:r w:rsidR="00833D26" w:rsidRPr="00BB0C69">
              <w:rPr>
                <w:rFonts w:asciiTheme="minorHAnsi" w:hAnsiTheme="minorHAnsi" w:cstheme="minorHAnsi"/>
                <w:color w:val="000000"/>
                <w:lang w:eastAsia="en-GB"/>
              </w:rPr>
              <w:t>Expert to provide technical assistance and capacity-building support to Member States</w:t>
            </w:r>
          </w:p>
        </w:tc>
        <w:tc>
          <w:tcPr>
            <w:tcW w:w="1348" w:type="dxa"/>
            <w:noWrap/>
            <w:hideMark/>
          </w:tcPr>
          <w:p w14:paraId="55625485"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96</w:t>
            </w:r>
          </w:p>
        </w:tc>
        <w:tc>
          <w:tcPr>
            <w:tcW w:w="1472" w:type="dxa"/>
            <w:noWrap/>
            <w:hideMark/>
          </w:tcPr>
          <w:p w14:paraId="38516854"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288</w:t>
            </w:r>
          </w:p>
        </w:tc>
        <w:tc>
          <w:tcPr>
            <w:tcW w:w="1640" w:type="dxa"/>
            <w:noWrap/>
            <w:hideMark/>
          </w:tcPr>
          <w:p w14:paraId="261C3B94"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384</w:t>
            </w:r>
          </w:p>
        </w:tc>
      </w:tr>
      <w:tr w:rsidR="00833D26" w:rsidRPr="00BB0C69" w14:paraId="386829D1" w14:textId="77777777" w:rsidTr="00BB0C69">
        <w:trPr>
          <w:cantSplit/>
          <w:jc w:val="center"/>
        </w:trPr>
        <w:tc>
          <w:tcPr>
            <w:tcW w:w="5800" w:type="dxa"/>
            <w:noWrap/>
            <w:hideMark/>
          </w:tcPr>
          <w:p w14:paraId="7050C49E" w14:textId="0CC217A0" w:rsidR="00833D26" w:rsidRPr="00BB0C69" w:rsidRDefault="00E445F3" w:rsidP="00E445F3">
            <w:pPr>
              <w:pStyle w:val="Tabletext"/>
              <w:ind w:left="284" w:hanging="284"/>
              <w:rPr>
                <w:rFonts w:asciiTheme="minorHAnsi" w:hAnsiTheme="minorHAnsi" w:cstheme="minorHAnsi"/>
                <w:color w:val="000000"/>
                <w:lang w:eastAsia="en-GB"/>
              </w:rPr>
            </w:pPr>
            <w:r w:rsidRPr="00BB0C69">
              <w:rPr>
                <w:rFonts w:asciiTheme="minorHAnsi" w:hAnsiTheme="minorHAnsi" w:cstheme="minorHAnsi"/>
                <w:color w:val="000000"/>
                <w:lang w:eastAsia="en-GB"/>
              </w:rPr>
              <w:t>–</w:t>
            </w:r>
            <w:r w:rsidRPr="00BB0C69">
              <w:rPr>
                <w:rFonts w:asciiTheme="minorHAnsi" w:hAnsiTheme="minorHAnsi" w:cstheme="minorHAnsi"/>
                <w:color w:val="000000"/>
                <w:lang w:eastAsia="en-GB"/>
              </w:rPr>
              <w:tab/>
            </w:r>
            <w:r w:rsidR="00833D26" w:rsidRPr="00BB0C69">
              <w:rPr>
                <w:rFonts w:asciiTheme="minorHAnsi" w:hAnsiTheme="minorHAnsi" w:cstheme="minorHAnsi"/>
                <w:color w:val="000000"/>
                <w:lang w:eastAsia="en-GB"/>
              </w:rPr>
              <w:t xml:space="preserve">Organization of training and fellowships (AI for </w:t>
            </w:r>
            <w:proofErr w:type="spellStart"/>
            <w:r w:rsidR="00833D26" w:rsidRPr="00BB0C69">
              <w:rPr>
                <w:rFonts w:asciiTheme="minorHAnsi" w:hAnsiTheme="minorHAnsi" w:cstheme="minorHAnsi"/>
                <w:color w:val="000000"/>
                <w:lang w:eastAsia="en-GB"/>
              </w:rPr>
              <w:t>EW4All</w:t>
            </w:r>
            <w:proofErr w:type="spellEnd"/>
            <w:r w:rsidR="00833D26" w:rsidRPr="00BB0C69">
              <w:rPr>
                <w:rFonts w:asciiTheme="minorHAnsi" w:hAnsiTheme="minorHAnsi" w:cstheme="minorHAnsi"/>
                <w:color w:val="000000"/>
                <w:lang w:eastAsia="en-GB"/>
              </w:rPr>
              <w:t xml:space="preserve"> )</w:t>
            </w:r>
          </w:p>
        </w:tc>
        <w:tc>
          <w:tcPr>
            <w:tcW w:w="1348" w:type="dxa"/>
            <w:noWrap/>
            <w:hideMark/>
          </w:tcPr>
          <w:p w14:paraId="6593E618"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60</w:t>
            </w:r>
          </w:p>
        </w:tc>
        <w:tc>
          <w:tcPr>
            <w:tcW w:w="1472" w:type="dxa"/>
            <w:noWrap/>
            <w:hideMark/>
          </w:tcPr>
          <w:p w14:paraId="75EF1AEE"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180</w:t>
            </w:r>
          </w:p>
        </w:tc>
        <w:tc>
          <w:tcPr>
            <w:tcW w:w="1640" w:type="dxa"/>
            <w:noWrap/>
            <w:hideMark/>
          </w:tcPr>
          <w:p w14:paraId="70E91219"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240</w:t>
            </w:r>
          </w:p>
        </w:tc>
      </w:tr>
      <w:tr w:rsidR="00833D26" w:rsidRPr="00BB0C69" w14:paraId="43327C40" w14:textId="77777777" w:rsidTr="00BB0C69">
        <w:trPr>
          <w:cantSplit/>
          <w:jc w:val="center"/>
        </w:trPr>
        <w:tc>
          <w:tcPr>
            <w:tcW w:w="5800" w:type="dxa"/>
            <w:noWrap/>
            <w:hideMark/>
          </w:tcPr>
          <w:p w14:paraId="0F18FD96" w14:textId="77777777" w:rsidR="00833D26" w:rsidRPr="00BB0C69" w:rsidRDefault="00833D26" w:rsidP="0020471F">
            <w:pPr>
              <w:pStyle w:val="Tabletext"/>
              <w:rPr>
                <w:rFonts w:asciiTheme="minorHAnsi" w:hAnsiTheme="minorHAnsi" w:cstheme="minorHAnsi"/>
                <w:color w:val="000000"/>
                <w:sz w:val="10"/>
                <w:szCs w:val="10"/>
                <w:lang w:eastAsia="en-GB"/>
              </w:rPr>
            </w:pPr>
            <w:r w:rsidRPr="00BB0C69">
              <w:rPr>
                <w:rFonts w:asciiTheme="minorHAnsi" w:hAnsiTheme="minorHAnsi" w:cstheme="minorHAnsi"/>
                <w:color w:val="000000"/>
                <w:sz w:val="10"/>
                <w:szCs w:val="10"/>
                <w:lang w:eastAsia="en-GB"/>
              </w:rPr>
              <w:t> </w:t>
            </w:r>
          </w:p>
        </w:tc>
        <w:tc>
          <w:tcPr>
            <w:tcW w:w="1348" w:type="dxa"/>
            <w:noWrap/>
            <w:hideMark/>
          </w:tcPr>
          <w:p w14:paraId="4CC521FB" w14:textId="7925CFBC" w:rsidR="00833D26" w:rsidRPr="00BB0C69" w:rsidRDefault="00833D26" w:rsidP="00BB0C69">
            <w:pPr>
              <w:pStyle w:val="Tabletext"/>
              <w:jc w:val="center"/>
              <w:rPr>
                <w:rFonts w:asciiTheme="minorHAnsi" w:hAnsiTheme="minorHAnsi" w:cstheme="minorHAnsi"/>
                <w:color w:val="000000"/>
                <w:sz w:val="10"/>
                <w:szCs w:val="10"/>
                <w:lang w:eastAsia="en-GB"/>
              </w:rPr>
            </w:pPr>
          </w:p>
        </w:tc>
        <w:tc>
          <w:tcPr>
            <w:tcW w:w="1472" w:type="dxa"/>
            <w:noWrap/>
            <w:hideMark/>
          </w:tcPr>
          <w:p w14:paraId="41B586C1" w14:textId="3A9F6425" w:rsidR="00833D26" w:rsidRPr="00BB0C69" w:rsidRDefault="00833D26" w:rsidP="00BB0C69">
            <w:pPr>
              <w:pStyle w:val="Tabletext"/>
              <w:jc w:val="center"/>
              <w:rPr>
                <w:rFonts w:asciiTheme="minorHAnsi" w:hAnsiTheme="minorHAnsi" w:cstheme="minorHAnsi"/>
                <w:color w:val="000000"/>
                <w:sz w:val="10"/>
                <w:szCs w:val="10"/>
                <w:lang w:eastAsia="en-GB"/>
              </w:rPr>
            </w:pPr>
          </w:p>
        </w:tc>
        <w:tc>
          <w:tcPr>
            <w:tcW w:w="1640" w:type="dxa"/>
            <w:noWrap/>
            <w:hideMark/>
          </w:tcPr>
          <w:p w14:paraId="6BFF7B85" w14:textId="0FD1BB3B" w:rsidR="00833D26" w:rsidRPr="00BB0C69" w:rsidRDefault="00833D26" w:rsidP="00BB0C69">
            <w:pPr>
              <w:pStyle w:val="Tabletext"/>
              <w:jc w:val="center"/>
              <w:rPr>
                <w:rFonts w:asciiTheme="minorHAnsi" w:hAnsiTheme="minorHAnsi" w:cstheme="minorHAnsi"/>
                <w:color w:val="000000"/>
                <w:sz w:val="10"/>
                <w:szCs w:val="10"/>
                <w:lang w:eastAsia="en-GB"/>
              </w:rPr>
            </w:pPr>
          </w:p>
        </w:tc>
      </w:tr>
      <w:tr w:rsidR="00833D26" w:rsidRPr="00BB0C69" w14:paraId="0D02BA6B" w14:textId="77777777" w:rsidTr="00BB0C69">
        <w:trPr>
          <w:cantSplit/>
          <w:jc w:val="center"/>
        </w:trPr>
        <w:tc>
          <w:tcPr>
            <w:tcW w:w="5800" w:type="dxa"/>
            <w:hideMark/>
          </w:tcPr>
          <w:p w14:paraId="02D5827D" w14:textId="63EAF1F1" w:rsidR="00833D26" w:rsidRPr="00BB0C69" w:rsidRDefault="00833D26" w:rsidP="0020471F">
            <w:pPr>
              <w:pStyle w:val="Tabletext"/>
              <w:rPr>
                <w:rFonts w:asciiTheme="minorHAnsi" w:hAnsiTheme="minorHAnsi" w:cstheme="minorHAnsi"/>
                <w:color w:val="000000"/>
                <w:lang w:eastAsia="en-GB"/>
              </w:rPr>
            </w:pPr>
            <w:r w:rsidRPr="00BB0C69">
              <w:rPr>
                <w:rFonts w:asciiTheme="minorHAnsi" w:hAnsiTheme="minorHAnsi" w:cstheme="minorHAnsi"/>
                <w:b/>
                <w:bCs/>
                <w:color w:val="000000"/>
                <w:lang w:eastAsia="en-GB"/>
              </w:rPr>
              <w:t>Resolution 46</w:t>
            </w:r>
            <w:r w:rsidRPr="00BB0C69">
              <w:rPr>
                <w:rFonts w:asciiTheme="minorHAnsi" w:hAnsiTheme="minorHAnsi" w:cstheme="minorHAnsi"/>
                <w:color w:val="000000"/>
                <w:lang w:eastAsia="en-GB"/>
              </w:rPr>
              <w:t xml:space="preserve"> </w:t>
            </w:r>
            <w:r w:rsidR="00E445F3">
              <w:rPr>
                <w:rFonts w:asciiTheme="minorHAnsi" w:hAnsiTheme="minorHAnsi" w:cstheme="minorHAnsi"/>
                <w:color w:val="000000"/>
                <w:lang w:eastAsia="en-GB"/>
              </w:rPr>
              <w:t>–</w:t>
            </w:r>
            <w:r w:rsidRPr="00BB0C69">
              <w:rPr>
                <w:rFonts w:asciiTheme="minorHAnsi" w:hAnsiTheme="minorHAnsi" w:cstheme="minorHAnsi"/>
                <w:color w:val="000000"/>
                <w:lang w:eastAsia="en-GB"/>
              </w:rPr>
              <w:t xml:space="preserve"> Assistance to indigenous peoples and communities through information and communication technologies</w:t>
            </w:r>
          </w:p>
        </w:tc>
        <w:tc>
          <w:tcPr>
            <w:tcW w:w="1348" w:type="dxa"/>
            <w:noWrap/>
            <w:hideMark/>
          </w:tcPr>
          <w:p w14:paraId="53FBA3B7"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139</w:t>
            </w:r>
          </w:p>
        </w:tc>
        <w:tc>
          <w:tcPr>
            <w:tcW w:w="1472" w:type="dxa"/>
            <w:noWrap/>
            <w:hideMark/>
          </w:tcPr>
          <w:p w14:paraId="77C4870F"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273</w:t>
            </w:r>
          </w:p>
        </w:tc>
        <w:tc>
          <w:tcPr>
            <w:tcW w:w="1640" w:type="dxa"/>
            <w:noWrap/>
            <w:hideMark/>
          </w:tcPr>
          <w:p w14:paraId="497E4AA7" w14:textId="77777777" w:rsidR="00833D26" w:rsidRPr="00BB0C69" w:rsidRDefault="00833D26" w:rsidP="00B07C74">
            <w:pPr>
              <w:pStyle w:val="Tabletext"/>
              <w:ind w:right="283"/>
              <w:jc w:val="right"/>
              <w:rPr>
                <w:rFonts w:asciiTheme="minorHAnsi" w:hAnsiTheme="minorHAnsi" w:cstheme="minorHAnsi"/>
                <w:b/>
                <w:bCs/>
                <w:color w:val="000000"/>
                <w:lang w:eastAsia="en-GB"/>
              </w:rPr>
            </w:pPr>
            <w:r w:rsidRPr="00BB0C69">
              <w:rPr>
                <w:rFonts w:asciiTheme="minorHAnsi" w:hAnsiTheme="minorHAnsi" w:cstheme="minorHAnsi"/>
                <w:b/>
                <w:bCs/>
                <w:color w:val="000000"/>
                <w:lang w:eastAsia="en-GB"/>
              </w:rPr>
              <w:t>412</w:t>
            </w:r>
          </w:p>
        </w:tc>
      </w:tr>
      <w:tr w:rsidR="00833D26" w:rsidRPr="00BB0C69" w14:paraId="1AF94577" w14:textId="77777777" w:rsidTr="00BB0C69">
        <w:trPr>
          <w:cantSplit/>
          <w:jc w:val="center"/>
        </w:trPr>
        <w:tc>
          <w:tcPr>
            <w:tcW w:w="5800" w:type="dxa"/>
            <w:hideMark/>
          </w:tcPr>
          <w:p w14:paraId="3CB654DE" w14:textId="00665365" w:rsidR="00833D26" w:rsidRPr="00BB0C69" w:rsidRDefault="00E445F3" w:rsidP="00E445F3">
            <w:pPr>
              <w:pStyle w:val="Tabletext"/>
              <w:ind w:left="284" w:hanging="284"/>
              <w:rPr>
                <w:rFonts w:asciiTheme="minorHAnsi" w:hAnsiTheme="minorHAnsi" w:cstheme="minorHAnsi"/>
                <w:lang w:eastAsia="en-GB"/>
              </w:rPr>
            </w:pPr>
            <w:r w:rsidRPr="00BB0C69">
              <w:rPr>
                <w:rFonts w:asciiTheme="minorHAnsi" w:hAnsiTheme="minorHAnsi" w:cstheme="minorHAnsi"/>
                <w:color w:val="000000"/>
                <w:lang w:eastAsia="en-GB"/>
              </w:rPr>
              <w:t>–</w:t>
            </w:r>
            <w:r w:rsidRPr="00BB0C69">
              <w:rPr>
                <w:rFonts w:asciiTheme="minorHAnsi" w:hAnsiTheme="minorHAnsi" w:cstheme="minorHAnsi"/>
                <w:color w:val="000000"/>
                <w:lang w:eastAsia="en-GB"/>
              </w:rPr>
              <w:tab/>
            </w:r>
            <w:r w:rsidR="00833D26" w:rsidRPr="00BB0C69">
              <w:rPr>
                <w:rFonts w:asciiTheme="minorHAnsi" w:hAnsiTheme="minorHAnsi" w:cstheme="minorHAnsi"/>
                <w:lang w:eastAsia="en-GB"/>
              </w:rPr>
              <w:t>Expert to provide support for the integration of Indigenous knowledge and develop digital literacy programmes</w:t>
            </w:r>
          </w:p>
        </w:tc>
        <w:tc>
          <w:tcPr>
            <w:tcW w:w="1348" w:type="dxa"/>
            <w:noWrap/>
            <w:hideMark/>
          </w:tcPr>
          <w:p w14:paraId="39E292C1"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96</w:t>
            </w:r>
          </w:p>
        </w:tc>
        <w:tc>
          <w:tcPr>
            <w:tcW w:w="1472" w:type="dxa"/>
            <w:noWrap/>
            <w:hideMark/>
          </w:tcPr>
          <w:p w14:paraId="4424C23E"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144</w:t>
            </w:r>
          </w:p>
        </w:tc>
        <w:tc>
          <w:tcPr>
            <w:tcW w:w="1640" w:type="dxa"/>
            <w:noWrap/>
            <w:hideMark/>
          </w:tcPr>
          <w:p w14:paraId="513C8CFA"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240</w:t>
            </w:r>
          </w:p>
        </w:tc>
      </w:tr>
      <w:tr w:rsidR="00833D26" w:rsidRPr="00BB0C69" w14:paraId="32ECEB7F" w14:textId="77777777" w:rsidTr="00BB0C69">
        <w:trPr>
          <w:cantSplit/>
          <w:jc w:val="center"/>
        </w:trPr>
        <w:tc>
          <w:tcPr>
            <w:tcW w:w="5800" w:type="dxa"/>
            <w:hideMark/>
          </w:tcPr>
          <w:p w14:paraId="67EA9642" w14:textId="33D1DEA4" w:rsidR="00833D26" w:rsidRPr="00BB0C69" w:rsidRDefault="00E445F3" w:rsidP="00E445F3">
            <w:pPr>
              <w:pStyle w:val="Tabletext"/>
              <w:ind w:left="284" w:hanging="284"/>
              <w:rPr>
                <w:rFonts w:asciiTheme="minorHAnsi" w:hAnsiTheme="minorHAnsi" w:cstheme="minorHAnsi"/>
                <w:lang w:eastAsia="en-GB"/>
              </w:rPr>
            </w:pPr>
            <w:r w:rsidRPr="00BB0C69">
              <w:rPr>
                <w:rFonts w:asciiTheme="minorHAnsi" w:hAnsiTheme="minorHAnsi" w:cstheme="minorHAnsi"/>
                <w:color w:val="000000"/>
                <w:lang w:eastAsia="en-GB"/>
              </w:rPr>
              <w:t>–</w:t>
            </w:r>
            <w:r w:rsidRPr="00BB0C69">
              <w:rPr>
                <w:rFonts w:asciiTheme="minorHAnsi" w:hAnsiTheme="minorHAnsi" w:cstheme="minorHAnsi"/>
                <w:color w:val="000000"/>
                <w:lang w:eastAsia="en-GB"/>
              </w:rPr>
              <w:tab/>
            </w:r>
            <w:r w:rsidR="00833D26" w:rsidRPr="00BB0C69">
              <w:rPr>
                <w:rFonts w:asciiTheme="minorHAnsi" w:hAnsiTheme="minorHAnsi" w:cstheme="minorHAnsi"/>
                <w:lang w:eastAsia="en-GB"/>
              </w:rPr>
              <w:t xml:space="preserve">Translation (+ text processing) </w:t>
            </w:r>
          </w:p>
        </w:tc>
        <w:tc>
          <w:tcPr>
            <w:tcW w:w="1348" w:type="dxa"/>
            <w:noWrap/>
            <w:hideMark/>
          </w:tcPr>
          <w:p w14:paraId="2D934C60"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43</w:t>
            </w:r>
          </w:p>
        </w:tc>
        <w:tc>
          <w:tcPr>
            <w:tcW w:w="1472" w:type="dxa"/>
            <w:noWrap/>
            <w:hideMark/>
          </w:tcPr>
          <w:p w14:paraId="06E5D605"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129</w:t>
            </w:r>
          </w:p>
        </w:tc>
        <w:tc>
          <w:tcPr>
            <w:tcW w:w="1640" w:type="dxa"/>
            <w:noWrap/>
            <w:hideMark/>
          </w:tcPr>
          <w:p w14:paraId="3A503ACF"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172</w:t>
            </w:r>
          </w:p>
        </w:tc>
      </w:tr>
      <w:tr w:rsidR="00833D26" w:rsidRPr="00E445F3" w14:paraId="74F71C2F" w14:textId="77777777" w:rsidTr="00BB0C69">
        <w:trPr>
          <w:cantSplit/>
          <w:jc w:val="center"/>
        </w:trPr>
        <w:tc>
          <w:tcPr>
            <w:tcW w:w="5800" w:type="dxa"/>
            <w:noWrap/>
            <w:hideMark/>
          </w:tcPr>
          <w:p w14:paraId="461327E0" w14:textId="54CD98E6" w:rsidR="00833D26" w:rsidRPr="00E445F3" w:rsidRDefault="00833D26" w:rsidP="0020471F">
            <w:pPr>
              <w:pStyle w:val="Tabletext"/>
              <w:rPr>
                <w:rFonts w:asciiTheme="minorHAnsi" w:hAnsiTheme="minorHAnsi" w:cstheme="minorHAnsi"/>
                <w:color w:val="000000"/>
                <w:sz w:val="10"/>
                <w:szCs w:val="10"/>
                <w:lang w:eastAsia="en-GB"/>
              </w:rPr>
            </w:pPr>
          </w:p>
        </w:tc>
        <w:tc>
          <w:tcPr>
            <w:tcW w:w="1348" w:type="dxa"/>
            <w:noWrap/>
            <w:hideMark/>
          </w:tcPr>
          <w:p w14:paraId="67ED93D0" w14:textId="7C088D76" w:rsidR="00833D26" w:rsidRPr="00E445F3" w:rsidRDefault="00833D26" w:rsidP="00BB0C69">
            <w:pPr>
              <w:pStyle w:val="Tabletext"/>
              <w:jc w:val="center"/>
              <w:rPr>
                <w:rFonts w:asciiTheme="minorHAnsi" w:hAnsiTheme="minorHAnsi" w:cstheme="minorHAnsi"/>
                <w:color w:val="000000"/>
                <w:sz w:val="10"/>
                <w:szCs w:val="10"/>
                <w:lang w:eastAsia="en-GB"/>
              </w:rPr>
            </w:pPr>
          </w:p>
        </w:tc>
        <w:tc>
          <w:tcPr>
            <w:tcW w:w="1472" w:type="dxa"/>
            <w:noWrap/>
            <w:hideMark/>
          </w:tcPr>
          <w:p w14:paraId="204C91CB" w14:textId="6F27EF8F" w:rsidR="00833D26" w:rsidRPr="00E445F3" w:rsidRDefault="00833D26" w:rsidP="00BB0C69">
            <w:pPr>
              <w:pStyle w:val="Tabletext"/>
              <w:jc w:val="center"/>
              <w:rPr>
                <w:rFonts w:asciiTheme="minorHAnsi" w:hAnsiTheme="minorHAnsi" w:cstheme="minorHAnsi"/>
                <w:color w:val="000000"/>
                <w:sz w:val="10"/>
                <w:szCs w:val="10"/>
                <w:lang w:eastAsia="en-GB"/>
              </w:rPr>
            </w:pPr>
          </w:p>
        </w:tc>
        <w:tc>
          <w:tcPr>
            <w:tcW w:w="1640" w:type="dxa"/>
            <w:noWrap/>
            <w:hideMark/>
          </w:tcPr>
          <w:p w14:paraId="3481DC8F" w14:textId="6A1E3F5A" w:rsidR="00833D26" w:rsidRPr="00E445F3" w:rsidRDefault="00833D26" w:rsidP="00BB0C69">
            <w:pPr>
              <w:pStyle w:val="Tabletext"/>
              <w:jc w:val="center"/>
              <w:rPr>
                <w:rFonts w:asciiTheme="minorHAnsi" w:hAnsiTheme="minorHAnsi" w:cstheme="minorHAnsi"/>
                <w:color w:val="000000"/>
                <w:sz w:val="10"/>
                <w:szCs w:val="10"/>
                <w:lang w:eastAsia="en-GB"/>
              </w:rPr>
            </w:pPr>
          </w:p>
        </w:tc>
      </w:tr>
      <w:tr w:rsidR="00833D26" w:rsidRPr="00BB0C69" w14:paraId="1B033BB0" w14:textId="77777777" w:rsidTr="00BB0C69">
        <w:trPr>
          <w:cantSplit/>
          <w:jc w:val="center"/>
        </w:trPr>
        <w:tc>
          <w:tcPr>
            <w:tcW w:w="5800" w:type="dxa"/>
            <w:hideMark/>
          </w:tcPr>
          <w:p w14:paraId="470126CB" w14:textId="4A71FCC8" w:rsidR="00833D26" w:rsidRPr="00BB0C69" w:rsidRDefault="00833D26" w:rsidP="0020471F">
            <w:pPr>
              <w:pStyle w:val="Tabletext"/>
              <w:rPr>
                <w:rFonts w:asciiTheme="minorHAnsi" w:hAnsiTheme="minorHAnsi" w:cstheme="minorHAnsi"/>
                <w:color w:val="000000"/>
                <w:lang w:eastAsia="en-GB"/>
              </w:rPr>
            </w:pPr>
            <w:r w:rsidRPr="00BB0C69">
              <w:rPr>
                <w:rFonts w:asciiTheme="minorHAnsi" w:hAnsiTheme="minorHAnsi" w:cstheme="minorHAnsi"/>
                <w:b/>
                <w:bCs/>
                <w:color w:val="000000"/>
                <w:lang w:eastAsia="en-GB"/>
              </w:rPr>
              <w:t>Resolution 55</w:t>
            </w:r>
            <w:r w:rsidRPr="00BB0C69">
              <w:rPr>
                <w:rFonts w:asciiTheme="minorHAnsi" w:hAnsiTheme="minorHAnsi" w:cstheme="minorHAnsi"/>
                <w:color w:val="000000"/>
                <w:lang w:eastAsia="en-GB"/>
              </w:rPr>
              <w:t xml:space="preserve"> </w:t>
            </w:r>
            <w:r w:rsidR="00E445F3">
              <w:rPr>
                <w:rFonts w:asciiTheme="minorHAnsi" w:hAnsiTheme="minorHAnsi" w:cstheme="minorHAnsi"/>
                <w:color w:val="000000"/>
                <w:lang w:eastAsia="en-GB"/>
              </w:rPr>
              <w:t>–</w:t>
            </w:r>
            <w:r w:rsidRPr="00BB0C69">
              <w:rPr>
                <w:rFonts w:asciiTheme="minorHAnsi" w:hAnsiTheme="minorHAnsi" w:cstheme="minorHAnsi"/>
                <w:color w:val="000000"/>
                <w:lang w:eastAsia="en-GB"/>
              </w:rPr>
              <w:t xml:space="preserve"> Mainstreaming a gender perspective in ITU-D and promoting gender equality and the empowerment of women and girls through telecommunications/ICTs</w:t>
            </w:r>
          </w:p>
        </w:tc>
        <w:tc>
          <w:tcPr>
            <w:tcW w:w="1348" w:type="dxa"/>
            <w:noWrap/>
            <w:hideMark/>
          </w:tcPr>
          <w:p w14:paraId="123A0CFF"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266</w:t>
            </w:r>
          </w:p>
        </w:tc>
        <w:tc>
          <w:tcPr>
            <w:tcW w:w="1472" w:type="dxa"/>
            <w:noWrap/>
            <w:hideMark/>
          </w:tcPr>
          <w:p w14:paraId="58113E8B"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798</w:t>
            </w:r>
          </w:p>
        </w:tc>
        <w:tc>
          <w:tcPr>
            <w:tcW w:w="1640" w:type="dxa"/>
            <w:noWrap/>
            <w:hideMark/>
          </w:tcPr>
          <w:p w14:paraId="28994545" w14:textId="76B2DEB4" w:rsidR="00833D26" w:rsidRPr="00BB0C69" w:rsidRDefault="00833D26" w:rsidP="00B07C74">
            <w:pPr>
              <w:pStyle w:val="Tabletext"/>
              <w:ind w:right="283"/>
              <w:jc w:val="right"/>
              <w:rPr>
                <w:rFonts w:asciiTheme="minorHAnsi" w:hAnsiTheme="minorHAnsi" w:cstheme="minorHAnsi"/>
                <w:b/>
                <w:bCs/>
                <w:color w:val="000000"/>
                <w:lang w:eastAsia="en-GB"/>
              </w:rPr>
            </w:pPr>
            <w:r w:rsidRPr="00BB0C69">
              <w:rPr>
                <w:rFonts w:asciiTheme="minorHAnsi" w:hAnsiTheme="minorHAnsi" w:cstheme="minorHAnsi"/>
                <w:b/>
                <w:bCs/>
                <w:color w:val="000000"/>
                <w:lang w:eastAsia="en-GB"/>
              </w:rPr>
              <w:t>1</w:t>
            </w:r>
            <w:r w:rsidR="00E445F3">
              <w:rPr>
                <w:rFonts w:asciiTheme="minorHAnsi" w:hAnsiTheme="minorHAnsi" w:cstheme="minorHAnsi"/>
                <w:b/>
                <w:bCs/>
                <w:color w:val="000000"/>
                <w:lang w:eastAsia="en-GB"/>
              </w:rPr>
              <w:t> </w:t>
            </w:r>
            <w:r w:rsidRPr="00BB0C69">
              <w:rPr>
                <w:rFonts w:asciiTheme="minorHAnsi" w:hAnsiTheme="minorHAnsi" w:cstheme="minorHAnsi"/>
                <w:b/>
                <w:bCs/>
                <w:color w:val="000000"/>
                <w:lang w:eastAsia="en-GB"/>
              </w:rPr>
              <w:t>064</w:t>
            </w:r>
          </w:p>
        </w:tc>
      </w:tr>
      <w:tr w:rsidR="00833D26" w:rsidRPr="00BB0C69" w14:paraId="7E4EA78C" w14:textId="77777777" w:rsidTr="00BB0C69">
        <w:trPr>
          <w:cantSplit/>
          <w:jc w:val="center"/>
        </w:trPr>
        <w:tc>
          <w:tcPr>
            <w:tcW w:w="5800" w:type="dxa"/>
            <w:hideMark/>
          </w:tcPr>
          <w:p w14:paraId="66159DAF" w14:textId="27EB7398" w:rsidR="00833D26" w:rsidRPr="00BB0C69" w:rsidRDefault="00E445F3" w:rsidP="00E445F3">
            <w:pPr>
              <w:pStyle w:val="Tabletext"/>
              <w:ind w:left="284" w:hanging="284"/>
              <w:rPr>
                <w:rFonts w:asciiTheme="minorHAnsi" w:hAnsiTheme="minorHAnsi" w:cstheme="minorHAnsi"/>
                <w:lang w:eastAsia="en-GB"/>
              </w:rPr>
            </w:pPr>
            <w:r w:rsidRPr="00BB0C69">
              <w:rPr>
                <w:rFonts w:asciiTheme="minorHAnsi" w:hAnsiTheme="minorHAnsi" w:cstheme="minorHAnsi"/>
                <w:color w:val="000000"/>
                <w:lang w:eastAsia="en-GB"/>
              </w:rPr>
              <w:t>–</w:t>
            </w:r>
            <w:r w:rsidRPr="00BB0C69">
              <w:rPr>
                <w:rFonts w:asciiTheme="minorHAnsi" w:hAnsiTheme="minorHAnsi" w:cstheme="minorHAnsi"/>
                <w:color w:val="000000"/>
                <w:lang w:eastAsia="en-GB"/>
              </w:rPr>
              <w:tab/>
            </w:r>
            <w:r w:rsidR="00833D26" w:rsidRPr="00BB0C69">
              <w:rPr>
                <w:rFonts w:asciiTheme="minorHAnsi" w:hAnsiTheme="minorHAnsi" w:cstheme="minorHAnsi"/>
                <w:lang w:eastAsia="en-GB"/>
              </w:rPr>
              <w:t xml:space="preserve">Expert to provide capacity-building programs on digital and leadership skills </w:t>
            </w:r>
          </w:p>
        </w:tc>
        <w:tc>
          <w:tcPr>
            <w:tcW w:w="1348" w:type="dxa"/>
            <w:noWrap/>
            <w:hideMark/>
          </w:tcPr>
          <w:p w14:paraId="664F3F1A"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96</w:t>
            </w:r>
          </w:p>
        </w:tc>
        <w:tc>
          <w:tcPr>
            <w:tcW w:w="1472" w:type="dxa"/>
            <w:noWrap/>
            <w:hideMark/>
          </w:tcPr>
          <w:p w14:paraId="0934C44E"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288</w:t>
            </w:r>
          </w:p>
        </w:tc>
        <w:tc>
          <w:tcPr>
            <w:tcW w:w="1640" w:type="dxa"/>
            <w:noWrap/>
            <w:hideMark/>
          </w:tcPr>
          <w:p w14:paraId="485BA17A"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384</w:t>
            </w:r>
          </w:p>
        </w:tc>
      </w:tr>
      <w:tr w:rsidR="00833D26" w:rsidRPr="00BB0C69" w14:paraId="533B4FE3" w14:textId="77777777" w:rsidTr="00BB0C69">
        <w:trPr>
          <w:cantSplit/>
          <w:jc w:val="center"/>
        </w:trPr>
        <w:tc>
          <w:tcPr>
            <w:tcW w:w="5800" w:type="dxa"/>
            <w:hideMark/>
          </w:tcPr>
          <w:p w14:paraId="2A7EAB15" w14:textId="3731927F" w:rsidR="00833D26" w:rsidRPr="00BB0C69" w:rsidRDefault="00E445F3" w:rsidP="00E445F3">
            <w:pPr>
              <w:pStyle w:val="Tabletext"/>
              <w:ind w:left="284" w:hanging="284"/>
              <w:rPr>
                <w:rFonts w:asciiTheme="minorHAnsi" w:hAnsiTheme="minorHAnsi" w:cstheme="minorHAnsi"/>
                <w:lang w:eastAsia="en-GB"/>
              </w:rPr>
            </w:pPr>
            <w:r w:rsidRPr="00BB0C69">
              <w:rPr>
                <w:rFonts w:asciiTheme="minorHAnsi" w:hAnsiTheme="minorHAnsi" w:cstheme="minorHAnsi"/>
                <w:color w:val="000000"/>
                <w:lang w:eastAsia="en-GB"/>
              </w:rPr>
              <w:t>–</w:t>
            </w:r>
            <w:r w:rsidRPr="00BB0C69">
              <w:rPr>
                <w:rFonts w:asciiTheme="minorHAnsi" w:hAnsiTheme="minorHAnsi" w:cstheme="minorHAnsi"/>
                <w:color w:val="000000"/>
                <w:lang w:eastAsia="en-GB"/>
              </w:rPr>
              <w:tab/>
            </w:r>
            <w:r w:rsidR="00833D26" w:rsidRPr="00BB0C69">
              <w:rPr>
                <w:rFonts w:asciiTheme="minorHAnsi" w:hAnsiTheme="minorHAnsi" w:cstheme="minorHAnsi"/>
                <w:lang w:eastAsia="en-GB"/>
              </w:rPr>
              <w:t>Organization of training and fellowships</w:t>
            </w:r>
          </w:p>
        </w:tc>
        <w:tc>
          <w:tcPr>
            <w:tcW w:w="1348" w:type="dxa"/>
            <w:noWrap/>
            <w:hideMark/>
          </w:tcPr>
          <w:p w14:paraId="58761CF8"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60</w:t>
            </w:r>
          </w:p>
        </w:tc>
        <w:tc>
          <w:tcPr>
            <w:tcW w:w="1472" w:type="dxa"/>
            <w:noWrap/>
            <w:hideMark/>
          </w:tcPr>
          <w:p w14:paraId="464235DA"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180</w:t>
            </w:r>
          </w:p>
        </w:tc>
        <w:tc>
          <w:tcPr>
            <w:tcW w:w="1640" w:type="dxa"/>
            <w:noWrap/>
            <w:hideMark/>
          </w:tcPr>
          <w:p w14:paraId="7518CB47"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240</w:t>
            </w:r>
          </w:p>
        </w:tc>
      </w:tr>
      <w:tr w:rsidR="00833D26" w:rsidRPr="00BB0C69" w14:paraId="727F39EF" w14:textId="77777777" w:rsidTr="00BB0C69">
        <w:trPr>
          <w:cantSplit/>
          <w:jc w:val="center"/>
        </w:trPr>
        <w:tc>
          <w:tcPr>
            <w:tcW w:w="5800" w:type="dxa"/>
            <w:hideMark/>
          </w:tcPr>
          <w:p w14:paraId="2574A34A" w14:textId="06DC8354" w:rsidR="00833D26" w:rsidRPr="00BB0C69" w:rsidRDefault="00E445F3" w:rsidP="00E445F3">
            <w:pPr>
              <w:pStyle w:val="Tabletext"/>
              <w:ind w:left="284" w:hanging="284"/>
              <w:rPr>
                <w:rFonts w:asciiTheme="minorHAnsi" w:hAnsiTheme="minorHAnsi" w:cstheme="minorHAnsi"/>
                <w:lang w:eastAsia="en-GB"/>
              </w:rPr>
            </w:pPr>
            <w:r w:rsidRPr="00BB0C69">
              <w:rPr>
                <w:rFonts w:asciiTheme="minorHAnsi" w:hAnsiTheme="minorHAnsi" w:cstheme="minorHAnsi"/>
                <w:color w:val="000000"/>
                <w:lang w:eastAsia="en-GB"/>
              </w:rPr>
              <w:t>–</w:t>
            </w:r>
            <w:r w:rsidRPr="00BB0C69">
              <w:rPr>
                <w:rFonts w:asciiTheme="minorHAnsi" w:hAnsiTheme="minorHAnsi" w:cstheme="minorHAnsi"/>
                <w:color w:val="000000"/>
                <w:lang w:eastAsia="en-GB"/>
              </w:rPr>
              <w:tab/>
            </w:r>
            <w:r w:rsidR="00833D26" w:rsidRPr="00BB0C69">
              <w:rPr>
                <w:rFonts w:asciiTheme="minorHAnsi" w:hAnsiTheme="minorHAnsi" w:cstheme="minorHAnsi"/>
                <w:lang w:eastAsia="en-GB"/>
              </w:rPr>
              <w:t>Support to initiatives - Girls in ICT, …</w:t>
            </w:r>
          </w:p>
        </w:tc>
        <w:tc>
          <w:tcPr>
            <w:tcW w:w="1348" w:type="dxa"/>
            <w:noWrap/>
            <w:hideMark/>
          </w:tcPr>
          <w:p w14:paraId="06A90FF9"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50</w:t>
            </w:r>
          </w:p>
        </w:tc>
        <w:tc>
          <w:tcPr>
            <w:tcW w:w="1472" w:type="dxa"/>
            <w:noWrap/>
            <w:hideMark/>
          </w:tcPr>
          <w:p w14:paraId="1ED67EE1"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150</w:t>
            </w:r>
          </w:p>
        </w:tc>
        <w:tc>
          <w:tcPr>
            <w:tcW w:w="1640" w:type="dxa"/>
            <w:noWrap/>
            <w:hideMark/>
          </w:tcPr>
          <w:p w14:paraId="25CE32CA"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200</w:t>
            </w:r>
          </w:p>
        </w:tc>
      </w:tr>
      <w:tr w:rsidR="00833D26" w:rsidRPr="00BB0C69" w14:paraId="69D1EA43" w14:textId="77777777" w:rsidTr="00BB0C69">
        <w:trPr>
          <w:cantSplit/>
          <w:jc w:val="center"/>
        </w:trPr>
        <w:tc>
          <w:tcPr>
            <w:tcW w:w="5800" w:type="dxa"/>
            <w:hideMark/>
          </w:tcPr>
          <w:p w14:paraId="15DE7BC4" w14:textId="605E871D" w:rsidR="00833D26" w:rsidRPr="00BB0C69" w:rsidRDefault="00E445F3" w:rsidP="00E445F3">
            <w:pPr>
              <w:pStyle w:val="Tabletext"/>
              <w:ind w:left="284" w:hanging="284"/>
              <w:rPr>
                <w:rFonts w:asciiTheme="minorHAnsi" w:hAnsiTheme="minorHAnsi" w:cstheme="minorHAnsi"/>
                <w:lang w:eastAsia="en-GB"/>
              </w:rPr>
            </w:pPr>
            <w:r w:rsidRPr="00BB0C69">
              <w:rPr>
                <w:rFonts w:asciiTheme="minorHAnsi" w:hAnsiTheme="minorHAnsi" w:cstheme="minorHAnsi"/>
                <w:color w:val="000000"/>
                <w:lang w:eastAsia="en-GB"/>
              </w:rPr>
              <w:t>–</w:t>
            </w:r>
            <w:r w:rsidRPr="00BB0C69">
              <w:rPr>
                <w:rFonts w:asciiTheme="minorHAnsi" w:hAnsiTheme="minorHAnsi" w:cstheme="minorHAnsi"/>
                <w:color w:val="000000"/>
                <w:lang w:eastAsia="en-GB"/>
              </w:rPr>
              <w:tab/>
            </w:r>
            <w:proofErr w:type="spellStart"/>
            <w:r w:rsidR="00833D26" w:rsidRPr="00BB0C69">
              <w:rPr>
                <w:rFonts w:asciiTheme="minorHAnsi" w:hAnsiTheme="minorHAnsi" w:cstheme="minorHAnsi"/>
                <w:lang w:eastAsia="en-GB"/>
              </w:rPr>
              <w:t>NoW4WTDC</w:t>
            </w:r>
            <w:proofErr w:type="spellEnd"/>
            <w:r w:rsidR="00833D26" w:rsidRPr="00BB0C69">
              <w:rPr>
                <w:rFonts w:asciiTheme="minorHAnsi" w:hAnsiTheme="minorHAnsi" w:cstheme="minorHAnsi"/>
                <w:lang w:eastAsia="en-GB"/>
              </w:rPr>
              <w:t xml:space="preserve"> activities </w:t>
            </w:r>
          </w:p>
        </w:tc>
        <w:tc>
          <w:tcPr>
            <w:tcW w:w="1348" w:type="dxa"/>
            <w:noWrap/>
            <w:hideMark/>
          </w:tcPr>
          <w:p w14:paraId="133EBE16"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60</w:t>
            </w:r>
          </w:p>
        </w:tc>
        <w:tc>
          <w:tcPr>
            <w:tcW w:w="1472" w:type="dxa"/>
            <w:noWrap/>
            <w:hideMark/>
          </w:tcPr>
          <w:p w14:paraId="690F0817"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180</w:t>
            </w:r>
          </w:p>
        </w:tc>
        <w:tc>
          <w:tcPr>
            <w:tcW w:w="1640" w:type="dxa"/>
            <w:noWrap/>
            <w:hideMark/>
          </w:tcPr>
          <w:p w14:paraId="00B639BE"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240</w:t>
            </w:r>
          </w:p>
        </w:tc>
      </w:tr>
      <w:tr w:rsidR="00833D26" w:rsidRPr="00E445F3" w14:paraId="4A9C3B95" w14:textId="77777777" w:rsidTr="00BB0C69">
        <w:trPr>
          <w:cantSplit/>
          <w:jc w:val="center"/>
        </w:trPr>
        <w:tc>
          <w:tcPr>
            <w:tcW w:w="5800" w:type="dxa"/>
            <w:noWrap/>
            <w:hideMark/>
          </w:tcPr>
          <w:p w14:paraId="35150E0B" w14:textId="257247A4" w:rsidR="00833D26" w:rsidRPr="00E445F3" w:rsidRDefault="00833D26" w:rsidP="0020471F">
            <w:pPr>
              <w:pStyle w:val="Tabletext"/>
              <w:rPr>
                <w:rFonts w:asciiTheme="minorHAnsi" w:hAnsiTheme="minorHAnsi" w:cstheme="minorHAnsi"/>
                <w:color w:val="000000"/>
                <w:sz w:val="10"/>
                <w:szCs w:val="10"/>
                <w:lang w:eastAsia="en-GB"/>
              </w:rPr>
            </w:pPr>
          </w:p>
        </w:tc>
        <w:tc>
          <w:tcPr>
            <w:tcW w:w="1348" w:type="dxa"/>
            <w:noWrap/>
            <w:hideMark/>
          </w:tcPr>
          <w:p w14:paraId="03C88B0D" w14:textId="25714A05" w:rsidR="00833D26" w:rsidRPr="00E445F3" w:rsidRDefault="00833D26" w:rsidP="00BB0C69">
            <w:pPr>
              <w:pStyle w:val="Tabletext"/>
              <w:jc w:val="center"/>
              <w:rPr>
                <w:rFonts w:asciiTheme="minorHAnsi" w:hAnsiTheme="minorHAnsi" w:cstheme="minorHAnsi"/>
                <w:color w:val="000000"/>
                <w:sz w:val="10"/>
                <w:szCs w:val="10"/>
                <w:lang w:eastAsia="en-GB"/>
              </w:rPr>
            </w:pPr>
          </w:p>
        </w:tc>
        <w:tc>
          <w:tcPr>
            <w:tcW w:w="1472" w:type="dxa"/>
            <w:noWrap/>
            <w:hideMark/>
          </w:tcPr>
          <w:p w14:paraId="3F8B170A" w14:textId="063171FE" w:rsidR="00833D26" w:rsidRPr="00E445F3" w:rsidRDefault="00833D26" w:rsidP="00BB0C69">
            <w:pPr>
              <w:pStyle w:val="Tabletext"/>
              <w:jc w:val="center"/>
              <w:rPr>
                <w:rFonts w:asciiTheme="minorHAnsi" w:hAnsiTheme="minorHAnsi" w:cstheme="minorHAnsi"/>
                <w:color w:val="000000"/>
                <w:sz w:val="10"/>
                <w:szCs w:val="10"/>
                <w:lang w:eastAsia="en-GB"/>
              </w:rPr>
            </w:pPr>
          </w:p>
        </w:tc>
        <w:tc>
          <w:tcPr>
            <w:tcW w:w="1640" w:type="dxa"/>
            <w:noWrap/>
            <w:hideMark/>
          </w:tcPr>
          <w:p w14:paraId="55FF9FA4" w14:textId="31EEDE63" w:rsidR="00833D26" w:rsidRPr="00E445F3" w:rsidRDefault="00833D26" w:rsidP="00BB0C69">
            <w:pPr>
              <w:pStyle w:val="Tabletext"/>
              <w:jc w:val="center"/>
              <w:rPr>
                <w:rFonts w:asciiTheme="minorHAnsi" w:hAnsiTheme="minorHAnsi" w:cstheme="minorHAnsi"/>
                <w:color w:val="000000"/>
                <w:sz w:val="10"/>
                <w:szCs w:val="10"/>
                <w:lang w:eastAsia="en-GB"/>
              </w:rPr>
            </w:pPr>
          </w:p>
        </w:tc>
      </w:tr>
      <w:tr w:rsidR="00833D26" w:rsidRPr="00BB0C69" w14:paraId="5AC24D1F" w14:textId="77777777" w:rsidTr="00BB0C69">
        <w:trPr>
          <w:cantSplit/>
          <w:jc w:val="center"/>
        </w:trPr>
        <w:tc>
          <w:tcPr>
            <w:tcW w:w="5800" w:type="dxa"/>
            <w:hideMark/>
          </w:tcPr>
          <w:p w14:paraId="66A69745" w14:textId="42254845" w:rsidR="00833D26" w:rsidRPr="00BB0C69" w:rsidRDefault="00833D26" w:rsidP="0020471F">
            <w:pPr>
              <w:pStyle w:val="Tabletext"/>
              <w:rPr>
                <w:rFonts w:asciiTheme="minorHAnsi" w:hAnsiTheme="minorHAnsi" w:cstheme="minorHAnsi"/>
                <w:color w:val="000000"/>
                <w:lang w:eastAsia="en-GB"/>
              </w:rPr>
            </w:pPr>
            <w:r w:rsidRPr="00BB0C69">
              <w:rPr>
                <w:rFonts w:asciiTheme="minorHAnsi" w:hAnsiTheme="minorHAnsi" w:cstheme="minorHAnsi"/>
                <w:b/>
                <w:bCs/>
                <w:color w:val="000000"/>
                <w:lang w:eastAsia="en-GB"/>
              </w:rPr>
              <w:t>Resolution 66</w:t>
            </w:r>
            <w:r w:rsidRPr="00BB0C69">
              <w:rPr>
                <w:rFonts w:asciiTheme="minorHAnsi" w:hAnsiTheme="minorHAnsi" w:cstheme="minorHAnsi"/>
                <w:color w:val="000000"/>
                <w:lang w:eastAsia="en-GB"/>
              </w:rPr>
              <w:t xml:space="preserve"> </w:t>
            </w:r>
            <w:r w:rsidR="00E445F3">
              <w:rPr>
                <w:rFonts w:asciiTheme="minorHAnsi" w:hAnsiTheme="minorHAnsi" w:cstheme="minorHAnsi"/>
                <w:color w:val="000000"/>
                <w:lang w:eastAsia="en-GB"/>
              </w:rPr>
              <w:t>–</w:t>
            </w:r>
            <w:r w:rsidRPr="00BB0C69">
              <w:rPr>
                <w:rFonts w:asciiTheme="minorHAnsi" w:hAnsiTheme="minorHAnsi" w:cstheme="minorHAnsi"/>
                <w:color w:val="000000"/>
                <w:lang w:eastAsia="en-GB"/>
              </w:rPr>
              <w:t xml:space="preserve"> Information and communication technology, environment, climate change and circular economy</w:t>
            </w:r>
          </w:p>
        </w:tc>
        <w:tc>
          <w:tcPr>
            <w:tcW w:w="1348" w:type="dxa"/>
            <w:noWrap/>
            <w:hideMark/>
          </w:tcPr>
          <w:p w14:paraId="20063199"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96</w:t>
            </w:r>
          </w:p>
        </w:tc>
        <w:tc>
          <w:tcPr>
            <w:tcW w:w="1472" w:type="dxa"/>
            <w:noWrap/>
            <w:hideMark/>
          </w:tcPr>
          <w:p w14:paraId="28A973E7"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144</w:t>
            </w:r>
          </w:p>
        </w:tc>
        <w:tc>
          <w:tcPr>
            <w:tcW w:w="1640" w:type="dxa"/>
            <w:noWrap/>
            <w:hideMark/>
          </w:tcPr>
          <w:p w14:paraId="07D03D0A" w14:textId="77777777" w:rsidR="00833D26" w:rsidRPr="00BB0C69" w:rsidRDefault="00833D26" w:rsidP="00B07C74">
            <w:pPr>
              <w:pStyle w:val="Tabletext"/>
              <w:ind w:right="283"/>
              <w:jc w:val="right"/>
              <w:rPr>
                <w:rFonts w:asciiTheme="minorHAnsi" w:hAnsiTheme="minorHAnsi" w:cstheme="minorHAnsi"/>
                <w:b/>
                <w:bCs/>
                <w:color w:val="000000"/>
                <w:lang w:eastAsia="en-GB"/>
              </w:rPr>
            </w:pPr>
            <w:r w:rsidRPr="00BB0C69">
              <w:rPr>
                <w:rFonts w:asciiTheme="minorHAnsi" w:hAnsiTheme="minorHAnsi" w:cstheme="minorHAnsi"/>
                <w:b/>
                <w:bCs/>
                <w:color w:val="000000"/>
                <w:lang w:eastAsia="en-GB"/>
              </w:rPr>
              <w:t>240</w:t>
            </w:r>
          </w:p>
        </w:tc>
      </w:tr>
      <w:tr w:rsidR="00833D26" w:rsidRPr="00BB0C69" w14:paraId="3459EF88" w14:textId="77777777" w:rsidTr="00BB0C69">
        <w:trPr>
          <w:cantSplit/>
          <w:jc w:val="center"/>
        </w:trPr>
        <w:tc>
          <w:tcPr>
            <w:tcW w:w="5800" w:type="dxa"/>
            <w:hideMark/>
          </w:tcPr>
          <w:p w14:paraId="6B1589B5" w14:textId="432B1510" w:rsidR="00833D26" w:rsidRPr="00BB0C69" w:rsidRDefault="00E445F3" w:rsidP="00E445F3">
            <w:pPr>
              <w:pStyle w:val="Tabletext"/>
              <w:ind w:left="284" w:hanging="284"/>
              <w:rPr>
                <w:rFonts w:asciiTheme="minorHAnsi" w:hAnsiTheme="minorHAnsi" w:cstheme="minorHAnsi"/>
                <w:lang w:eastAsia="en-GB"/>
              </w:rPr>
            </w:pPr>
            <w:r w:rsidRPr="00BB0C69">
              <w:rPr>
                <w:rFonts w:asciiTheme="minorHAnsi" w:hAnsiTheme="minorHAnsi" w:cstheme="minorHAnsi"/>
                <w:color w:val="000000"/>
                <w:lang w:eastAsia="en-GB"/>
              </w:rPr>
              <w:t>–</w:t>
            </w:r>
            <w:r w:rsidRPr="00BB0C69">
              <w:rPr>
                <w:rFonts w:asciiTheme="minorHAnsi" w:hAnsiTheme="minorHAnsi" w:cstheme="minorHAnsi"/>
                <w:color w:val="000000"/>
                <w:lang w:eastAsia="en-GB"/>
              </w:rPr>
              <w:tab/>
            </w:r>
            <w:r w:rsidR="00833D26" w:rsidRPr="00BB0C69">
              <w:rPr>
                <w:rFonts w:asciiTheme="minorHAnsi" w:hAnsiTheme="minorHAnsi" w:cstheme="minorHAnsi"/>
                <w:lang w:eastAsia="en-GB"/>
              </w:rPr>
              <w:t>Expert on Implementation of public awareness campaigns on e-waste disposal</w:t>
            </w:r>
          </w:p>
        </w:tc>
        <w:tc>
          <w:tcPr>
            <w:tcW w:w="1348" w:type="dxa"/>
            <w:noWrap/>
            <w:hideMark/>
          </w:tcPr>
          <w:p w14:paraId="3450D0BA"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96</w:t>
            </w:r>
          </w:p>
        </w:tc>
        <w:tc>
          <w:tcPr>
            <w:tcW w:w="1472" w:type="dxa"/>
            <w:noWrap/>
            <w:hideMark/>
          </w:tcPr>
          <w:p w14:paraId="1B643FAC"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144</w:t>
            </w:r>
          </w:p>
        </w:tc>
        <w:tc>
          <w:tcPr>
            <w:tcW w:w="1640" w:type="dxa"/>
            <w:noWrap/>
            <w:hideMark/>
          </w:tcPr>
          <w:p w14:paraId="6FEB63A0"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240</w:t>
            </w:r>
          </w:p>
        </w:tc>
      </w:tr>
      <w:tr w:rsidR="00833D26" w:rsidRPr="00BB0C69" w14:paraId="5689752A" w14:textId="77777777" w:rsidTr="00BB0C69">
        <w:trPr>
          <w:cantSplit/>
          <w:jc w:val="center"/>
        </w:trPr>
        <w:tc>
          <w:tcPr>
            <w:tcW w:w="5800" w:type="dxa"/>
            <w:noWrap/>
            <w:hideMark/>
          </w:tcPr>
          <w:p w14:paraId="7946F85D" w14:textId="44E79290" w:rsidR="00833D26" w:rsidRPr="00E445F3" w:rsidRDefault="00833D26" w:rsidP="0020471F">
            <w:pPr>
              <w:pStyle w:val="Tabletext"/>
              <w:rPr>
                <w:rFonts w:asciiTheme="minorHAnsi" w:hAnsiTheme="minorHAnsi" w:cstheme="minorHAnsi"/>
                <w:color w:val="000000"/>
                <w:sz w:val="10"/>
                <w:szCs w:val="10"/>
                <w:lang w:eastAsia="en-GB"/>
              </w:rPr>
            </w:pPr>
          </w:p>
        </w:tc>
        <w:tc>
          <w:tcPr>
            <w:tcW w:w="1348" w:type="dxa"/>
            <w:noWrap/>
            <w:hideMark/>
          </w:tcPr>
          <w:p w14:paraId="32B2FE53" w14:textId="373D20F3" w:rsidR="00833D26" w:rsidRPr="00E445F3" w:rsidRDefault="00833D26" w:rsidP="00BB0C69">
            <w:pPr>
              <w:pStyle w:val="Tabletext"/>
              <w:jc w:val="center"/>
              <w:rPr>
                <w:rFonts w:asciiTheme="minorHAnsi" w:hAnsiTheme="minorHAnsi" w:cstheme="minorHAnsi"/>
                <w:color w:val="000000"/>
                <w:sz w:val="10"/>
                <w:szCs w:val="10"/>
                <w:lang w:eastAsia="en-GB"/>
              </w:rPr>
            </w:pPr>
          </w:p>
        </w:tc>
        <w:tc>
          <w:tcPr>
            <w:tcW w:w="1472" w:type="dxa"/>
            <w:noWrap/>
            <w:hideMark/>
          </w:tcPr>
          <w:p w14:paraId="17D3776B" w14:textId="3F25D954" w:rsidR="00833D26" w:rsidRPr="00E445F3" w:rsidRDefault="00833D26" w:rsidP="00BB0C69">
            <w:pPr>
              <w:pStyle w:val="Tabletext"/>
              <w:jc w:val="center"/>
              <w:rPr>
                <w:rFonts w:asciiTheme="minorHAnsi" w:hAnsiTheme="minorHAnsi" w:cstheme="minorHAnsi"/>
                <w:color w:val="000000"/>
                <w:sz w:val="10"/>
                <w:szCs w:val="10"/>
                <w:lang w:eastAsia="en-GB"/>
              </w:rPr>
            </w:pPr>
          </w:p>
        </w:tc>
        <w:tc>
          <w:tcPr>
            <w:tcW w:w="1640" w:type="dxa"/>
            <w:noWrap/>
            <w:hideMark/>
          </w:tcPr>
          <w:p w14:paraId="2698FF5E" w14:textId="2A0F3732" w:rsidR="00833D26" w:rsidRPr="00E445F3" w:rsidRDefault="00833D26" w:rsidP="00BB0C69">
            <w:pPr>
              <w:pStyle w:val="Tabletext"/>
              <w:jc w:val="center"/>
              <w:rPr>
                <w:rFonts w:asciiTheme="minorHAnsi" w:hAnsiTheme="minorHAnsi" w:cstheme="minorHAnsi"/>
                <w:color w:val="000000"/>
                <w:sz w:val="10"/>
                <w:szCs w:val="10"/>
                <w:lang w:eastAsia="en-GB"/>
              </w:rPr>
            </w:pPr>
          </w:p>
        </w:tc>
      </w:tr>
      <w:tr w:rsidR="00833D26" w:rsidRPr="00BB0C69" w14:paraId="06EB3A5C" w14:textId="77777777" w:rsidTr="00BB0C69">
        <w:trPr>
          <w:cantSplit/>
          <w:jc w:val="center"/>
        </w:trPr>
        <w:tc>
          <w:tcPr>
            <w:tcW w:w="5800" w:type="dxa"/>
            <w:hideMark/>
          </w:tcPr>
          <w:p w14:paraId="7260B90D" w14:textId="142AA352" w:rsidR="00833D26" w:rsidRPr="00BB0C69" w:rsidRDefault="00833D26" w:rsidP="00882E79">
            <w:pPr>
              <w:pStyle w:val="Tabletext"/>
              <w:keepNext/>
              <w:rPr>
                <w:rFonts w:asciiTheme="minorHAnsi" w:hAnsiTheme="minorHAnsi" w:cstheme="minorHAnsi"/>
                <w:color w:val="000000"/>
                <w:lang w:eastAsia="en-GB"/>
              </w:rPr>
            </w:pPr>
            <w:r w:rsidRPr="00BB0C69">
              <w:rPr>
                <w:rFonts w:asciiTheme="minorHAnsi" w:hAnsiTheme="minorHAnsi" w:cstheme="minorHAnsi"/>
                <w:b/>
                <w:bCs/>
                <w:color w:val="000000"/>
                <w:lang w:eastAsia="en-GB"/>
              </w:rPr>
              <w:lastRenderedPageBreak/>
              <w:t>Resolution 76</w:t>
            </w:r>
            <w:r w:rsidRPr="00BB0C69">
              <w:rPr>
                <w:rFonts w:asciiTheme="minorHAnsi" w:hAnsiTheme="minorHAnsi" w:cstheme="minorHAnsi"/>
                <w:color w:val="000000"/>
                <w:lang w:eastAsia="en-GB"/>
              </w:rPr>
              <w:t xml:space="preserve"> </w:t>
            </w:r>
            <w:r w:rsidR="00E445F3">
              <w:rPr>
                <w:rFonts w:asciiTheme="minorHAnsi" w:hAnsiTheme="minorHAnsi" w:cstheme="minorHAnsi"/>
                <w:color w:val="000000"/>
                <w:lang w:eastAsia="en-GB"/>
              </w:rPr>
              <w:t>–</w:t>
            </w:r>
            <w:r w:rsidRPr="00BB0C69">
              <w:rPr>
                <w:rFonts w:asciiTheme="minorHAnsi" w:hAnsiTheme="minorHAnsi" w:cstheme="minorHAnsi"/>
                <w:color w:val="000000"/>
                <w:lang w:eastAsia="en-GB"/>
              </w:rPr>
              <w:t xml:space="preserve"> Promoting information and communication technologies among young women and men for social and economic empowerment</w:t>
            </w:r>
          </w:p>
        </w:tc>
        <w:tc>
          <w:tcPr>
            <w:tcW w:w="1348" w:type="dxa"/>
            <w:noWrap/>
            <w:hideMark/>
          </w:tcPr>
          <w:p w14:paraId="03A81E0A"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304</w:t>
            </w:r>
          </w:p>
        </w:tc>
        <w:tc>
          <w:tcPr>
            <w:tcW w:w="1472" w:type="dxa"/>
            <w:noWrap/>
            <w:hideMark/>
          </w:tcPr>
          <w:p w14:paraId="639511EA"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912</w:t>
            </w:r>
          </w:p>
        </w:tc>
        <w:tc>
          <w:tcPr>
            <w:tcW w:w="1640" w:type="dxa"/>
            <w:noWrap/>
            <w:hideMark/>
          </w:tcPr>
          <w:p w14:paraId="68DD2542" w14:textId="03FC45EC" w:rsidR="00833D26" w:rsidRPr="00BB0C69" w:rsidRDefault="00833D26" w:rsidP="00B07C74">
            <w:pPr>
              <w:pStyle w:val="Tabletext"/>
              <w:ind w:right="283"/>
              <w:jc w:val="right"/>
              <w:rPr>
                <w:rFonts w:asciiTheme="minorHAnsi" w:hAnsiTheme="minorHAnsi" w:cstheme="minorHAnsi"/>
                <w:b/>
                <w:bCs/>
                <w:color w:val="000000"/>
                <w:lang w:eastAsia="en-GB"/>
              </w:rPr>
            </w:pPr>
            <w:r w:rsidRPr="00BB0C69">
              <w:rPr>
                <w:rFonts w:asciiTheme="minorHAnsi" w:hAnsiTheme="minorHAnsi" w:cstheme="minorHAnsi"/>
                <w:b/>
                <w:bCs/>
                <w:color w:val="000000"/>
                <w:lang w:eastAsia="en-GB"/>
              </w:rPr>
              <w:t>1</w:t>
            </w:r>
            <w:r w:rsidR="00E445F3">
              <w:rPr>
                <w:rFonts w:asciiTheme="minorHAnsi" w:hAnsiTheme="minorHAnsi" w:cstheme="minorHAnsi"/>
                <w:b/>
                <w:bCs/>
                <w:color w:val="000000"/>
                <w:lang w:eastAsia="en-GB"/>
              </w:rPr>
              <w:t> </w:t>
            </w:r>
            <w:r w:rsidRPr="00BB0C69">
              <w:rPr>
                <w:rFonts w:asciiTheme="minorHAnsi" w:hAnsiTheme="minorHAnsi" w:cstheme="minorHAnsi"/>
                <w:b/>
                <w:bCs/>
                <w:color w:val="000000"/>
                <w:lang w:eastAsia="en-GB"/>
              </w:rPr>
              <w:t>216</w:t>
            </w:r>
          </w:p>
        </w:tc>
      </w:tr>
      <w:tr w:rsidR="00833D26" w:rsidRPr="00BB0C69" w14:paraId="6C0A0815" w14:textId="77777777" w:rsidTr="00BB0C69">
        <w:trPr>
          <w:cantSplit/>
          <w:jc w:val="center"/>
        </w:trPr>
        <w:tc>
          <w:tcPr>
            <w:tcW w:w="5800" w:type="dxa"/>
            <w:hideMark/>
          </w:tcPr>
          <w:p w14:paraId="092A85AF" w14:textId="57751AEB" w:rsidR="00833D26" w:rsidRPr="00BB0C69" w:rsidRDefault="00E445F3" w:rsidP="00E445F3">
            <w:pPr>
              <w:pStyle w:val="Tabletext"/>
              <w:ind w:left="284" w:hanging="284"/>
              <w:rPr>
                <w:rFonts w:asciiTheme="minorHAnsi" w:hAnsiTheme="minorHAnsi" w:cstheme="minorHAnsi"/>
                <w:lang w:eastAsia="en-GB"/>
              </w:rPr>
            </w:pPr>
            <w:r w:rsidRPr="00BB0C69">
              <w:rPr>
                <w:rFonts w:asciiTheme="minorHAnsi" w:hAnsiTheme="minorHAnsi" w:cstheme="minorHAnsi"/>
                <w:color w:val="000000"/>
                <w:lang w:eastAsia="en-GB"/>
              </w:rPr>
              <w:t>–</w:t>
            </w:r>
            <w:r w:rsidRPr="00BB0C69">
              <w:rPr>
                <w:rFonts w:asciiTheme="minorHAnsi" w:hAnsiTheme="minorHAnsi" w:cstheme="minorHAnsi"/>
                <w:color w:val="000000"/>
                <w:lang w:eastAsia="en-GB"/>
              </w:rPr>
              <w:tab/>
            </w:r>
            <w:r w:rsidR="00833D26" w:rsidRPr="00BB0C69">
              <w:rPr>
                <w:rFonts w:asciiTheme="minorHAnsi" w:hAnsiTheme="minorHAnsi" w:cstheme="minorHAnsi"/>
                <w:lang w:eastAsia="en-GB"/>
              </w:rPr>
              <w:t>Young professionals</w:t>
            </w:r>
          </w:p>
        </w:tc>
        <w:tc>
          <w:tcPr>
            <w:tcW w:w="1348" w:type="dxa"/>
            <w:noWrap/>
            <w:hideMark/>
          </w:tcPr>
          <w:p w14:paraId="3F574F22"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254</w:t>
            </w:r>
          </w:p>
        </w:tc>
        <w:tc>
          <w:tcPr>
            <w:tcW w:w="1472" w:type="dxa"/>
            <w:noWrap/>
            <w:hideMark/>
          </w:tcPr>
          <w:p w14:paraId="1383ACE9"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762</w:t>
            </w:r>
          </w:p>
        </w:tc>
        <w:tc>
          <w:tcPr>
            <w:tcW w:w="1640" w:type="dxa"/>
            <w:noWrap/>
            <w:hideMark/>
          </w:tcPr>
          <w:p w14:paraId="3D8D2D27" w14:textId="59501ADF"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1</w:t>
            </w:r>
            <w:r w:rsidR="00E445F3">
              <w:rPr>
                <w:rFonts w:asciiTheme="minorHAnsi" w:hAnsiTheme="minorHAnsi" w:cstheme="minorHAnsi"/>
                <w:color w:val="000000"/>
                <w:lang w:eastAsia="en-GB"/>
              </w:rPr>
              <w:t> </w:t>
            </w:r>
            <w:r w:rsidRPr="00BB0C69">
              <w:rPr>
                <w:rFonts w:asciiTheme="minorHAnsi" w:hAnsiTheme="minorHAnsi" w:cstheme="minorHAnsi"/>
                <w:color w:val="000000"/>
                <w:lang w:eastAsia="en-GB"/>
              </w:rPr>
              <w:t>016</w:t>
            </w:r>
          </w:p>
        </w:tc>
      </w:tr>
      <w:tr w:rsidR="00833D26" w:rsidRPr="00BB0C69" w14:paraId="3BD1BCC9" w14:textId="77777777" w:rsidTr="00BB0C69">
        <w:trPr>
          <w:cantSplit/>
          <w:jc w:val="center"/>
        </w:trPr>
        <w:tc>
          <w:tcPr>
            <w:tcW w:w="5800" w:type="dxa"/>
            <w:hideMark/>
          </w:tcPr>
          <w:p w14:paraId="57E50271" w14:textId="606DB9BE" w:rsidR="00833D26" w:rsidRPr="00BB0C69" w:rsidRDefault="00E445F3" w:rsidP="00E445F3">
            <w:pPr>
              <w:pStyle w:val="Tabletext"/>
              <w:ind w:left="284" w:hanging="284"/>
              <w:rPr>
                <w:rFonts w:asciiTheme="minorHAnsi" w:hAnsiTheme="minorHAnsi" w:cstheme="minorHAnsi"/>
                <w:lang w:eastAsia="en-GB"/>
              </w:rPr>
            </w:pPr>
            <w:r w:rsidRPr="00BB0C69">
              <w:rPr>
                <w:rFonts w:asciiTheme="minorHAnsi" w:hAnsiTheme="minorHAnsi" w:cstheme="minorHAnsi"/>
                <w:color w:val="000000"/>
                <w:lang w:eastAsia="en-GB"/>
              </w:rPr>
              <w:t>–</w:t>
            </w:r>
            <w:r w:rsidRPr="00BB0C69">
              <w:rPr>
                <w:rFonts w:asciiTheme="minorHAnsi" w:hAnsiTheme="minorHAnsi" w:cstheme="minorHAnsi"/>
                <w:color w:val="000000"/>
                <w:lang w:eastAsia="en-GB"/>
              </w:rPr>
              <w:tab/>
            </w:r>
            <w:r w:rsidR="00833D26" w:rsidRPr="00BB0C69">
              <w:rPr>
                <w:rFonts w:asciiTheme="minorHAnsi" w:hAnsiTheme="minorHAnsi" w:cstheme="minorHAnsi"/>
                <w:lang w:eastAsia="en-GB"/>
              </w:rPr>
              <w:t>Fellowships for young women/men participation on programm</w:t>
            </w:r>
            <w:r w:rsidR="00775CE4">
              <w:rPr>
                <w:rFonts w:asciiTheme="minorHAnsi" w:hAnsiTheme="minorHAnsi" w:cstheme="minorHAnsi"/>
                <w:lang w:eastAsia="en-GB"/>
              </w:rPr>
              <w:t>e</w:t>
            </w:r>
            <w:r w:rsidR="00833D26" w:rsidRPr="00BB0C69">
              <w:rPr>
                <w:rFonts w:asciiTheme="minorHAnsi" w:hAnsiTheme="minorHAnsi" w:cstheme="minorHAnsi"/>
                <w:lang w:eastAsia="en-GB"/>
              </w:rPr>
              <w:t xml:space="preserve"> on digital skills</w:t>
            </w:r>
          </w:p>
        </w:tc>
        <w:tc>
          <w:tcPr>
            <w:tcW w:w="1348" w:type="dxa"/>
            <w:noWrap/>
            <w:hideMark/>
          </w:tcPr>
          <w:p w14:paraId="079B89C9"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50</w:t>
            </w:r>
          </w:p>
        </w:tc>
        <w:tc>
          <w:tcPr>
            <w:tcW w:w="1472" w:type="dxa"/>
            <w:noWrap/>
            <w:hideMark/>
          </w:tcPr>
          <w:p w14:paraId="7501AA99"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150</w:t>
            </w:r>
          </w:p>
        </w:tc>
        <w:tc>
          <w:tcPr>
            <w:tcW w:w="1640" w:type="dxa"/>
            <w:noWrap/>
            <w:hideMark/>
          </w:tcPr>
          <w:p w14:paraId="5BFAB3D4" w14:textId="77777777" w:rsidR="00833D26" w:rsidRPr="00BB0C69" w:rsidRDefault="00833D26" w:rsidP="00B07C74">
            <w:pPr>
              <w:pStyle w:val="Tabletext"/>
              <w:ind w:right="283"/>
              <w:jc w:val="right"/>
              <w:rPr>
                <w:rFonts w:asciiTheme="minorHAnsi" w:hAnsiTheme="minorHAnsi" w:cstheme="minorHAnsi"/>
                <w:color w:val="000000"/>
                <w:lang w:eastAsia="en-GB"/>
              </w:rPr>
            </w:pPr>
            <w:r w:rsidRPr="00BB0C69">
              <w:rPr>
                <w:rFonts w:asciiTheme="minorHAnsi" w:hAnsiTheme="minorHAnsi" w:cstheme="minorHAnsi"/>
                <w:color w:val="000000"/>
                <w:lang w:eastAsia="en-GB"/>
              </w:rPr>
              <w:t>200</w:t>
            </w:r>
          </w:p>
        </w:tc>
      </w:tr>
      <w:tr w:rsidR="00833D26" w:rsidRPr="00BB0C69" w14:paraId="029BB804" w14:textId="77777777" w:rsidTr="00BB0C69">
        <w:trPr>
          <w:cantSplit/>
          <w:jc w:val="center"/>
        </w:trPr>
        <w:tc>
          <w:tcPr>
            <w:tcW w:w="5800" w:type="dxa"/>
            <w:hideMark/>
          </w:tcPr>
          <w:p w14:paraId="78442CA7" w14:textId="77777777" w:rsidR="00833D26" w:rsidRPr="00BB0C69" w:rsidRDefault="00833D26" w:rsidP="00E445F3">
            <w:pPr>
              <w:pStyle w:val="Tabletext"/>
              <w:jc w:val="right"/>
              <w:rPr>
                <w:rFonts w:asciiTheme="minorHAnsi" w:hAnsiTheme="minorHAnsi" w:cstheme="minorHAnsi"/>
                <w:b/>
                <w:bCs/>
                <w:lang w:eastAsia="en-GB"/>
              </w:rPr>
            </w:pPr>
            <w:r w:rsidRPr="00BB0C69">
              <w:rPr>
                <w:rFonts w:asciiTheme="minorHAnsi" w:hAnsiTheme="minorHAnsi" w:cstheme="minorHAnsi"/>
                <w:b/>
                <w:bCs/>
                <w:lang w:eastAsia="en-GB"/>
              </w:rPr>
              <w:t>TOTAL</w:t>
            </w:r>
          </w:p>
        </w:tc>
        <w:tc>
          <w:tcPr>
            <w:tcW w:w="1348" w:type="dxa"/>
            <w:noWrap/>
            <w:hideMark/>
          </w:tcPr>
          <w:p w14:paraId="6A72075D" w14:textId="6596AF0B" w:rsidR="00833D26" w:rsidRPr="00BB0C69" w:rsidRDefault="00833D26" w:rsidP="00B07C74">
            <w:pPr>
              <w:pStyle w:val="Tabletext"/>
              <w:ind w:right="283"/>
              <w:jc w:val="right"/>
              <w:rPr>
                <w:rFonts w:asciiTheme="minorHAnsi" w:hAnsiTheme="minorHAnsi" w:cstheme="minorHAnsi"/>
                <w:b/>
                <w:bCs/>
                <w:color w:val="000000"/>
                <w:lang w:eastAsia="en-GB"/>
              </w:rPr>
            </w:pPr>
            <w:r w:rsidRPr="00BB0C69">
              <w:rPr>
                <w:rFonts w:asciiTheme="minorHAnsi" w:hAnsiTheme="minorHAnsi" w:cstheme="minorHAnsi"/>
                <w:b/>
                <w:bCs/>
                <w:color w:val="000000"/>
                <w:lang w:eastAsia="en-GB"/>
              </w:rPr>
              <w:t>1</w:t>
            </w:r>
            <w:r w:rsidR="00E445F3">
              <w:rPr>
                <w:rFonts w:asciiTheme="minorHAnsi" w:hAnsiTheme="minorHAnsi" w:cstheme="minorHAnsi"/>
                <w:b/>
                <w:bCs/>
                <w:color w:val="000000"/>
                <w:lang w:eastAsia="en-GB"/>
              </w:rPr>
              <w:t> </w:t>
            </w:r>
            <w:r w:rsidRPr="00BB0C69">
              <w:rPr>
                <w:rFonts w:asciiTheme="minorHAnsi" w:hAnsiTheme="minorHAnsi" w:cstheme="minorHAnsi"/>
                <w:b/>
                <w:bCs/>
                <w:color w:val="000000"/>
                <w:lang w:eastAsia="en-GB"/>
              </w:rPr>
              <w:t>160</w:t>
            </w:r>
          </w:p>
        </w:tc>
        <w:tc>
          <w:tcPr>
            <w:tcW w:w="1472" w:type="dxa"/>
            <w:noWrap/>
            <w:hideMark/>
          </w:tcPr>
          <w:p w14:paraId="33916F00" w14:textId="2C628FAC" w:rsidR="00833D26" w:rsidRPr="00BB0C69" w:rsidRDefault="00833D26" w:rsidP="00B07C74">
            <w:pPr>
              <w:pStyle w:val="Tabletext"/>
              <w:ind w:right="283"/>
              <w:jc w:val="right"/>
              <w:rPr>
                <w:rFonts w:asciiTheme="minorHAnsi" w:hAnsiTheme="minorHAnsi" w:cstheme="minorHAnsi"/>
                <w:b/>
                <w:bCs/>
                <w:color w:val="000000"/>
                <w:lang w:eastAsia="en-GB"/>
              </w:rPr>
            </w:pPr>
            <w:r w:rsidRPr="00BB0C69">
              <w:rPr>
                <w:rFonts w:asciiTheme="minorHAnsi" w:hAnsiTheme="minorHAnsi" w:cstheme="minorHAnsi"/>
                <w:b/>
                <w:bCs/>
                <w:color w:val="000000"/>
                <w:lang w:eastAsia="en-GB"/>
              </w:rPr>
              <w:t>3</w:t>
            </w:r>
            <w:r w:rsidR="00E445F3">
              <w:rPr>
                <w:rFonts w:asciiTheme="minorHAnsi" w:hAnsiTheme="minorHAnsi" w:cstheme="minorHAnsi"/>
                <w:b/>
                <w:bCs/>
                <w:color w:val="000000"/>
                <w:lang w:eastAsia="en-GB"/>
              </w:rPr>
              <w:t> </w:t>
            </w:r>
            <w:r w:rsidRPr="00BB0C69">
              <w:rPr>
                <w:rFonts w:asciiTheme="minorHAnsi" w:hAnsiTheme="minorHAnsi" w:cstheme="minorHAnsi"/>
                <w:b/>
                <w:bCs/>
                <w:color w:val="000000"/>
                <w:lang w:eastAsia="en-GB"/>
              </w:rPr>
              <w:t>048</w:t>
            </w:r>
          </w:p>
        </w:tc>
        <w:tc>
          <w:tcPr>
            <w:tcW w:w="1640" w:type="dxa"/>
            <w:noWrap/>
            <w:hideMark/>
          </w:tcPr>
          <w:p w14:paraId="6D5C2246" w14:textId="7DB4D86A" w:rsidR="00833D26" w:rsidRPr="00BB0C69" w:rsidRDefault="00833D26" w:rsidP="00B07C74">
            <w:pPr>
              <w:pStyle w:val="Tabletext"/>
              <w:ind w:right="283"/>
              <w:jc w:val="right"/>
              <w:rPr>
                <w:rFonts w:asciiTheme="minorHAnsi" w:hAnsiTheme="minorHAnsi" w:cstheme="minorHAnsi"/>
                <w:b/>
                <w:bCs/>
                <w:color w:val="000000"/>
                <w:lang w:eastAsia="en-GB"/>
              </w:rPr>
            </w:pPr>
            <w:r w:rsidRPr="00BB0C69">
              <w:rPr>
                <w:rFonts w:asciiTheme="minorHAnsi" w:hAnsiTheme="minorHAnsi" w:cstheme="minorHAnsi"/>
                <w:b/>
                <w:bCs/>
                <w:color w:val="000000"/>
                <w:lang w:eastAsia="en-GB"/>
              </w:rPr>
              <w:t>4</w:t>
            </w:r>
            <w:r w:rsidR="00E445F3">
              <w:rPr>
                <w:rFonts w:asciiTheme="minorHAnsi" w:hAnsiTheme="minorHAnsi" w:cstheme="minorHAnsi"/>
                <w:b/>
                <w:bCs/>
                <w:color w:val="000000"/>
                <w:lang w:eastAsia="en-GB"/>
              </w:rPr>
              <w:t> </w:t>
            </w:r>
            <w:r w:rsidRPr="00BB0C69">
              <w:rPr>
                <w:rFonts w:asciiTheme="minorHAnsi" w:hAnsiTheme="minorHAnsi" w:cstheme="minorHAnsi"/>
                <w:b/>
                <w:bCs/>
                <w:color w:val="000000"/>
                <w:lang w:eastAsia="en-GB"/>
              </w:rPr>
              <w:t>208</w:t>
            </w:r>
          </w:p>
        </w:tc>
      </w:tr>
      <w:bookmarkEnd w:id="3"/>
      <w:bookmarkEnd w:id="4"/>
      <w:bookmarkEnd w:id="5"/>
      <w:bookmarkEnd w:id="8"/>
    </w:tbl>
    <w:p w14:paraId="7F44A95D" w14:textId="0EE995E6" w:rsidR="00F46F77" w:rsidRDefault="00F46F77" w:rsidP="00E445F3"/>
    <w:p w14:paraId="4C15CF79" w14:textId="77777777" w:rsidR="00E445F3" w:rsidRDefault="00E445F3" w:rsidP="00E445F3"/>
    <w:p w14:paraId="27088B80" w14:textId="49FF3E4A" w:rsidR="00E445F3" w:rsidRDefault="00E445F3" w:rsidP="00E445F3">
      <w:pPr>
        <w:jc w:val="center"/>
      </w:pPr>
      <w:r>
        <w:t>______________</w:t>
      </w:r>
    </w:p>
    <w:sectPr w:rsidR="00E445F3" w:rsidSect="00AD3606">
      <w:headerReference w:type="even" r:id="rId14"/>
      <w:headerReference w:type="default" r:id="rId15"/>
      <w:footerReference w:type="even" r:id="rId16"/>
      <w:footerReference w:type="default" r:id="rId17"/>
      <w:headerReference w:type="first" r:id="rId18"/>
      <w:footerReference w:type="first" r:id="rId1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6FB81" w14:textId="77777777" w:rsidR="003F2E6B" w:rsidRDefault="003F2E6B">
      <w:r>
        <w:separator/>
      </w:r>
    </w:p>
  </w:endnote>
  <w:endnote w:type="continuationSeparator" w:id="0">
    <w:p w14:paraId="019B4458" w14:textId="77777777" w:rsidR="003F2E6B" w:rsidRDefault="003F2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64C9E" w14:textId="77777777" w:rsidR="00740139" w:rsidRDefault="00740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trPr>
        <w:jc w:val="center"/>
      </w:trPr>
      <w:tc>
        <w:tcPr>
          <w:tcW w:w="1803" w:type="dxa"/>
          <w:vAlign w:val="center"/>
        </w:tcPr>
        <w:p w14:paraId="727FD637" w14:textId="0ADC8A39" w:rsidR="00EE49E8" w:rsidRDefault="00EE49E8" w:rsidP="00EE49E8">
          <w:pPr>
            <w:pStyle w:val="Header"/>
            <w:jc w:val="left"/>
            <w:rPr>
              <w:noProof/>
            </w:rPr>
          </w:pPr>
        </w:p>
      </w:tc>
      <w:tc>
        <w:tcPr>
          <w:tcW w:w="8261" w:type="dxa"/>
        </w:tcPr>
        <w:p w14:paraId="2D49E76E" w14:textId="67841DD3" w:rsidR="00EE49E8" w:rsidRPr="00E06FD5" w:rsidRDefault="00EE49E8" w:rsidP="00A52C84">
          <w:pPr>
            <w:pStyle w:val="Header"/>
            <w:tabs>
              <w:tab w:val="left" w:pos="6028"/>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9F347C">
            <w:rPr>
              <w:bCs/>
            </w:rPr>
            <w:t>FHR</w:t>
          </w:r>
          <w:r w:rsidR="00A52C84">
            <w:rPr>
              <w:bCs/>
            </w:rPr>
            <w:t>-</w:t>
          </w:r>
          <w:r w:rsidR="00AE78C0">
            <w:rPr>
              <w:bCs/>
            </w:rPr>
            <w:t>22</w:t>
          </w:r>
          <w:r w:rsidR="00A52C84" w:rsidRPr="00623AE3">
            <w:rPr>
              <w:bCs/>
            </w:rPr>
            <w:t>/</w:t>
          </w:r>
          <w:r w:rsidR="0046650A">
            <w:rPr>
              <w:bCs/>
            </w:rPr>
            <w:t>7</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199F845C" w:rsidR="00EE49E8" w:rsidRDefault="00A52C84" w:rsidP="00EE49E8">
          <w:pPr>
            <w:pStyle w:val="Header"/>
            <w:jc w:val="left"/>
            <w:rPr>
              <w:noProof/>
            </w:rPr>
          </w:pPr>
          <w:hyperlink r:id="rId1" w:history="1">
            <w:proofErr w:type="spellStart"/>
            <w:r w:rsidRPr="00AE78C0">
              <w:rPr>
                <w:rStyle w:val="Hyperlink"/>
              </w:rPr>
              <w:t>council.itu.int</w:t>
            </w:r>
            <w:proofErr w:type="spellEnd"/>
            <w:r w:rsidRPr="00AE78C0">
              <w:rPr>
                <w:rStyle w:val="Hyperlink"/>
              </w:rPr>
              <w:t>/working-groups</w:t>
            </w:r>
          </w:hyperlink>
        </w:p>
      </w:tc>
      <w:tc>
        <w:tcPr>
          <w:tcW w:w="6957" w:type="dxa"/>
        </w:tcPr>
        <w:p w14:paraId="3F62E0D8" w14:textId="1AE4436D" w:rsidR="00EE49E8" w:rsidRPr="00E06FD5" w:rsidRDefault="00EE49E8" w:rsidP="00A52C84">
          <w:pPr>
            <w:pStyle w:val="Header"/>
            <w:tabs>
              <w:tab w:val="left" w:pos="4718"/>
              <w:tab w:val="right" w:pos="8505"/>
              <w:tab w:val="right" w:pos="9639"/>
            </w:tabs>
            <w:jc w:val="left"/>
            <w:rPr>
              <w:rFonts w:ascii="Arial" w:hAnsi="Arial" w:cs="Arial"/>
              <w:b/>
              <w:bCs/>
              <w:szCs w:val="18"/>
            </w:rPr>
          </w:pPr>
          <w:r>
            <w:rPr>
              <w:bCs/>
            </w:rPr>
            <w:tab/>
          </w:r>
          <w:r w:rsidRPr="00623AE3">
            <w:rPr>
              <w:bCs/>
            </w:rPr>
            <w:t>C</w:t>
          </w:r>
          <w:r w:rsidR="00A52C84">
            <w:rPr>
              <w:bCs/>
            </w:rPr>
            <w:t>WG-</w:t>
          </w:r>
          <w:r w:rsidR="009F347C">
            <w:rPr>
              <w:bCs/>
            </w:rPr>
            <w:t>FHR</w:t>
          </w:r>
          <w:r w:rsidR="00A52C84">
            <w:rPr>
              <w:bCs/>
            </w:rPr>
            <w:t>-</w:t>
          </w:r>
          <w:r w:rsidR="00AE78C0">
            <w:rPr>
              <w:bCs/>
            </w:rPr>
            <w:t>22</w:t>
          </w:r>
          <w:r w:rsidRPr="00623AE3">
            <w:rPr>
              <w:bCs/>
            </w:rPr>
            <w:t>/</w:t>
          </w:r>
          <w:r w:rsidR="0046650A">
            <w:rPr>
              <w:bCs/>
            </w:rPr>
            <w:t>7</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DBF0D" w14:textId="77777777" w:rsidR="003F2E6B" w:rsidRDefault="003F2E6B">
      <w:r>
        <w:t>____________________</w:t>
      </w:r>
    </w:p>
  </w:footnote>
  <w:footnote w:type="continuationSeparator" w:id="0">
    <w:p w14:paraId="5DF2441C" w14:textId="77777777" w:rsidR="003F2E6B" w:rsidRDefault="003F2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62E3E" w14:textId="77777777" w:rsidR="00740139" w:rsidRDefault="007401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58F7" w14:textId="77777777" w:rsidR="00740139" w:rsidRDefault="007401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0"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9D912A" id="Rectangle 2" o:spid="_x0000_s1026" style="position:absolute;margin-left:44.9pt;margin-top:5pt;width:130.15pt;height:42.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0"/>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56F7D" id="Rectangle 5" o:spid="_x0000_s1026"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58242"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6B477782"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AF5235">
                            <w:rPr>
                              <w:b/>
                              <w:bCs/>
                              <w:szCs w:val="24"/>
                            </w:rPr>
                            <w:t xml:space="preserve">financial </w:t>
                          </w:r>
                          <w:r w:rsidR="009F347C">
                            <w:rPr>
                              <w:b/>
                              <w:bCs/>
                              <w:szCs w:val="24"/>
                            </w:rPr>
                            <w:t xml:space="preserve">and </w:t>
                          </w:r>
                          <w:r w:rsidR="00AF5235">
                            <w:rPr>
                              <w:b/>
                              <w:bCs/>
                              <w:szCs w:val="24"/>
                            </w:rPr>
                            <w:t>human resources</w:t>
                          </w:r>
                          <w:r>
                            <w:br/>
                          </w:r>
                          <w:r w:rsidR="00AE78C0">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EF1CD4">
                            <w:rPr>
                              <w:sz w:val="20"/>
                            </w:rPr>
                            <w:t xml:space="preserve">14 (p.m.) to 16 </w:t>
                          </w:r>
                          <w:r w:rsidR="00AE78C0">
                            <w:rPr>
                              <w:sz w:val="20"/>
                            </w:rPr>
                            <w:t xml:space="preserve">January </w:t>
                          </w:r>
                          <w:r w:rsidR="00E03C3D">
                            <w:rPr>
                              <w:sz w:val="20"/>
                            </w:rPr>
                            <w:t>202</w:t>
                          </w:r>
                          <w:r w:rsidR="00247BE8">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6B477782"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AF5235">
                      <w:rPr>
                        <w:b/>
                        <w:bCs/>
                        <w:szCs w:val="24"/>
                      </w:rPr>
                      <w:t xml:space="preserve">financial </w:t>
                    </w:r>
                    <w:r w:rsidR="009F347C">
                      <w:rPr>
                        <w:b/>
                        <w:bCs/>
                        <w:szCs w:val="24"/>
                      </w:rPr>
                      <w:t xml:space="preserve">and </w:t>
                    </w:r>
                    <w:r w:rsidR="00AF5235">
                      <w:rPr>
                        <w:b/>
                        <w:bCs/>
                        <w:szCs w:val="24"/>
                      </w:rPr>
                      <w:t>human resources</w:t>
                    </w:r>
                    <w:r>
                      <w:br/>
                    </w:r>
                    <w:r w:rsidR="00AE78C0">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EF1CD4">
                      <w:rPr>
                        <w:sz w:val="20"/>
                      </w:rPr>
                      <w:t xml:space="preserve">14 (p.m.) to 16 </w:t>
                    </w:r>
                    <w:r w:rsidR="00AE78C0">
                      <w:rPr>
                        <w:sz w:val="20"/>
                      </w:rPr>
                      <w:t xml:space="preserve">January </w:t>
                    </w:r>
                    <w:r w:rsidR="00E03C3D">
                      <w:rPr>
                        <w:sz w:val="20"/>
                      </w:rPr>
                      <w:t>202</w:t>
                    </w:r>
                    <w:r w:rsidR="00247BE8">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86A7564"/>
    <w:multiLevelType w:val="hybridMultilevel"/>
    <w:tmpl w:val="60A86B48"/>
    <w:lvl w:ilvl="0" w:tplc="F92476A6">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4816267">
    <w:abstractNumId w:val="0"/>
  </w:num>
  <w:num w:numId="2" w16cid:durableId="930091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056BA"/>
    <w:rsid w:val="000165AA"/>
    <w:rsid w:val="000210D4"/>
    <w:rsid w:val="00024812"/>
    <w:rsid w:val="0003682C"/>
    <w:rsid w:val="000603E1"/>
    <w:rsid w:val="00063016"/>
    <w:rsid w:val="00066795"/>
    <w:rsid w:val="00074C47"/>
    <w:rsid w:val="00076AF6"/>
    <w:rsid w:val="00085CF2"/>
    <w:rsid w:val="000B1705"/>
    <w:rsid w:val="000C3F36"/>
    <w:rsid w:val="000D194C"/>
    <w:rsid w:val="000D454F"/>
    <w:rsid w:val="000D5FC9"/>
    <w:rsid w:val="000D75B2"/>
    <w:rsid w:val="000F2D7A"/>
    <w:rsid w:val="001121F5"/>
    <w:rsid w:val="001134B6"/>
    <w:rsid w:val="00116459"/>
    <w:rsid w:val="00130599"/>
    <w:rsid w:val="001400DC"/>
    <w:rsid w:val="00140CE1"/>
    <w:rsid w:val="00145969"/>
    <w:rsid w:val="00151F4C"/>
    <w:rsid w:val="00152C22"/>
    <w:rsid w:val="001751FF"/>
    <w:rsid w:val="0017539C"/>
    <w:rsid w:val="00175AC2"/>
    <w:rsid w:val="0017609F"/>
    <w:rsid w:val="0019628A"/>
    <w:rsid w:val="001A524E"/>
    <w:rsid w:val="001A693B"/>
    <w:rsid w:val="001A72C5"/>
    <w:rsid w:val="001A7D1D"/>
    <w:rsid w:val="001B51DD"/>
    <w:rsid w:val="001C2F56"/>
    <w:rsid w:val="001C628E"/>
    <w:rsid w:val="001D2914"/>
    <w:rsid w:val="001E0F7B"/>
    <w:rsid w:val="001E0FBE"/>
    <w:rsid w:val="0020471F"/>
    <w:rsid w:val="002119FD"/>
    <w:rsid w:val="002130E0"/>
    <w:rsid w:val="00215A2C"/>
    <w:rsid w:val="00215C1E"/>
    <w:rsid w:val="002404ED"/>
    <w:rsid w:val="00240D93"/>
    <w:rsid w:val="00244F7F"/>
    <w:rsid w:val="00247BE8"/>
    <w:rsid w:val="00260ACE"/>
    <w:rsid w:val="002627E6"/>
    <w:rsid w:val="00264425"/>
    <w:rsid w:val="00265875"/>
    <w:rsid w:val="0027303B"/>
    <w:rsid w:val="002800CB"/>
    <w:rsid w:val="0028109B"/>
    <w:rsid w:val="00297FC6"/>
    <w:rsid w:val="002A2188"/>
    <w:rsid w:val="002A6509"/>
    <w:rsid w:val="002B1F58"/>
    <w:rsid w:val="002C1C7A"/>
    <w:rsid w:val="002C54E2"/>
    <w:rsid w:val="002C7CBA"/>
    <w:rsid w:val="002E4DA4"/>
    <w:rsid w:val="00300A48"/>
    <w:rsid w:val="0030160F"/>
    <w:rsid w:val="003117E9"/>
    <w:rsid w:val="00320223"/>
    <w:rsid w:val="00322D0D"/>
    <w:rsid w:val="00324DEE"/>
    <w:rsid w:val="00333D02"/>
    <w:rsid w:val="00340DBC"/>
    <w:rsid w:val="00344598"/>
    <w:rsid w:val="00361465"/>
    <w:rsid w:val="00362E8D"/>
    <w:rsid w:val="003877F5"/>
    <w:rsid w:val="003942D4"/>
    <w:rsid w:val="003958A8"/>
    <w:rsid w:val="003C2533"/>
    <w:rsid w:val="003D4E96"/>
    <w:rsid w:val="003D55B9"/>
    <w:rsid w:val="003D5A7F"/>
    <w:rsid w:val="003F0B45"/>
    <w:rsid w:val="003F2E6B"/>
    <w:rsid w:val="004016E2"/>
    <w:rsid w:val="0040435A"/>
    <w:rsid w:val="00416A24"/>
    <w:rsid w:val="00431D9E"/>
    <w:rsid w:val="00433CE8"/>
    <w:rsid w:val="00434A5C"/>
    <w:rsid w:val="00447561"/>
    <w:rsid w:val="004544D9"/>
    <w:rsid w:val="0046650A"/>
    <w:rsid w:val="00472BAD"/>
    <w:rsid w:val="00484009"/>
    <w:rsid w:val="00490E72"/>
    <w:rsid w:val="00491157"/>
    <w:rsid w:val="004921C8"/>
    <w:rsid w:val="00495B0B"/>
    <w:rsid w:val="004A0095"/>
    <w:rsid w:val="004A1B8B"/>
    <w:rsid w:val="004D1851"/>
    <w:rsid w:val="004D599D"/>
    <w:rsid w:val="004E2037"/>
    <w:rsid w:val="004E2EA5"/>
    <w:rsid w:val="004E3AEB"/>
    <w:rsid w:val="004F4BB6"/>
    <w:rsid w:val="0050223C"/>
    <w:rsid w:val="00502B98"/>
    <w:rsid w:val="00507864"/>
    <w:rsid w:val="00512A6F"/>
    <w:rsid w:val="005203BE"/>
    <w:rsid w:val="00520646"/>
    <w:rsid w:val="005243FF"/>
    <w:rsid w:val="005312BD"/>
    <w:rsid w:val="005529C3"/>
    <w:rsid w:val="005574CF"/>
    <w:rsid w:val="00564FBC"/>
    <w:rsid w:val="00577DB5"/>
    <w:rsid w:val="005800BC"/>
    <w:rsid w:val="00582442"/>
    <w:rsid w:val="005904C7"/>
    <w:rsid w:val="00595278"/>
    <w:rsid w:val="005A335D"/>
    <w:rsid w:val="005A6515"/>
    <w:rsid w:val="005B75AD"/>
    <w:rsid w:val="005C5BA7"/>
    <w:rsid w:val="005D74EB"/>
    <w:rsid w:val="005E2BD5"/>
    <w:rsid w:val="005E4490"/>
    <w:rsid w:val="005F3269"/>
    <w:rsid w:val="00603B6C"/>
    <w:rsid w:val="0060704C"/>
    <w:rsid w:val="006157BD"/>
    <w:rsid w:val="00623AE3"/>
    <w:rsid w:val="0063462D"/>
    <w:rsid w:val="00637A6A"/>
    <w:rsid w:val="0064737F"/>
    <w:rsid w:val="006535F1"/>
    <w:rsid w:val="0065557D"/>
    <w:rsid w:val="00660D50"/>
    <w:rsid w:val="00662984"/>
    <w:rsid w:val="006716BB"/>
    <w:rsid w:val="00676C7D"/>
    <w:rsid w:val="0068433C"/>
    <w:rsid w:val="006A2A16"/>
    <w:rsid w:val="006A74A1"/>
    <w:rsid w:val="006B1859"/>
    <w:rsid w:val="006B6680"/>
    <w:rsid w:val="006B6DCC"/>
    <w:rsid w:val="006D0F92"/>
    <w:rsid w:val="006D6181"/>
    <w:rsid w:val="00702DEF"/>
    <w:rsid w:val="0070338A"/>
    <w:rsid w:val="00705E40"/>
    <w:rsid w:val="00706861"/>
    <w:rsid w:val="0072623D"/>
    <w:rsid w:val="0073553F"/>
    <w:rsid w:val="00735FB1"/>
    <w:rsid w:val="00740139"/>
    <w:rsid w:val="0075051B"/>
    <w:rsid w:val="00756BB4"/>
    <w:rsid w:val="007666E6"/>
    <w:rsid w:val="00775655"/>
    <w:rsid w:val="00775CE4"/>
    <w:rsid w:val="00777EAA"/>
    <w:rsid w:val="00793188"/>
    <w:rsid w:val="00793F25"/>
    <w:rsid w:val="00794D34"/>
    <w:rsid w:val="007C1CBD"/>
    <w:rsid w:val="007C7A39"/>
    <w:rsid w:val="007D082D"/>
    <w:rsid w:val="007D314E"/>
    <w:rsid w:val="007D773A"/>
    <w:rsid w:val="007F567D"/>
    <w:rsid w:val="00813E5E"/>
    <w:rsid w:val="0083303B"/>
    <w:rsid w:val="00833D26"/>
    <w:rsid w:val="0083581B"/>
    <w:rsid w:val="00857E87"/>
    <w:rsid w:val="00860014"/>
    <w:rsid w:val="00860761"/>
    <w:rsid w:val="008611F5"/>
    <w:rsid w:val="00863874"/>
    <w:rsid w:val="00864AFF"/>
    <w:rsid w:val="00865010"/>
    <w:rsid w:val="00865925"/>
    <w:rsid w:val="008662C2"/>
    <w:rsid w:val="00874A25"/>
    <w:rsid w:val="008750D5"/>
    <w:rsid w:val="00882E79"/>
    <w:rsid w:val="008862D4"/>
    <w:rsid w:val="0088645E"/>
    <w:rsid w:val="008865B0"/>
    <w:rsid w:val="0089006D"/>
    <w:rsid w:val="00891503"/>
    <w:rsid w:val="008964B4"/>
    <w:rsid w:val="0089654C"/>
    <w:rsid w:val="008970BE"/>
    <w:rsid w:val="008A25EE"/>
    <w:rsid w:val="008B4A6A"/>
    <w:rsid w:val="008C7E27"/>
    <w:rsid w:val="008F10D4"/>
    <w:rsid w:val="008F7448"/>
    <w:rsid w:val="0090147A"/>
    <w:rsid w:val="00903C1A"/>
    <w:rsid w:val="00906A70"/>
    <w:rsid w:val="009173EF"/>
    <w:rsid w:val="00921ACD"/>
    <w:rsid w:val="00932906"/>
    <w:rsid w:val="00961B0B"/>
    <w:rsid w:val="00962D33"/>
    <w:rsid w:val="00965A78"/>
    <w:rsid w:val="009672BE"/>
    <w:rsid w:val="00971C28"/>
    <w:rsid w:val="009811B9"/>
    <w:rsid w:val="009B0187"/>
    <w:rsid w:val="009B2D4B"/>
    <w:rsid w:val="009B38C3"/>
    <w:rsid w:val="009B4345"/>
    <w:rsid w:val="009C253A"/>
    <w:rsid w:val="009D50D6"/>
    <w:rsid w:val="009E0A56"/>
    <w:rsid w:val="009E17BD"/>
    <w:rsid w:val="009E485A"/>
    <w:rsid w:val="009F347C"/>
    <w:rsid w:val="009F7A84"/>
    <w:rsid w:val="00A04CEC"/>
    <w:rsid w:val="00A04FCE"/>
    <w:rsid w:val="00A15BBA"/>
    <w:rsid w:val="00A27F92"/>
    <w:rsid w:val="00A32257"/>
    <w:rsid w:val="00A3282A"/>
    <w:rsid w:val="00A34664"/>
    <w:rsid w:val="00A36D20"/>
    <w:rsid w:val="00A467DF"/>
    <w:rsid w:val="00A514A4"/>
    <w:rsid w:val="00A5281E"/>
    <w:rsid w:val="00A52C84"/>
    <w:rsid w:val="00A55622"/>
    <w:rsid w:val="00A60B28"/>
    <w:rsid w:val="00A83502"/>
    <w:rsid w:val="00A8798F"/>
    <w:rsid w:val="00A94376"/>
    <w:rsid w:val="00AA4F91"/>
    <w:rsid w:val="00AD15B3"/>
    <w:rsid w:val="00AD226A"/>
    <w:rsid w:val="00AD3606"/>
    <w:rsid w:val="00AD4A3D"/>
    <w:rsid w:val="00AE00D1"/>
    <w:rsid w:val="00AE78C0"/>
    <w:rsid w:val="00AF5235"/>
    <w:rsid w:val="00AF6E49"/>
    <w:rsid w:val="00B04A67"/>
    <w:rsid w:val="00B0583C"/>
    <w:rsid w:val="00B0798F"/>
    <w:rsid w:val="00B07C74"/>
    <w:rsid w:val="00B358B2"/>
    <w:rsid w:val="00B40A81"/>
    <w:rsid w:val="00B44910"/>
    <w:rsid w:val="00B450EB"/>
    <w:rsid w:val="00B47AD0"/>
    <w:rsid w:val="00B52DE3"/>
    <w:rsid w:val="00B57626"/>
    <w:rsid w:val="00B72267"/>
    <w:rsid w:val="00B76EB6"/>
    <w:rsid w:val="00B7737B"/>
    <w:rsid w:val="00B824C8"/>
    <w:rsid w:val="00B843A6"/>
    <w:rsid w:val="00B84B9D"/>
    <w:rsid w:val="00BB0C69"/>
    <w:rsid w:val="00BC251A"/>
    <w:rsid w:val="00BD032B"/>
    <w:rsid w:val="00BD1693"/>
    <w:rsid w:val="00BD27C1"/>
    <w:rsid w:val="00BD7514"/>
    <w:rsid w:val="00BE2640"/>
    <w:rsid w:val="00BE5B8E"/>
    <w:rsid w:val="00C01189"/>
    <w:rsid w:val="00C119B4"/>
    <w:rsid w:val="00C17980"/>
    <w:rsid w:val="00C30698"/>
    <w:rsid w:val="00C374DE"/>
    <w:rsid w:val="00C44F35"/>
    <w:rsid w:val="00C47AD4"/>
    <w:rsid w:val="00C51846"/>
    <w:rsid w:val="00C52D81"/>
    <w:rsid w:val="00C55198"/>
    <w:rsid w:val="00C62BCE"/>
    <w:rsid w:val="00C66520"/>
    <w:rsid w:val="00CA6393"/>
    <w:rsid w:val="00CA7CB8"/>
    <w:rsid w:val="00CB18FF"/>
    <w:rsid w:val="00CD0C08"/>
    <w:rsid w:val="00CD4324"/>
    <w:rsid w:val="00CD5EA0"/>
    <w:rsid w:val="00CE03FB"/>
    <w:rsid w:val="00CE433C"/>
    <w:rsid w:val="00CF0161"/>
    <w:rsid w:val="00CF33F3"/>
    <w:rsid w:val="00CF3D16"/>
    <w:rsid w:val="00CF7D5A"/>
    <w:rsid w:val="00D06183"/>
    <w:rsid w:val="00D11B8B"/>
    <w:rsid w:val="00D16184"/>
    <w:rsid w:val="00D2048A"/>
    <w:rsid w:val="00D22C42"/>
    <w:rsid w:val="00D33BBC"/>
    <w:rsid w:val="00D464CC"/>
    <w:rsid w:val="00D53C61"/>
    <w:rsid w:val="00D64AE3"/>
    <w:rsid w:val="00D65041"/>
    <w:rsid w:val="00DB00D5"/>
    <w:rsid w:val="00DB1936"/>
    <w:rsid w:val="00DB384B"/>
    <w:rsid w:val="00DB4FAC"/>
    <w:rsid w:val="00DC7477"/>
    <w:rsid w:val="00DD59EE"/>
    <w:rsid w:val="00DD7CE2"/>
    <w:rsid w:val="00DE067B"/>
    <w:rsid w:val="00DE1140"/>
    <w:rsid w:val="00DF0189"/>
    <w:rsid w:val="00DF1E95"/>
    <w:rsid w:val="00DF3BA7"/>
    <w:rsid w:val="00DF6514"/>
    <w:rsid w:val="00E03C3D"/>
    <w:rsid w:val="00E03EF7"/>
    <w:rsid w:val="00E04CE5"/>
    <w:rsid w:val="00E06FD5"/>
    <w:rsid w:val="00E10E80"/>
    <w:rsid w:val="00E124F0"/>
    <w:rsid w:val="00E227F3"/>
    <w:rsid w:val="00E43392"/>
    <w:rsid w:val="00E445F3"/>
    <w:rsid w:val="00E545C6"/>
    <w:rsid w:val="00E60F04"/>
    <w:rsid w:val="00E65AC9"/>
    <w:rsid w:val="00E65B24"/>
    <w:rsid w:val="00E854E4"/>
    <w:rsid w:val="00E86DBF"/>
    <w:rsid w:val="00E9468A"/>
    <w:rsid w:val="00EA5CC7"/>
    <w:rsid w:val="00EB0D6F"/>
    <w:rsid w:val="00EB173D"/>
    <w:rsid w:val="00EB2232"/>
    <w:rsid w:val="00EC20EF"/>
    <w:rsid w:val="00EC5337"/>
    <w:rsid w:val="00ED2A78"/>
    <w:rsid w:val="00ED454D"/>
    <w:rsid w:val="00EE1D97"/>
    <w:rsid w:val="00EE49E8"/>
    <w:rsid w:val="00EF1CD4"/>
    <w:rsid w:val="00F06BD8"/>
    <w:rsid w:val="00F12F87"/>
    <w:rsid w:val="00F16BAB"/>
    <w:rsid w:val="00F2150A"/>
    <w:rsid w:val="00F231D8"/>
    <w:rsid w:val="00F246E2"/>
    <w:rsid w:val="00F34A43"/>
    <w:rsid w:val="00F443AF"/>
    <w:rsid w:val="00F44C00"/>
    <w:rsid w:val="00F45D2C"/>
    <w:rsid w:val="00F46C5F"/>
    <w:rsid w:val="00F46F77"/>
    <w:rsid w:val="00F56585"/>
    <w:rsid w:val="00F6074E"/>
    <w:rsid w:val="00F632C0"/>
    <w:rsid w:val="00F74694"/>
    <w:rsid w:val="00F81F71"/>
    <w:rsid w:val="00F83716"/>
    <w:rsid w:val="00F94A63"/>
    <w:rsid w:val="00FA1C28"/>
    <w:rsid w:val="00FA367D"/>
    <w:rsid w:val="00FB1279"/>
    <w:rsid w:val="00FB6B76"/>
    <w:rsid w:val="00FB7596"/>
    <w:rsid w:val="00FD7016"/>
    <w:rsid w:val="00FE4077"/>
    <w:rsid w:val="00FE500D"/>
    <w:rsid w:val="00FE77D2"/>
    <w:rsid w:val="03E88E87"/>
    <w:rsid w:val="081D6A38"/>
    <w:rsid w:val="1C85DB31"/>
    <w:rsid w:val="2698F94F"/>
    <w:rsid w:val="2875CB96"/>
    <w:rsid w:val="2B362819"/>
    <w:rsid w:val="2DA8722F"/>
    <w:rsid w:val="34DDBB35"/>
    <w:rsid w:val="402764FD"/>
    <w:rsid w:val="4A6DA6A8"/>
    <w:rsid w:val="57111536"/>
    <w:rsid w:val="5A057FD8"/>
    <w:rsid w:val="5EAEC93A"/>
    <w:rsid w:val="60FF53D1"/>
    <w:rsid w:val="684AE1CE"/>
    <w:rsid w:val="70D72F29"/>
    <w:rsid w:val="71F41975"/>
    <w:rsid w:val="74383E09"/>
    <w:rsid w:val="77026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EA593568-B53D-4CAD-95D2-A80CC93D6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116459"/>
    <w:pPr>
      <w:keepNext/>
      <w:keepLines/>
      <w:spacing w:before="36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76C7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BB0C69"/>
    <w:pPr>
      <w:tabs>
        <w:tab w:val="clear" w:pos="1134"/>
        <w:tab w:val="clear" w:pos="1701"/>
        <w:tab w:val="clear" w:pos="2268"/>
        <w:tab w:val="clear" w:pos="2835"/>
        <w:tab w:val="left" w:pos="284"/>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BB0C69"/>
    <w:pPr>
      <w:keepNext/>
      <w:keepLines/>
      <w:spacing w:before="80" w:after="8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FD7016"/>
    <w:rPr>
      <w:color w:val="605E5C"/>
      <w:shd w:val="clear" w:color="auto" w:fill="E1DFDD"/>
    </w:rPr>
  </w:style>
  <w:style w:type="character" w:styleId="PlaceholderText">
    <w:name w:val="Placeholder Text"/>
    <w:basedOn w:val="DefaultParagraphFont"/>
    <w:uiPriority w:val="99"/>
    <w:semiHidden/>
    <w:rsid w:val="006A74A1"/>
    <w:rPr>
      <w:color w:val="666666"/>
    </w:rPr>
  </w:style>
  <w:style w:type="paragraph" w:styleId="Revision">
    <w:name w:val="Revision"/>
    <w:hidden/>
    <w:uiPriority w:val="99"/>
    <w:semiHidden/>
    <w:rsid w:val="00833D26"/>
    <w:rPr>
      <w:rFonts w:ascii="Calibri" w:hAnsi="Calibri"/>
      <w:sz w:val="24"/>
      <w:lang w:val="en-GB" w:eastAsia="en-US"/>
    </w:rPr>
  </w:style>
  <w:style w:type="paragraph" w:customStyle="1" w:styleId="Reasons">
    <w:name w:val="Reasons"/>
    <w:basedOn w:val="Normal"/>
    <w:qFormat/>
    <w:rsid w:val="00E445F3"/>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Calibri" w:hAnsi="Calibri"/>
      <w:lang w:val="en-GB"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83303B"/>
    <w:rPr>
      <w:b/>
      <w:bCs/>
    </w:rPr>
  </w:style>
  <w:style w:type="character" w:customStyle="1" w:styleId="CommentSubjectChar">
    <w:name w:val="Comment Subject Char"/>
    <w:basedOn w:val="CommentTextChar"/>
    <w:link w:val="CommentSubject"/>
    <w:semiHidden/>
    <w:rsid w:val="0083303B"/>
    <w:rPr>
      <w:rFonts w:ascii="Calibri" w:hAnsi="Calibri"/>
      <w:b/>
      <w:bCs/>
      <w:lang w:val="en-GB" w:eastAsia="en-US"/>
    </w:rPr>
  </w:style>
  <w:style w:type="character" w:styleId="Mention">
    <w:name w:val="Mention"/>
    <w:basedOn w:val="DefaultParagraphFont"/>
    <w:uiPriority w:val="99"/>
    <w:unhideWhenUsed/>
    <w:rsid w:val="008330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D22-WTDC25-C-0070/e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tu.int/md/D22-WTDC25-C-0070/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fhr/Pages/default.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3" ma:contentTypeDescription="Create a new document." ma:contentTypeScope="" ma:versionID="7c7b6365ae85304ed038584fec3de209">
  <xsd:schema xmlns:xsd="http://www.w3.org/2001/XMLSchema" xmlns:xs="http://www.w3.org/2001/XMLSchema" xmlns:p="http://schemas.microsoft.com/office/2006/metadata/properties" xmlns:ns2="a4c22657-7647-457b-a399-8471255bb166" targetNamespace="http://schemas.microsoft.com/office/2006/metadata/properties" ma:root="true" ma:fieldsID="716c1f24c9963eeb1e0ffe3860f8f798"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19007-32C4-4EE4-86BE-A765C61CE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BCC15A-7B36-423D-A682-97B8079C02ED}">
  <ds:schemaRefs>
    <ds:schemaRef ds:uri="http://schemas.microsoft.com/office/2006/metadata/properties"/>
    <ds:schemaRef ds:uri="a4c22657-7647-457b-a399-8471255bb166"/>
    <ds:schemaRef ds:uri="http://www.w3.org/XML/1998/namespace"/>
    <ds:schemaRef ds:uri="http://schemas.microsoft.com/office/infopath/2007/PartnerControls"/>
    <ds:schemaRef ds:uri="http://schemas.microsoft.com/office/2006/documentManagement/types"/>
    <ds:schemaRef ds:uri="http://purl.org/dc/dcmitype/"/>
    <ds:schemaRef ds:uri="http://purl.org/dc/terms/"/>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13AFC5D5-87BD-4EC2-B5D5-54443AD398D8}">
  <ds:schemaRefs>
    <ds:schemaRef ds:uri="http://schemas.microsoft.com/sharepoint/v3/contenttype/forms"/>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1079</Words>
  <Characters>6231</Characters>
  <Application>Microsoft Office Word</Application>
  <DocSecurity>0</DocSecurity>
  <Lines>230</Lines>
  <Paragraphs>146</Paragraphs>
  <ScaleCrop>false</ScaleCrop>
  <HeadingPairs>
    <vt:vector size="2" baseType="variant">
      <vt:variant>
        <vt:lpstr>Title</vt:lpstr>
      </vt:variant>
      <vt:variant>
        <vt:i4>1</vt:i4>
      </vt:variant>
    </vt:vector>
  </HeadingPairs>
  <TitlesOfParts>
    <vt:vector size="1" baseType="lpstr">
      <vt:lpstr>Annual budgetary implications of addressing the WTDC-25 resolutions</vt:lpstr>
    </vt:vector>
  </TitlesOfParts>
  <Manager/>
  <Company/>
  <LinksUpToDate>false</LinksUpToDate>
  <CharactersWithSpaces>7164</CharactersWithSpaces>
  <SharedDoc>false</SharedDoc>
  <HLinks>
    <vt:vector size="24" baseType="variant">
      <vt:variant>
        <vt:i4>2424949</vt:i4>
      </vt:variant>
      <vt:variant>
        <vt:i4>6</vt:i4>
      </vt:variant>
      <vt:variant>
        <vt:i4>0</vt:i4>
      </vt:variant>
      <vt:variant>
        <vt:i4>5</vt:i4>
      </vt:variant>
      <vt:variant>
        <vt:lpwstr>https://www.itu.int/md/D22-WTDC25-C-0070/en</vt:lpwstr>
      </vt:variant>
      <vt:variant>
        <vt:lpwstr/>
      </vt:variant>
      <vt:variant>
        <vt:i4>2424949</vt:i4>
      </vt:variant>
      <vt:variant>
        <vt:i4>3</vt:i4>
      </vt:variant>
      <vt:variant>
        <vt:i4>0</vt:i4>
      </vt:variant>
      <vt:variant>
        <vt:i4>5</vt:i4>
      </vt:variant>
      <vt:variant>
        <vt:lpwstr>https://www.itu.int/md/D22-WTDC25-C-0070/en</vt:lpwstr>
      </vt:variant>
      <vt:variant>
        <vt:lpwstr/>
      </vt:variant>
      <vt:variant>
        <vt:i4>4325455</vt:i4>
      </vt:variant>
      <vt:variant>
        <vt:i4>0</vt:i4>
      </vt:variant>
      <vt:variant>
        <vt:i4>0</vt:i4>
      </vt:variant>
      <vt:variant>
        <vt:i4>5</vt:i4>
      </vt:variant>
      <vt:variant>
        <vt:lpwstr>https://www.itu.int/en/council/cwg-fhr/Pages/default.aspx</vt:lpwstr>
      </vt:variant>
      <vt:variant>
        <vt:lpwstr/>
      </vt:variant>
      <vt:variant>
        <vt:i4>3342442</vt:i4>
      </vt:variant>
      <vt:variant>
        <vt:i4>3</vt:i4>
      </vt:variant>
      <vt:variant>
        <vt:i4>0</vt:i4>
      </vt:variant>
      <vt:variant>
        <vt:i4>5</vt:i4>
      </vt:variant>
      <vt:variant>
        <vt:lpwstr>https://council.itu.int/2026/en/working-groups/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budgetary implications of addressing the WTDC-25 resolutions</dc:title>
  <dc:subject>ITU Council Working Group on Financial and Human Resources</dc:subject>
  <dc:creator>De La Rosa Trivino, Maria Dolores</dc:creator>
  <cp:keywords>CWG-FHR; C26; Council-26</cp:keywords>
  <dc:description/>
  <cp:lastModifiedBy>LRT</cp:lastModifiedBy>
  <cp:revision>2</cp:revision>
  <dcterms:created xsi:type="dcterms:W3CDTF">2025-12-17T13:12:00Z</dcterms:created>
  <dcterms:modified xsi:type="dcterms:W3CDTF">2025-12-17T13:12:00Z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25d5aa41-e346-4394-b09a-fb592d4e16e2</vt:lpwstr>
  </property>
  <property fmtid="{D5CDD505-2E9C-101B-9397-08002B2CF9AE}" pid="3" name="ContentTypeId">
    <vt:lpwstr>0x010100814E447ED7B9DA4C9F10BB2808D9DCA9</vt:lpwstr>
  </property>
  <property fmtid="{D5CDD505-2E9C-101B-9397-08002B2CF9AE}" pid="4" name="docLang">
    <vt:lpwstr>en</vt:lpwstr>
  </property>
</Properties>
</file>