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5352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C6A8688" w:rsidR="00AD3606" w:rsidRPr="00A94376" w:rsidRDefault="00453526" w:rsidP="00472BAD">
            <w:pPr>
              <w:tabs>
                <w:tab w:val="left" w:pos="851"/>
              </w:tabs>
              <w:spacing w:before="0" w:line="240" w:lineRule="atLeast"/>
              <w:jc w:val="right"/>
              <w:rPr>
                <w:b/>
                <w:lang w:val="it-IT"/>
              </w:rPr>
            </w:pPr>
            <w:r>
              <w:rPr>
                <w:b/>
                <w:lang w:val="it-IT"/>
              </w:rPr>
              <w:t>Revision 1 to</w:t>
            </w:r>
            <w:r>
              <w:rPr>
                <w:b/>
                <w:lang w:val="it-IT"/>
              </w:rPr>
              <w:br/>
            </w:r>
            <w:r w:rsidR="00AD3606"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00AD3606" w:rsidRPr="00A94376">
              <w:rPr>
                <w:b/>
                <w:lang w:val="it-IT"/>
              </w:rPr>
              <w:t>/</w:t>
            </w:r>
            <w:r w:rsidR="00280136">
              <w:rPr>
                <w:b/>
                <w:lang w:val="it-IT"/>
              </w:rPr>
              <w:t>5</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51AE085" w:rsidR="00AD3606" w:rsidRPr="00A94376" w:rsidRDefault="00453526" w:rsidP="00AD3606">
            <w:pPr>
              <w:tabs>
                <w:tab w:val="left" w:pos="851"/>
              </w:tabs>
              <w:spacing w:before="0"/>
              <w:jc w:val="right"/>
              <w:rPr>
                <w:b/>
              </w:rPr>
            </w:pPr>
            <w:r>
              <w:rPr>
                <w:b/>
              </w:rPr>
              <w:t>23</w:t>
            </w:r>
            <w:r w:rsidR="00592F78">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17B4AB1E" w:rsidR="00AD3606" w:rsidRPr="00676C7D" w:rsidRDefault="00430D46" w:rsidP="00676C7D">
            <w:pPr>
              <w:pStyle w:val="Subtitle"/>
              <w:framePr w:hSpace="0" w:wrap="auto" w:xAlign="left" w:yAlign="inline"/>
            </w:pPr>
            <w:bookmarkStart w:id="9" w:name="dtitle1" w:colFirst="0" w:colLast="0"/>
            <w:bookmarkEnd w:id="8"/>
            <w:r w:rsidRPr="006E7283">
              <w:t>UPDATE ON THE CAMPUS STRATEGIC PLAN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5C80BA33" w:rsidR="00AD3606" w:rsidRPr="00813E5E" w:rsidRDefault="00592F78" w:rsidP="00592F78">
            <w:pPr>
              <w:jc w:val="both"/>
            </w:pPr>
            <w:r w:rsidRPr="00606889">
              <w:t xml:space="preserve">This </w:t>
            </w:r>
            <w:r w:rsidR="00411F60">
              <w:t>r</w:t>
            </w:r>
            <w:r w:rsidRPr="00606889">
              <w:t>eport provides an update on the implementation of the instructions from the ITU Council 2024.</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002A46CC" w:rsidR="00891503" w:rsidRDefault="00FD7016" w:rsidP="00F16BAB">
            <w:pPr>
              <w:spacing w:before="160"/>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invited to</w:t>
            </w:r>
            <w:r w:rsidR="003D55B9">
              <w:t xml:space="preserve"> </w:t>
            </w:r>
            <w:r w:rsidR="000D454F" w:rsidRPr="000D454F">
              <w:rPr>
                <w:b/>
                <w:bCs/>
              </w:rPr>
              <w:t>note</w:t>
            </w:r>
            <w:r w:rsidR="000D454F" w:rsidRPr="000D454F">
              <w:t xml:space="preserve"> this </w:t>
            </w:r>
            <w:r w:rsidR="00B05131">
              <w:t>r</w:t>
            </w:r>
            <w:r w:rsidR="00592F78">
              <w:t>eport</w:t>
            </w:r>
            <w:r w:rsidR="000D454F" w:rsidRPr="000D454F">
              <w:t>.</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08B4E4C4" w:rsidR="00AD3606" w:rsidRPr="00453526" w:rsidRDefault="00FD7016" w:rsidP="00F16BAB">
            <w:pPr>
              <w:spacing w:after="160"/>
              <w:rPr>
                <w:i/>
                <w:iCs/>
                <w:sz w:val="22"/>
                <w:szCs w:val="22"/>
              </w:rPr>
            </w:pPr>
            <w:hyperlink r:id="rId11" w:history="1">
              <w:r w:rsidRPr="00453526">
                <w:rPr>
                  <w:rStyle w:val="Hyperlink"/>
                  <w:i/>
                  <w:iCs/>
                  <w:sz w:val="22"/>
                  <w:szCs w:val="22"/>
                </w:rPr>
                <w:t>CWG-FHR website</w:t>
              </w:r>
            </w:hyperlink>
            <w:r w:rsidRPr="00453526">
              <w:rPr>
                <w:i/>
                <w:iCs/>
                <w:sz w:val="22"/>
                <w:szCs w:val="22"/>
              </w:rPr>
              <w:t xml:space="preserve">; </w:t>
            </w:r>
            <w:hyperlink r:id="rId12" w:history="1">
              <w:r w:rsidR="00592F78" w:rsidRPr="00453526">
                <w:rPr>
                  <w:rStyle w:val="Hyperlink"/>
                  <w:i/>
                  <w:iCs/>
                  <w:sz w:val="22"/>
                  <w:szCs w:val="22"/>
                </w:rPr>
                <w:t>Resolution 212 (Rev. Bucharest, 2022)</w:t>
              </w:r>
            </w:hyperlink>
            <w:r w:rsidR="00592F78" w:rsidRPr="00453526">
              <w:rPr>
                <w:rStyle w:val="Hyperlink"/>
                <w:i/>
                <w:iCs/>
                <w:sz w:val="22"/>
                <w:szCs w:val="22"/>
              </w:rPr>
              <w:t xml:space="preserve"> of the Plenipotentiary Conference</w:t>
            </w:r>
            <w:r w:rsidR="00592F78" w:rsidRPr="00453526">
              <w:rPr>
                <w:i/>
                <w:iCs/>
                <w:sz w:val="22"/>
                <w:szCs w:val="22"/>
              </w:rPr>
              <w:t xml:space="preserve">; </w:t>
            </w:r>
            <w:r w:rsidR="00592F78" w:rsidRPr="00453526">
              <w:rPr>
                <w:rStyle w:val="Hyperlink"/>
                <w:i/>
                <w:iCs/>
                <w:sz w:val="22"/>
                <w:szCs w:val="22"/>
              </w:rPr>
              <w:t xml:space="preserve">Council </w:t>
            </w:r>
            <w:hyperlink r:id="rId13" w:history="1">
              <w:r w:rsidR="00592F78" w:rsidRPr="00453526">
                <w:rPr>
                  <w:rStyle w:val="Hyperlink"/>
                  <w:i/>
                  <w:iCs/>
                  <w:sz w:val="22"/>
                  <w:szCs w:val="22"/>
                </w:rPr>
                <w:t>Decision 588</w:t>
              </w:r>
            </w:hyperlink>
            <w:r w:rsidR="00592F78" w:rsidRPr="00453526">
              <w:rPr>
                <w:rStyle w:val="Hyperlink"/>
                <w:i/>
                <w:iCs/>
                <w:sz w:val="22"/>
                <w:szCs w:val="22"/>
              </w:rPr>
              <w:t xml:space="preserve"> (C16)</w:t>
            </w:r>
            <w:r w:rsidR="00592F78" w:rsidRPr="00453526">
              <w:rPr>
                <w:i/>
                <w:iCs/>
                <w:sz w:val="22"/>
                <w:szCs w:val="22"/>
              </w:rPr>
              <w:t xml:space="preserve">; </w:t>
            </w:r>
            <w:hyperlink r:id="rId14" w:history="1">
              <w:r w:rsidR="00592F78" w:rsidRPr="00453526">
                <w:rPr>
                  <w:rStyle w:val="Hyperlink"/>
                  <w:rFonts w:cs="Calibri"/>
                  <w:i/>
                  <w:iCs/>
                  <w:sz w:val="22"/>
                  <w:szCs w:val="22"/>
                </w:rPr>
                <w:t>Council Decision 640 (C24)</w:t>
              </w:r>
            </w:hyperlink>
            <w:r w:rsidR="00592F78" w:rsidRPr="00453526">
              <w:rPr>
                <w:i/>
                <w:iCs/>
                <w:sz w:val="22"/>
                <w:szCs w:val="22"/>
              </w:rPr>
              <w:t xml:space="preserve">; Documents </w:t>
            </w:r>
            <w:hyperlink r:id="rId15" w:history="1">
              <w:r w:rsidR="00592F78" w:rsidRPr="00453526">
                <w:rPr>
                  <w:rStyle w:val="Hyperlink"/>
                  <w:i/>
                  <w:iCs/>
                  <w:sz w:val="22"/>
                  <w:szCs w:val="22"/>
                </w:rPr>
                <w:t>C24/7</w:t>
              </w:r>
            </w:hyperlink>
            <w:r w:rsidR="00592F78" w:rsidRPr="00453526">
              <w:rPr>
                <w:i/>
                <w:iCs/>
                <w:sz w:val="22"/>
                <w:szCs w:val="22"/>
              </w:rPr>
              <w:t xml:space="preserve">; </w:t>
            </w:r>
            <w:hyperlink r:id="rId16" w:history="1">
              <w:r w:rsidR="00592F78" w:rsidRPr="00453526">
                <w:rPr>
                  <w:rStyle w:val="Hyperlink"/>
                  <w:i/>
                  <w:iCs/>
                  <w:sz w:val="22"/>
                  <w:szCs w:val="22"/>
                </w:rPr>
                <w:t>CWG-FHR-19/10</w:t>
              </w:r>
            </w:hyperlink>
            <w:r w:rsidR="00592F78" w:rsidRPr="00453526">
              <w:rPr>
                <w:i/>
                <w:iCs/>
                <w:sz w:val="22"/>
                <w:szCs w:val="22"/>
              </w:rPr>
              <w:t xml:space="preserve">, </w:t>
            </w:r>
            <w:hyperlink r:id="rId17" w:history="1">
              <w:r w:rsidR="00592F78" w:rsidRPr="00453526">
                <w:rPr>
                  <w:rStyle w:val="Hyperlink"/>
                  <w:i/>
                  <w:iCs/>
                  <w:sz w:val="22"/>
                  <w:szCs w:val="22"/>
                </w:rPr>
                <w:t>CWG-FHR-20/7</w:t>
              </w:r>
            </w:hyperlink>
            <w:r w:rsidR="00592F78" w:rsidRPr="00453526">
              <w:rPr>
                <w:i/>
                <w:iCs/>
                <w:sz w:val="22"/>
                <w:szCs w:val="22"/>
              </w:rPr>
              <w:t xml:space="preserve">, </w:t>
            </w:r>
            <w:hyperlink r:id="rId18" w:history="1">
              <w:r w:rsidR="00592F78" w:rsidRPr="00453526">
                <w:rPr>
                  <w:rStyle w:val="Hyperlink"/>
                  <w:i/>
                  <w:iCs/>
                  <w:sz w:val="22"/>
                  <w:szCs w:val="22"/>
                </w:rPr>
                <w:t>CWG-FHR-20/8</w:t>
              </w:r>
            </w:hyperlink>
            <w:r w:rsidR="00592F78" w:rsidRPr="00453526">
              <w:rPr>
                <w:i/>
                <w:iCs/>
                <w:sz w:val="22"/>
                <w:szCs w:val="22"/>
              </w:rPr>
              <w:t xml:space="preserve">; </w:t>
            </w:r>
            <w:hyperlink r:id="rId19" w:history="1">
              <w:r w:rsidR="00592F78" w:rsidRPr="00453526">
                <w:rPr>
                  <w:rStyle w:val="Hyperlink"/>
                  <w:i/>
                  <w:iCs/>
                  <w:sz w:val="22"/>
                  <w:szCs w:val="22"/>
                </w:rPr>
                <w:t>C25/9</w:t>
              </w:r>
            </w:hyperlink>
            <w:r w:rsidR="00592F78" w:rsidRPr="00453526">
              <w:rPr>
                <w:i/>
                <w:iCs/>
                <w:sz w:val="22"/>
                <w:szCs w:val="22"/>
              </w:rPr>
              <w:t xml:space="preserve">; </w:t>
            </w:r>
            <w:hyperlink r:id="rId20" w:history="1">
              <w:r w:rsidR="00592F78" w:rsidRPr="00453526">
                <w:rPr>
                  <w:rStyle w:val="Hyperlink"/>
                  <w:i/>
                  <w:iCs/>
                  <w:sz w:val="22"/>
                  <w:szCs w:val="22"/>
                </w:rPr>
                <w:t>C25/43</w:t>
              </w:r>
            </w:hyperlink>
            <w:r w:rsidR="00592F78" w:rsidRPr="00453526">
              <w:rPr>
                <w:i/>
                <w:iCs/>
                <w:sz w:val="22"/>
                <w:szCs w:val="22"/>
              </w:rPr>
              <w:t xml:space="preserve">; </w:t>
            </w:r>
            <w:hyperlink r:id="rId21" w:history="1">
              <w:r w:rsidR="00592F78" w:rsidRPr="00453526">
                <w:rPr>
                  <w:rStyle w:val="Hyperlink"/>
                  <w:i/>
                  <w:iCs/>
                  <w:sz w:val="22"/>
                  <w:szCs w:val="22"/>
                </w:rPr>
                <w:t>C25/63</w:t>
              </w:r>
            </w:hyperlink>
            <w:r w:rsidR="00592F78" w:rsidRPr="00453526">
              <w:rPr>
                <w:i/>
                <w:iCs/>
                <w:sz w:val="22"/>
                <w:szCs w:val="22"/>
              </w:rPr>
              <w:t xml:space="preserve">; </w:t>
            </w:r>
            <w:hyperlink r:id="rId22" w:history="1">
              <w:r w:rsidR="00592F78" w:rsidRPr="00453526">
                <w:rPr>
                  <w:rStyle w:val="Hyperlink"/>
                  <w:i/>
                  <w:iCs/>
                  <w:sz w:val="22"/>
                  <w:szCs w:val="22"/>
                </w:rPr>
                <w:t>CWG-FHR-21/6</w:t>
              </w:r>
            </w:hyperlink>
            <w:r w:rsidR="00D703BA" w:rsidRPr="00453526">
              <w:rPr>
                <w:i/>
                <w:iCs/>
                <w:spacing w:val="-3"/>
                <w:sz w:val="22"/>
                <w:szCs w:val="22"/>
              </w:rPr>
              <w:t xml:space="preserve"> </w:t>
            </w:r>
            <w:r w:rsidR="00D703BA" w:rsidRPr="00453526">
              <w:rPr>
                <w:i/>
                <w:iCs/>
                <w:sz w:val="22"/>
                <w:szCs w:val="22"/>
              </w:rPr>
              <w:t xml:space="preserve">and </w:t>
            </w:r>
            <w:hyperlink r:id="rId23" w:history="1">
              <w:r w:rsidR="00D703BA" w:rsidRPr="00453526">
                <w:rPr>
                  <w:rStyle w:val="Hyperlink"/>
                  <w:bCs/>
                  <w:i/>
                  <w:iCs/>
                  <w:sz w:val="22"/>
                  <w:szCs w:val="22"/>
                  <w:lang w:val="en-US"/>
                </w:rPr>
                <w:t>CWG-FHR-21/21</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47C5F6F6" w14:textId="78E15935" w:rsidR="00592F78" w:rsidRPr="00592F78" w:rsidRDefault="00592F78" w:rsidP="00592F78">
      <w:pPr>
        <w:pStyle w:val="Heading1"/>
      </w:pPr>
      <w:r w:rsidRPr="00592F78">
        <w:lastRenderedPageBreak/>
        <w:t>1</w:t>
      </w:r>
      <w:r w:rsidRPr="00592F78">
        <w:tab/>
        <w:t>Introduction</w:t>
      </w:r>
    </w:p>
    <w:p w14:paraId="10A02146" w14:textId="77777777" w:rsidR="00592F78" w:rsidRPr="00B14903" w:rsidDel="003C40AC" w:rsidRDefault="00592F78" w:rsidP="00B14903">
      <w:pPr>
        <w:jc w:val="both"/>
      </w:pPr>
      <w:r w:rsidRPr="00B14903">
        <w:t xml:space="preserve">As part of </w:t>
      </w:r>
      <w:hyperlink r:id="rId24" w:history="1">
        <w:r w:rsidRPr="00B14903">
          <w:rPr>
            <w:color w:val="4F81BD" w:themeColor="accent1"/>
            <w:u w:val="single"/>
          </w:rPr>
          <w:t>Decision 640 (C24)</w:t>
        </w:r>
      </w:hyperlink>
      <w:r w:rsidRPr="00B14903">
        <w:t xml:space="preserve"> to proceed with a revised scope for the headquarters premises project and taking into consideration the evolving long-term needs of the ITU, its aging campus infrastructure and associated financial implications, Council 2024 instructed the secretariat to develop a strategic plan for the ITU Geneva campus.</w:t>
      </w:r>
      <w:r>
        <w:t xml:space="preserve"> </w:t>
      </w:r>
    </w:p>
    <w:p w14:paraId="6A292F1A" w14:textId="77777777" w:rsidR="00592F78" w:rsidRDefault="00592F78" w:rsidP="00232805">
      <w:pPr>
        <w:jc w:val="both"/>
      </w:pPr>
      <w:r>
        <w:t>The purpose of the ITU Geneva campus strategic plan is to align the organisation’s physical environment with its mandate and strategic objectives, and to ensure it is done through optimized long-term development and sustainable financial planning. The objectives of the plan are to:</w:t>
      </w:r>
    </w:p>
    <w:p w14:paraId="4900ECE2" w14:textId="759AE25A" w:rsidR="00592F78" w:rsidRDefault="00592F78" w:rsidP="00592F78">
      <w:pPr>
        <w:pStyle w:val="enumlev1"/>
        <w:jc w:val="both"/>
      </w:pPr>
      <w:r>
        <w:t>i)</w:t>
      </w:r>
      <w:r>
        <w:tab/>
        <w:t>Establish a vision and roadmap for the future development of the ITU Geneva campus that is aligned with the organization's strategic objectives, organisational needs, efficiencies and optimizations, and financial considerations;</w:t>
      </w:r>
    </w:p>
    <w:p w14:paraId="438C7E48" w14:textId="08B9BC37" w:rsidR="00592F78" w:rsidRPr="00B14903" w:rsidRDefault="00592F78" w:rsidP="00592F78">
      <w:pPr>
        <w:pStyle w:val="enumlev1"/>
        <w:jc w:val="both"/>
      </w:pPr>
      <w:r w:rsidRPr="00B14903">
        <w:t>ii)</w:t>
      </w:r>
      <w:r w:rsidRPr="00B14903">
        <w:tab/>
      </w:r>
      <w:r>
        <w:t>Develop a strategy for sustainable future maintenance and capital planning of the facilities and efficient property management.</w:t>
      </w:r>
    </w:p>
    <w:p w14:paraId="7FD5645F" w14:textId="311C8CE3" w:rsidR="00592F78" w:rsidRPr="00B14903" w:rsidRDefault="00592F78" w:rsidP="00B14903">
      <w:pPr>
        <w:jc w:val="both"/>
      </w:pPr>
      <w:r w:rsidRPr="00B14903">
        <w:t xml:space="preserve">The outcomes of the first phase </w:t>
      </w:r>
      <w:r>
        <w:t xml:space="preserve">of the plan </w:t>
      </w:r>
      <w:r w:rsidRPr="00B14903">
        <w:t>were provided in the secretariat’s report to CWG</w:t>
      </w:r>
      <w:r w:rsidR="00D32411">
        <w:noBreakHyphen/>
      </w:r>
      <w:r w:rsidRPr="00B14903">
        <w:t xml:space="preserve">FHR (Document </w:t>
      </w:r>
      <w:hyperlink r:id="rId25">
        <w:r w:rsidRPr="00B14903">
          <w:rPr>
            <w:color w:val="4F81BD" w:themeColor="accent1"/>
            <w:u w:val="single"/>
          </w:rPr>
          <w:t>CWG-FHR-20/8</w:t>
        </w:r>
      </w:hyperlink>
      <w:r w:rsidRPr="00B14903">
        <w:t>) in February 2025</w:t>
      </w:r>
      <w:r>
        <w:t>,</w:t>
      </w:r>
      <w:r w:rsidRPr="00B14903">
        <w:t xml:space="preserve"> and to Council 2025 (Document</w:t>
      </w:r>
      <w:r w:rsidR="00D32411">
        <w:t> </w:t>
      </w:r>
      <w:hyperlink r:id="rId26">
        <w:r w:rsidRPr="00B14903">
          <w:rPr>
            <w:color w:val="4F81BD" w:themeColor="accent1"/>
            <w:u w:val="single"/>
          </w:rPr>
          <w:t>C25/63</w:t>
        </w:r>
      </w:hyperlink>
      <w:r w:rsidRPr="00B14903">
        <w:t xml:space="preserve">). </w:t>
      </w:r>
      <w:r w:rsidRPr="00A67BE1">
        <w:t>This included: terms of reference for the project; framework for the strategic vision, identification and analysis of existing data on the Geneva campus buildings, organizational needs and financial aspects and data gap analysis; an initial assessment of the situational gap; and identification of potential scenarios for the future campus and guiding principles for the future campus.</w:t>
      </w:r>
    </w:p>
    <w:p w14:paraId="38789702" w14:textId="2F55BF7A" w:rsidR="00592F78" w:rsidRPr="00B14903" w:rsidRDefault="00592F78" w:rsidP="00B14903">
      <w:pPr>
        <w:jc w:val="both"/>
      </w:pPr>
      <w:r w:rsidRPr="00B14903">
        <w:t xml:space="preserve">This report provides an </w:t>
      </w:r>
      <w:r>
        <w:t xml:space="preserve">update on the progress of the campus strategic plan. It is based on the status of the progress at the time of its publication. </w:t>
      </w:r>
    </w:p>
    <w:p w14:paraId="0546035E" w14:textId="77777777" w:rsidR="00592F78" w:rsidRPr="00B14903" w:rsidRDefault="00592F78" w:rsidP="00592F78">
      <w:pPr>
        <w:pStyle w:val="Heading1"/>
      </w:pPr>
      <w:r w:rsidRPr="00B14903">
        <w:t>2</w:t>
      </w:r>
      <w:r w:rsidRPr="00B14903">
        <w:tab/>
        <w:t xml:space="preserve">Vision for the ITU Campus </w:t>
      </w:r>
    </w:p>
    <w:p w14:paraId="69FBE63E" w14:textId="6FFFA33D" w:rsidR="00592F78" w:rsidRPr="00592F78" w:rsidRDefault="00592F78" w:rsidP="00592F78">
      <w:pPr>
        <w:pStyle w:val="Heading2"/>
      </w:pPr>
      <w:r w:rsidRPr="00592F78">
        <w:t>2.1</w:t>
      </w:r>
      <w:r>
        <w:tab/>
      </w:r>
      <w:r w:rsidRPr="00592F78">
        <w:t>Initial findings</w:t>
      </w:r>
    </w:p>
    <w:p w14:paraId="7FBCC218" w14:textId="77777777" w:rsidR="00592F78" w:rsidRPr="00B14903" w:rsidRDefault="00592F78" w:rsidP="00B14903">
      <w:pPr>
        <w:jc w:val="both"/>
      </w:pPr>
      <w:r w:rsidRPr="00B14903">
        <w:t xml:space="preserve">The initial assessment of organizational needs and planned campus facilities indicated that current conferencing and workspace needs cannot be fully accommodated by the New HQ Varembé building and Montbrillant buildings alone. This assessment is based on current conferencing bookings, number of posts at </w:t>
      </w:r>
      <w:r>
        <w:t>headquarters</w:t>
      </w:r>
      <w:r w:rsidRPr="00B14903">
        <w:t>, seat counts</w:t>
      </w:r>
      <w:r w:rsidRPr="00B14903">
        <w:rPr>
          <w:position w:val="6"/>
          <w:sz w:val="16"/>
        </w:rPr>
        <w:footnoteReference w:id="1"/>
      </w:r>
      <w:r w:rsidRPr="00B14903">
        <w:t xml:space="preserve"> as well as assuming that a flexible workspace strategy, based on shared desks, will be implemented. Should these assumptions change the campus-wide assessment can be refined.</w:t>
      </w:r>
    </w:p>
    <w:p w14:paraId="076F104D" w14:textId="5B268AEF" w:rsidR="00592F78" w:rsidRPr="00B14903" w:rsidRDefault="00592F78" w:rsidP="00B14903">
      <w:pPr>
        <w:jc w:val="both"/>
      </w:pPr>
      <w:r>
        <w:t>The initial assessment also confirmed that the Tower building will require significant renovations to preserve its functionality</w:t>
      </w:r>
      <w:r w:rsidR="00F16B0C">
        <w:t xml:space="preserve"> and </w:t>
      </w:r>
      <w:r>
        <w:t xml:space="preserve">value and extend its longevity. Further studies are </w:t>
      </w:r>
      <w:r w:rsidR="00D37491">
        <w:t>underway</w:t>
      </w:r>
      <w:r w:rsidR="00D37491" w:rsidRPr="00B14903">
        <w:t xml:space="preserve"> </w:t>
      </w:r>
      <w:r>
        <w:t xml:space="preserve">to confirm the time horizon and cost of this, as well as the necessary maintenance requirements in the interim to remain operational. The same </w:t>
      </w:r>
      <w:r w:rsidR="00EA0AB7">
        <w:t>is being</w:t>
      </w:r>
      <w:r>
        <w:t xml:space="preserve"> undertaken for the Montbrillant building, in which some key components are nearing the end of their 25-year lifespan. </w:t>
      </w:r>
    </w:p>
    <w:p w14:paraId="4AD11DEF" w14:textId="77777777" w:rsidR="00592F78" w:rsidRPr="00B14903" w:rsidRDefault="00592F78" w:rsidP="00B14903">
      <w:pPr>
        <w:jc w:val="both"/>
      </w:pPr>
      <w:r w:rsidRPr="00B14903">
        <w:lastRenderedPageBreak/>
        <w:t xml:space="preserve">These assessments and assumptions highlight that the new </w:t>
      </w:r>
      <w:r>
        <w:t>headquarters</w:t>
      </w:r>
      <w:r w:rsidRPr="00B14903">
        <w:t xml:space="preserve"> building alone cannot meet ITU’s needs and determine the bases for the following three scenarios, which were presented to Council-25 to address this gap:</w:t>
      </w:r>
    </w:p>
    <w:p w14:paraId="537629FF" w14:textId="77777777" w:rsidR="00592F78" w:rsidRPr="00B14903" w:rsidRDefault="00592F78" w:rsidP="00592F78">
      <w:pPr>
        <w:pStyle w:val="enumlev1"/>
        <w:jc w:val="both"/>
      </w:pPr>
      <w:r w:rsidRPr="00B14903">
        <w:t>1</w:t>
      </w:r>
      <w:r w:rsidRPr="00B14903">
        <w:tab/>
      </w:r>
      <w:r w:rsidRPr="00B14903">
        <w:rPr>
          <w:b/>
          <w:bCs/>
        </w:rPr>
        <w:t>Scenario 1</w:t>
      </w:r>
      <w:r w:rsidRPr="00B14903">
        <w:t xml:space="preserve"> – New </w:t>
      </w:r>
      <w:r>
        <w:t>headquarters</w:t>
      </w:r>
      <w:r w:rsidRPr="00B14903">
        <w:t xml:space="preserve"> building + Montbrillant building – This will require increasing operational expenditure for rental of office and conference facilities to offset shortfall in space.</w:t>
      </w:r>
    </w:p>
    <w:p w14:paraId="7736031C" w14:textId="77777777" w:rsidR="00592F78" w:rsidRPr="00B14903" w:rsidRDefault="00592F78" w:rsidP="00592F78">
      <w:pPr>
        <w:pStyle w:val="enumlev1"/>
        <w:jc w:val="both"/>
      </w:pPr>
      <w:r w:rsidRPr="00B14903">
        <w:t>2</w:t>
      </w:r>
      <w:r w:rsidRPr="00B14903">
        <w:tab/>
      </w:r>
      <w:r w:rsidRPr="00B14903">
        <w:rPr>
          <w:b/>
          <w:bCs/>
        </w:rPr>
        <w:t>Scenario 2</w:t>
      </w:r>
      <w:r w:rsidRPr="00B14903">
        <w:t xml:space="preserve"> – New </w:t>
      </w:r>
      <w:r>
        <w:t>headquarters</w:t>
      </w:r>
      <w:r w:rsidRPr="00B14903">
        <w:t xml:space="preserve"> building + Tower building – This will require increasing capital expenditure for the renovation of the Tower. It will also most likely, as for scenario 1, require increasing operational expenditure for rental of office and conference facilities to offset shortfall in space.</w:t>
      </w:r>
    </w:p>
    <w:p w14:paraId="6E224374" w14:textId="77777777" w:rsidR="00592F78" w:rsidRPr="00B14903" w:rsidRDefault="00592F78" w:rsidP="00592F78">
      <w:pPr>
        <w:pStyle w:val="enumlev1"/>
        <w:jc w:val="both"/>
      </w:pPr>
      <w:r w:rsidRPr="00B14903">
        <w:t>3</w:t>
      </w:r>
      <w:r w:rsidRPr="00B14903">
        <w:tab/>
      </w:r>
      <w:r w:rsidRPr="00B14903">
        <w:rPr>
          <w:b/>
          <w:bCs/>
        </w:rPr>
        <w:t>Scenario 3</w:t>
      </w:r>
      <w:r w:rsidRPr="00B14903">
        <w:t xml:space="preserve"> – New </w:t>
      </w:r>
      <w:r>
        <w:t>headquarters</w:t>
      </w:r>
      <w:r w:rsidRPr="00B14903">
        <w:t xml:space="preserve"> </w:t>
      </w:r>
      <w:r w:rsidRPr="002A03B9">
        <w:t>building + Montbrillant + Tower – This will also require increasing capital expenditure as for scenario 2. The financial burden could be offset by cost recovery mechanisms using the surplus office and conference</w:t>
      </w:r>
      <w:r w:rsidRPr="00B14903">
        <w:t xml:space="preserve"> facilities or through alternative funding strategies such as mutualization, partnerships or another mechanism. </w:t>
      </w:r>
    </w:p>
    <w:p w14:paraId="3382A3C4" w14:textId="6BF1DC20" w:rsidR="00592F78" w:rsidRPr="00006421" w:rsidRDefault="00592F78" w:rsidP="00592F78">
      <w:pPr>
        <w:pStyle w:val="Heading2"/>
      </w:pPr>
      <w:r w:rsidRPr="00006421">
        <w:t>2.</w:t>
      </w:r>
      <w:r>
        <w:t>2</w:t>
      </w:r>
      <w:r>
        <w:tab/>
      </w:r>
      <w:r w:rsidRPr="00006421">
        <w:t>Progress</w:t>
      </w:r>
      <w:r>
        <w:t xml:space="preserve"> update</w:t>
      </w:r>
    </w:p>
    <w:p w14:paraId="35D15BF6" w14:textId="77777777" w:rsidR="00592F78" w:rsidRDefault="00592F78" w:rsidP="00566E6E">
      <w:pPr>
        <w:jc w:val="both"/>
      </w:pPr>
      <w:r w:rsidRPr="00B14903">
        <w:t xml:space="preserve">The secretariat is in </w:t>
      </w:r>
      <w:r>
        <w:t xml:space="preserve">engaging the services of a real estate consultancy to provide targeted expert support for the next phase of development of the campus strategic plan. The consultancy has expertise in strategic real estate planning and has worked with a Geneva-based sister UN agency in a similar capacity. A workshop was held in September to review the secretariat’s outcomes from the initial assessment, review information gaps to be addressed, and plan the development of scenarios for the campus strategic plan. </w:t>
      </w:r>
      <w:r w:rsidRPr="00993B8F">
        <w:t>The first outcom</w:t>
      </w:r>
      <w:r w:rsidRPr="000A43BF">
        <w:t>es</w:t>
      </w:r>
      <w:r w:rsidRPr="00993B8F">
        <w:t xml:space="preserve"> </w:t>
      </w:r>
      <w:r>
        <w:t xml:space="preserve">are expected by </w:t>
      </w:r>
      <w:r w:rsidRPr="00993B8F">
        <w:t>Council 2026.</w:t>
      </w:r>
      <w:r>
        <w:t xml:space="preserve"> </w:t>
      </w:r>
    </w:p>
    <w:p w14:paraId="3BC1CA54" w14:textId="70ACDCD8" w:rsidR="00592F78" w:rsidRDefault="00592F78" w:rsidP="00566E6E">
      <w:pPr>
        <w:jc w:val="both"/>
      </w:pPr>
      <w:r>
        <w:t>In parallel</w:t>
      </w:r>
      <w:r w:rsidR="009F7BE5">
        <w:t>,</w:t>
      </w:r>
      <w:r>
        <w:t xml:space="preserve"> the secretariat continues to strengthen its collaboration and information sharing with the Host country and the UN community in Geneva. As co-coordinator of the Specialized Agencies Cluster of the UN80 Initiative alongside ILO, the S</w:t>
      </w:r>
      <w:r w:rsidR="008C5B30">
        <w:t>ecretary-</w:t>
      </w:r>
      <w:r>
        <w:t>G</w:t>
      </w:r>
      <w:r w:rsidR="008C5B30">
        <w:t>eneral</w:t>
      </w:r>
      <w:r>
        <w:t xml:space="preserve"> has called for a coordinated framework for Geneva-based UN entities to streamline facility utilization. </w:t>
      </w:r>
      <w:r w:rsidR="0074110C" w:rsidRPr="0074110C">
        <w:t>Following an initial meeting with UNOG, representatives from facilities and management teams will work together to develop an initial project plan with next steps</w:t>
      </w:r>
      <w:r>
        <w:t xml:space="preserve">. ITU is also participating in working groups organised by the Swiss Mission to support coordination of conference and office facilities with International Geneva. It is envisaged that these efforts will ultimately produce opportunities for synergies and enhanced </w:t>
      </w:r>
      <w:r w:rsidRPr="00E46D68">
        <w:t>resource use</w:t>
      </w:r>
      <w:r>
        <w:t xml:space="preserve"> within the context of the ITU campus.</w:t>
      </w:r>
    </w:p>
    <w:p w14:paraId="147BC9D1" w14:textId="77777777" w:rsidR="00592F78" w:rsidRDefault="00592F78" w:rsidP="00592F78">
      <w:pPr>
        <w:pStyle w:val="Heading1"/>
      </w:pPr>
      <w:r w:rsidRPr="00B14903">
        <w:t>3</w:t>
      </w:r>
      <w:r w:rsidRPr="00B14903">
        <w:tab/>
      </w:r>
      <w:r>
        <w:t xml:space="preserve">Strategy for capital maintenance and planning </w:t>
      </w:r>
    </w:p>
    <w:p w14:paraId="6BFA0D79" w14:textId="2CD22610" w:rsidR="00592F78" w:rsidRDefault="00592F78" w:rsidP="00592F78">
      <w:pPr>
        <w:pStyle w:val="Heading2"/>
      </w:pPr>
      <w:r w:rsidRPr="000A43BF">
        <w:t>3.1</w:t>
      </w:r>
      <w:r w:rsidR="00430D46">
        <w:tab/>
      </w:r>
      <w:r>
        <w:t>Initial findings</w:t>
      </w:r>
    </w:p>
    <w:p w14:paraId="72E3BDC9" w14:textId="79F97675" w:rsidR="00592F78" w:rsidRDefault="00592F78" w:rsidP="00566E6E">
      <w:pPr>
        <w:jc w:val="both"/>
      </w:pPr>
      <w:r>
        <w:t xml:space="preserve">The initial assessment reviewed previous studies and confirmed that the Tower building, operational since 1973, requires extensive renovations to ensure its continued functionality and value, whilst the Montbrillant building faces imminent maintenance needs as key components reach the end of their intended lifespan. </w:t>
      </w:r>
      <w:r w:rsidR="00200CFE">
        <w:t>A</w:t>
      </w:r>
      <w:r w:rsidR="0058526B">
        <w:t xml:space="preserve">n </w:t>
      </w:r>
      <w:r w:rsidR="003B0CC5">
        <w:t xml:space="preserve">initial </w:t>
      </w:r>
      <w:r>
        <w:t>estimate for capital maintenance of the Tower and Montbrillant buildings until 2032</w:t>
      </w:r>
      <w:r w:rsidR="006526AE">
        <w:t xml:space="preserve"> was set at </w:t>
      </w:r>
      <w:r w:rsidR="006526AE" w:rsidRPr="006526AE">
        <w:t>CHF 15 million</w:t>
      </w:r>
      <w:r>
        <w:t xml:space="preserve"> in order to ensure operational continuity. </w:t>
      </w:r>
      <w:r w:rsidR="00200CFE">
        <w:t>This</w:t>
      </w:r>
      <w:r w:rsidR="003B0CC5">
        <w:t xml:space="preserve"> </w:t>
      </w:r>
      <w:r w:rsidR="006908C7">
        <w:t>estimate</w:t>
      </w:r>
      <w:r w:rsidR="00060CEB">
        <w:t>d</w:t>
      </w:r>
      <w:r w:rsidR="006908C7">
        <w:t xml:space="preserve"> amount</w:t>
      </w:r>
      <w:r w:rsidR="003B0CC5">
        <w:t xml:space="preserve"> is </w:t>
      </w:r>
      <w:r w:rsidR="00993CFE">
        <w:t xml:space="preserve">being </w:t>
      </w:r>
      <w:r w:rsidR="006526AE">
        <w:t>refined</w:t>
      </w:r>
      <w:r w:rsidR="006908C7">
        <w:t xml:space="preserve"> based on</w:t>
      </w:r>
      <w:r w:rsidR="00060CEB">
        <w:t xml:space="preserve"> the </w:t>
      </w:r>
      <w:r w:rsidR="00060CEB" w:rsidRPr="00060CEB">
        <w:t>comprehensive condition assessment</w:t>
      </w:r>
      <w:r>
        <w:t xml:space="preserve">. </w:t>
      </w:r>
    </w:p>
    <w:p w14:paraId="25F4B857" w14:textId="140745FD" w:rsidR="00592F78" w:rsidRDefault="00592F78" w:rsidP="3471FD57">
      <w:pPr>
        <w:jc w:val="both"/>
        <w:rPr>
          <w:rStyle w:val="CommentReference"/>
          <w:sz w:val="24"/>
          <w:szCs w:val="24"/>
        </w:rPr>
      </w:pPr>
      <w:r>
        <w:lastRenderedPageBreak/>
        <w:t>The Building Fund covers the costs of major repairs, renovation, upgrading of the building and replacement of the buildings’ equipment. As of December 2025, it stands at</w:t>
      </w:r>
      <w:r w:rsidRPr="3471FD57">
        <w:rPr>
          <w:rStyle w:val="CommentReference"/>
          <w:sz w:val="24"/>
          <w:szCs w:val="24"/>
        </w:rPr>
        <w:t xml:space="preserve"> CHF 9.5 M</w:t>
      </w:r>
      <w:r w:rsidR="00D05BCF">
        <w:rPr>
          <w:rStyle w:val="CommentReference"/>
          <w:sz w:val="24"/>
          <w:szCs w:val="24"/>
        </w:rPr>
        <w:t xml:space="preserve"> with </w:t>
      </w:r>
      <w:r w:rsidR="00D00A1B">
        <w:rPr>
          <w:rStyle w:val="CommentReference"/>
          <w:sz w:val="24"/>
          <w:szCs w:val="24"/>
        </w:rPr>
        <w:t>the current</w:t>
      </w:r>
      <w:r w:rsidR="00D05BCF">
        <w:rPr>
          <w:rStyle w:val="CommentReference"/>
          <w:sz w:val="24"/>
          <w:szCs w:val="24"/>
        </w:rPr>
        <w:t xml:space="preserve"> annual</w:t>
      </w:r>
      <w:r w:rsidR="00D00A1B">
        <w:rPr>
          <w:rStyle w:val="CommentReference"/>
          <w:sz w:val="24"/>
          <w:szCs w:val="24"/>
        </w:rPr>
        <w:t xml:space="preserve"> </w:t>
      </w:r>
      <w:r w:rsidR="001E0235">
        <w:rPr>
          <w:rStyle w:val="CommentReference"/>
          <w:sz w:val="24"/>
          <w:szCs w:val="24"/>
        </w:rPr>
        <w:t xml:space="preserve">replenishment of </w:t>
      </w:r>
      <w:r w:rsidR="00D00A1B">
        <w:rPr>
          <w:rStyle w:val="CommentReference"/>
          <w:sz w:val="24"/>
          <w:szCs w:val="24"/>
        </w:rPr>
        <w:t>CHF 0.75 M</w:t>
      </w:r>
      <w:r w:rsidRPr="3471FD57">
        <w:rPr>
          <w:rStyle w:val="CommentReference"/>
          <w:sz w:val="24"/>
          <w:szCs w:val="24"/>
        </w:rPr>
        <w:t>.</w:t>
      </w:r>
    </w:p>
    <w:p w14:paraId="38509FDF" w14:textId="3A88BDAA" w:rsidR="00592F78" w:rsidRPr="000A43BF" w:rsidRDefault="00592F78" w:rsidP="00592F78">
      <w:pPr>
        <w:pStyle w:val="Heading2"/>
      </w:pPr>
      <w:r w:rsidRPr="000A43BF">
        <w:t>3.</w:t>
      </w:r>
      <w:r w:rsidR="00430D46">
        <w:t>2</w:t>
      </w:r>
      <w:r w:rsidR="00430D46">
        <w:tab/>
      </w:r>
      <w:r w:rsidRPr="000A43BF">
        <w:t>Progress</w:t>
      </w:r>
      <w:r>
        <w:t xml:space="preserve"> update</w:t>
      </w:r>
    </w:p>
    <w:p w14:paraId="081205AE" w14:textId="301F6E9C" w:rsidR="00592F78" w:rsidRPr="00CF48FD" w:rsidRDefault="00592F78" w:rsidP="00566E6E">
      <w:pPr>
        <w:jc w:val="both"/>
        <w:rPr>
          <w:spacing w:val="-2"/>
        </w:rPr>
      </w:pPr>
      <w:r w:rsidRPr="00CF48FD">
        <w:rPr>
          <w:spacing w:val="-2"/>
        </w:rPr>
        <w:t>Following a procurement process</w:t>
      </w:r>
      <w:r w:rsidR="00C82F8C" w:rsidRPr="00CF48FD">
        <w:rPr>
          <w:spacing w:val="-2"/>
        </w:rPr>
        <w:t>,</w:t>
      </w:r>
      <w:r w:rsidRPr="00CF48FD">
        <w:rPr>
          <w:spacing w:val="-2"/>
        </w:rPr>
        <w:t xml:space="preserve"> the secretariat engaged specialist engineering services to carry out a comprehensive condition assessment of the Tower and Montbrillant buildings. Inspections and studies were undertaken in November 2025 in order to evaluate the remaining lifecycle of building components and systems as well as assess compliance with regulations and good practices</w:t>
      </w:r>
      <w:r w:rsidR="00CF48FD" w:rsidRPr="00CF48FD">
        <w:rPr>
          <w:spacing w:val="-2"/>
        </w:rPr>
        <w:t>, including health and safety, accessibility, sustainability,</w:t>
      </w:r>
      <w:r w:rsidRPr="00CF48FD">
        <w:rPr>
          <w:spacing w:val="-2"/>
        </w:rPr>
        <w:t xml:space="preserve"> and energy efficiency. A schedule of building installations and </w:t>
      </w:r>
      <w:r w:rsidR="00CF48FD" w:rsidRPr="00CF48FD">
        <w:rPr>
          <w:spacing w:val="-2"/>
        </w:rPr>
        <w:t xml:space="preserve">a multi-year costed work plan will be provided to the secretariat by the </w:t>
      </w:r>
      <w:r w:rsidRPr="00CF48FD">
        <w:rPr>
          <w:spacing w:val="-2"/>
        </w:rPr>
        <w:t xml:space="preserve">end of 2025. It will form the basis for the secretariat to </w:t>
      </w:r>
      <w:r w:rsidR="00B34A2F" w:rsidRPr="00CF48FD">
        <w:rPr>
          <w:spacing w:val="-2"/>
        </w:rPr>
        <w:t>present an update at CWG-FHR</w:t>
      </w:r>
      <w:r w:rsidR="00591011" w:rsidRPr="00CF48FD">
        <w:rPr>
          <w:spacing w:val="-2"/>
        </w:rPr>
        <w:t xml:space="preserve"> and </w:t>
      </w:r>
      <w:r w:rsidRPr="00CF48FD">
        <w:rPr>
          <w:spacing w:val="-2"/>
        </w:rPr>
        <w:t>develop a comprehensive campus capital maintenance plan</w:t>
      </w:r>
      <w:r w:rsidR="00CF48FD" w:rsidRPr="00CF48FD">
        <w:rPr>
          <w:spacing w:val="-2"/>
        </w:rPr>
        <w:t xml:space="preserve">, including </w:t>
      </w:r>
      <w:r w:rsidRPr="00CF48FD">
        <w:rPr>
          <w:spacing w:val="-2"/>
        </w:rPr>
        <w:t xml:space="preserve">maintenance of conference rooms, which will be presented to </w:t>
      </w:r>
      <w:r w:rsidR="00C82F8C" w:rsidRPr="00CF48FD">
        <w:rPr>
          <w:spacing w:val="-2"/>
        </w:rPr>
        <w:t xml:space="preserve">the </w:t>
      </w:r>
      <w:r w:rsidRPr="00CF48FD">
        <w:rPr>
          <w:spacing w:val="-2"/>
        </w:rPr>
        <w:t xml:space="preserve">Council in 2026. </w:t>
      </w:r>
    </w:p>
    <w:p w14:paraId="3670AB9E" w14:textId="552DC4CC" w:rsidR="00592F78" w:rsidRDefault="005E2A0E" w:rsidP="002C1CD8">
      <w:pPr>
        <w:jc w:val="both"/>
      </w:pPr>
      <w:r>
        <w:t>Budget is already allocated for the building fund</w:t>
      </w:r>
      <w:r w:rsidR="009A665C">
        <w:t xml:space="preserve"> in the 2026-2027</w:t>
      </w:r>
      <w:r w:rsidR="00FD1388">
        <w:t xml:space="preserve"> cycle</w:t>
      </w:r>
      <w:r w:rsidR="00741A48">
        <w:t xml:space="preserve">. </w:t>
      </w:r>
      <w:r w:rsidR="00592F78">
        <w:t>The secretariat will subsequently provide Council</w:t>
      </w:r>
      <w:r w:rsidR="001D3292">
        <w:t>-</w:t>
      </w:r>
      <w:r w:rsidR="00592F78">
        <w:t>26</w:t>
      </w:r>
      <w:r w:rsidR="00CE5586">
        <w:t xml:space="preserve">, as part of the </w:t>
      </w:r>
      <w:r w:rsidR="00812648">
        <w:t>F</w:t>
      </w:r>
      <w:r w:rsidR="00CB18DA">
        <w:t xml:space="preserve">inancial </w:t>
      </w:r>
      <w:r w:rsidR="00812648">
        <w:t>P</w:t>
      </w:r>
      <w:r w:rsidR="00CB18DA">
        <w:t>lan,</w:t>
      </w:r>
      <w:r w:rsidR="00592F78">
        <w:t xml:space="preserve"> with </w:t>
      </w:r>
      <w:r w:rsidR="00CB18DA">
        <w:t>the</w:t>
      </w:r>
      <w:r w:rsidR="00592F78">
        <w:t xml:space="preserve"> recommendations on the adequate yearly allocation to the Building Fund </w:t>
      </w:r>
      <w:r w:rsidR="00472D0A">
        <w:t>as of 2028</w:t>
      </w:r>
      <w:r w:rsidR="007173B9">
        <w:t>. This</w:t>
      </w:r>
      <w:r w:rsidR="00812648">
        <w:t xml:space="preserve"> </w:t>
      </w:r>
      <w:r w:rsidR="007173B9">
        <w:t>will</w:t>
      </w:r>
      <w:r w:rsidR="00592F78">
        <w:t xml:space="preserve"> ensure sufficient funding to cover necessary capital expenditure</w:t>
      </w:r>
      <w:r w:rsidR="00233DA5">
        <w:t xml:space="preserve"> and</w:t>
      </w:r>
      <w:r w:rsidR="00592F78">
        <w:t xml:space="preserve"> will be coordinated with the Information Services Department with respect to the ICT fund.</w:t>
      </w:r>
    </w:p>
    <w:p w14:paraId="1B74AA36" w14:textId="123F02AA" w:rsidR="00592F78" w:rsidRPr="00037050" w:rsidRDefault="00592F78" w:rsidP="00592F78">
      <w:pPr>
        <w:pStyle w:val="Heading1"/>
      </w:pPr>
      <w:r w:rsidRPr="00037050">
        <w:t>4</w:t>
      </w:r>
      <w:r w:rsidR="00430D46">
        <w:tab/>
      </w:r>
      <w:r w:rsidRPr="00037050">
        <w:t>Alignment with governing bodies mandate</w:t>
      </w:r>
    </w:p>
    <w:p w14:paraId="65B29CFA" w14:textId="649E2439" w:rsidR="00592F78" w:rsidRDefault="00592F78" w:rsidP="003B1D13">
      <w:pPr>
        <w:jc w:val="both"/>
      </w:pPr>
      <w:r w:rsidRPr="008B1EBD">
        <w:t xml:space="preserve">Council Document </w:t>
      </w:r>
      <w:hyperlink r:id="rId27">
        <w:r w:rsidRPr="008B1EBD">
          <w:rPr>
            <w:rStyle w:val="Hyperlink"/>
          </w:rPr>
          <w:t>C25/105</w:t>
        </w:r>
      </w:hyperlink>
      <w:r w:rsidRPr="008B1EBD">
        <w:t xml:space="preserve"> instructs the secretariat to review existing Council decisions linked with the new building project as proposed in the contribution of Switzerland, Document</w:t>
      </w:r>
      <w:r w:rsidR="00453526">
        <w:t> </w:t>
      </w:r>
      <w:hyperlink r:id="rId28">
        <w:r w:rsidRPr="008B1EBD">
          <w:rPr>
            <w:rStyle w:val="Hyperlink"/>
          </w:rPr>
          <w:t>C25/83</w:t>
        </w:r>
      </w:hyperlink>
      <w:r w:rsidRPr="008B1EBD">
        <w:t xml:space="preserve">. The secretariat was instructed to review </w:t>
      </w:r>
      <w:hyperlink r:id="rId29" w:history="1">
        <w:r w:rsidRPr="008B1EBD">
          <w:rPr>
            <w:rStyle w:val="Hyperlink"/>
          </w:rPr>
          <w:t>Council Decisions</w:t>
        </w:r>
      </w:hyperlink>
      <w:r w:rsidRPr="008B1EBD">
        <w:t> 588 (C16), 619</w:t>
      </w:r>
      <w:r w:rsidR="00CF48FD" w:rsidRPr="008B1EBD">
        <w:t> </w:t>
      </w:r>
      <w:r w:rsidRPr="008B1EBD">
        <w:t xml:space="preserve">(C19, last amended C21) and 640 (C24), with the aim of identifying which provisions remain in force and which have been superseded or rendered obsolete. This review </w:t>
      </w:r>
      <w:r w:rsidR="008B4F9B" w:rsidRPr="008B1EBD">
        <w:t>is</w:t>
      </w:r>
      <w:r w:rsidRPr="008B1EBD">
        <w:t xml:space="preserve"> provided in a separate document (</w:t>
      </w:r>
      <w:r w:rsidR="00EF333B" w:rsidRPr="008B1EBD">
        <w:t xml:space="preserve">Document </w:t>
      </w:r>
      <w:hyperlink r:id="rId30" w:history="1">
        <w:r w:rsidR="00453526">
          <w:rPr>
            <w:rStyle w:val="Hyperlink"/>
          </w:rPr>
          <w:t>CWG-FHR-22/18(Rev.1)</w:t>
        </w:r>
      </w:hyperlink>
      <w:r w:rsidRPr="008B1EBD">
        <w:t>).</w:t>
      </w:r>
    </w:p>
    <w:p w14:paraId="6FA32EAD" w14:textId="21E08C54" w:rsidR="003C23BD" w:rsidRDefault="00DD350C" w:rsidP="003B1D13">
      <w:pPr>
        <w:jc w:val="both"/>
      </w:pPr>
      <w:r>
        <w:t>In addition</w:t>
      </w:r>
      <w:r w:rsidR="00320DF3">
        <w:t>,</w:t>
      </w:r>
      <w:r w:rsidR="00AD6078">
        <w:t xml:space="preserve"> </w:t>
      </w:r>
      <w:r w:rsidR="00E27A0A" w:rsidRPr="00AD6078">
        <w:t xml:space="preserve">the </w:t>
      </w:r>
      <w:r w:rsidR="00DE1D5E" w:rsidRPr="00DE1D5E">
        <w:t xml:space="preserve">Regional Commonwealth in the Field of Communications </w:t>
      </w:r>
      <w:r w:rsidR="00E27A0A" w:rsidRPr="00AD6078">
        <w:t>introduced its contribution</w:t>
      </w:r>
      <w:r w:rsidR="006F4F07">
        <w:t xml:space="preserve"> </w:t>
      </w:r>
      <w:r w:rsidR="006F4F07" w:rsidRPr="006F4F07">
        <w:t>(</w:t>
      </w:r>
      <w:r w:rsidR="00453526" w:rsidRPr="008B1EBD">
        <w:t>Document</w:t>
      </w:r>
      <w:r w:rsidR="00453526">
        <w:t> </w:t>
      </w:r>
      <w:hyperlink r:id="rId31" w:history="1">
        <w:r w:rsidR="006F4F07" w:rsidRPr="006F4F07">
          <w:rPr>
            <w:rStyle w:val="Hyperlink"/>
          </w:rPr>
          <w:t>CWG-FHR-21/21</w:t>
        </w:r>
      </w:hyperlink>
      <w:r w:rsidR="006F4F07" w:rsidRPr="006F4F07">
        <w:t xml:space="preserve">) </w:t>
      </w:r>
      <w:r w:rsidR="00E27A0A" w:rsidRPr="00AD6078">
        <w:t xml:space="preserve">about streamlining previous Council and Plenipotentiary </w:t>
      </w:r>
      <w:r w:rsidR="005C0934">
        <w:t xml:space="preserve">decisions and </w:t>
      </w:r>
      <w:r w:rsidR="00E27A0A" w:rsidRPr="00AD6078">
        <w:t>resolutions regarding the headquarters premises project</w:t>
      </w:r>
      <w:r w:rsidR="002F7207">
        <w:t xml:space="preserve"> a</w:t>
      </w:r>
      <w:r w:rsidR="00173AE3">
        <w:t xml:space="preserve">nd </w:t>
      </w:r>
      <w:r w:rsidR="00453526" w:rsidRPr="008B1EBD">
        <w:t xml:space="preserve">Document </w:t>
      </w:r>
      <w:hyperlink r:id="rId32" w:history="1">
        <w:r w:rsidR="00320DF3" w:rsidRPr="00320DF3">
          <w:rPr>
            <w:rStyle w:val="Hyperlink"/>
          </w:rPr>
          <w:t>CWG-FHR-21/25</w:t>
        </w:r>
      </w:hyperlink>
      <w:r w:rsidR="00320DF3">
        <w:t xml:space="preserve"> </w:t>
      </w:r>
      <w:r w:rsidR="00F83464">
        <w:t>instruct</w:t>
      </w:r>
      <w:r w:rsidR="00173AE3">
        <w:t>ed</w:t>
      </w:r>
      <w:r w:rsidR="00B36CB2">
        <w:t xml:space="preserve"> the secretariat to </w:t>
      </w:r>
      <w:r w:rsidR="00173AE3">
        <w:t xml:space="preserve">take </w:t>
      </w:r>
      <w:r w:rsidR="006F4F07">
        <w:t xml:space="preserve">this </w:t>
      </w:r>
      <w:r w:rsidR="00F83464" w:rsidRPr="00F83464">
        <w:t>into account</w:t>
      </w:r>
      <w:r w:rsidR="006F4F07">
        <w:t>.</w:t>
      </w:r>
    </w:p>
    <w:p w14:paraId="103D07FA" w14:textId="7B0FFDE2" w:rsidR="00592F78" w:rsidRPr="00B165B8" w:rsidRDefault="00592F78" w:rsidP="00592F78">
      <w:pPr>
        <w:pStyle w:val="Heading1"/>
      </w:pPr>
      <w:r>
        <w:t>5</w:t>
      </w:r>
      <w:r w:rsidR="00430D46">
        <w:tab/>
      </w:r>
      <w:r>
        <w:t>R</w:t>
      </w:r>
      <w:r w:rsidRPr="00C173F1">
        <w:t>oadmap</w:t>
      </w:r>
    </w:p>
    <w:p w14:paraId="1067BD8B" w14:textId="77777777" w:rsidR="00592F78" w:rsidRDefault="00592F78" w:rsidP="00CD1236">
      <w:pPr>
        <w:jc w:val="both"/>
      </w:pPr>
      <w:r>
        <w:t xml:space="preserve">Based on the timeframe of the new building project, both the Tower and Montbrillant buildings will be required to accommodate staff during the construction and relocation period (2028-2031). During this time the campus capital maintenance plan will be implemented in order to ensure facilities remain operational and retain value. </w:t>
      </w:r>
    </w:p>
    <w:p w14:paraId="76DF280D" w14:textId="0DB5F09B" w:rsidR="00592F78" w:rsidRDefault="00592F78" w:rsidP="00453526">
      <w:pPr>
        <w:spacing w:after="360"/>
        <w:jc w:val="both"/>
      </w:pPr>
      <w:r>
        <w:t>The secretariat will refine the campus strategic plan and present a long-term proposal for the ITU Geneva Campus by PP-30 taking into consideration the evolving organization needs, the International Geneva context</w:t>
      </w:r>
      <w:r w:rsidR="00E95532">
        <w:t>,</w:t>
      </w:r>
      <w:r>
        <w:t xml:space="preserve"> and market conditions. Below is the updated roadmap:</w:t>
      </w:r>
    </w:p>
    <w:tbl>
      <w:tblPr>
        <w:tblStyle w:val="TableGrid"/>
        <w:tblW w:w="0" w:type="auto"/>
        <w:tblLook w:val="04A0" w:firstRow="1" w:lastRow="0" w:firstColumn="1" w:lastColumn="0" w:noHBand="0" w:noVBand="1"/>
      </w:tblPr>
      <w:tblGrid>
        <w:gridCol w:w="4530"/>
        <w:gridCol w:w="4531"/>
      </w:tblGrid>
      <w:tr w:rsidR="00592F78" w14:paraId="4661C5F7" w14:textId="77777777" w:rsidTr="00E71DFC">
        <w:trPr>
          <w:cantSplit/>
          <w:tblHeader/>
        </w:trPr>
        <w:tc>
          <w:tcPr>
            <w:tcW w:w="4530" w:type="dxa"/>
          </w:tcPr>
          <w:p w14:paraId="16459C77" w14:textId="77777777" w:rsidR="00592F78" w:rsidRPr="00E25C14" w:rsidRDefault="00592F78" w:rsidP="00AA0EB7">
            <w:pPr>
              <w:pStyle w:val="Tablehead"/>
            </w:pPr>
            <w:r w:rsidRPr="00AA0EB7">
              <w:lastRenderedPageBreak/>
              <w:t>Secretariat</w:t>
            </w:r>
            <w:r>
              <w:t xml:space="preserve"> activities</w:t>
            </w:r>
          </w:p>
        </w:tc>
        <w:tc>
          <w:tcPr>
            <w:tcW w:w="4531" w:type="dxa"/>
          </w:tcPr>
          <w:p w14:paraId="07905035" w14:textId="77777777" w:rsidR="00592F78" w:rsidRPr="00E25C14" w:rsidRDefault="00592F78" w:rsidP="00AA0EB7">
            <w:pPr>
              <w:pStyle w:val="Tablehead"/>
            </w:pPr>
            <w:r>
              <w:t xml:space="preserve">Reporting to </w:t>
            </w:r>
            <w:r w:rsidRPr="00E25C14">
              <w:t>Governing Bodies</w:t>
            </w:r>
          </w:p>
        </w:tc>
      </w:tr>
      <w:tr w:rsidR="00592F78" w14:paraId="3BF8E9E4" w14:textId="77777777" w:rsidTr="00E71DFC">
        <w:trPr>
          <w:cantSplit/>
        </w:trPr>
        <w:tc>
          <w:tcPr>
            <w:tcW w:w="4530" w:type="dxa"/>
          </w:tcPr>
          <w:p w14:paraId="2FF45DDD" w14:textId="68F98CD5" w:rsidR="00592F78" w:rsidRDefault="00592F78" w:rsidP="00453526">
            <w:pPr>
              <w:pStyle w:val="Tabletext"/>
              <w:keepNext/>
              <w:keepLines/>
            </w:pPr>
            <w:r w:rsidRPr="00E25C14">
              <w:t>2026</w:t>
            </w:r>
            <w:r w:rsidR="00AA0EB7">
              <w:t>:</w:t>
            </w:r>
            <w:r>
              <w:t xml:space="preserve"> </w:t>
            </w:r>
            <w:r w:rsidRPr="00AA0EB7">
              <w:t>Development</w:t>
            </w:r>
            <w:r>
              <w:t xml:space="preserve"> of campus scenarios; Capital maintenance plan</w:t>
            </w:r>
          </w:p>
        </w:tc>
        <w:tc>
          <w:tcPr>
            <w:tcW w:w="4531" w:type="dxa"/>
          </w:tcPr>
          <w:p w14:paraId="4CC1A58D" w14:textId="5BF3CFAD" w:rsidR="00592F78" w:rsidRDefault="00592F78" w:rsidP="00453526">
            <w:pPr>
              <w:pStyle w:val="Tabletext"/>
              <w:keepNext/>
              <w:keepLines/>
            </w:pPr>
            <w:r w:rsidRPr="00E25C14">
              <w:t>Council</w:t>
            </w:r>
            <w:r w:rsidR="00E95532">
              <w:t>-</w:t>
            </w:r>
            <w:r>
              <w:t>26 / PP-</w:t>
            </w:r>
            <w:r w:rsidRPr="00E25C14">
              <w:t>26</w:t>
            </w:r>
            <w:r w:rsidR="00AA0EB7">
              <w:t>:</w:t>
            </w:r>
            <w:r>
              <w:t xml:space="preserve"> </w:t>
            </w:r>
            <w:r w:rsidRPr="0078141B">
              <w:t>Update</w:t>
            </w:r>
            <w:r>
              <w:t xml:space="preserve"> </w:t>
            </w:r>
            <w:r w:rsidR="00E97091">
              <w:t xml:space="preserve">and </w:t>
            </w:r>
            <w:r w:rsidR="00820511">
              <w:t xml:space="preserve">key </w:t>
            </w:r>
            <w:r w:rsidR="00E97091">
              <w:t>recommendations</w:t>
            </w:r>
            <w:r>
              <w:t xml:space="preserve"> of Campus strategic plan.</w:t>
            </w:r>
          </w:p>
        </w:tc>
      </w:tr>
      <w:tr w:rsidR="00592F78" w14:paraId="074F1210" w14:textId="77777777" w:rsidTr="00E71DFC">
        <w:trPr>
          <w:cantSplit/>
        </w:trPr>
        <w:tc>
          <w:tcPr>
            <w:tcW w:w="4530" w:type="dxa"/>
          </w:tcPr>
          <w:p w14:paraId="5731973C" w14:textId="489CBBF8" w:rsidR="00592F78" w:rsidRDefault="00592F78" w:rsidP="00AA0EB7">
            <w:pPr>
              <w:pStyle w:val="Tabletext"/>
            </w:pPr>
            <w:r w:rsidRPr="00E25C14">
              <w:t>2027-30</w:t>
            </w:r>
            <w:r w:rsidR="00AA0EB7">
              <w:t>:</w:t>
            </w:r>
            <w:r>
              <w:t xml:space="preserve"> </w:t>
            </w:r>
            <w:r w:rsidRPr="00AD7F20">
              <w:t xml:space="preserve">Ongoing assessment of organisational needs and campus scenarios; Implementation of capital maintenance plan; </w:t>
            </w:r>
            <w:r>
              <w:t>Campus z</w:t>
            </w:r>
            <w:r w:rsidRPr="00AD7F20">
              <w:t>oning plan</w:t>
            </w:r>
            <w:r>
              <w:t>;</w:t>
            </w:r>
            <w:r w:rsidRPr="00AD7F20">
              <w:t xml:space="preserve"> Estimated</w:t>
            </w:r>
            <w:r>
              <w:t xml:space="preserve"> Tower</w:t>
            </w:r>
            <w:r w:rsidRPr="00AD7F20">
              <w:t xml:space="preserve"> refurbishment cost;</w:t>
            </w:r>
            <w:r>
              <w:t xml:space="preserve"> Capital planning strategy; Campus masterplan.</w:t>
            </w:r>
          </w:p>
        </w:tc>
        <w:tc>
          <w:tcPr>
            <w:tcW w:w="4531" w:type="dxa"/>
          </w:tcPr>
          <w:p w14:paraId="2483B69C" w14:textId="5FF8230B" w:rsidR="00592F78" w:rsidRPr="0078141B" w:rsidRDefault="00592F78" w:rsidP="00AA0EB7">
            <w:pPr>
              <w:pStyle w:val="Tabletext"/>
            </w:pPr>
            <w:r>
              <w:t>Council</w:t>
            </w:r>
            <w:r w:rsidR="0075493F">
              <w:t>-</w:t>
            </w:r>
            <w:r>
              <w:t>27 – Council</w:t>
            </w:r>
            <w:r w:rsidR="0075493F">
              <w:t>-</w:t>
            </w:r>
            <w:r>
              <w:t>29</w:t>
            </w:r>
            <w:r w:rsidR="00AA0EB7">
              <w:t>:</w:t>
            </w:r>
            <w:r>
              <w:t xml:space="preserve"> </w:t>
            </w:r>
            <w:r w:rsidRPr="0078141B">
              <w:t>Update of Campus strategic plan progress.</w:t>
            </w:r>
          </w:p>
          <w:p w14:paraId="6C014208" w14:textId="4D6547FE" w:rsidR="00592F78" w:rsidRDefault="00592F78" w:rsidP="00AA0EB7">
            <w:pPr>
              <w:pStyle w:val="Tabletext"/>
            </w:pPr>
            <w:r>
              <w:t>Council</w:t>
            </w:r>
            <w:r w:rsidR="0075493F">
              <w:t>-</w:t>
            </w:r>
            <w:r>
              <w:t xml:space="preserve">30 / </w:t>
            </w:r>
            <w:r w:rsidRPr="00B73148">
              <w:t>PP</w:t>
            </w:r>
            <w:r>
              <w:t>-30</w:t>
            </w:r>
            <w:r w:rsidR="00E71DFC">
              <w:t>:</w:t>
            </w:r>
            <w:r>
              <w:t xml:space="preserve"> </w:t>
            </w:r>
            <w:r w:rsidRPr="00097F20">
              <w:t xml:space="preserve">Presentation of the final </w:t>
            </w:r>
            <w:r>
              <w:t>Campus strategic plan</w:t>
            </w:r>
          </w:p>
        </w:tc>
      </w:tr>
      <w:tr w:rsidR="00592F78" w14:paraId="09FAB7E2" w14:textId="77777777" w:rsidTr="00E71DFC">
        <w:trPr>
          <w:cantSplit/>
        </w:trPr>
        <w:tc>
          <w:tcPr>
            <w:tcW w:w="4530" w:type="dxa"/>
          </w:tcPr>
          <w:p w14:paraId="7F74ABAD" w14:textId="17033D89" w:rsidR="00592F78" w:rsidRDefault="00592F78" w:rsidP="00AA0EB7">
            <w:pPr>
              <w:pStyle w:val="Tabletext"/>
            </w:pPr>
            <w:r w:rsidRPr="00E25C14">
              <w:t>2031</w:t>
            </w:r>
            <w:r w:rsidR="00E71DFC">
              <w:t>:</w:t>
            </w:r>
            <w:r w:rsidRPr="00B03F5E">
              <w:t xml:space="preserve"> Handover of </w:t>
            </w:r>
            <w:r>
              <w:t xml:space="preserve">the </w:t>
            </w:r>
            <w:r w:rsidRPr="00B03F5E">
              <w:t xml:space="preserve">New </w:t>
            </w:r>
            <w:r>
              <w:t>building</w:t>
            </w:r>
          </w:p>
        </w:tc>
        <w:tc>
          <w:tcPr>
            <w:tcW w:w="4531" w:type="dxa"/>
          </w:tcPr>
          <w:p w14:paraId="39EB1112" w14:textId="6EFFC33F" w:rsidR="00592F78" w:rsidRDefault="00592F78" w:rsidP="00AA0EB7">
            <w:pPr>
              <w:pStyle w:val="Tabletext"/>
            </w:pPr>
            <w:r>
              <w:t>Update to</w:t>
            </w:r>
            <w:r w:rsidR="0075493F">
              <w:t xml:space="preserve"> the</w:t>
            </w:r>
            <w:r>
              <w:t xml:space="preserve"> Council</w:t>
            </w:r>
          </w:p>
        </w:tc>
      </w:tr>
      <w:tr w:rsidR="00592F78" w14:paraId="7DE35E83" w14:textId="77777777" w:rsidTr="00E71DFC">
        <w:trPr>
          <w:cantSplit/>
        </w:trPr>
        <w:tc>
          <w:tcPr>
            <w:tcW w:w="4530" w:type="dxa"/>
          </w:tcPr>
          <w:p w14:paraId="726D127E" w14:textId="4187C3CC" w:rsidR="00592F78" w:rsidRPr="00493828" w:rsidRDefault="00592F78" w:rsidP="00AA0EB7">
            <w:pPr>
              <w:pStyle w:val="Tabletext"/>
            </w:pPr>
            <w:r>
              <w:t>2032</w:t>
            </w:r>
            <w:r w:rsidR="00B60980">
              <w:t xml:space="preserve">+ </w:t>
            </w:r>
            <w:r>
              <w:t xml:space="preserve">Campus strategic plan implementation </w:t>
            </w:r>
          </w:p>
        </w:tc>
        <w:tc>
          <w:tcPr>
            <w:tcW w:w="4531" w:type="dxa"/>
          </w:tcPr>
          <w:p w14:paraId="5D6B7138" w14:textId="1CF26679" w:rsidR="00592F78" w:rsidRDefault="00592F78" w:rsidP="00AA0EB7">
            <w:pPr>
              <w:pStyle w:val="Tabletext"/>
            </w:pPr>
            <w:r w:rsidRPr="00EE704F">
              <w:t xml:space="preserve">Update to </w:t>
            </w:r>
            <w:r w:rsidR="0075493F">
              <w:t xml:space="preserve">the </w:t>
            </w:r>
            <w:r w:rsidRPr="00EE704F">
              <w:t>Council</w:t>
            </w:r>
          </w:p>
        </w:tc>
      </w:tr>
    </w:tbl>
    <w:p w14:paraId="16ADBA62" w14:textId="77777777" w:rsidR="00592F78" w:rsidRPr="00B14903" w:rsidRDefault="00592F78" w:rsidP="00592F78">
      <w:pPr>
        <w:pStyle w:val="Heading1"/>
      </w:pPr>
      <w:r>
        <w:t>6</w:t>
      </w:r>
      <w:r w:rsidRPr="00B14903">
        <w:tab/>
        <w:t>Next steps</w:t>
      </w:r>
    </w:p>
    <w:p w14:paraId="21D3FF92" w14:textId="19A43C37" w:rsidR="00592F78" w:rsidRDefault="0075493F" w:rsidP="00B14903">
      <w:pPr>
        <w:jc w:val="both"/>
      </w:pPr>
      <w:r>
        <w:t>CWG-FHR</w:t>
      </w:r>
      <w:r w:rsidRPr="00B14903">
        <w:t xml:space="preserve"> </w:t>
      </w:r>
      <w:r w:rsidR="00592F78" w:rsidRPr="00B14903">
        <w:t xml:space="preserve">is </w:t>
      </w:r>
      <w:r w:rsidR="00592F78" w:rsidRPr="0071464A">
        <w:t>invited to</w:t>
      </w:r>
      <w:r w:rsidR="00592F78" w:rsidRPr="00B14903">
        <w:rPr>
          <w:b/>
          <w:bCs/>
        </w:rPr>
        <w:t xml:space="preserve"> note</w:t>
      </w:r>
      <w:r w:rsidR="00592F78" w:rsidRPr="00B14903">
        <w:t xml:space="preserve"> this document. The secretariat will provide an update at the next Council</w:t>
      </w:r>
      <w:r w:rsidR="00592F78">
        <w:t xml:space="preserve"> meeting</w:t>
      </w:r>
      <w:r w:rsidR="00592F78" w:rsidRPr="00B14903">
        <w:t>.</w:t>
      </w:r>
    </w:p>
    <w:p w14:paraId="5D003FD5" w14:textId="77777777" w:rsidR="00592F78" w:rsidRDefault="00592F78" w:rsidP="00B14903">
      <w:pPr>
        <w:jc w:val="both"/>
      </w:pPr>
    </w:p>
    <w:p w14:paraId="6D9DA644" w14:textId="77777777" w:rsidR="00592F78" w:rsidRPr="00B14903" w:rsidRDefault="00592F78" w:rsidP="009B7FBF">
      <w:pPr>
        <w:jc w:val="center"/>
      </w:pPr>
      <w:r w:rsidRPr="009B7FBF">
        <w:t>______________</w:t>
      </w:r>
    </w:p>
    <w:sectPr w:rsidR="00592F78" w:rsidRPr="00B14903" w:rsidSect="00AD3606">
      <w:headerReference w:type="even" r:id="rId33"/>
      <w:headerReference w:type="default" r:id="rId34"/>
      <w:footerReference w:type="even" r:id="rId35"/>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DC5C" w14:textId="77777777" w:rsidR="00DD7A64" w:rsidRDefault="00DD7A64">
      <w:r>
        <w:separator/>
      </w:r>
    </w:p>
  </w:endnote>
  <w:endnote w:type="continuationSeparator" w:id="0">
    <w:p w14:paraId="4FEFDA64" w14:textId="77777777" w:rsidR="00DD7A64" w:rsidRDefault="00DD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5BD9" w14:textId="77777777" w:rsidR="00453526" w:rsidRDefault="0045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E8E4690" w:rsidR="00EE49E8" w:rsidRPr="00E06FD5" w:rsidRDefault="00EE49E8" w:rsidP="00453526">
          <w:pPr>
            <w:pStyle w:val="Header"/>
            <w:tabs>
              <w:tab w:val="left" w:pos="574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71464A">
            <w:rPr>
              <w:bCs/>
            </w:rPr>
            <w:t>5</w:t>
          </w:r>
          <w:r w:rsidR="00453526">
            <w:rPr>
              <w:bCs/>
            </w:rPr>
            <w:t>(Rev.1)</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council.itu.int/working-groups</w:t>
            </w:r>
          </w:hyperlink>
        </w:p>
      </w:tc>
      <w:tc>
        <w:tcPr>
          <w:tcW w:w="6957" w:type="dxa"/>
        </w:tcPr>
        <w:p w14:paraId="3F62E0D8" w14:textId="1FD5C8EA" w:rsidR="00EE49E8" w:rsidRPr="00E06FD5" w:rsidRDefault="00EE49E8" w:rsidP="00453526">
          <w:pPr>
            <w:pStyle w:val="Header"/>
            <w:tabs>
              <w:tab w:val="left" w:pos="4440"/>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71464A">
            <w:rPr>
              <w:bCs/>
            </w:rPr>
            <w:t>5</w:t>
          </w:r>
          <w:r w:rsidR="00453526">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B73B" w14:textId="77777777" w:rsidR="00DD7A64" w:rsidRDefault="00DD7A64">
      <w:r>
        <w:t>____________________</w:t>
      </w:r>
    </w:p>
  </w:footnote>
  <w:footnote w:type="continuationSeparator" w:id="0">
    <w:p w14:paraId="5A5BE78D" w14:textId="77777777" w:rsidR="00DD7A64" w:rsidRDefault="00DD7A64">
      <w:r>
        <w:continuationSeparator/>
      </w:r>
    </w:p>
  </w:footnote>
  <w:footnote w:id="1">
    <w:p w14:paraId="327037B0" w14:textId="02E51809" w:rsidR="00592F78" w:rsidRPr="00CF18CF" w:rsidRDefault="00592F78" w:rsidP="006C067E">
      <w:pPr>
        <w:pStyle w:val="FootnoteText"/>
        <w:jc w:val="both"/>
      </w:pPr>
      <w:r>
        <w:rPr>
          <w:rStyle w:val="FootnoteReference"/>
        </w:rPr>
        <w:footnoteRef/>
      </w:r>
      <w:r>
        <w:tab/>
      </w:r>
      <w:r w:rsidRPr="00CF18CF">
        <w:t xml:space="preserve">With optimized capacity of 170 </w:t>
      </w:r>
      <w:r w:rsidRPr="006C067E">
        <w:t>as</w:t>
      </w:r>
      <w:r w:rsidRPr="00CF18CF">
        <w:t xml:space="preserve"> per</w:t>
      </w:r>
      <w:r>
        <w:t xml:space="preserve"> Document</w:t>
      </w:r>
      <w:r w:rsidRPr="00CF18CF">
        <w:t xml:space="preserve"> </w:t>
      </w:r>
      <w:hyperlink r:id="rId1" w:history="1">
        <w:r w:rsidRPr="00011484">
          <w:rPr>
            <w:rStyle w:val="Hyperlink"/>
          </w:rPr>
          <w:t>C24/7</w:t>
        </w:r>
      </w:hyperlink>
      <w:r w:rsidRPr="00CF18CF">
        <w:t xml:space="preserve"> report versus current capacity of</w:t>
      </w:r>
      <w:r>
        <w:t> </w:t>
      </w:r>
      <w:r w:rsidRPr="00CF18CF">
        <w:t>110</w:t>
      </w:r>
      <w:r>
        <w:t xml:space="preserve"> in Montbrillant</w:t>
      </w:r>
      <w:r w:rsidRPr="00CF18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5F76" w14:textId="77777777" w:rsidR="00453526" w:rsidRDefault="0045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93C" w14:textId="77777777" w:rsidR="00453526" w:rsidRDefault="0045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D27CC"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2F66A"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6F30EE5"/>
    <w:multiLevelType w:val="hybridMultilevel"/>
    <w:tmpl w:val="460C9538"/>
    <w:lvl w:ilvl="0" w:tplc="ED14C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44820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40F64"/>
    <w:rsid w:val="00054013"/>
    <w:rsid w:val="00060CEB"/>
    <w:rsid w:val="00063016"/>
    <w:rsid w:val="00066795"/>
    <w:rsid w:val="00076AF6"/>
    <w:rsid w:val="00080562"/>
    <w:rsid w:val="00085CF2"/>
    <w:rsid w:val="00086E55"/>
    <w:rsid w:val="0009693F"/>
    <w:rsid w:val="000B1705"/>
    <w:rsid w:val="000D454F"/>
    <w:rsid w:val="000D75B2"/>
    <w:rsid w:val="001121F5"/>
    <w:rsid w:val="00125C98"/>
    <w:rsid w:val="00130599"/>
    <w:rsid w:val="001318F0"/>
    <w:rsid w:val="001400DC"/>
    <w:rsid w:val="00140CE1"/>
    <w:rsid w:val="00151527"/>
    <w:rsid w:val="00152D6D"/>
    <w:rsid w:val="00173AE3"/>
    <w:rsid w:val="001751FF"/>
    <w:rsid w:val="0017539C"/>
    <w:rsid w:val="00175AC2"/>
    <w:rsid w:val="0017609F"/>
    <w:rsid w:val="0019377B"/>
    <w:rsid w:val="0019628A"/>
    <w:rsid w:val="001A7D1D"/>
    <w:rsid w:val="001B51DD"/>
    <w:rsid w:val="001C628E"/>
    <w:rsid w:val="001D3292"/>
    <w:rsid w:val="001E0235"/>
    <w:rsid w:val="001E0F7B"/>
    <w:rsid w:val="001E0FBE"/>
    <w:rsid w:val="00200CFE"/>
    <w:rsid w:val="002061EA"/>
    <w:rsid w:val="002079A2"/>
    <w:rsid w:val="002119FD"/>
    <w:rsid w:val="002130E0"/>
    <w:rsid w:val="00215A2C"/>
    <w:rsid w:val="00227DA8"/>
    <w:rsid w:val="00233DA5"/>
    <w:rsid w:val="00233DA6"/>
    <w:rsid w:val="002404ED"/>
    <w:rsid w:val="00244F7F"/>
    <w:rsid w:val="00260ACE"/>
    <w:rsid w:val="00264425"/>
    <w:rsid w:val="00265875"/>
    <w:rsid w:val="00266329"/>
    <w:rsid w:val="00271888"/>
    <w:rsid w:val="0027303B"/>
    <w:rsid w:val="00280136"/>
    <w:rsid w:val="0028109B"/>
    <w:rsid w:val="002861EA"/>
    <w:rsid w:val="002963FB"/>
    <w:rsid w:val="002A2188"/>
    <w:rsid w:val="002B1F58"/>
    <w:rsid w:val="002B5736"/>
    <w:rsid w:val="002B761E"/>
    <w:rsid w:val="002C1C7A"/>
    <w:rsid w:val="002C54E2"/>
    <w:rsid w:val="002F5730"/>
    <w:rsid w:val="002F7207"/>
    <w:rsid w:val="0030160F"/>
    <w:rsid w:val="00302C51"/>
    <w:rsid w:val="00316351"/>
    <w:rsid w:val="00320223"/>
    <w:rsid w:val="00320DF3"/>
    <w:rsid w:val="00322D0D"/>
    <w:rsid w:val="0035243B"/>
    <w:rsid w:val="00361465"/>
    <w:rsid w:val="00361793"/>
    <w:rsid w:val="00365B6D"/>
    <w:rsid w:val="00382F92"/>
    <w:rsid w:val="003877F5"/>
    <w:rsid w:val="003942D4"/>
    <w:rsid w:val="003958A8"/>
    <w:rsid w:val="003B0CC5"/>
    <w:rsid w:val="003B5FCC"/>
    <w:rsid w:val="003C23BD"/>
    <w:rsid w:val="003C2533"/>
    <w:rsid w:val="003D4E96"/>
    <w:rsid w:val="003D55B9"/>
    <w:rsid w:val="003D5A7F"/>
    <w:rsid w:val="003E1030"/>
    <w:rsid w:val="004016E2"/>
    <w:rsid w:val="0040435A"/>
    <w:rsid w:val="00411F60"/>
    <w:rsid w:val="00416A24"/>
    <w:rsid w:val="00430D46"/>
    <w:rsid w:val="00431D9E"/>
    <w:rsid w:val="00433CE8"/>
    <w:rsid w:val="00434A5C"/>
    <w:rsid w:val="00435653"/>
    <w:rsid w:val="00453526"/>
    <w:rsid w:val="004544D9"/>
    <w:rsid w:val="00455E9C"/>
    <w:rsid w:val="00472BAD"/>
    <w:rsid w:val="00472D0A"/>
    <w:rsid w:val="004836FB"/>
    <w:rsid w:val="00484009"/>
    <w:rsid w:val="00485435"/>
    <w:rsid w:val="00490E72"/>
    <w:rsid w:val="00491157"/>
    <w:rsid w:val="004921C8"/>
    <w:rsid w:val="00495B0B"/>
    <w:rsid w:val="004A1B8B"/>
    <w:rsid w:val="004A6ED9"/>
    <w:rsid w:val="004B6CA1"/>
    <w:rsid w:val="004C5557"/>
    <w:rsid w:val="004D1851"/>
    <w:rsid w:val="004D599D"/>
    <w:rsid w:val="004E2037"/>
    <w:rsid w:val="004E250F"/>
    <w:rsid w:val="004E2EA5"/>
    <w:rsid w:val="004E3AEB"/>
    <w:rsid w:val="0050223C"/>
    <w:rsid w:val="005203BE"/>
    <w:rsid w:val="005243FF"/>
    <w:rsid w:val="0054266A"/>
    <w:rsid w:val="00564FBC"/>
    <w:rsid w:val="00566E6E"/>
    <w:rsid w:val="00577F04"/>
    <w:rsid w:val="005800BC"/>
    <w:rsid w:val="00582442"/>
    <w:rsid w:val="00582796"/>
    <w:rsid w:val="00584745"/>
    <w:rsid w:val="0058526B"/>
    <w:rsid w:val="00591011"/>
    <w:rsid w:val="00592F78"/>
    <w:rsid w:val="005A335D"/>
    <w:rsid w:val="005C0934"/>
    <w:rsid w:val="005C6020"/>
    <w:rsid w:val="005C68AB"/>
    <w:rsid w:val="005E2A0E"/>
    <w:rsid w:val="005E2BD5"/>
    <w:rsid w:val="005F3269"/>
    <w:rsid w:val="00623AE3"/>
    <w:rsid w:val="0064737F"/>
    <w:rsid w:val="006526AE"/>
    <w:rsid w:val="006535F1"/>
    <w:rsid w:val="0065557D"/>
    <w:rsid w:val="00660CA7"/>
    <w:rsid w:val="00660D50"/>
    <w:rsid w:val="00662984"/>
    <w:rsid w:val="006716BB"/>
    <w:rsid w:val="00676C7D"/>
    <w:rsid w:val="006908C7"/>
    <w:rsid w:val="006A74A1"/>
    <w:rsid w:val="006B1859"/>
    <w:rsid w:val="006B6680"/>
    <w:rsid w:val="006B6DCC"/>
    <w:rsid w:val="006C067E"/>
    <w:rsid w:val="006F4F07"/>
    <w:rsid w:val="006F7CDB"/>
    <w:rsid w:val="00702DEF"/>
    <w:rsid w:val="00706861"/>
    <w:rsid w:val="00711C93"/>
    <w:rsid w:val="0071464A"/>
    <w:rsid w:val="007173B9"/>
    <w:rsid w:val="0073553F"/>
    <w:rsid w:val="0074110C"/>
    <w:rsid w:val="00741A48"/>
    <w:rsid w:val="0075051B"/>
    <w:rsid w:val="0075493F"/>
    <w:rsid w:val="007706F5"/>
    <w:rsid w:val="00775655"/>
    <w:rsid w:val="00793188"/>
    <w:rsid w:val="00794D34"/>
    <w:rsid w:val="007A4A02"/>
    <w:rsid w:val="007E3F22"/>
    <w:rsid w:val="00800712"/>
    <w:rsid w:val="00812648"/>
    <w:rsid w:val="00813E5E"/>
    <w:rsid w:val="00820511"/>
    <w:rsid w:val="00822813"/>
    <w:rsid w:val="00827E28"/>
    <w:rsid w:val="0083581B"/>
    <w:rsid w:val="00863874"/>
    <w:rsid w:val="00864AFF"/>
    <w:rsid w:val="00865925"/>
    <w:rsid w:val="008662C2"/>
    <w:rsid w:val="00891503"/>
    <w:rsid w:val="008964B4"/>
    <w:rsid w:val="008A4157"/>
    <w:rsid w:val="008B1EBD"/>
    <w:rsid w:val="008B4771"/>
    <w:rsid w:val="008B4A6A"/>
    <w:rsid w:val="008B4F9B"/>
    <w:rsid w:val="008C5B30"/>
    <w:rsid w:val="008C7E27"/>
    <w:rsid w:val="008E06A4"/>
    <w:rsid w:val="008F2E37"/>
    <w:rsid w:val="008F7448"/>
    <w:rsid w:val="0090147A"/>
    <w:rsid w:val="009173EF"/>
    <w:rsid w:val="00932906"/>
    <w:rsid w:val="00941417"/>
    <w:rsid w:val="00944875"/>
    <w:rsid w:val="00956C9C"/>
    <w:rsid w:val="00961B0B"/>
    <w:rsid w:val="00962D33"/>
    <w:rsid w:val="009636DE"/>
    <w:rsid w:val="00965A78"/>
    <w:rsid w:val="00971C28"/>
    <w:rsid w:val="00993CFE"/>
    <w:rsid w:val="009A665C"/>
    <w:rsid w:val="009B2D4B"/>
    <w:rsid w:val="009B38C3"/>
    <w:rsid w:val="009B4345"/>
    <w:rsid w:val="009C253A"/>
    <w:rsid w:val="009E17BD"/>
    <w:rsid w:val="009E485A"/>
    <w:rsid w:val="009E6322"/>
    <w:rsid w:val="009F347C"/>
    <w:rsid w:val="009F7BE5"/>
    <w:rsid w:val="00A04CEC"/>
    <w:rsid w:val="00A27F92"/>
    <w:rsid w:val="00A32257"/>
    <w:rsid w:val="00A3434F"/>
    <w:rsid w:val="00A34664"/>
    <w:rsid w:val="00A36D20"/>
    <w:rsid w:val="00A467DF"/>
    <w:rsid w:val="00A514A4"/>
    <w:rsid w:val="00A52C84"/>
    <w:rsid w:val="00A55622"/>
    <w:rsid w:val="00A83502"/>
    <w:rsid w:val="00A94376"/>
    <w:rsid w:val="00AA0EB7"/>
    <w:rsid w:val="00AD15B3"/>
    <w:rsid w:val="00AD3606"/>
    <w:rsid w:val="00AD4A3D"/>
    <w:rsid w:val="00AD6078"/>
    <w:rsid w:val="00AD6D7C"/>
    <w:rsid w:val="00AE78C0"/>
    <w:rsid w:val="00AF1601"/>
    <w:rsid w:val="00AF5235"/>
    <w:rsid w:val="00AF6E49"/>
    <w:rsid w:val="00B04A67"/>
    <w:rsid w:val="00B04C13"/>
    <w:rsid w:val="00B05131"/>
    <w:rsid w:val="00B0583C"/>
    <w:rsid w:val="00B34A2F"/>
    <w:rsid w:val="00B358B2"/>
    <w:rsid w:val="00B36CB2"/>
    <w:rsid w:val="00B40A81"/>
    <w:rsid w:val="00B44910"/>
    <w:rsid w:val="00B60980"/>
    <w:rsid w:val="00B72267"/>
    <w:rsid w:val="00B76EB6"/>
    <w:rsid w:val="00B7737B"/>
    <w:rsid w:val="00B824C8"/>
    <w:rsid w:val="00B84B9D"/>
    <w:rsid w:val="00B86E9E"/>
    <w:rsid w:val="00BB208E"/>
    <w:rsid w:val="00BC251A"/>
    <w:rsid w:val="00BD032B"/>
    <w:rsid w:val="00BD1693"/>
    <w:rsid w:val="00BE2640"/>
    <w:rsid w:val="00C01189"/>
    <w:rsid w:val="00C10E24"/>
    <w:rsid w:val="00C26165"/>
    <w:rsid w:val="00C374DE"/>
    <w:rsid w:val="00C47AD4"/>
    <w:rsid w:val="00C51846"/>
    <w:rsid w:val="00C52D81"/>
    <w:rsid w:val="00C53F3B"/>
    <w:rsid w:val="00C55198"/>
    <w:rsid w:val="00C642ED"/>
    <w:rsid w:val="00C676AC"/>
    <w:rsid w:val="00C726CF"/>
    <w:rsid w:val="00C739AC"/>
    <w:rsid w:val="00C82F8C"/>
    <w:rsid w:val="00CA6393"/>
    <w:rsid w:val="00CA6B5E"/>
    <w:rsid w:val="00CA7CB8"/>
    <w:rsid w:val="00CB18DA"/>
    <w:rsid w:val="00CB18FF"/>
    <w:rsid w:val="00CD0C08"/>
    <w:rsid w:val="00CD5EA0"/>
    <w:rsid w:val="00CE03FB"/>
    <w:rsid w:val="00CE433C"/>
    <w:rsid w:val="00CE5586"/>
    <w:rsid w:val="00CF0161"/>
    <w:rsid w:val="00CF33F3"/>
    <w:rsid w:val="00CF48FD"/>
    <w:rsid w:val="00D00A1B"/>
    <w:rsid w:val="00D02C4D"/>
    <w:rsid w:val="00D05BCF"/>
    <w:rsid w:val="00D06183"/>
    <w:rsid w:val="00D061DB"/>
    <w:rsid w:val="00D22C42"/>
    <w:rsid w:val="00D32411"/>
    <w:rsid w:val="00D37491"/>
    <w:rsid w:val="00D464CC"/>
    <w:rsid w:val="00D53C61"/>
    <w:rsid w:val="00D65041"/>
    <w:rsid w:val="00D703BA"/>
    <w:rsid w:val="00DA76C6"/>
    <w:rsid w:val="00DB00D5"/>
    <w:rsid w:val="00DB1936"/>
    <w:rsid w:val="00DB384B"/>
    <w:rsid w:val="00DC4F2B"/>
    <w:rsid w:val="00DD169B"/>
    <w:rsid w:val="00DD350C"/>
    <w:rsid w:val="00DD59EE"/>
    <w:rsid w:val="00DD7A64"/>
    <w:rsid w:val="00DE1D5E"/>
    <w:rsid w:val="00DF0189"/>
    <w:rsid w:val="00E03C3D"/>
    <w:rsid w:val="00E04CE5"/>
    <w:rsid w:val="00E06FD5"/>
    <w:rsid w:val="00E10E80"/>
    <w:rsid w:val="00E124F0"/>
    <w:rsid w:val="00E22042"/>
    <w:rsid w:val="00E22317"/>
    <w:rsid w:val="00E227F3"/>
    <w:rsid w:val="00E27A0A"/>
    <w:rsid w:val="00E32C02"/>
    <w:rsid w:val="00E34702"/>
    <w:rsid w:val="00E545C6"/>
    <w:rsid w:val="00E60F04"/>
    <w:rsid w:val="00E65B24"/>
    <w:rsid w:val="00E71DFC"/>
    <w:rsid w:val="00E8270C"/>
    <w:rsid w:val="00E84DB6"/>
    <w:rsid w:val="00E854E4"/>
    <w:rsid w:val="00E867B8"/>
    <w:rsid w:val="00E86DBF"/>
    <w:rsid w:val="00E95532"/>
    <w:rsid w:val="00E97091"/>
    <w:rsid w:val="00EA0AB7"/>
    <w:rsid w:val="00EA1AEF"/>
    <w:rsid w:val="00EA3EE2"/>
    <w:rsid w:val="00EB0D6F"/>
    <w:rsid w:val="00EB2232"/>
    <w:rsid w:val="00EB5CDE"/>
    <w:rsid w:val="00EC5337"/>
    <w:rsid w:val="00ED454D"/>
    <w:rsid w:val="00EE49E8"/>
    <w:rsid w:val="00EF1CD4"/>
    <w:rsid w:val="00EF333B"/>
    <w:rsid w:val="00F02668"/>
    <w:rsid w:val="00F16B0C"/>
    <w:rsid w:val="00F16BAB"/>
    <w:rsid w:val="00F17173"/>
    <w:rsid w:val="00F2150A"/>
    <w:rsid w:val="00F231D8"/>
    <w:rsid w:val="00F43A2B"/>
    <w:rsid w:val="00F44C00"/>
    <w:rsid w:val="00F45D2C"/>
    <w:rsid w:val="00F46C5F"/>
    <w:rsid w:val="00F632C0"/>
    <w:rsid w:val="00F74694"/>
    <w:rsid w:val="00F83464"/>
    <w:rsid w:val="00F94A63"/>
    <w:rsid w:val="00FA1C28"/>
    <w:rsid w:val="00FB1279"/>
    <w:rsid w:val="00FB3020"/>
    <w:rsid w:val="00FB6B76"/>
    <w:rsid w:val="00FB7596"/>
    <w:rsid w:val="00FD1388"/>
    <w:rsid w:val="00FD660B"/>
    <w:rsid w:val="00FD6936"/>
    <w:rsid w:val="00FD7016"/>
    <w:rsid w:val="00FE4077"/>
    <w:rsid w:val="00FE500D"/>
    <w:rsid w:val="00FE77D2"/>
    <w:rsid w:val="00FF391D"/>
    <w:rsid w:val="00FF6EEB"/>
    <w:rsid w:val="021CDE8A"/>
    <w:rsid w:val="04B979D0"/>
    <w:rsid w:val="134F28D4"/>
    <w:rsid w:val="1ECE1E9F"/>
    <w:rsid w:val="2FF0C727"/>
    <w:rsid w:val="3471FD57"/>
    <w:rsid w:val="3CC4268A"/>
    <w:rsid w:val="66F15BB4"/>
    <w:rsid w:val="66F95B45"/>
    <w:rsid w:val="7CD488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24E9AA0-955A-45DF-B70A-9ED1479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592F78"/>
    <w:pPr>
      <w:keepNext/>
      <w:keepLines/>
      <w:spacing w:before="360"/>
      <w:ind w:left="567" w:hanging="567"/>
      <w:outlineLvl w:val="0"/>
    </w:pPr>
    <w:rPr>
      <w:b/>
      <w:sz w:val="28"/>
    </w:rPr>
  </w:style>
  <w:style w:type="paragraph" w:styleId="Heading2">
    <w:name w:val="heading 2"/>
    <w:basedOn w:val="Heading1"/>
    <w:next w:val="Normal"/>
    <w:qFormat/>
    <w:rsid w:val="00592F78"/>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566E6E"/>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A0EB7"/>
    <w:pPr>
      <w:tabs>
        <w:tab w:val="clear" w:pos="567"/>
        <w:tab w:val="clear" w:pos="1134"/>
        <w:tab w:val="clear" w:pos="1701"/>
        <w:tab w:val="clear" w:pos="2268"/>
        <w:tab w:val="clear" w:pos="2835"/>
        <w:tab w:val="left" w:pos="284"/>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AA0EB7"/>
    <w:pPr>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semiHidden/>
    <w:unhideWhenUsed/>
    <w:rsid w:val="00592F78"/>
    <w:rPr>
      <w:sz w:val="16"/>
      <w:szCs w:val="16"/>
    </w:rPr>
  </w:style>
  <w:style w:type="paragraph" w:styleId="ListParagraph">
    <w:name w:val="List Paragraph"/>
    <w:basedOn w:val="Normal"/>
    <w:uiPriority w:val="34"/>
    <w:qFormat/>
    <w:rsid w:val="00592F78"/>
    <w:pPr>
      <w:ind w:left="720"/>
      <w:contextualSpacing/>
    </w:p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paragraph" w:styleId="Revision">
    <w:name w:val="Revision"/>
    <w:hidden/>
    <w:uiPriority w:val="99"/>
    <w:semiHidden/>
    <w:rsid w:val="00233DA6"/>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6-CL-C-0124/en" TargetMode="External"/><Relationship Id="rId18" Type="http://schemas.openxmlformats.org/officeDocument/2006/relationships/hyperlink" Target="https://www.itu.int/md/S25-CWGFHR20-C-0008/en" TargetMode="External"/><Relationship Id="rId26" Type="http://schemas.openxmlformats.org/officeDocument/2006/relationships/hyperlink" Target="https://www.itu.int/md/S25-CL-C-0063/en" TargetMode="External"/><Relationship Id="rId39" Type="http://schemas.openxmlformats.org/officeDocument/2006/relationships/fontTable" Target="fontTable.xml"/><Relationship Id="rId21" Type="http://schemas.openxmlformats.org/officeDocument/2006/relationships/hyperlink" Target="https://www.itu.int/md/S25-CL-C-0063/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u.int/en/council/Documents/basic-texts-2023/RES-212-E.pdf" TargetMode="External"/><Relationship Id="rId17" Type="http://schemas.openxmlformats.org/officeDocument/2006/relationships/hyperlink" Target="https://www.itu.int/md/S25-CWGFHR20-C-0007/en" TargetMode="External"/><Relationship Id="rId25" Type="http://schemas.openxmlformats.org/officeDocument/2006/relationships/hyperlink" Target="https://www.itu.int/md/S25-CWGFHR20-C-0008/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S24-CWGFHR19-C-0010/en" TargetMode="External"/><Relationship Id="rId20" Type="http://schemas.openxmlformats.org/officeDocument/2006/relationships/hyperlink" Target="https://www.itu.int/md/S25-CL-C-0043/en" TargetMode="External"/><Relationship Id="rId29" Type="http://schemas.openxmlformats.org/officeDocument/2006/relationships/hyperlink" Target="https://www.itu.int/pub/S-CONF-C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4-CL-C-0132/en" TargetMode="External"/><Relationship Id="rId32" Type="http://schemas.openxmlformats.org/officeDocument/2006/relationships/hyperlink" Target="https://www.itu.int/md/S25-CWGFHR21-C-0025/e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4-CL-C-0007/en" TargetMode="External"/><Relationship Id="rId23" Type="http://schemas.openxmlformats.org/officeDocument/2006/relationships/hyperlink" Target="https://www.itu.int/md/S25-CWGFHR21-C-0021/en" TargetMode="External"/><Relationship Id="rId28" Type="http://schemas.openxmlformats.org/officeDocument/2006/relationships/hyperlink" Target="https://www.itu.int/md/S25-CL-C-0083/e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CL-C-0009/en" TargetMode="External"/><Relationship Id="rId31" Type="http://schemas.openxmlformats.org/officeDocument/2006/relationships/hyperlink" Target="https://www.itu.int/md/S25-CWGFHR21-C-002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2/en" TargetMode="External"/><Relationship Id="rId22" Type="http://schemas.openxmlformats.org/officeDocument/2006/relationships/hyperlink" Target="https://www.itu.int/md/S25-CWGFHR21-C-0006/en" TargetMode="External"/><Relationship Id="rId27" Type="http://schemas.openxmlformats.org/officeDocument/2006/relationships/hyperlink" Target="https://www.itu.int/md/S25-CL-C-0105/en" TargetMode="External"/><Relationship Id="rId30" Type="http://schemas.openxmlformats.org/officeDocument/2006/relationships/hyperlink" Target="https://www.itu.int/md/S26-CWGFHR22-C-0018/e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4-CL-C-0007/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6E2D9F1064C94388CCA3D14D44BD29" ma:contentTypeVersion="21" ma:contentTypeDescription="Create a new document." ma:contentTypeScope="" ma:versionID="04fd74d50baa05bcc00c0c90bbcc3816">
  <xsd:schema xmlns:xsd="http://www.w3.org/2001/XMLSchema" xmlns:xs="http://www.w3.org/2001/XMLSchema" xmlns:p="http://schemas.microsoft.com/office/2006/metadata/properties" xmlns:ns2="b9cb8e48-1496-495a-9185-61308b326d65" xmlns:ns3="d7f20348-7d28-4ef6-bb65-6aac1f9b6f82" targetNamespace="http://schemas.microsoft.com/office/2006/metadata/properties" ma:root="true" ma:fieldsID="0db6ed610ef3c4050f8c7129af58861c" ns2:_="" ns3:_="">
    <xsd:import namespace="b9cb8e48-1496-495a-9185-61308b326d65"/>
    <xsd:import namespace="d7f20348-7d28-4ef6-bb65-6aac1f9b6f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IT"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b8e48-1496-495a-9185-61308b32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IT" ma:index="16" nillable="true" ma:displayName="IT" ma:format="Dropdown" ma:internalName="IT">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0348-7d28-4ef6-bb65-6aac1f9b6f8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ada4d5-4c48-483f-ac7d-1c2b332ffa08}" ma:internalName="TaxCatchAll" ma:showField="CatchAllData" ma:web="d7f20348-7d28-4ef6-bb65-6aac1f9b6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cb8e48-1496-495a-9185-61308b326d65">
      <Terms xmlns="http://schemas.microsoft.com/office/infopath/2007/PartnerControls"/>
    </lcf76f155ced4ddcb4097134ff3c332f>
    <TaxCatchAll xmlns="d7f20348-7d28-4ef6-bb65-6aac1f9b6f82" xsi:nil="true"/>
    <IT xmlns="b9cb8e48-1496-495a-9185-61308b326d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2.xml><?xml version="1.0" encoding="utf-8"?>
<ds:datastoreItem xmlns:ds="http://schemas.openxmlformats.org/officeDocument/2006/customXml" ds:itemID="{F5DCD085-DCE8-4977-A04B-96D5D19F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b8e48-1496-495a-9185-61308b326d65"/>
    <ds:schemaRef ds:uri="d7f20348-7d28-4ef6-bb65-6aac1f9b6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7C9A-418E-4081-99FB-FF1C22B34192}">
  <ds:schemaRefs>
    <ds:schemaRef ds:uri="http://schemas.microsoft.com/office/2006/metadata/properties"/>
    <ds:schemaRef ds:uri="http://schemas.microsoft.com/office/infopath/2007/PartnerControls"/>
    <ds:schemaRef ds:uri="b9cb8e48-1496-495a-9185-61308b326d65"/>
    <ds:schemaRef ds:uri="d7f20348-7d28-4ef6-bb65-6aac1f9b6f82"/>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1500</Words>
  <Characters>10158</Characters>
  <Application>Microsoft Office Word</Application>
  <DocSecurity>0</DocSecurity>
  <Lines>236</Lines>
  <Paragraphs>124</Paragraphs>
  <ScaleCrop>false</ScaleCrop>
  <HeadingPairs>
    <vt:vector size="2" baseType="variant">
      <vt:variant>
        <vt:lpstr>Title</vt:lpstr>
      </vt:variant>
      <vt:variant>
        <vt:i4>1</vt:i4>
      </vt:variant>
    </vt:vector>
  </HeadingPairs>
  <TitlesOfParts>
    <vt:vector size="1" baseType="lpstr">
      <vt:lpstr>Update on the campus strategic plan</vt:lpstr>
    </vt:vector>
  </TitlesOfParts>
  <Manager/>
  <Company/>
  <LinksUpToDate>false</LinksUpToDate>
  <CharactersWithSpaces>11534</CharactersWithSpaces>
  <SharedDoc>false</SharedDoc>
  <HLinks>
    <vt:vector size="114" baseType="variant">
      <vt:variant>
        <vt:i4>7602228</vt:i4>
      </vt:variant>
      <vt:variant>
        <vt:i4>48</vt:i4>
      </vt:variant>
      <vt:variant>
        <vt:i4>0</vt:i4>
      </vt:variant>
      <vt:variant>
        <vt:i4>5</vt:i4>
      </vt:variant>
      <vt:variant>
        <vt:lpwstr>https://www.itu.int/md/S25-CL-C-0083/en</vt:lpwstr>
      </vt:variant>
      <vt:variant>
        <vt:lpwstr/>
      </vt:variant>
      <vt:variant>
        <vt:i4>7536700</vt:i4>
      </vt:variant>
      <vt:variant>
        <vt:i4>45</vt:i4>
      </vt:variant>
      <vt:variant>
        <vt:i4>0</vt:i4>
      </vt:variant>
      <vt:variant>
        <vt:i4>5</vt:i4>
      </vt:variant>
      <vt:variant>
        <vt:lpwstr>https://www.itu.int/md/S25-CL-C-0105/en</vt:lpwstr>
      </vt:variant>
      <vt:variant>
        <vt:lpwstr/>
      </vt:variant>
      <vt:variant>
        <vt:i4>7602234</vt:i4>
      </vt:variant>
      <vt:variant>
        <vt:i4>42</vt:i4>
      </vt:variant>
      <vt:variant>
        <vt:i4>0</vt:i4>
      </vt:variant>
      <vt:variant>
        <vt:i4>5</vt:i4>
      </vt:variant>
      <vt:variant>
        <vt:lpwstr>https://www.itu.int/md/S25-CL-C-0063/en</vt:lpwstr>
      </vt:variant>
      <vt:variant>
        <vt:lpwstr/>
      </vt:variant>
      <vt:variant>
        <vt:i4>4325379</vt:i4>
      </vt:variant>
      <vt:variant>
        <vt:i4>39</vt:i4>
      </vt:variant>
      <vt:variant>
        <vt:i4>0</vt:i4>
      </vt:variant>
      <vt:variant>
        <vt:i4>5</vt:i4>
      </vt:variant>
      <vt:variant>
        <vt:lpwstr>https://www.itu.int/md/S25-CWGFHR20-C-0008/en</vt:lpwstr>
      </vt:variant>
      <vt:variant>
        <vt:lpwstr/>
      </vt:variant>
      <vt:variant>
        <vt:i4>7667775</vt:i4>
      </vt:variant>
      <vt:variant>
        <vt:i4>36</vt:i4>
      </vt:variant>
      <vt:variant>
        <vt:i4>0</vt:i4>
      </vt:variant>
      <vt:variant>
        <vt:i4>5</vt:i4>
      </vt:variant>
      <vt:variant>
        <vt:lpwstr>https://www.itu.int/md/S24-CL-C-0132/en</vt:lpwstr>
      </vt:variant>
      <vt:variant>
        <vt:lpwstr/>
      </vt:variant>
      <vt:variant>
        <vt:i4>4980738</vt:i4>
      </vt:variant>
      <vt:variant>
        <vt:i4>33</vt:i4>
      </vt:variant>
      <vt:variant>
        <vt:i4>0</vt:i4>
      </vt:variant>
      <vt:variant>
        <vt:i4>5</vt:i4>
      </vt:variant>
      <vt:variant>
        <vt:lpwstr>https://www.itu.int/md/S25-CWGFHR21-C-0006/en</vt:lpwstr>
      </vt:variant>
      <vt:variant>
        <vt:lpwstr/>
      </vt:variant>
      <vt:variant>
        <vt:i4>7602234</vt:i4>
      </vt:variant>
      <vt:variant>
        <vt:i4>30</vt:i4>
      </vt:variant>
      <vt:variant>
        <vt:i4>0</vt:i4>
      </vt:variant>
      <vt:variant>
        <vt:i4>5</vt:i4>
      </vt:variant>
      <vt:variant>
        <vt:lpwstr>https://www.itu.int/md/S25-CL-C-0063/en</vt:lpwstr>
      </vt:variant>
      <vt:variant>
        <vt:lpwstr/>
      </vt:variant>
      <vt:variant>
        <vt:i4>7602232</vt:i4>
      </vt:variant>
      <vt:variant>
        <vt:i4>27</vt:i4>
      </vt:variant>
      <vt:variant>
        <vt:i4>0</vt:i4>
      </vt:variant>
      <vt:variant>
        <vt:i4>5</vt:i4>
      </vt:variant>
      <vt:variant>
        <vt:lpwstr>https://www.itu.int/md/S25-CL-C-0043/en</vt:lpwstr>
      </vt:variant>
      <vt:variant>
        <vt:lpwstr/>
      </vt:variant>
      <vt:variant>
        <vt:i4>8257596</vt:i4>
      </vt:variant>
      <vt:variant>
        <vt:i4>24</vt:i4>
      </vt:variant>
      <vt:variant>
        <vt:i4>0</vt:i4>
      </vt:variant>
      <vt:variant>
        <vt:i4>5</vt:i4>
      </vt:variant>
      <vt:variant>
        <vt:lpwstr>https://www.itu.int/md/S25-CL-C-0009/en</vt:lpwstr>
      </vt:variant>
      <vt:variant>
        <vt:lpwstr/>
      </vt:variant>
      <vt:variant>
        <vt:i4>4325379</vt:i4>
      </vt:variant>
      <vt:variant>
        <vt:i4>21</vt:i4>
      </vt:variant>
      <vt:variant>
        <vt:i4>0</vt:i4>
      </vt:variant>
      <vt:variant>
        <vt:i4>5</vt:i4>
      </vt:variant>
      <vt:variant>
        <vt:lpwstr>https://www.itu.int/md/S25-CWGFHR20-C-0008/en</vt:lpwstr>
      </vt:variant>
      <vt:variant>
        <vt:lpwstr/>
      </vt:variant>
      <vt:variant>
        <vt:i4>5046275</vt:i4>
      </vt:variant>
      <vt:variant>
        <vt:i4>18</vt:i4>
      </vt:variant>
      <vt:variant>
        <vt:i4>0</vt:i4>
      </vt:variant>
      <vt:variant>
        <vt:i4>5</vt:i4>
      </vt:variant>
      <vt:variant>
        <vt:lpwstr>https://www.itu.int/md/S25-CWGFHR20-C-0007/en</vt:lpwstr>
      </vt:variant>
      <vt:variant>
        <vt:lpwstr/>
      </vt:variant>
      <vt:variant>
        <vt:i4>4718603</vt:i4>
      </vt:variant>
      <vt:variant>
        <vt:i4>15</vt:i4>
      </vt:variant>
      <vt:variant>
        <vt:i4>0</vt:i4>
      </vt:variant>
      <vt:variant>
        <vt:i4>5</vt:i4>
      </vt:variant>
      <vt:variant>
        <vt:lpwstr>https://www.itu.int/md/S24-CWGFHR19-C-0010/en</vt:lpwstr>
      </vt:variant>
      <vt:variant>
        <vt:lpwstr/>
      </vt:variant>
      <vt:variant>
        <vt:i4>7405628</vt:i4>
      </vt:variant>
      <vt:variant>
        <vt:i4>12</vt:i4>
      </vt:variant>
      <vt:variant>
        <vt:i4>0</vt:i4>
      </vt:variant>
      <vt:variant>
        <vt:i4>5</vt:i4>
      </vt:variant>
      <vt:variant>
        <vt:lpwstr>https://www.itu.int/md/S24-CL-C-0007/en</vt:lpwstr>
      </vt:variant>
      <vt:variant>
        <vt:lpwstr/>
      </vt:variant>
      <vt:variant>
        <vt:i4>7667775</vt:i4>
      </vt:variant>
      <vt:variant>
        <vt:i4>9</vt:i4>
      </vt:variant>
      <vt:variant>
        <vt:i4>0</vt:i4>
      </vt:variant>
      <vt:variant>
        <vt:i4>5</vt:i4>
      </vt:variant>
      <vt:variant>
        <vt:lpwstr>https://www.itu.int/md/S24-CL-C-0132/en</vt:lpwstr>
      </vt:variant>
      <vt:variant>
        <vt:lpwstr/>
      </vt:variant>
      <vt:variant>
        <vt:i4>7405629</vt:i4>
      </vt:variant>
      <vt:variant>
        <vt:i4>6</vt:i4>
      </vt:variant>
      <vt:variant>
        <vt:i4>0</vt:i4>
      </vt:variant>
      <vt:variant>
        <vt:i4>5</vt:i4>
      </vt:variant>
      <vt:variant>
        <vt:lpwstr>https://www.itu.int/md/S16-CL-C-0124/en</vt:lpwstr>
      </vt:variant>
      <vt:variant>
        <vt:lpwstr/>
      </vt:variant>
      <vt:variant>
        <vt:i4>7274598</vt:i4>
      </vt:variant>
      <vt:variant>
        <vt:i4>3</vt:i4>
      </vt:variant>
      <vt:variant>
        <vt:i4>0</vt:i4>
      </vt:variant>
      <vt:variant>
        <vt:i4>5</vt:i4>
      </vt:variant>
      <vt:variant>
        <vt:lpwstr>https://www.itu.int/en/council/Documents/basic-texts-2023/RES-212-E.pdf</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7405628</vt:i4>
      </vt:variant>
      <vt:variant>
        <vt:i4>0</vt:i4>
      </vt:variant>
      <vt:variant>
        <vt:i4>0</vt:i4>
      </vt:variant>
      <vt:variant>
        <vt:i4>5</vt:i4>
      </vt:variant>
      <vt:variant>
        <vt:lpwstr>https://www.itu.int/md/S24-CL-C-0007/en</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campus strategic plan</dc:title>
  <dc:subject>ITU Council Working Group on Financial and Human Resources</dc:subject>
  <cp:keywords>CWG-FHR; C26; Council-26</cp:keywords>
  <dc:description/>
  <cp:lastPrinted>2025-12-10T16:59:00Z</cp:lastPrinted>
  <dcterms:created xsi:type="dcterms:W3CDTF">2025-12-23T15:21:00Z</dcterms:created>
  <dcterms:modified xsi:type="dcterms:W3CDTF">2025-12-23T15:26:00Z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0x010100746E2D9F1064C94388CCA3D14D44BD29</vt:lpwstr>
  </property>
  <property fmtid="{D5CDD505-2E9C-101B-9397-08002B2CF9AE}" pid="4" name="docLang">
    <vt:lpwstr>en</vt:lpwstr>
  </property>
  <property fmtid="{D5CDD505-2E9C-101B-9397-08002B2CF9AE}" pid="5" name="MediaServiceImageTags">
    <vt:lpwstr/>
  </property>
</Properties>
</file>