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A94376" w14:paraId="0043AC80" w14:textId="77777777" w:rsidTr="37ADA394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961EFF0" w:rsidR="00AD3606" w:rsidRPr="00E85629" w:rsidRDefault="556CA893" w:rsidP="30C801AE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/>
            <w:bookmarkStart w:id="1" w:name="dnum"/>
            <w:bookmarkStart w:id="2" w:name="_Hlk133421839"/>
            <w:bookmarkStart w:id="3" w:name="_Hlk133421856"/>
            <w:bookmarkStart w:id="4" w:name="_Hlk133422370"/>
            <w:bookmarkStart w:id="5" w:name="_Hlk133586559"/>
            <w:r w:rsidRPr="30C801AE">
              <w:rPr>
                <w:b/>
                <w:bCs/>
              </w:rPr>
              <w:t xml:space="preserve"> </w:t>
            </w:r>
          </w:p>
        </w:tc>
        <w:tc>
          <w:tcPr>
            <w:tcW w:w="5245" w:type="dxa"/>
          </w:tcPr>
          <w:p w14:paraId="291AB2A2" w14:textId="3974C63F" w:rsidR="00AD3606" w:rsidRPr="00A94376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  <w:lang w:val="it-IT"/>
              </w:rPr>
            </w:pPr>
            <w:r w:rsidRPr="59337EE8">
              <w:rPr>
                <w:b/>
                <w:bCs/>
                <w:lang w:val="it-IT"/>
              </w:rPr>
              <w:t>Document C</w:t>
            </w:r>
            <w:r w:rsidR="00A52C84" w:rsidRPr="59337EE8">
              <w:rPr>
                <w:b/>
                <w:bCs/>
                <w:lang w:val="it-IT"/>
              </w:rPr>
              <w:t>WG-</w:t>
            </w:r>
            <w:r w:rsidR="009F347C" w:rsidRPr="59337EE8">
              <w:rPr>
                <w:b/>
                <w:bCs/>
                <w:lang w:val="it-IT"/>
              </w:rPr>
              <w:t>FHR</w:t>
            </w:r>
            <w:r w:rsidR="00A52C84" w:rsidRPr="59337EE8">
              <w:rPr>
                <w:b/>
                <w:bCs/>
                <w:lang w:val="it-IT"/>
              </w:rPr>
              <w:t>-</w:t>
            </w:r>
            <w:r w:rsidR="00AE78C0" w:rsidRPr="59337EE8">
              <w:rPr>
                <w:b/>
                <w:bCs/>
                <w:lang w:val="it-IT"/>
              </w:rPr>
              <w:t>22</w:t>
            </w:r>
            <w:r w:rsidRPr="59337EE8">
              <w:rPr>
                <w:b/>
                <w:bCs/>
                <w:lang w:val="it-IT"/>
              </w:rPr>
              <w:t>/</w:t>
            </w:r>
            <w:r w:rsidR="7DC3A92F" w:rsidRPr="59337EE8">
              <w:rPr>
                <w:b/>
                <w:bCs/>
                <w:lang w:val="it-IT"/>
              </w:rPr>
              <w:t>3</w:t>
            </w:r>
          </w:p>
        </w:tc>
      </w:tr>
      <w:tr w:rsidR="00AD3606" w:rsidRPr="00A94376" w14:paraId="789B45BA" w14:textId="77777777" w:rsidTr="37ADA394">
        <w:trPr>
          <w:cantSplit/>
        </w:trPr>
        <w:tc>
          <w:tcPr>
            <w:tcW w:w="3969" w:type="dxa"/>
            <w:vMerge/>
          </w:tcPr>
          <w:p w14:paraId="3F3D4E17" w14:textId="77777777" w:rsidR="00AD3606" w:rsidRPr="009B2D4B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it-IT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6002A4DF" w:rsidR="00AD3606" w:rsidRPr="00A94376" w:rsidRDefault="004531F6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="003437A5">
              <w:rPr>
                <w:b/>
              </w:rPr>
              <w:t>December</w:t>
            </w:r>
            <w:r w:rsidR="001568E4">
              <w:rPr>
                <w:b/>
              </w:rPr>
              <w:t xml:space="preserve"> 2025</w:t>
            </w:r>
          </w:p>
        </w:tc>
      </w:tr>
      <w:tr w:rsidR="00AD3606" w:rsidRPr="00813E5E" w14:paraId="58A84C4A" w14:textId="77777777" w:rsidTr="37ADA394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813E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21480245" w:rsidR="00AD3606" w:rsidRPr="00E85629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English</w:t>
            </w:r>
            <w:r w:rsidR="009B2D4B">
              <w:rPr>
                <w:b/>
              </w:rPr>
              <w:t xml:space="preserve"> only</w:t>
            </w:r>
          </w:p>
        </w:tc>
      </w:tr>
      <w:tr w:rsidR="00472BAD" w:rsidRPr="00813E5E" w14:paraId="12C5EF5F" w14:textId="77777777" w:rsidTr="37ADA394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813E5E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813E5E" w14:paraId="27000B2A" w14:textId="77777777" w:rsidTr="37ADA394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54A1C3C9" w:rsidR="00AD3606" w:rsidRPr="00676C7D" w:rsidRDefault="005203BE" w:rsidP="00676C7D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>
              <w:t>Report by the Secretary-General</w:t>
            </w:r>
          </w:p>
        </w:tc>
      </w:tr>
      <w:tr w:rsidR="00AD3606" w:rsidRPr="00813E5E" w14:paraId="2340750D" w14:textId="77777777" w:rsidTr="37ADA394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B91AA8" w14:textId="1BF54819" w:rsidR="00AD3606" w:rsidRPr="00676C7D" w:rsidRDefault="006D3879" w:rsidP="00676C7D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 w:rsidRPr="00AC5F58">
              <w:t>ABROGATION OF THE COUNCIL DECISION 601 ON IIN REGISTRATION</w:t>
            </w:r>
          </w:p>
        </w:tc>
      </w:tr>
      <w:tr w:rsidR="00AD3606" w:rsidRPr="001568E4" w14:paraId="1F564D2D" w14:textId="77777777" w:rsidTr="37ADA394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AD73B47" w14:textId="3A59D05A" w:rsidR="00AD3606" w:rsidRPr="00F16BAB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>Purpose</w:t>
            </w:r>
          </w:p>
          <w:p w14:paraId="2E09FE8B" w14:textId="63E15B41" w:rsidR="00AD3606" w:rsidRPr="00813E5E" w:rsidRDefault="001568E4" w:rsidP="003437A5">
            <w:pPr>
              <w:jc w:val="both"/>
            </w:pPr>
            <w:r>
              <w:t xml:space="preserve">As a follow-up to Council </w:t>
            </w:r>
            <w:r w:rsidR="003437A5">
              <w:t xml:space="preserve">Document </w:t>
            </w:r>
            <w:hyperlink r:id="rId11" w:history="1">
              <w:proofErr w:type="spellStart"/>
              <w:r w:rsidRPr="008B68A0">
                <w:rPr>
                  <w:rStyle w:val="Hyperlink"/>
                </w:rPr>
                <w:t>C25</w:t>
              </w:r>
              <w:proofErr w:type="spellEnd"/>
              <w:r w:rsidRPr="008B68A0">
                <w:rPr>
                  <w:rStyle w:val="Hyperlink"/>
                </w:rPr>
                <w:t>/38</w:t>
              </w:r>
            </w:hyperlink>
            <w:r>
              <w:t xml:space="preserve">. </w:t>
            </w:r>
            <w:r w:rsidRPr="002F4954">
              <w:t xml:space="preserve">This report </w:t>
            </w:r>
            <w:r>
              <w:t xml:space="preserve">provided the status of Recommendation ITU-T </w:t>
            </w:r>
            <w:proofErr w:type="spellStart"/>
            <w:r>
              <w:t>E.118</w:t>
            </w:r>
            <w:proofErr w:type="spellEnd"/>
            <w:r>
              <w:t xml:space="preserve"> which is used to govern IIN (Issuer Identifier Number)</w:t>
            </w:r>
            <w:r w:rsidRPr="002F4954">
              <w:t>.</w:t>
            </w:r>
          </w:p>
          <w:p w14:paraId="5076D5C4" w14:textId="28F00572" w:rsidR="00AD3606" w:rsidRPr="00F16BAB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>Action required</w:t>
            </w:r>
          </w:p>
          <w:p w14:paraId="53A776F1" w14:textId="444A3BB3" w:rsidR="00891503" w:rsidRDefault="001568E4" w:rsidP="003437A5">
            <w:pPr>
              <w:spacing w:before="160"/>
              <w:jc w:val="both"/>
            </w:pPr>
            <w:r>
              <w:t>The Council Working Group on financial and human resources is invited to</w:t>
            </w:r>
            <w:r w:rsidRPr="37ADA394">
              <w:rPr>
                <w:b/>
                <w:bCs/>
              </w:rPr>
              <w:t xml:space="preserve"> consider</w:t>
            </w:r>
            <w:r>
              <w:t xml:space="preserve"> the proposal </w:t>
            </w:r>
            <w:r w:rsidR="5CE85DE0">
              <w:t>to abrogate</w:t>
            </w:r>
            <w:r>
              <w:t xml:space="preserve"> Council Decision 601.</w:t>
            </w:r>
          </w:p>
          <w:p w14:paraId="7B35FFE5" w14:textId="77777777" w:rsidR="0073553F" w:rsidRDefault="0073553F">
            <w:r>
              <w:t>_______________</w:t>
            </w:r>
          </w:p>
          <w:p w14:paraId="00DEE14C" w14:textId="77777777" w:rsidR="00AD3606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>References</w:t>
            </w:r>
          </w:p>
          <w:p w14:paraId="0175CD6C" w14:textId="70567474" w:rsidR="00AD3606" w:rsidRPr="004531F6" w:rsidRDefault="00FD7016" w:rsidP="00F16BAB">
            <w:pPr>
              <w:spacing w:after="160"/>
              <w:rPr>
                <w:i/>
                <w:iCs/>
                <w:sz w:val="22"/>
                <w:szCs w:val="22"/>
              </w:rPr>
            </w:pPr>
            <w:hyperlink r:id="rId12" w:history="1">
              <w:r w:rsidRPr="004531F6">
                <w:rPr>
                  <w:rStyle w:val="Hyperlink"/>
                  <w:i/>
                  <w:iCs/>
                  <w:sz w:val="22"/>
                  <w:szCs w:val="22"/>
                </w:rPr>
                <w:t>CWG-FHR website</w:t>
              </w:r>
            </w:hyperlink>
            <w:r w:rsidRPr="004531F6">
              <w:rPr>
                <w:i/>
                <w:iCs/>
                <w:sz w:val="22"/>
                <w:szCs w:val="22"/>
              </w:rPr>
              <w:t xml:space="preserve">; </w:t>
            </w:r>
            <w:r w:rsidR="001568E4" w:rsidRPr="004531F6">
              <w:rPr>
                <w:i/>
                <w:iCs/>
                <w:sz w:val="22"/>
                <w:szCs w:val="22"/>
              </w:rPr>
              <w:t>Documents</w:t>
            </w:r>
            <w:r w:rsidR="001568E4" w:rsidRPr="004531F6">
              <w:rPr>
                <w:rFonts w:hint="eastAsia"/>
                <w:i/>
                <w:iCs/>
                <w:sz w:val="22"/>
                <w:szCs w:val="22"/>
              </w:rPr>
              <w:t xml:space="preserve"> </w:t>
            </w:r>
            <w:hyperlink r:id="rId13" w:history="1">
              <w:r w:rsidR="001568E4" w:rsidRPr="004531F6">
                <w:rPr>
                  <w:rStyle w:val="Hyperlink"/>
                  <w:rFonts w:eastAsia="SimSun"/>
                  <w:i/>
                  <w:iCs/>
                  <w:sz w:val="22"/>
                  <w:szCs w:val="22"/>
                </w:rPr>
                <w:t>CWG-FHR-20/13</w:t>
              </w:r>
            </w:hyperlink>
            <w:r w:rsidR="001568E4" w:rsidRPr="004531F6">
              <w:rPr>
                <w:i/>
                <w:iCs/>
                <w:sz w:val="22"/>
                <w:szCs w:val="22"/>
              </w:rPr>
              <w:t xml:space="preserve"> and </w:t>
            </w:r>
            <w:hyperlink r:id="rId14" w:history="1">
              <w:r w:rsidR="001568E4" w:rsidRPr="004531F6">
                <w:rPr>
                  <w:rStyle w:val="Hyperlink"/>
                  <w:bCs/>
                  <w:i/>
                  <w:iCs/>
                  <w:sz w:val="22"/>
                  <w:szCs w:val="22"/>
                </w:rPr>
                <w:t>CWG-FHR-20/32</w:t>
              </w:r>
            </w:hyperlink>
            <w:r w:rsidR="001568E4" w:rsidRPr="004531F6">
              <w:rPr>
                <w:bCs/>
                <w:i/>
                <w:iCs/>
                <w:sz w:val="22"/>
                <w:szCs w:val="22"/>
              </w:rPr>
              <w:t>;</w:t>
            </w:r>
            <w:r w:rsidR="001568E4" w:rsidRPr="004531F6">
              <w:rPr>
                <w:bCs/>
                <w:sz w:val="22"/>
                <w:szCs w:val="22"/>
              </w:rPr>
              <w:t xml:space="preserve"> </w:t>
            </w:r>
            <w:r w:rsidR="001568E4" w:rsidRPr="004531F6">
              <w:rPr>
                <w:i/>
                <w:iCs/>
                <w:sz w:val="22"/>
                <w:szCs w:val="22"/>
              </w:rPr>
              <w:t>Council Documents</w:t>
            </w:r>
            <w:r w:rsidR="001568E4" w:rsidRPr="004531F6">
              <w:rPr>
                <w:rFonts w:hint="eastAsia"/>
                <w:i/>
                <w:iCs/>
                <w:sz w:val="22"/>
                <w:szCs w:val="22"/>
              </w:rPr>
              <w:t xml:space="preserve"> </w:t>
            </w:r>
            <w:hyperlink r:id="rId15" w:history="1">
              <w:proofErr w:type="spellStart"/>
              <w:r w:rsidR="001568E4" w:rsidRPr="004531F6">
                <w:rPr>
                  <w:rStyle w:val="Hyperlink"/>
                  <w:i/>
                  <w:iCs/>
                  <w:sz w:val="22"/>
                  <w:szCs w:val="22"/>
                </w:rPr>
                <w:t>C17</w:t>
              </w:r>
              <w:proofErr w:type="spellEnd"/>
              <w:r w:rsidR="001568E4" w:rsidRPr="004531F6">
                <w:rPr>
                  <w:rStyle w:val="Hyperlink"/>
                  <w:i/>
                  <w:iCs/>
                  <w:sz w:val="22"/>
                  <w:szCs w:val="22"/>
                </w:rPr>
                <w:t>/134</w:t>
              </w:r>
            </w:hyperlink>
            <w:r w:rsidR="003437A5" w:rsidRPr="004531F6">
              <w:rPr>
                <w:i/>
                <w:iCs/>
                <w:sz w:val="22"/>
                <w:szCs w:val="22"/>
              </w:rPr>
              <w:t>,</w:t>
            </w:r>
            <w:r w:rsidR="001568E4" w:rsidRPr="004531F6">
              <w:rPr>
                <w:i/>
                <w:iCs/>
                <w:sz w:val="22"/>
                <w:szCs w:val="22"/>
              </w:rPr>
              <w:t xml:space="preserve"> </w:t>
            </w:r>
            <w:hyperlink r:id="rId16" w:history="1">
              <w:proofErr w:type="spellStart"/>
              <w:r w:rsidR="001568E4" w:rsidRPr="004531F6">
                <w:rPr>
                  <w:rStyle w:val="Hyperlink"/>
                  <w:i/>
                  <w:iCs/>
                  <w:sz w:val="22"/>
                  <w:szCs w:val="22"/>
                </w:rPr>
                <w:t>C25</w:t>
              </w:r>
              <w:proofErr w:type="spellEnd"/>
              <w:r w:rsidR="001568E4" w:rsidRPr="004531F6">
                <w:rPr>
                  <w:rStyle w:val="Hyperlink"/>
                  <w:i/>
                  <w:iCs/>
                  <w:sz w:val="22"/>
                  <w:szCs w:val="22"/>
                </w:rPr>
                <w:t>/38</w:t>
              </w:r>
            </w:hyperlink>
            <w:r w:rsidR="003437A5" w:rsidRPr="004531F6">
              <w:rPr>
                <w:i/>
                <w:iCs/>
                <w:sz w:val="22"/>
                <w:szCs w:val="22"/>
              </w:rPr>
              <w:t>,</w:t>
            </w:r>
            <w:r w:rsidR="001568E4" w:rsidRPr="004531F6">
              <w:rPr>
                <w:bCs/>
                <w:sz w:val="22"/>
                <w:szCs w:val="22"/>
              </w:rPr>
              <w:t xml:space="preserve"> </w:t>
            </w:r>
            <w:hyperlink r:id="rId17" w:history="1">
              <w:proofErr w:type="spellStart"/>
              <w:r w:rsidR="001568E4" w:rsidRPr="004531F6">
                <w:rPr>
                  <w:rStyle w:val="Hyperlink"/>
                  <w:bCs/>
                  <w:i/>
                  <w:iCs/>
                  <w:sz w:val="22"/>
                  <w:szCs w:val="22"/>
                </w:rPr>
                <w:t>C25</w:t>
              </w:r>
              <w:proofErr w:type="spellEnd"/>
              <w:r w:rsidR="001568E4" w:rsidRPr="004531F6">
                <w:rPr>
                  <w:rStyle w:val="Hyperlink"/>
                  <w:bCs/>
                  <w:i/>
                  <w:iCs/>
                  <w:sz w:val="22"/>
                  <w:szCs w:val="22"/>
                </w:rPr>
                <w:t>/105</w:t>
              </w:r>
            </w:hyperlink>
            <w:r w:rsidR="001568E4" w:rsidRPr="004531F6">
              <w:rPr>
                <w:bCs/>
                <w:i/>
                <w:iCs/>
                <w:sz w:val="22"/>
                <w:szCs w:val="22"/>
              </w:rPr>
              <w:t xml:space="preserve"> and </w:t>
            </w:r>
            <w:hyperlink r:id="rId18" w:history="1">
              <w:proofErr w:type="spellStart"/>
              <w:r w:rsidR="001568E4" w:rsidRPr="004531F6">
                <w:rPr>
                  <w:rStyle w:val="Hyperlink"/>
                  <w:bCs/>
                  <w:i/>
                  <w:iCs/>
                  <w:sz w:val="22"/>
                  <w:szCs w:val="22"/>
                </w:rPr>
                <w:t>C25</w:t>
              </w:r>
              <w:proofErr w:type="spellEnd"/>
              <w:r w:rsidR="001568E4" w:rsidRPr="004531F6">
                <w:rPr>
                  <w:rStyle w:val="Hyperlink"/>
                  <w:bCs/>
                  <w:i/>
                  <w:iCs/>
                  <w:sz w:val="22"/>
                  <w:szCs w:val="22"/>
                </w:rPr>
                <w:t>/114</w:t>
              </w:r>
            </w:hyperlink>
          </w:p>
        </w:tc>
      </w:tr>
    </w:tbl>
    <w:p w14:paraId="4CDB8B60" w14:textId="77777777" w:rsidR="00E227F3" w:rsidRPr="001568E4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p w14:paraId="1D7ED322" w14:textId="77777777" w:rsidR="0090147A" w:rsidRPr="001568E4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1568E4">
        <w:br w:type="page"/>
      </w:r>
    </w:p>
    <w:p w14:paraId="51B57DC8" w14:textId="77777777" w:rsidR="00123E5B" w:rsidRPr="002F4954" w:rsidRDefault="00123E5B" w:rsidP="003437A5">
      <w:pPr>
        <w:pStyle w:val="Heading1"/>
      </w:pPr>
      <w:bookmarkStart w:id="11" w:name="_Hlk152235899"/>
      <w:bookmarkEnd w:id="5"/>
      <w:bookmarkEnd w:id="10"/>
      <w:r w:rsidRPr="002F4954">
        <w:lastRenderedPageBreak/>
        <w:t>1</w:t>
      </w:r>
      <w:r w:rsidRPr="002F4954">
        <w:tab/>
        <w:t>Background</w:t>
      </w:r>
    </w:p>
    <w:p w14:paraId="3AA73FFE" w14:textId="1F0AF5AF" w:rsidR="00123E5B" w:rsidRPr="002F4954" w:rsidRDefault="00123E5B" w:rsidP="00123E5B">
      <w:pPr>
        <w:jc w:val="both"/>
        <w:rPr>
          <w:rFonts w:eastAsiaTheme="minorEastAsia"/>
        </w:rPr>
      </w:pPr>
      <w:r w:rsidRPr="002F4954">
        <w:rPr>
          <w:rFonts w:eastAsiaTheme="minorEastAsia"/>
        </w:rPr>
        <w:t>1.1</w:t>
      </w:r>
      <w:r w:rsidRPr="002F4954">
        <w:rPr>
          <w:rFonts w:eastAsiaTheme="minorEastAsia"/>
        </w:rPr>
        <w:tab/>
        <w:t xml:space="preserve">Following the approval of Decision 601 </w:t>
      </w:r>
      <w:r w:rsidRPr="002F4954">
        <w:rPr>
          <w:rFonts w:eastAsiaTheme="minorEastAsia"/>
          <w:color w:val="000000"/>
        </w:rPr>
        <w:t>(</w:t>
      </w:r>
      <w:r>
        <w:rPr>
          <w:rFonts w:eastAsiaTheme="minorEastAsia"/>
          <w:color w:val="000000"/>
        </w:rPr>
        <w:t xml:space="preserve">Doc. </w:t>
      </w:r>
      <w:hyperlink r:id="rId19" w:history="1">
        <w:proofErr w:type="spellStart"/>
        <w:r w:rsidRPr="002F4954">
          <w:rPr>
            <w:rFonts w:eastAsiaTheme="minorEastAsia"/>
            <w:color w:val="0563C1"/>
            <w:u w:val="single"/>
          </w:rPr>
          <w:t>C17</w:t>
        </w:r>
        <w:proofErr w:type="spellEnd"/>
        <w:r w:rsidRPr="002F4954">
          <w:rPr>
            <w:rFonts w:eastAsiaTheme="minorEastAsia"/>
            <w:color w:val="0563C1"/>
            <w:u w:val="single"/>
          </w:rPr>
          <w:t>/134</w:t>
        </w:r>
      </w:hyperlink>
      <w:r w:rsidRPr="002F4954">
        <w:rPr>
          <w:rFonts w:eastAsiaTheme="minorEastAsia"/>
          <w:color w:val="000000"/>
        </w:rPr>
        <w:t xml:space="preserve">) </w:t>
      </w:r>
      <w:r w:rsidRPr="002F4954">
        <w:rPr>
          <w:rFonts w:eastAsiaTheme="minorEastAsia"/>
        </w:rPr>
        <w:t xml:space="preserve">at the </w:t>
      </w:r>
      <w:r>
        <w:rPr>
          <w:rFonts w:eastAsiaTheme="minorEastAsia"/>
        </w:rPr>
        <w:t>2017 Council session</w:t>
      </w:r>
      <w:r w:rsidRPr="002F4954">
        <w:rPr>
          <w:rFonts w:eastAsiaTheme="minorEastAsia"/>
        </w:rPr>
        <w:t>, the ITU secretariat has been in the process of implementing th</w:t>
      </w:r>
      <w:r>
        <w:rPr>
          <w:rFonts w:eastAsiaTheme="minorEastAsia"/>
        </w:rPr>
        <w:t>is</w:t>
      </w:r>
      <w:r w:rsidRPr="002F4954">
        <w:rPr>
          <w:rFonts w:eastAsiaTheme="minorEastAsia"/>
        </w:rPr>
        <w:t xml:space="preserve"> </w:t>
      </w:r>
      <w:r>
        <w:rPr>
          <w:rFonts w:eastAsiaTheme="minorEastAsia"/>
        </w:rPr>
        <w:t>d</w:t>
      </w:r>
      <w:r w:rsidRPr="002F4954">
        <w:rPr>
          <w:rFonts w:eastAsiaTheme="minorEastAsia"/>
        </w:rPr>
        <w:t xml:space="preserve">ecision. </w:t>
      </w:r>
    </w:p>
    <w:p w14:paraId="3D4EC10D" w14:textId="1017A8AA" w:rsidR="00123E5B" w:rsidRPr="009F1CBA" w:rsidRDefault="00123E5B" w:rsidP="00123E5B">
      <w:pPr>
        <w:jc w:val="both"/>
        <w:rPr>
          <w:bCs/>
        </w:rPr>
      </w:pPr>
      <w:r w:rsidRPr="002F4954">
        <w:rPr>
          <w:rFonts w:eastAsiaTheme="minorEastAsia"/>
        </w:rPr>
        <w:t>1.2</w:t>
      </w:r>
      <w:r w:rsidRPr="002F4954">
        <w:rPr>
          <w:rFonts w:eastAsiaTheme="minorEastAsia"/>
        </w:rPr>
        <w:tab/>
      </w:r>
      <w:r w:rsidRPr="00854CD1">
        <w:rPr>
          <w:rFonts w:eastAsia="SimSun"/>
        </w:rPr>
        <w:t>At the 20</w:t>
      </w:r>
      <w:r w:rsidRPr="00854CD1">
        <w:rPr>
          <w:rFonts w:eastAsia="SimSun"/>
          <w:vertAlign w:val="superscript"/>
        </w:rPr>
        <w:t>th</w:t>
      </w:r>
      <w:r w:rsidRPr="00854CD1">
        <w:rPr>
          <w:rFonts w:eastAsia="SimSun"/>
        </w:rPr>
        <w:t xml:space="preserve"> meeting of the Council Working Group on financial and human resources (CWG</w:t>
      </w:r>
      <w:r>
        <w:rPr>
          <w:rFonts w:eastAsia="SimSun"/>
        </w:rPr>
        <w:noBreakHyphen/>
      </w:r>
      <w:r w:rsidRPr="00854CD1">
        <w:rPr>
          <w:rFonts w:eastAsia="SimSun"/>
        </w:rPr>
        <w:t xml:space="preserve">FHR) in February 2025, TSB presented Document </w:t>
      </w:r>
      <w:hyperlink r:id="rId20" w:history="1">
        <w:r w:rsidRPr="00854CD1">
          <w:rPr>
            <w:rStyle w:val="Hyperlink"/>
            <w:rFonts w:eastAsia="SimSun"/>
          </w:rPr>
          <w:t>CWG-FHR-20/13</w:t>
        </w:r>
      </w:hyperlink>
      <w:r w:rsidRPr="00854CD1">
        <w:rPr>
          <w:rFonts w:eastAsia="SimSun"/>
        </w:rPr>
        <w:t xml:space="preserve"> </w:t>
      </w:r>
      <w:r w:rsidR="00246E60">
        <w:rPr>
          <w:rFonts w:eastAsia="SimSun"/>
        </w:rPr>
        <w:t>on c</w:t>
      </w:r>
      <w:r w:rsidRPr="00123E5B">
        <w:rPr>
          <w:rFonts w:eastAsia="SimSun"/>
        </w:rPr>
        <w:t>hallenges faced in implementing Council Decision 601 on IIN registration</w:t>
      </w:r>
      <w:r w:rsidRPr="00854CD1">
        <w:rPr>
          <w:rFonts w:eastAsia="SimSun"/>
        </w:rPr>
        <w:t xml:space="preserve">. </w:t>
      </w:r>
      <w:r>
        <w:rPr>
          <w:rFonts w:eastAsia="SimSun"/>
        </w:rPr>
        <w:t>It was</w:t>
      </w:r>
      <w:r w:rsidRPr="00854CD1">
        <w:rPr>
          <w:rFonts w:eastAsia="SimSun"/>
        </w:rPr>
        <w:t xml:space="preserve"> reported that Recommendation ITU-T </w:t>
      </w:r>
      <w:proofErr w:type="spellStart"/>
      <w:r w:rsidRPr="00854CD1">
        <w:rPr>
          <w:rFonts w:eastAsia="SimSun"/>
        </w:rPr>
        <w:t>E.118</w:t>
      </w:r>
      <w:proofErr w:type="spellEnd"/>
      <w:r w:rsidRPr="00854CD1">
        <w:rPr>
          <w:rFonts w:eastAsia="SimSun"/>
        </w:rPr>
        <w:t xml:space="preserve"> had been </w:t>
      </w:r>
      <w:r>
        <w:rPr>
          <w:rFonts w:eastAsia="SimSun"/>
        </w:rPr>
        <w:t xml:space="preserve">revised, </w:t>
      </w:r>
      <w:r w:rsidRPr="004D01F5">
        <w:rPr>
          <w:rFonts w:eastAsia="SimSun"/>
        </w:rPr>
        <w:t>with the IIN registrar function removed,</w:t>
      </w:r>
      <w:r>
        <w:rPr>
          <w:rFonts w:eastAsia="SimSun"/>
        </w:rPr>
        <w:t xml:space="preserve"> pending final approval by SG2 at its closing plenary on 5 September 2025</w:t>
      </w:r>
      <w:r w:rsidRPr="00854CD1">
        <w:rPr>
          <w:rFonts w:eastAsia="SimSun"/>
        </w:rPr>
        <w:t xml:space="preserve">. </w:t>
      </w:r>
      <w:r>
        <w:rPr>
          <w:rFonts w:eastAsia="SimSun"/>
        </w:rPr>
        <w:t xml:space="preserve">(See clause 17 of the summary </w:t>
      </w:r>
      <w:r w:rsidR="00246E60">
        <w:rPr>
          <w:rFonts w:eastAsia="SimSun"/>
        </w:rPr>
        <w:t xml:space="preserve">Report </w:t>
      </w:r>
      <w:r>
        <w:rPr>
          <w:rFonts w:eastAsia="SimSun"/>
        </w:rPr>
        <w:t>of the 20</w:t>
      </w:r>
      <w:r w:rsidRPr="001968EE">
        <w:rPr>
          <w:rFonts w:eastAsia="SimSun"/>
          <w:vertAlign w:val="superscript"/>
        </w:rPr>
        <w:t>th</w:t>
      </w:r>
      <w:r>
        <w:rPr>
          <w:rFonts w:eastAsia="SimSun"/>
        </w:rPr>
        <w:t xml:space="preserve"> meeting in </w:t>
      </w:r>
      <w:r w:rsidRPr="009F1CBA">
        <w:rPr>
          <w:bCs/>
        </w:rPr>
        <w:t xml:space="preserve">Document </w:t>
      </w:r>
      <w:hyperlink r:id="rId21" w:history="1">
        <w:r w:rsidRPr="009F1CBA">
          <w:rPr>
            <w:rStyle w:val="Hyperlink"/>
            <w:bCs/>
          </w:rPr>
          <w:t>CWG-FHR-20/32</w:t>
        </w:r>
      </w:hyperlink>
      <w:r w:rsidRPr="009F1CBA">
        <w:rPr>
          <w:bCs/>
        </w:rPr>
        <w:t>.)</w:t>
      </w:r>
    </w:p>
    <w:p w14:paraId="7EFD4FD7" w14:textId="77777777" w:rsidR="000068E0" w:rsidRDefault="00123E5B" w:rsidP="000068E0">
      <w:pPr>
        <w:jc w:val="both"/>
      </w:pPr>
      <w:r w:rsidRPr="37ADA394">
        <w:rPr>
          <w:rFonts w:eastAsia="SimSun"/>
        </w:rPr>
        <w:t>1.3</w:t>
      </w:r>
      <w:r>
        <w:tab/>
      </w:r>
      <w:r w:rsidRPr="37ADA394">
        <w:rPr>
          <w:rFonts w:eastAsia="SimSun"/>
        </w:rPr>
        <w:t xml:space="preserve">TSB reported the discussion at CWG-FHR-20 on IIN to the 2025 session of </w:t>
      </w:r>
      <w:r w:rsidR="00F74416" w:rsidRPr="37ADA394">
        <w:rPr>
          <w:rFonts w:eastAsia="SimSun"/>
        </w:rPr>
        <w:t xml:space="preserve">the </w:t>
      </w:r>
      <w:r w:rsidRPr="37ADA394">
        <w:rPr>
          <w:rFonts w:eastAsia="SimSun"/>
        </w:rPr>
        <w:t xml:space="preserve">ITU Council through </w:t>
      </w:r>
      <w:r>
        <w:t xml:space="preserve">Document </w:t>
      </w:r>
      <w:hyperlink r:id="rId22">
        <w:proofErr w:type="spellStart"/>
        <w:r w:rsidRPr="37ADA394">
          <w:rPr>
            <w:rStyle w:val="Hyperlink"/>
          </w:rPr>
          <w:t>C25</w:t>
        </w:r>
        <w:proofErr w:type="spellEnd"/>
        <w:r w:rsidRPr="37ADA394">
          <w:rPr>
            <w:rStyle w:val="Hyperlink"/>
          </w:rPr>
          <w:t>/38</w:t>
        </w:r>
      </w:hyperlink>
      <w:r w:rsidR="6793F8F0">
        <w:t xml:space="preserve">. </w:t>
      </w:r>
      <w:r w:rsidR="7B1677D9">
        <w:t>Council</w:t>
      </w:r>
      <w:r w:rsidR="504B3E72">
        <w:t xml:space="preserve"> noted the document</w:t>
      </w:r>
      <w:r>
        <w:t xml:space="preserve">. </w:t>
      </w:r>
      <w:bookmarkEnd w:id="11"/>
    </w:p>
    <w:p w14:paraId="657C693F" w14:textId="77687FD7" w:rsidR="00123E5B" w:rsidRPr="002F4954" w:rsidRDefault="00123E5B" w:rsidP="003437A5">
      <w:pPr>
        <w:pStyle w:val="Heading1"/>
      </w:pPr>
      <w:r w:rsidRPr="002F4954">
        <w:rPr>
          <w:rFonts w:eastAsia="Calibri"/>
          <w:szCs w:val="28"/>
        </w:rPr>
        <w:t>2</w:t>
      </w:r>
      <w:r w:rsidRPr="002F4954">
        <w:rPr>
          <w:rFonts w:eastAsia="Calibri"/>
          <w:szCs w:val="28"/>
        </w:rPr>
        <w:tab/>
        <w:t xml:space="preserve">Status updates on </w:t>
      </w:r>
      <w:r>
        <w:t xml:space="preserve">the </w:t>
      </w:r>
      <w:r w:rsidRPr="003437A5">
        <w:t>revised</w:t>
      </w:r>
      <w:r>
        <w:t xml:space="preserve"> </w:t>
      </w:r>
      <w:r w:rsidR="00502E43">
        <w:t xml:space="preserve">Recommendation </w:t>
      </w:r>
      <w:r>
        <w:t xml:space="preserve">ITU-T </w:t>
      </w:r>
      <w:proofErr w:type="spellStart"/>
      <w:r>
        <w:t>E.118</w:t>
      </w:r>
      <w:proofErr w:type="spellEnd"/>
    </w:p>
    <w:p w14:paraId="70DE7485" w14:textId="502226B6" w:rsidR="00123E5B" w:rsidRDefault="00123E5B" w:rsidP="00F74416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Recommendation ITU-T </w:t>
      </w:r>
      <w:proofErr w:type="spellStart"/>
      <w:r>
        <w:rPr>
          <w:rFonts w:eastAsiaTheme="minorEastAsia"/>
        </w:rPr>
        <w:t>E.118</w:t>
      </w:r>
      <w:proofErr w:type="spellEnd"/>
      <w:r>
        <w:rPr>
          <w:rFonts w:eastAsiaTheme="minorEastAsia"/>
        </w:rPr>
        <w:t xml:space="preserve"> </w:t>
      </w:r>
      <w:r w:rsidR="00F74416">
        <w:rPr>
          <w:rFonts w:eastAsiaTheme="minorEastAsia"/>
        </w:rPr>
        <w:t xml:space="preserve">on </w:t>
      </w:r>
      <w:r w:rsidR="00F74416" w:rsidRPr="00F74416">
        <w:rPr>
          <w:rFonts w:eastAsiaTheme="minorEastAsia"/>
        </w:rPr>
        <w:t xml:space="preserve">numbering </w:t>
      </w:r>
      <w:r w:rsidRPr="00F74416">
        <w:rPr>
          <w:rFonts w:eastAsiaTheme="minorEastAsia"/>
        </w:rPr>
        <w:t>resources for Cards to identify accounts for charging telecommunication services</w:t>
      </w:r>
      <w:r>
        <w:rPr>
          <w:rFonts w:eastAsiaTheme="minorEastAsia"/>
        </w:rPr>
        <w:t xml:space="preserve"> was approved at the SG2 closing plenary on 5 September 2025</w:t>
      </w:r>
      <w:r w:rsidR="00246E60">
        <w:rPr>
          <w:rFonts w:eastAsiaTheme="minorEastAsia"/>
        </w:rPr>
        <w:t xml:space="preserve"> </w:t>
      </w:r>
      <w:r>
        <w:rPr>
          <w:rFonts w:eastAsiaTheme="minorEastAsia"/>
        </w:rPr>
        <w:t>with the following note:</w:t>
      </w:r>
    </w:p>
    <w:p w14:paraId="2128FBF8" w14:textId="13A1FE8D" w:rsidR="00123E5B" w:rsidRDefault="00F74416" w:rsidP="00F74416">
      <w:pPr>
        <w:pStyle w:val="enumlev1"/>
        <w:jc w:val="both"/>
        <w:rPr>
          <w:rFonts w:cs="Calibri"/>
          <w:bCs/>
        </w:rPr>
      </w:pPr>
      <w:r>
        <w:rPr>
          <w:rFonts w:cs="Calibri"/>
          <w:b/>
        </w:rPr>
        <w:tab/>
      </w:r>
      <w:r w:rsidR="00123E5B" w:rsidRPr="00F74416">
        <w:rPr>
          <w:rFonts w:cs="Calibri"/>
          <w:bCs/>
        </w:rPr>
        <w:t>“</w:t>
      </w:r>
      <w:r w:rsidR="00123E5B" w:rsidRPr="00B04611">
        <w:t xml:space="preserve">Due to the existence of </w:t>
      </w:r>
      <w:hyperlink r:id="rId23" w:history="1">
        <w:r w:rsidR="00123E5B" w:rsidRPr="00B04611">
          <w:rPr>
            <w:rStyle w:val="Hyperlink"/>
          </w:rPr>
          <w:t>ITU Council Decision 601</w:t>
        </w:r>
      </w:hyperlink>
      <w:r w:rsidR="00123E5B" w:rsidRPr="00B04611">
        <w:t>, which has precedence over this ITU</w:t>
      </w:r>
      <w:r>
        <w:noBreakHyphen/>
      </w:r>
      <w:r w:rsidR="00123E5B" w:rsidRPr="00B04611">
        <w:t xml:space="preserve">T Recommendation, the publication and implementation of Recommendation ITU-T </w:t>
      </w:r>
      <w:proofErr w:type="spellStart"/>
      <w:r w:rsidR="00123E5B" w:rsidRPr="00B04611">
        <w:t>E.118</w:t>
      </w:r>
      <w:proofErr w:type="spellEnd"/>
      <w:r w:rsidR="00123E5B" w:rsidRPr="00B04611">
        <w:t>, as</w:t>
      </w:r>
      <w:r>
        <w:t> </w:t>
      </w:r>
      <w:r w:rsidR="00123E5B" w:rsidRPr="00B04611">
        <w:t>approved by ITU-T Study Group 2 at its plenary on 5 September 2025, will be suspended until the ITU Council, at its 2026 session, abrogates the said Decision 601 (</w:t>
      </w:r>
      <w:r w:rsidR="00123E5B">
        <w:t>s</w:t>
      </w:r>
      <w:r w:rsidR="00123E5B" w:rsidRPr="00B04611">
        <w:t>ee</w:t>
      </w:r>
      <w:r w:rsidR="00365B05">
        <w:t> </w:t>
      </w:r>
      <w:r w:rsidR="00123E5B" w:rsidRPr="00B04611">
        <w:t xml:space="preserve">Council Document </w:t>
      </w:r>
      <w:hyperlink r:id="rId24" w:history="1">
        <w:proofErr w:type="spellStart"/>
        <w:r w:rsidR="00123E5B" w:rsidRPr="008B68A0">
          <w:rPr>
            <w:rStyle w:val="Hyperlink"/>
          </w:rPr>
          <w:t>C25</w:t>
        </w:r>
        <w:proofErr w:type="spellEnd"/>
        <w:r w:rsidR="00123E5B" w:rsidRPr="008B68A0">
          <w:rPr>
            <w:rStyle w:val="Hyperlink"/>
          </w:rPr>
          <w:t>/38</w:t>
        </w:r>
      </w:hyperlink>
      <w:r w:rsidR="00123E5B" w:rsidRPr="00B04611">
        <w:t>)</w:t>
      </w:r>
      <w:r w:rsidR="00123E5B">
        <w:t>.</w:t>
      </w:r>
      <w:r w:rsidR="00123E5B" w:rsidRPr="00B04611">
        <w:t xml:space="preserve"> In the meantime, the version of Recommendation ITU</w:t>
      </w:r>
      <w:r w:rsidR="00365B05">
        <w:noBreakHyphen/>
      </w:r>
      <w:r w:rsidR="00123E5B" w:rsidRPr="00B04611">
        <w:t xml:space="preserve">T </w:t>
      </w:r>
      <w:proofErr w:type="spellStart"/>
      <w:r w:rsidR="00123E5B" w:rsidRPr="00B04611">
        <w:t>E.118</w:t>
      </w:r>
      <w:proofErr w:type="spellEnd"/>
      <w:r w:rsidR="00123E5B" w:rsidRPr="00B04611">
        <w:t xml:space="preserve"> approved in May 2006 remains in effect.</w:t>
      </w:r>
      <w:r w:rsidR="00123E5B" w:rsidRPr="00F74416">
        <w:rPr>
          <w:rFonts w:cs="Calibri"/>
          <w:bCs/>
        </w:rPr>
        <w:t>”</w:t>
      </w:r>
    </w:p>
    <w:p w14:paraId="3C571111" w14:textId="77777777" w:rsidR="00123E5B" w:rsidRPr="004D01F5" w:rsidRDefault="00123E5B" w:rsidP="003437A5">
      <w:pPr>
        <w:pStyle w:val="Heading1"/>
      </w:pPr>
      <w:r w:rsidRPr="004D01F5">
        <w:t>3</w:t>
      </w:r>
      <w:r w:rsidRPr="004D01F5">
        <w:tab/>
        <w:t>Proposal</w:t>
      </w:r>
    </w:p>
    <w:p w14:paraId="733686F3" w14:textId="77777777" w:rsidR="00123E5B" w:rsidRDefault="00123E5B" w:rsidP="00123E5B">
      <w:pPr>
        <w:jc w:val="both"/>
        <w:rPr>
          <w:rFonts w:eastAsiaTheme="minorEastAsia"/>
        </w:rPr>
      </w:pPr>
      <w:r w:rsidRPr="00762CE2">
        <w:rPr>
          <w:rFonts w:eastAsiaTheme="minorEastAsia"/>
        </w:rPr>
        <w:t xml:space="preserve">The revised Recommendation </w:t>
      </w:r>
      <w:r>
        <w:rPr>
          <w:rFonts w:eastAsiaTheme="minorEastAsia"/>
        </w:rPr>
        <w:t xml:space="preserve">ITU-T </w:t>
      </w:r>
      <w:proofErr w:type="spellStart"/>
      <w:r w:rsidRPr="00762CE2">
        <w:rPr>
          <w:rFonts w:eastAsiaTheme="minorEastAsia"/>
        </w:rPr>
        <w:t>E.118</w:t>
      </w:r>
      <w:proofErr w:type="spellEnd"/>
      <w:r w:rsidRPr="00762CE2">
        <w:rPr>
          <w:rFonts w:eastAsiaTheme="minorEastAsia"/>
        </w:rPr>
        <w:t xml:space="preserve"> no longer includes either the one-off registration fee or the annual maintenance fee. Consequently, it is understood that there is no longer a justification for maintaining Council Decision 601.</w:t>
      </w:r>
      <w:r>
        <w:rPr>
          <w:rFonts w:eastAsiaTheme="minorEastAsia"/>
        </w:rPr>
        <w:t xml:space="preserve"> </w:t>
      </w:r>
    </w:p>
    <w:p w14:paraId="257674B4" w14:textId="0642745C" w:rsidR="00A514A4" w:rsidRDefault="00123E5B" w:rsidP="00123E5B">
      <w:pPr>
        <w:jc w:val="both"/>
      </w:pPr>
      <w:r>
        <w:rPr>
          <w:rFonts w:eastAsiaTheme="minorEastAsia"/>
        </w:rPr>
        <w:t xml:space="preserve">CWG-FHR is therefore invited to recommend, in its report to the 2026 session of the ITU Council, that </w:t>
      </w:r>
      <w:r w:rsidR="00F74416">
        <w:rPr>
          <w:rFonts w:eastAsiaTheme="minorEastAsia"/>
        </w:rPr>
        <w:t xml:space="preserve">the </w:t>
      </w:r>
      <w:r>
        <w:rPr>
          <w:rFonts w:eastAsiaTheme="minorEastAsia"/>
        </w:rPr>
        <w:t xml:space="preserve">ITU Council </w:t>
      </w:r>
      <w:r>
        <w:t>abrogate Decision 601.</w:t>
      </w:r>
    </w:p>
    <w:p w14:paraId="2A5E3ABB" w14:textId="77777777" w:rsidR="00123E5B" w:rsidRDefault="00123E5B" w:rsidP="00123E5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00AD117F" w14:textId="298D7A6E" w:rsidR="00123E5B" w:rsidRPr="00123E5B" w:rsidRDefault="00123E5B" w:rsidP="00123E5B">
      <w:pPr>
        <w:jc w:val="center"/>
      </w:pPr>
      <w:r>
        <w:t>______________</w:t>
      </w:r>
    </w:p>
    <w:sectPr w:rsidR="00123E5B" w:rsidRPr="00123E5B" w:rsidSect="00AD3606">
      <w:footerReference w:type="default" r:id="rId25"/>
      <w:headerReference w:type="first" r:id="rId26"/>
      <w:footerReference w:type="first" r:id="rId27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61802" w14:textId="77777777" w:rsidR="00351CAA" w:rsidRDefault="00351CAA">
      <w:r>
        <w:separator/>
      </w:r>
    </w:p>
  </w:endnote>
  <w:endnote w:type="continuationSeparator" w:id="0">
    <w:p w14:paraId="52FE93C5" w14:textId="77777777" w:rsidR="00351CAA" w:rsidRDefault="0035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>
      <w:trPr>
        <w:jc w:val="center"/>
      </w:trPr>
      <w:tc>
        <w:tcPr>
          <w:tcW w:w="1803" w:type="dxa"/>
          <w:vAlign w:val="center"/>
        </w:tcPr>
        <w:p w14:paraId="727FD637" w14:textId="0ADC8A39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2DB0622C" w:rsidR="00EE49E8" w:rsidRPr="00E06FD5" w:rsidRDefault="00EE49E8" w:rsidP="00A52C84">
          <w:pPr>
            <w:pStyle w:val="Header"/>
            <w:tabs>
              <w:tab w:val="left" w:pos="602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52C84"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9F347C">
            <w:rPr>
              <w:bCs/>
            </w:rPr>
            <w:t>FHR</w:t>
          </w:r>
          <w:r w:rsidR="00A52C84">
            <w:rPr>
              <w:bCs/>
            </w:rPr>
            <w:t>-</w:t>
          </w:r>
          <w:r w:rsidR="00AE78C0">
            <w:rPr>
              <w:bCs/>
            </w:rPr>
            <w:t>22</w:t>
          </w:r>
          <w:r w:rsidR="00A52C84" w:rsidRPr="00623AE3">
            <w:rPr>
              <w:bCs/>
            </w:rPr>
            <w:t>/</w:t>
          </w:r>
          <w:r w:rsidR="003A7E17">
            <w:rPr>
              <w:bCs/>
            </w:rPr>
            <w:t>3</w:t>
          </w:r>
          <w:r w:rsidR="00A52C84"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784011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199F845C" w:rsidR="00EE49E8" w:rsidRDefault="00A52C84" w:rsidP="00EE49E8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 w:rsidRPr="00AE78C0">
              <w:rPr>
                <w:rStyle w:val="Hyperlink"/>
              </w:rPr>
              <w:t>council.itu.int</w:t>
            </w:r>
            <w:proofErr w:type="spellEnd"/>
            <w:r w:rsidRPr="00AE78C0">
              <w:rPr>
                <w:rStyle w:val="Hyperlink"/>
              </w:rPr>
              <w:t>/working-groups</w:t>
            </w:r>
          </w:hyperlink>
        </w:p>
      </w:tc>
      <w:tc>
        <w:tcPr>
          <w:tcW w:w="6957" w:type="dxa"/>
        </w:tcPr>
        <w:p w14:paraId="3F62E0D8" w14:textId="16A5E990" w:rsidR="00EE49E8" w:rsidRPr="00E06FD5" w:rsidRDefault="00EE49E8" w:rsidP="00A52C84">
          <w:pPr>
            <w:pStyle w:val="Header"/>
            <w:tabs>
              <w:tab w:val="left" w:pos="471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9F347C">
            <w:rPr>
              <w:bCs/>
            </w:rPr>
            <w:t>FHR</w:t>
          </w:r>
          <w:r w:rsidR="00A52C84">
            <w:rPr>
              <w:bCs/>
            </w:rPr>
            <w:t>-</w:t>
          </w:r>
          <w:r w:rsidR="00AE78C0">
            <w:rPr>
              <w:bCs/>
            </w:rPr>
            <w:t>22</w:t>
          </w:r>
          <w:r w:rsidRPr="00623AE3">
            <w:rPr>
              <w:bCs/>
            </w:rPr>
            <w:t>/</w:t>
          </w:r>
          <w:r w:rsidR="003A7E17">
            <w:rPr>
              <w:bCs/>
            </w:rPr>
            <w:t>3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EA7B6" w14:textId="77777777" w:rsidR="00351CAA" w:rsidRDefault="00351CAA">
      <w:r>
        <w:t>____________________</w:t>
      </w:r>
    </w:p>
  </w:footnote>
  <w:footnote w:type="continuationSeparator" w:id="0">
    <w:p w14:paraId="3C31AD94" w14:textId="77777777" w:rsidR="00351CAA" w:rsidRDefault="00351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2" w:name="_Hlk133422111"/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FA7ACC9" id="Rectangle 2" o:spid="_x0000_s1026" style="position:absolute;margin-left:44.9pt;margin-top:5pt;width:130.15pt;height:42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2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971F19" id="Rectangle 5" o:spid="_x0000_s1026" style="position:absolute;margin-left:1.15pt;margin-top:43.75pt;width: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32CA3DEA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on </w:t>
                          </w:r>
                          <w:r w:rsidR="00AF5235">
                            <w:rPr>
                              <w:b/>
                              <w:bCs/>
                              <w:szCs w:val="24"/>
                            </w:rPr>
                            <w:t xml:space="preserve">financial </w:t>
                          </w:r>
                          <w:r w:rsidR="009F347C">
                            <w:rPr>
                              <w:b/>
                              <w:bCs/>
                              <w:szCs w:val="24"/>
                            </w:rPr>
                            <w:t xml:space="preserve">and </w:t>
                          </w:r>
                          <w:r w:rsidR="00AF5235">
                            <w:rPr>
                              <w:b/>
                              <w:bCs/>
                              <w:szCs w:val="24"/>
                            </w:rPr>
                            <w:t>human resources</w:t>
                          </w:r>
                          <w:r>
                            <w:br/>
                          </w:r>
                          <w:r w:rsidR="00AE78C0">
                            <w:rPr>
                              <w:sz w:val="20"/>
                            </w:rPr>
                            <w:t>Twenty-second</w:t>
                          </w:r>
                          <w:r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A94376">
                            <w:rPr>
                              <w:sz w:val="20"/>
                            </w:rPr>
                            <w:t>–</w:t>
                          </w:r>
                          <w:r w:rsidR="00B358B2">
                            <w:rPr>
                              <w:sz w:val="20"/>
                            </w:rPr>
                            <w:t xml:space="preserve"> </w:t>
                          </w:r>
                          <w:r w:rsidR="00E03C3D">
                            <w:rPr>
                              <w:sz w:val="20"/>
                            </w:rPr>
                            <w:t xml:space="preserve">From </w:t>
                          </w:r>
                          <w:r w:rsidR="00EF1CD4">
                            <w:rPr>
                              <w:sz w:val="20"/>
                            </w:rPr>
                            <w:t xml:space="preserve">14 (p.m.) to 16 </w:t>
                          </w:r>
                          <w:r w:rsidR="00AE78C0">
                            <w:rPr>
                              <w:sz w:val="20"/>
                            </w:rPr>
                            <w:t xml:space="preserve">January </w:t>
                          </w:r>
                          <w:r w:rsidR="00E03C3D">
                            <w:rPr>
                              <w:sz w:val="20"/>
                            </w:rPr>
                            <w:t>202</w:t>
                          </w:r>
                          <w:r w:rsidR="00284AD1"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32CA3DEA" w:rsidR="00130599" w:rsidRDefault="00130599" w:rsidP="00130599">
                    <w:pPr>
                      <w:spacing w:before="0"/>
                    </w:pPr>
                    <w:r w:rsidRPr="00F74694">
                      <w:rPr>
                        <w:b/>
                        <w:bCs/>
                        <w:szCs w:val="24"/>
                      </w:rPr>
                      <w:t xml:space="preserve">Council Working Group 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Pr="00F74694">
                      <w:rPr>
                        <w:b/>
                        <w:bCs/>
                        <w:szCs w:val="24"/>
                      </w:rPr>
                      <w:t xml:space="preserve">on </w:t>
                    </w:r>
                    <w:r w:rsidR="00AF5235">
                      <w:rPr>
                        <w:b/>
                        <w:bCs/>
                        <w:szCs w:val="24"/>
                      </w:rPr>
                      <w:t xml:space="preserve">financial </w:t>
                    </w:r>
                    <w:r w:rsidR="009F347C">
                      <w:rPr>
                        <w:b/>
                        <w:bCs/>
                        <w:szCs w:val="24"/>
                      </w:rPr>
                      <w:t xml:space="preserve">and </w:t>
                    </w:r>
                    <w:r w:rsidR="00AF5235">
                      <w:rPr>
                        <w:b/>
                        <w:bCs/>
                        <w:szCs w:val="24"/>
                      </w:rPr>
                      <w:t>human resources</w:t>
                    </w:r>
                    <w:r>
                      <w:br/>
                    </w:r>
                    <w:r w:rsidR="00AE78C0">
                      <w:rPr>
                        <w:sz w:val="20"/>
                      </w:rPr>
                      <w:t>Twenty-second</w:t>
                    </w:r>
                    <w:r w:rsidRPr="00130599">
                      <w:rPr>
                        <w:sz w:val="20"/>
                      </w:rPr>
                      <w:t xml:space="preserve"> meeting </w:t>
                    </w:r>
                    <w:r w:rsidR="00A94376">
                      <w:rPr>
                        <w:sz w:val="20"/>
                      </w:rPr>
                      <w:t>–</w:t>
                    </w:r>
                    <w:r w:rsidR="00B358B2">
                      <w:rPr>
                        <w:sz w:val="20"/>
                      </w:rPr>
                      <w:t xml:space="preserve"> </w:t>
                    </w:r>
                    <w:r w:rsidR="00E03C3D">
                      <w:rPr>
                        <w:sz w:val="20"/>
                      </w:rPr>
                      <w:t xml:space="preserve">From </w:t>
                    </w:r>
                    <w:r w:rsidR="00EF1CD4">
                      <w:rPr>
                        <w:sz w:val="20"/>
                      </w:rPr>
                      <w:t xml:space="preserve">14 (p.m.) to 16 </w:t>
                    </w:r>
                    <w:r w:rsidR="00AE78C0">
                      <w:rPr>
                        <w:sz w:val="20"/>
                      </w:rPr>
                      <w:t xml:space="preserve">January </w:t>
                    </w:r>
                    <w:r w:rsidR="00E03C3D">
                      <w:rPr>
                        <w:sz w:val="20"/>
                      </w:rPr>
                      <w:t>202</w:t>
                    </w:r>
                    <w:r w:rsidR="00284AD1">
                      <w:rPr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068E0"/>
    <w:rsid w:val="000210D4"/>
    <w:rsid w:val="000603E1"/>
    <w:rsid w:val="00063016"/>
    <w:rsid w:val="00066795"/>
    <w:rsid w:val="00076AF6"/>
    <w:rsid w:val="00085CF2"/>
    <w:rsid w:val="000B1705"/>
    <w:rsid w:val="000D454F"/>
    <w:rsid w:val="000D75B2"/>
    <w:rsid w:val="001121F5"/>
    <w:rsid w:val="00123E5B"/>
    <w:rsid w:val="00130599"/>
    <w:rsid w:val="001318F0"/>
    <w:rsid w:val="001400DC"/>
    <w:rsid w:val="00140CE1"/>
    <w:rsid w:val="001568E4"/>
    <w:rsid w:val="001751FF"/>
    <w:rsid w:val="0017539C"/>
    <w:rsid w:val="00175AC2"/>
    <w:rsid w:val="0017609F"/>
    <w:rsid w:val="001825E6"/>
    <w:rsid w:val="0019628A"/>
    <w:rsid w:val="001A7D1D"/>
    <w:rsid w:val="001B51DD"/>
    <w:rsid w:val="001C628E"/>
    <w:rsid w:val="001E0F7B"/>
    <w:rsid w:val="001E0FBE"/>
    <w:rsid w:val="002119FD"/>
    <w:rsid w:val="002130E0"/>
    <w:rsid w:val="00215A2C"/>
    <w:rsid w:val="002404ED"/>
    <w:rsid w:val="00244F7F"/>
    <w:rsid w:val="00246E60"/>
    <w:rsid w:val="00260ACE"/>
    <w:rsid w:val="00264425"/>
    <w:rsid w:val="00265875"/>
    <w:rsid w:val="0027303B"/>
    <w:rsid w:val="0028109B"/>
    <w:rsid w:val="0028162D"/>
    <w:rsid w:val="00284AD1"/>
    <w:rsid w:val="002A2188"/>
    <w:rsid w:val="002B1F58"/>
    <w:rsid w:val="002C1C7A"/>
    <w:rsid w:val="002C54E2"/>
    <w:rsid w:val="002C6532"/>
    <w:rsid w:val="0030160F"/>
    <w:rsid w:val="00320223"/>
    <w:rsid w:val="00322D0D"/>
    <w:rsid w:val="003437A5"/>
    <w:rsid w:val="00351CAA"/>
    <w:rsid w:val="00361465"/>
    <w:rsid w:val="00365B05"/>
    <w:rsid w:val="003877F5"/>
    <w:rsid w:val="003942D4"/>
    <w:rsid w:val="003958A8"/>
    <w:rsid w:val="003A7E17"/>
    <w:rsid w:val="003C2533"/>
    <w:rsid w:val="003D55B9"/>
    <w:rsid w:val="003D5A7F"/>
    <w:rsid w:val="003E1030"/>
    <w:rsid w:val="004016E2"/>
    <w:rsid w:val="0040435A"/>
    <w:rsid w:val="00416A24"/>
    <w:rsid w:val="004216EA"/>
    <w:rsid w:val="00431D9E"/>
    <w:rsid w:val="00433CE8"/>
    <w:rsid w:val="00434A5C"/>
    <w:rsid w:val="00435653"/>
    <w:rsid w:val="004531F6"/>
    <w:rsid w:val="004544D9"/>
    <w:rsid w:val="00472BAD"/>
    <w:rsid w:val="00484009"/>
    <w:rsid w:val="00490E72"/>
    <w:rsid w:val="00491157"/>
    <w:rsid w:val="004921C8"/>
    <w:rsid w:val="00495B0B"/>
    <w:rsid w:val="004A1B8B"/>
    <w:rsid w:val="004D1851"/>
    <w:rsid w:val="004D599D"/>
    <w:rsid w:val="004E2037"/>
    <w:rsid w:val="004E2EA5"/>
    <w:rsid w:val="004E3AEB"/>
    <w:rsid w:val="0050223C"/>
    <w:rsid w:val="00502E43"/>
    <w:rsid w:val="005203BE"/>
    <w:rsid w:val="005243FF"/>
    <w:rsid w:val="00564FBC"/>
    <w:rsid w:val="005800BC"/>
    <w:rsid w:val="00582442"/>
    <w:rsid w:val="005A335D"/>
    <w:rsid w:val="005B0E23"/>
    <w:rsid w:val="005E2BD5"/>
    <w:rsid w:val="005F3269"/>
    <w:rsid w:val="00623AE3"/>
    <w:rsid w:val="0064737F"/>
    <w:rsid w:val="006535F1"/>
    <w:rsid w:val="0065557D"/>
    <w:rsid w:val="00660D50"/>
    <w:rsid w:val="00662984"/>
    <w:rsid w:val="006716BB"/>
    <w:rsid w:val="00675513"/>
    <w:rsid w:val="00676C7D"/>
    <w:rsid w:val="006A74A1"/>
    <w:rsid w:val="006B1859"/>
    <w:rsid w:val="006B6680"/>
    <w:rsid w:val="006B6DCC"/>
    <w:rsid w:val="006D3879"/>
    <w:rsid w:val="00702DEF"/>
    <w:rsid w:val="00706861"/>
    <w:rsid w:val="0073553F"/>
    <w:rsid w:val="0075051B"/>
    <w:rsid w:val="00775655"/>
    <w:rsid w:val="00777AB6"/>
    <w:rsid w:val="00793188"/>
    <w:rsid w:val="00794D34"/>
    <w:rsid w:val="0080655A"/>
    <w:rsid w:val="00813E5E"/>
    <w:rsid w:val="0083581B"/>
    <w:rsid w:val="00863874"/>
    <w:rsid w:val="00864AFF"/>
    <w:rsid w:val="00865925"/>
    <w:rsid w:val="008662C2"/>
    <w:rsid w:val="00891503"/>
    <w:rsid w:val="008964B4"/>
    <w:rsid w:val="008B4A6A"/>
    <w:rsid w:val="008C7E27"/>
    <w:rsid w:val="008F7448"/>
    <w:rsid w:val="0090147A"/>
    <w:rsid w:val="009173EF"/>
    <w:rsid w:val="00932906"/>
    <w:rsid w:val="00941417"/>
    <w:rsid w:val="00942B1A"/>
    <w:rsid w:val="00961B0B"/>
    <w:rsid w:val="00962D33"/>
    <w:rsid w:val="00965A78"/>
    <w:rsid w:val="00971C28"/>
    <w:rsid w:val="009B2D4B"/>
    <w:rsid w:val="009B38C3"/>
    <w:rsid w:val="009B4345"/>
    <w:rsid w:val="009C01AD"/>
    <w:rsid w:val="009C253A"/>
    <w:rsid w:val="009E17BD"/>
    <w:rsid w:val="009E485A"/>
    <w:rsid w:val="009F347C"/>
    <w:rsid w:val="00A04CEC"/>
    <w:rsid w:val="00A145ED"/>
    <w:rsid w:val="00A27F92"/>
    <w:rsid w:val="00A32257"/>
    <w:rsid w:val="00A34664"/>
    <w:rsid w:val="00A36D20"/>
    <w:rsid w:val="00A467DF"/>
    <w:rsid w:val="00A514A4"/>
    <w:rsid w:val="00A52C84"/>
    <w:rsid w:val="00A55622"/>
    <w:rsid w:val="00A83502"/>
    <w:rsid w:val="00A94376"/>
    <w:rsid w:val="00AD15B3"/>
    <w:rsid w:val="00AD226A"/>
    <w:rsid w:val="00AD3606"/>
    <w:rsid w:val="00AD4A3D"/>
    <w:rsid w:val="00AE78C0"/>
    <w:rsid w:val="00AF5235"/>
    <w:rsid w:val="00AF6E49"/>
    <w:rsid w:val="00B04A67"/>
    <w:rsid w:val="00B0583C"/>
    <w:rsid w:val="00B358B2"/>
    <w:rsid w:val="00B40A81"/>
    <w:rsid w:val="00B44910"/>
    <w:rsid w:val="00B72267"/>
    <w:rsid w:val="00B76EB6"/>
    <w:rsid w:val="00B7737B"/>
    <w:rsid w:val="00B824C8"/>
    <w:rsid w:val="00B84B9D"/>
    <w:rsid w:val="00B971D0"/>
    <w:rsid w:val="00BC251A"/>
    <w:rsid w:val="00BD032B"/>
    <w:rsid w:val="00BD1693"/>
    <w:rsid w:val="00BE2640"/>
    <w:rsid w:val="00BF5639"/>
    <w:rsid w:val="00C01189"/>
    <w:rsid w:val="00C374DE"/>
    <w:rsid w:val="00C47AD4"/>
    <w:rsid w:val="00C51846"/>
    <w:rsid w:val="00C52D81"/>
    <w:rsid w:val="00C55198"/>
    <w:rsid w:val="00CA6393"/>
    <w:rsid w:val="00CA7CB8"/>
    <w:rsid w:val="00CB18FF"/>
    <w:rsid w:val="00CD0C08"/>
    <w:rsid w:val="00CD5EA0"/>
    <w:rsid w:val="00CE03FB"/>
    <w:rsid w:val="00CE433C"/>
    <w:rsid w:val="00CF0161"/>
    <w:rsid w:val="00CF33F3"/>
    <w:rsid w:val="00D06183"/>
    <w:rsid w:val="00D22C42"/>
    <w:rsid w:val="00D464CC"/>
    <w:rsid w:val="00D53C61"/>
    <w:rsid w:val="00D65041"/>
    <w:rsid w:val="00DA78E5"/>
    <w:rsid w:val="00DB00D5"/>
    <w:rsid w:val="00DB1936"/>
    <w:rsid w:val="00DB384B"/>
    <w:rsid w:val="00DD59EE"/>
    <w:rsid w:val="00DE067B"/>
    <w:rsid w:val="00DF0189"/>
    <w:rsid w:val="00E03C3D"/>
    <w:rsid w:val="00E04CE5"/>
    <w:rsid w:val="00E06FD5"/>
    <w:rsid w:val="00E10E80"/>
    <w:rsid w:val="00E124F0"/>
    <w:rsid w:val="00E227F3"/>
    <w:rsid w:val="00E545C6"/>
    <w:rsid w:val="00E60F04"/>
    <w:rsid w:val="00E65B24"/>
    <w:rsid w:val="00E854E4"/>
    <w:rsid w:val="00E86DBF"/>
    <w:rsid w:val="00EA2907"/>
    <w:rsid w:val="00EB0D6F"/>
    <w:rsid w:val="00EB2232"/>
    <w:rsid w:val="00EC5337"/>
    <w:rsid w:val="00ED454D"/>
    <w:rsid w:val="00EE49E8"/>
    <w:rsid w:val="00EF1CD4"/>
    <w:rsid w:val="00F16BAB"/>
    <w:rsid w:val="00F2150A"/>
    <w:rsid w:val="00F231D8"/>
    <w:rsid w:val="00F3480F"/>
    <w:rsid w:val="00F44C00"/>
    <w:rsid w:val="00F45D2C"/>
    <w:rsid w:val="00F46C5F"/>
    <w:rsid w:val="00F632C0"/>
    <w:rsid w:val="00F74416"/>
    <w:rsid w:val="00F74694"/>
    <w:rsid w:val="00F77BA7"/>
    <w:rsid w:val="00F94A63"/>
    <w:rsid w:val="00FA1C28"/>
    <w:rsid w:val="00FA5885"/>
    <w:rsid w:val="00FB1279"/>
    <w:rsid w:val="00FB6B76"/>
    <w:rsid w:val="00FB7596"/>
    <w:rsid w:val="00FD7016"/>
    <w:rsid w:val="00FE4077"/>
    <w:rsid w:val="00FE500D"/>
    <w:rsid w:val="00FE77D2"/>
    <w:rsid w:val="05F7D76A"/>
    <w:rsid w:val="0A5A4C05"/>
    <w:rsid w:val="0D5E94C7"/>
    <w:rsid w:val="2D5DD81A"/>
    <w:rsid w:val="30C801AE"/>
    <w:rsid w:val="37ADA394"/>
    <w:rsid w:val="391F135F"/>
    <w:rsid w:val="411049CD"/>
    <w:rsid w:val="486EBAE2"/>
    <w:rsid w:val="4CF2DE72"/>
    <w:rsid w:val="504B3E72"/>
    <w:rsid w:val="556CA893"/>
    <w:rsid w:val="59337EE8"/>
    <w:rsid w:val="5CE85DE0"/>
    <w:rsid w:val="6793F8F0"/>
    <w:rsid w:val="6AF31C20"/>
    <w:rsid w:val="79BBFA42"/>
    <w:rsid w:val="7B1677D9"/>
    <w:rsid w:val="7DC3A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2E63E59"/>
  <w15:docId w15:val="{E5C88A25-0405-4093-A26C-6328CF43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3437A5"/>
    <w:pPr>
      <w:keepNext/>
      <w:keepLines/>
      <w:spacing w:before="360"/>
      <w:ind w:left="567" w:hanging="567"/>
      <w:outlineLvl w:val="0"/>
    </w:pPr>
    <w:rPr>
      <w:rFonts w:eastAsiaTheme="minorEastAsia"/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676C7D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FD701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A74A1"/>
    <w:rPr>
      <w:color w:val="666666"/>
    </w:rPr>
  </w:style>
  <w:style w:type="paragraph" w:customStyle="1" w:styleId="Reasons">
    <w:name w:val="Reasons"/>
    <w:basedOn w:val="Normal"/>
    <w:qFormat/>
    <w:rsid w:val="00123E5B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Revision">
    <w:name w:val="Revision"/>
    <w:hidden/>
    <w:uiPriority w:val="99"/>
    <w:semiHidden/>
    <w:rsid w:val="004531F6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5-CWGFHR20-C-0013/en" TargetMode="External"/><Relationship Id="rId18" Type="http://schemas.openxmlformats.org/officeDocument/2006/relationships/hyperlink" Target="https://www.itu.int/md/S25-CL-C-0114/en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S25-CWGFHR20-C-0032/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tu.int/en/council/cwg-fhr/Pages/default.aspx" TargetMode="External"/><Relationship Id="rId17" Type="http://schemas.openxmlformats.org/officeDocument/2006/relationships/hyperlink" Target="https://www.itu.int/md/S25-CL-C-0105/en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meetingdoc.asp?lang=en&amp;parent=S25-CL-C-0038" TargetMode="External"/><Relationship Id="rId20" Type="http://schemas.openxmlformats.org/officeDocument/2006/relationships/hyperlink" Target="https://www.itu.int/md/S25-CWGFHR20-C-0013/e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meetingdoc.asp?lang=en&amp;parent=S25-CL-C-0038" TargetMode="External"/><Relationship Id="rId24" Type="http://schemas.openxmlformats.org/officeDocument/2006/relationships/hyperlink" Target="https://www.itu.int/md/meetingdoc.asp?lang=en&amp;parent=S25-CL-C-0038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md/S17-CL-C-0134/en" TargetMode="External"/><Relationship Id="rId23" Type="http://schemas.openxmlformats.org/officeDocument/2006/relationships/hyperlink" Target="https://www.itu.int/dms_pub/itu-s/opb/conf/S-CONF-CL-2025-PDF-E.pdf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17-CL-C-0134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5-CWGFHR20-C-0032/en" TargetMode="External"/><Relationship Id="rId22" Type="http://schemas.openxmlformats.org/officeDocument/2006/relationships/hyperlink" Target="http://www.itu.int/md/S25-CL-C-0038/en" TargetMode="External"/><Relationship Id="rId27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working-group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3" ma:contentTypeDescription="Create a new document." ma:contentTypeScope="" ma:versionID="7c7b6365ae85304ed038584fec3de209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716c1f24c9963eeb1e0ffe3860f8f798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216B7-24D7-4E74-A1F8-EA85E4114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1EFE4F-A271-43B1-B151-620FA0789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87820-0E5F-465D-AA9D-DDE76E0884C7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a4c22657-7647-457b-a399-8471255bb166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3104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Abrogation of the Council Decision 601 on IIN registration</vt:lpstr>
    </vt:vector>
  </TitlesOfParts>
  <Manager/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Abrogation of the Council Decision 601 on IIN registration</dc:title>
  <dc:subject>ITU Council Working Group on Financial and Human Resources</dc:subject>
  <cp:keywords>CWG-FHR; C26; Council-26</cp:keywords>
  <dc:description/>
  <dcterms:created xsi:type="dcterms:W3CDTF">2025-12-12T09:42:00Z</dcterms:created>
  <dcterms:modified xsi:type="dcterms:W3CDTF">2025-12-12T09:51:00Z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25d5aa41-e346-4394-b09a-fb592d4e16e2</vt:lpwstr>
  </property>
  <property fmtid="{D5CDD505-2E9C-101B-9397-08002B2CF9AE}" pid="3" name="ContentTypeId">
    <vt:lpwstr>0x010100814E447ED7B9DA4C9F10BB2808D9DCA9</vt:lpwstr>
  </property>
  <property fmtid="{D5CDD505-2E9C-101B-9397-08002B2CF9AE}" pid="4" name="docLang">
    <vt:lpwstr>en</vt:lpwstr>
  </property>
</Properties>
</file>