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DE1387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9272A75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ACF0E44" w14:textId="2627F599" w:rsidR="00DE1387" w:rsidRDefault="00DE138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Revision </w:t>
            </w:r>
            <w:r w:rsidR="00A051A6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 xml:space="preserve"> to</w:t>
            </w:r>
          </w:p>
          <w:p w14:paraId="291AB2A2" w14:textId="214F507A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9F347C" w:rsidRPr="00A94376">
              <w:rPr>
                <w:b/>
                <w:lang w:val="it-IT"/>
              </w:rPr>
              <w:t>FHR</w:t>
            </w:r>
            <w:r w:rsidR="00A52C84" w:rsidRPr="00A94376">
              <w:rPr>
                <w:b/>
                <w:lang w:val="it-IT"/>
              </w:rPr>
              <w:t>-</w:t>
            </w:r>
            <w:r w:rsidR="00AE78C0">
              <w:rPr>
                <w:b/>
                <w:lang w:val="it-IT"/>
              </w:rPr>
              <w:t>22</w:t>
            </w:r>
            <w:r w:rsidRPr="00A94376">
              <w:rPr>
                <w:b/>
                <w:lang w:val="it-IT"/>
              </w:rPr>
              <w:t>/</w:t>
            </w:r>
            <w:r w:rsidR="00F46F77">
              <w:rPr>
                <w:b/>
                <w:lang w:val="it-IT"/>
              </w:rPr>
              <w:t>1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605C51F" w:rsidR="00AD3606" w:rsidRPr="00A94376" w:rsidRDefault="00A051A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DE1387">
              <w:rPr>
                <w:b/>
              </w:rPr>
              <w:t xml:space="preserve"> January </w:t>
            </w:r>
            <w:r w:rsidR="00F46F77">
              <w:rPr>
                <w:b/>
              </w:rPr>
              <w:t>202</w:t>
            </w:r>
            <w:r w:rsidR="00DE1387">
              <w:rPr>
                <w:b/>
              </w:rPr>
              <w:t>6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63844205" w14:textId="77777777" w:rsidR="00F46F77" w:rsidRPr="00F46F77" w:rsidRDefault="00F46F77" w:rsidP="009761F8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before="600"/>
        <w:jc w:val="center"/>
        <w:rPr>
          <w:rFonts w:cs="Calibri"/>
          <w:bCs/>
          <w:sz w:val="28"/>
          <w:szCs w:val="28"/>
        </w:rPr>
      </w:pPr>
      <w:bookmarkStart w:id="8" w:name="_Hlk133421428"/>
      <w:bookmarkEnd w:id="2"/>
      <w:bookmarkEnd w:id="7"/>
      <w:r w:rsidRPr="00F46F77">
        <w:rPr>
          <w:rFonts w:cs="Calibri"/>
          <w:bCs/>
          <w:sz w:val="28"/>
          <w:szCs w:val="28"/>
        </w:rPr>
        <w:t>DRAFT AGENDA</w:t>
      </w:r>
    </w:p>
    <w:p w14:paraId="63E5A1F7" w14:textId="77777777" w:rsidR="00F46F77" w:rsidRPr="00F46F77" w:rsidRDefault="00F46F77" w:rsidP="00F46F77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/>
          <w:sz w:val="28"/>
          <w:szCs w:val="28"/>
        </w:rPr>
      </w:pPr>
      <w:r w:rsidRPr="00F46F77">
        <w:rPr>
          <w:rFonts w:cs="Calibri"/>
          <w:b/>
          <w:sz w:val="28"/>
          <w:szCs w:val="28"/>
        </w:rPr>
        <w:t>COUNCIL WORKING GROUP ON FINANCIAL AND HUMAN RESOURCES</w:t>
      </w:r>
    </w:p>
    <w:p w14:paraId="7B836D00" w14:textId="6314A107" w:rsidR="00F46F77" w:rsidRPr="00F46F77" w:rsidRDefault="00F46F77" w:rsidP="00F46F77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Cs/>
        </w:rPr>
      </w:pPr>
      <w:r w:rsidRPr="00F46F77">
        <w:rPr>
          <w:rFonts w:cs="Calibri"/>
          <w:bCs/>
        </w:rPr>
        <w:t xml:space="preserve">Wednesday, </w:t>
      </w:r>
      <w:r>
        <w:rPr>
          <w:rFonts w:cs="Calibri"/>
          <w:bCs/>
        </w:rPr>
        <w:t xml:space="preserve">14 January 2026, </w:t>
      </w:r>
      <w:r w:rsidRPr="00F46F77">
        <w:rPr>
          <w:rFonts w:cs="Calibri"/>
          <w:bCs/>
        </w:rPr>
        <w:t>1430</w:t>
      </w:r>
      <w:r w:rsidR="00F670B1">
        <w:rPr>
          <w:rFonts w:cs="Calibri"/>
          <w:bCs/>
        </w:rPr>
        <w:t>-</w:t>
      </w:r>
      <w:r w:rsidRPr="00F46F77">
        <w:rPr>
          <w:rFonts w:cs="Calibri"/>
          <w:bCs/>
        </w:rPr>
        <w:t xml:space="preserve">1730 hours </w:t>
      </w:r>
      <w:r w:rsidRPr="00F46F77">
        <w:rPr>
          <w:rFonts w:cs="Calibri"/>
          <w:bCs/>
        </w:rPr>
        <w:br/>
        <w:t xml:space="preserve">Thursday, </w:t>
      </w:r>
      <w:r>
        <w:rPr>
          <w:rFonts w:cs="Calibri"/>
          <w:bCs/>
        </w:rPr>
        <w:t>15 January 2026</w:t>
      </w:r>
      <w:r w:rsidRPr="00F46F77">
        <w:rPr>
          <w:rFonts w:cs="Calibri"/>
          <w:bCs/>
        </w:rPr>
        <w:t>, 0930</w:t>
      </w:r>
      <w:r w:rsidR="00F670B1">
        <w:rPr>
          <w:rFonts w:cs="Calibri"/>
          <w:bCs/>
        </w:rPr>
        <w:t>-</w:t>
      </w:r>
      <w:r w:rsidRPr="00F46F77">
        <w:rPr>
          <w:rFonts w:cs="Calibri"/>
          <w:bCs/>
        </w:rPr>
        <w:t>1230 hours and 1430</w:t>
      </w:r>
      <w:r w:rsidR="00F670B1">
        <w:rPr>
          <w:rFonts w:cs="Calibri"/>
          <w:bCs/>
        </w:rPr>
        <w:t>-</w:t>
      </w:r>
      <w:r w:rsidRPr="00F46F77">
        <w:rPr>
          <w:rFonts w:cs="Calibri"/>
          <w:bCs/>
        </w:rPr>
        <w:t>1730 hours</w:t>
      </w:r>
      <w:r w:rsidRPr="00F46F77">
        <w:rPr>
          <w:rFonts w:cs="Calibri"/>
          <w:bCs/>
        </w:rPr>
        <w:br/>
        <w:t>and</w:t>
      </w:r>
      <w:r w:rsidRPr="00F46F77">
        <w:rPr>
          <w:rFonts w:cs="Calibri"/>
          <w:bCs/>
        </w:rPr>
        <w:br/>
        <w:t xml:space="preserve">Friday, </w:t>
      </w:r>
      <w:r>
        <w:rPr>
          <w:rFonts w:cs="Calibri"/>
          <w:bCs/>
        </w:rPr>
        <w:t>16 January 2026</w:t>
      </w:r>
      <w:r w:rsidRPr="00F46F77">
        <w:rPr>
          <w:rFonts w:cs="Calibri"/>
          <w:bCs/>
        </w:rPr>
        <w:t>, 0900</w:t>
      </w:r>
      <w:r w:rsidR="00F670B1">
        <w:rPr>
          <w:rFonts w:cs="Calibri"/>
          <w:bCs/>
        </w:rPr>
        <w:t>-</w:t>
      </w:r>
      <w:r w:rsidRPr="00F46F77">
        <w:rPr>
          <w:rFonts w:cs="Calibri"/>
          <w:bCs/>
        </w:rPr>
        <w:t>1200 hours and 1430</w:t>
      </w:r>
      <w:r w:rsidR="00F670B1">
        <w:rPr>
          <w:rFonts w:cs="Calibri"/>
          <w:bCs/>
        </w:rPr>
        <w:t>-</w:t>
      </w:r>
      <w:r w:rsidRPr="00F46F77">
        <w:rPr>
          <w:rFonts w:cs="Calibri"/>
          <w:bCs/>
        </w:rPr>
        <w:t>1730 hours</w:t>
      </w:r>
    </w:p>
    <w:p w14:paraId="7BF984E5" w14:textId="3398E04D" w:rsidR="00F46F77" w:rsidRDefault="00F46F77" w:rsidP="009761F8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after="600"/>
        <w:jc w:val="center"/>
        <w:rPr>
          <w:rFonts w:cs="Calibri"/>
          <w:b/>
        </w:rPr>
      </w:pPr>
      <w:r w:rsidRPr="00F46F77">
        <w:rPr>
          <w:rFonts w:cs="Calibri"/>
          <w:b/>
        </w:rPr>
        <w:t xml:space="preserve">Room </w:t>
      </w:r>
      <w:r>
        <w:rPr>
          <w:rFonts w:cs="Calibri"/>
          <w:b/>
        </w:rPr>
        <w:t>Popov</w:t>
      </w:r>
      <w:r w:rsidRPr="00F46F77">
        <w:rPr>
          <w:rFonts w:cs="Calibri"/>
          <w:b/>
        </w:rPr>
        <w:t>, ITU Headquarters, Geneva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2"/>
        <w:gridCol w:w="7534"/>
        <w:gridCol w:w="1980"/>
      </w:tblGrid>
      <w:tr w:rsidR="00F46F77" w:rsidRPr="00F46F77" w14:paraId="4E40BB0B" w14:textId="77777777" w:rsidTr="008B0176">
        <w:trPr>
          <w:cantSplit/>
          <w:tblHeader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49C" w14:textId="77777777" w:rsidR="00F46F77" w:rsidRPr="00E72B0A" w:rsidRDefault="00F46F77" w:rsidP="00E72B0A">
            <w:pPr>
              <w:pStyle w:val="Tablehead"/>
            </w:pPr>
            <w:r w:rsidRPr="00E72B0A">
              <w:t>Item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269" w14:textId="77777777" w:rsidR="00F46F77" w:rsidRPr="00F46F77" w:rsidRDefault="00F46F77" w:rsidP="00E72B0A">
            <w:pPr>
              <w:pStyle w:val="Tablehead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289" w14:textId="77777777" w:rsidR="00F46F77" w:rsidRPr="00F46F77" w:rsidRDefault="00F46F77" w:rsidP="00E72B0A">
            <w:pPr>
              <w:pStyle w:val="Tablehead"/>
            </w:pPr>
            <w:r w:rsidRPr="00F46F77">
              <w:t>Documents</w:t>
            </w:r>
          </w:p>
        </w:tc>
      </w:tr>
      <w:tr w:rsidR="00F46F77" w:rsidRPr="00F46F77" w14:paraId="4265CB46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76C8" w14:textId="77777777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BB4" w14:textId="2CFB1D46" w:rsidR="00F46F77" w:rsidRPr="00F46F77" w:rsidRDefault="00F46F77" w:rsidP="00E72B0A">
            <w:pPr>
              <w:pStyle w:val="Tabletext"/>
              <w:rPr>
                <w:bCs/>
                <w:szCs w:val="22"/>
              </w:rPr>
            </w:pPr>
            <w:r w:rsidRPr="00BF337F">
              <w:rPr>
                <w:rFonts w:cs="Calibri"/>
              </w:rPr>
              <w:t>Opening remarks and approval of the agenda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5694F" w14:textId="06682E9A" w:rsidR="00F46F77" w:rsidRPr="00F46F77" w:rsidRDefault="00F46F77" w:rsidP="00E72B0A">
            <w:pPr>
              <w:pStyle w:val="Tabletext"/>
              <w:ind w:left="-57" w:right="-57"/>
              <w:jc w:val="center"/>
              <w:rPr>
                <w:spacing w:val="-2"/>
              </w:rPr>
            </w:pPr>
            <w:r w:rsidRPr="00F46F77">
              <w:rPr>
                <w:spacing w:val="-2"/>
              </w:rPr>
              <w:t>CWG-FHR-22/1</w:t>
            </w:r>
            <w:r w:rsidR="003F632E">
              <w:rPr>
                <w:spacing w:val="-2"/>
              </w:rPr>
              <w:t>(</w:t>
            </w:r>
            <w:proofErr w:type="spellStart"/>
            <w:r w:rsidR="003F632E">
              <w:rPr>
                <w:spacing w:val="-2"/>
              </w:rPr>
              <w:t>Rev.</w:t>
            </w:r>
            <w:r w:rsidR="00486A4D">
              <w:rPr>
                <w:spacing w:val="-2"/>
              </w:rPr>
              <w:t>2</w:t>
            </w:r>
            <w:proofErr w:type="spellEnd"/>
            <w:r w:rsidR="003F632E">
              <w:rPr>
                <w:spacing w:val="-2"/>
              </w:rPr>
              <w:t>)</w:t>
            </w:r>
          </w:p>
        </w:tc>
      </w:tr>
      <w:tr w:rsidR="00F46F77" w:rsidRPr="00F46F77" w14:paraId="288EE8D0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1285" w14:textId="77777777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D35" w14:textId="389EBF9A" w:rsidR="00F46F77" w:rsidRPr="00F46F77" w:rsidRDefault="00F46F77" w:rsidP="00E72B0A">
            <w:pPr>
              <w:pStyle w:val="Tabletext"/>
              <w:rPr>
                <w:szCs w:val="22"/>
              </w:rPr>
            </w:pPr>
            <w:r w:rsidRPr="00BF337F">
              <w:rPr>
                <w:rFonts w:cs="Calibri"/>
              </w:rPr>
              <w:t>Statement by the Staff Council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54B84" w14:textId="1B375F45" w:rsidR="00F46F77" w:rsidRPr="00F46F77" w:rsidRDefault="00F46F77" w:rsidP="00E72B0A">
            <w:pPr>
              <w:pStyle w:val="Tabletext"/>
              <w:jc w:val="center"/>
              <w:rPr>
                <w:spacing w:val="-2"/>
              </w:rPr>
            </w:pPr>
            <w:r w:rsidRPr="00F46F77">
              <w:rPr>
                <w:spacing w:val="-2"/>
              </w:rPr>
              <w:t>Oral presentation</w:t>
            </w:r>
          </w:p>
        </w:tc>
      </w:tr>
      <w:tr w:rsidR="00580D7E" w:rsidRPr="00F46F77" w14:paraId="058585FD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2F95" w14:textId="77777777" w:rsidR="00580D7E" w:rsidRPr="00E72B0A" w:rsidRDefault="00580D7E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2D8F" w14:textId="5C072DF5" w:rsidR="00486A4D" w:rsidRPr="001047EA" w:rsidRDefault="00580D7E" w:rsidP="001047EA">
            <w:pPr>
              <w:pStyle w:val="Tabletext"/>
              <w:spacing w:after="0"/>
              <w:rPr>
                <w:rFonts w:cs="Calibri"/>
              </w:rPr>
            </w:pPr>
            <w:r w:rsidRPr="002C7D27">
              <w:rPr>
                <w:rFonts w:cs="Calibri"/>
              </w:rPr>
              <w:t>Discussion of the recommendations on human resources management</w:t>
            </w:r>
            <w:r>
              <w:rPr>
                <w:rFonts w:cs="Calibri"/>
              </w:rPr>
              <w:t xml:space="preserve"> (</w:t>
            </w:r>
            <w:proofErr w:type="spellStart"/>
            <w:r>
              <w:fldChar w:fldCharType="begin"/>
            </w:r>
            <w:r>
              <w:instrText>HYPERLINK "https://www.itu.int/md/S25-CL-C-0085/en"</w:instrText>
            </w:r>
            <w:r>
              <w:fldChar w:fldCharType="separate"/>
            </w:r>
            <w:r w:rsidRPr="0048033F">
              <w:rPr>
                <w:rStyle w:val="Hyperlink"/>
                <w:rFonts w:cs="Calibri"/>
                <w:szCs w:val="24"/>
              </w:rPr>
              <w:t>C25</w:t>
            </w:r>
            <w:proofErr w:type="spellEnd"/>
            <w:r w:rsidRPr="0048033F">
              <w:rPr>
                <w:rStyle w:val="Hyperlink"/>
                <w:rFonts w:cs="Calibri"/>
                <w:szCs w:val="24"/>
              </w:rPr>
              <w:t>/85</w:t>
            </w:r>
            <w:r w:rsidRPr="0048033F">
              <w:rPr>
                <w:rStyle w:val="Hyperlink"/>
              </w:rPr>
              <w:t>(</w:t>
            </w:r>
            <w:proofErr w:type="spellStart"/>
            <w:r w:rsidRPr="0048033F">
              <w:rPr>
                <w:rStyle w:val="Hyperlink"/>
              </w:rPr>
              <w:t>Rev.1</w:t>
            </w:r>
            <w:proofErr w:type="spellEnd"/>
            <w:r w:rsidRPr="0048033F">
              <w:rPr>
                <w:rStyle w:val="Hyperlink"/>
                <w:rFonts w:cs="Calibri"/>
              </w:rPr>
              <w:t>)</w:t>
            </w:r>
            <w:r>
              <w:fldChar w:fldCharType="end"/>
            </w:r>
            <w:r>
              <w:rPr>
                <w:rFonts w:cs="Calibri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CBD42" w14:textId="77487E0E" w:rsidR="00580D7E" w:rsidRPr="00F46F77" w:rsidRDefault="00580D7E" w:rsidP="0079198B">
            <w:pPr>
              <w:pStyle w:val="Tabletext"/>
              <w:spacing w:after="0"/>
              <w:jc w:val="center"/>
              <w:rPr>
                <w:spacing w:val="-2"/>
                <w:u w:val="single"/>
              </w:rPr>
            </w:pPr>
          </w:p>
        </w:tc>
      </w:tr>
      <w:tr w:rsidR="001047EA" w:rsidRPr="00F46F77" w14:paraId="283A8D33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4F4B3" w14:textId="77777777" w:rsidR="001047EA" w:rsidRPr="00E72B0A" w:rsidRDefault="001047EA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C3572" w14:textId="4179B102" w:rsidR="001047EA" w:rsidRPr="002C7D27" w:rsidRDefault="001047EA" w:rsidP="001047EA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E72B0A">
              <w:rPr>
                <w:rFonts w:cs="Calibri"/>
              </w:rPr>
              <w:tab/>
            </w:r>
            <w:r w:rsidRPr="001047EA">
              <w:rPr>
                <w:rFonts w:cs="Calibri"/>
                <w:bCs/>
              </w:rPr>
              <w:t>People</w:t>
            </w:r>
            <w:r w:rsidRPr="00E72B0A">
              <w:t xml:space="preserve"> and Culture Initiatives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B15A7" w14:textId="3318DDF1" w:rsidR="001047EA" w:rsidRDefault="001047EA" w:rsidP="0079198B">
            <w:pPr>
              <w:pStyle w:val="Tabletext"/>
              <w:spacing w:after="0"/>
              <w:jc w:val="center"/>
            </w:pPr>
            <w:hyperlink r:id="rId8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12</w:t>
              </w:r>
            </w:hyperlink>
          </w:p>
        </w:tc>
      </w:tr>
      <w:tr w:rsidR="00580D7E" w:rsidRPr="00F46F77" w14:paraId="3F6C5E0D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2453" w14:textId="77777777" w:rsidR="00580D7E" w:rsidRPr="00E72B0A" w:rsidRDefault="00580D7E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78E4" w14:textId="30AA19CC" w:rsidR="00580D7E" w:rsidRPr="002C7D27" w:rsidRDefault="001047EA" w:rsidP="001047EA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2C7D27">
              <w:rPr>
                <w:rFonts w:cs="Calibri"/>
              </w:rPr>
              <w:tab/>
            </w:r>
            <w:r w:rsidR="00580D7E" w:rsidRPr="001047EA">
              <w:rPr>
                <w:rFonts w:cs="Calibri"/>
              </w:rPr>
              <w:t>Response</w:t>
            </w:r>
            <w:r w:rsidR="00580D7E" w:rsidRPr="00E72B0A">
              <w:t xml:space="preserve"> to recommendations for improving human resources management in ITU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79C85" w14:textId="0740B804" w:rsidR="00580D7E" w:rsidRPr="00CE1EF2" w:rsidRDefault="00580D7E" w:rsidP="00CE1EF2">
            <w:pPr>
              <w:pStyle w:val="Tabletext"/>
              <w:jc w:val="center"/>
            </w:pPr>
            <w:hyperlink r:id="rId9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</w:t>
              </w:r>
              <w:r>
                <w:rPr>
                  <w:rStyle w:val="Hyperlink"/>
                </w:rPr>
                <w:t>0</w:t>
              </w:r>
            </w:hyperlink>
          </w:p>
        </w:tc>
      </w:tr>
      <w:tr w:rsidR="00F46F77" w:rsidRPr="00F46F77" w14:paraId="71EB5FC5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FBDF" w14:textId="77777777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65C" w14:textId="72B43BB8" w:rsidR="00F46F77" w:rsidRPr="00DD3D03" w:rsidRDefault="00F46F77" w:rsidP="00E72B0A">
            <w:pPr>
              <w:pStyle w:val="Tabletext"/>
              <w:rPr>
                <w:szCs w:val="22"/>
              </w:rPr>
            </w:pPr>
            <w:r w:rsidRPr="00DD3D03">
              <w:rPr>
                <w:rFonts w:cs="Calibri"/>
                <w:color w:val="000000" w:themeColor="text1"/>
              </w:rPr>
              <w:t>ITU events Code of Conduct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74412" w14:textId="68461761" w:rsidR="00F46F77" w:rsidRPr="0079198B" w:rsidRDefault="00177738" w:rsidP="00E72B0A">
            <w:pPr>
              <w:pStyle w:val="Tabletext"/>
              <w:jc w:val="center"/>
              <w:rPr>
                <w:spacing w:val="-2"/>
                <w:highlight w:val="green"/>
              </w:rPr>
            </w:pPr>
            <w:r w:rsidRPr="0079198B">
              <w:rPr>
                <w:spacing w:val="-2"/>
              </w:rPr>
              <w:t>Oral presentation</w:t>
            </w:r>
          </w:p>
        </w:tc>
      </w:tr>
      <w:tr w:rsidR="00CE1EF2" w:rsidRPr="00F46F77" w14:paraId="6B0D4EAA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604DF" w14:textId="77777777" w:rsidR="00CE1EF2" w:rsidRPr="00E72B0A" w:rsidRDefault="00CE1EF2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5C609" w14:textId="5F222B92" w:rsidR="00CE1EF2" w:rsidRPr="00AD1C81" w:rsidRDefault="00CE1EF2" w:rsidP="00E72B0A">
            <w:pPr>
              <w:pStyle w:val="Tabletext"/>
              <w:rPr>
                <w:rFonts w:cs="Calibri"/>
              </w:rPr>
            </w:pPr>
            <w:r w:rsidRPr="00AD1C81">
              <w:rPr>
                <w:rFonts w:cs="Calibri"/>
                <w:bCs/>
              </w:rPr>
              <w:t>Budget matters: allocations of 2025 savings, report on the global reduction of the Budget 2026-2027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B3E2E" w14:textId="3D9CFDCF" w:rsidR="00CE1EF2" w:rsidRPr="00F46F77" w:rsidRDefault="00CE1EF2" w:rsidP="00E72B0A">
            <w:pPr>
              <w:pStyle w:val="Tabletext"/>
              <w:jc w:val="center"/>
              <w:rPr>
                <w:spacing w:val="-2"/>
                <w:u w:val="single"/>
              </w:rPr>
            </w:pPr>
          </w:p>
        </w:tc>
      </w:tr>
      <w:tr w:rsidR="00CE1EF2" w:rsidRPr="00F46F77" w14:paraId="5FE9FF9B" w14:textId="77777777" w:rsidTr="00EF6BFC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D499" w14:textId="77777777" w:rsidR="00CE1EF2" w:rsidRPr="00E72B0A" w:rsidRDefault="00CE1EF2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7ACA1" w14:textId="2F785DBF" w:rsidR="00CE1EF2" w:rsidRPr="00CE1EF2" w:rsidRDefault="00CE1EF2" w:rsidP="00CE1EF2">
            <w:pPr>
              <w:pStyle w:val="Tabletext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Pr="00AD1C81">
              <w:rPr>
                <w:rFonts w:cs="Calibri"/>
              </w:rPr>
              <w:t>Update on budget 2026-2027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65510" w14:textId="4AC1C8CA" w:rsidR="00CE1EF2" w:rsidRDefault="00CE1EF2" w:rsidP="00E72B0A">
            <w:pPr>
              <w:pStyle w:val="Tabletext"/>
              <w:jc w:val="center"/>
            </w:pPr>
            <w:hyperlink r:id="rId10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21</w:t>
              </w:r>
            </w:hyperlink>
          </w:p>
        </w:tc>
      </w:tr>
      <w:tr w:rsidR="00CE1EF2" w:rsidRPr="00F46F77" w14:paraId="10DC6756" w14:textId="77777777" w:rsidTr="00EF6BFC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5168" w14:textId="77777777" w:rsidR="00CE1EF2" w:rsidRPr="00E72B0A" w:rsidRDefault="00CE1EF2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708" w14:textId="37B12CA6" w:rsidR="00CE1EF2" w:rsidRPr="00AD1C81" w:rsidRDefault="00CE1EF2" w:rsidP="00CE1EF2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ab/>
            </w:r>
            <w:r w:rsidRPr="00AD1C81">
              <w:rPr>
                <w:rFonts w:cs="Calibri"/>
                <w:i/>
                <w:iCs/>
              </w:rPr>
              <w:t xml:space="preserve">Contribution by the Russian Federation: </w:t>
            </w:r>
            <w:r w:rsidRPr="00AD1C81">
              <w:rPr>
                <w:rFonts w:cs="Calibri"/>
              </w:rPr>
              <w:t>Measures to ensure core mandate alignment in resource allocation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F1F9C" w14:textId="3EDF2D0C" w:rsidR="00CE1EF2" w:rsidRDefault="00CE1EF2" w:rsidP="00E72B0A">
            <w:pPr>
              <w:pStyle w:val="Tabletext"/>
              <w:jc w:val="center"/>
            </w:pPr>
            <w:hyperlink r:id="rId11" w:history="1">
              <w:r w:rsidRPr="00AD1C81">
                <w:rPr>
                  <w:rStyle w:val="Hyperlink"/>
                  <w:spacing w:val="-2"/>
                  <w:szCs w:val="24"/>
                </w:rPr>
                <w:t>CWG-FHR-22/25</w:t>
              </w:r>
            </w:hyperlink>
          </w:p>
        </w:tc>
      </w:tr>
      <w:tr w:rsidR="00F46F77" w:rsidRPr="00F46F77" w14:paraId="59F8DD63" w14:textId="77777777" w:rsidTr="00EF6BFC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B56F" w14:textId="77777777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6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FE5" w14:textId="7E84EF50" w:rsidR="00F46F77" w:rsidRPr="0064179C" w:rsidRDefault="0064179C" w:rsidP="00E72B0A">
            <w:pPr>
              <w:pStyle w:val="Tabletext"/>
              <w:rPr>
                <w:rFonts w:cs="Calibri"/>
              </w:rPr>
            </w:pPr>
            <w:r w:rsidRPr="0064179C">
              <w:rPr>
                <w:rFonts w:cs="Calibri"/>
              </w:rPr>
              <w:t>Update on implementation of ITU's resource mobilization strategy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5E5AD" w14:textId="5576102A" w:rsidR="00F46F77" w:rsidRPr="00F46F77" w:rsidRDefault="0064179C" w:rsidP="00E72B0A">
            <w:pPr>
              <w:pStyle w:val="Tabletext"/>
              <w:jc w:val="center"/>
              <w:rPr>
                <w:spacing w:val="-2"/>
                <w:u w:val="single"/>
              </w:rPr>
            </w:pPr>
            <w:hyperlink r:id="rId12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</w:t>
              </w:r>
              <w:r>
                <w:rPr>
                  <w:rStyle w:val="Hyperlink"/>
                  <w:spacing w:val="-2"/>
                </w:rPr>
                <w:t>6</w:t>
              </w:r>
            </w:hyperlink>
          </w:p>
        </w:tc>
      </w:tr>
      <w:tr w:rsidR="00110BA8" w:rsidRPr="00F46F77" w14:paraId="77B70ADD" w14:textId="77777777" w:rsidTr="00EF6BFC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1FA01" w14:textId="1AF9A88F" w:rsidR="00110BA8" w:rsidRPr="00E72B0A" w:rsidRDefault="00110BA8" w:rsidP="009761F8">
            <w:pPr>
              <w:pStyle w:val="Tabletext"/>
              <w:keepNext/>
              <w:keepLines/>
              <w:jc w:val="center"/>
              <w:rPr>
                <w:b/>
              </w:rPr>
            </w:pPr>
            <w:r w:rsidRPr="00E72B0A">
              <w:rPr>
                <w:b/>
              </w:rPr>
              <w:lastRenderedPageBreak/>
              <w:t>7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0C670" w14:textId="0795C46D" w:rsidR="00110BA8" w:rsidRPr="00E72B0A" w:rsidRDefault="00110BA8" w:rsidP="009761F8">
            <w:pPr>
              <w:pStyle w:val="Tabletext"/>
              <w:keepNext/>
              <w:keepLines/>
              <w:rPr>
                <w:rFonts w:cs="Calibri"/>
              </w:rPr>
            </w:pPr>
            <w:r w:rsidRPr="00BF337F">
              <w:rPr>
                <w:rFonts w:cs="Calibri"/>
                <w:bCs/>
              </w:rPr>
              <w:t xml:space="preserve">Satellite network filings – </w:t>
            </w:r>
            <w:r w:rsidR="002B1EEB">
              <w:rPr>
                <w:rFonts w:cs="Calibri"/>
                <w:bCs/>
              </w:rPr>
              <w:t>M</w:t>
            </w:r>
            <w:r w:rsidR="002B1EEB" w:rsidRPr="00BF337F">
              <w:rPr>
                <w:rFonts w:cs="Calibri"/>
                <w:bCs/>
              </w:rPr>
              <w:t xml:space="preserve">ethodology </w:t>
            </w:r>
            <w:r w:rsidRPr="00BF337F">
              <w:rPr>
                <w:rFonts w:cs="Calibri"/>
                <w:bCs/>
              </w:rPr>
              <w:t>update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99ADD" w14:textId="1AB0C2F0" w:rsidR="00110BA8" w:rsidRPr="00352364" w:rsidRDefault="00110BA8" w:rsidP="009761F8">
            <w:pPr>
              <w:pStyle w:val="Tabletext"/>
              <w:keepNext/>
              <w:keepLines/>
              <w:jc w:val="center"/>
              <w:rPr>
                <w:spacing w:val="-2"/>
              </w:rPr>
            </w:pPr>
          </w:p>
        </w:tc>
      </w:tr>
      <w:tr w:rsidR="002B1EEB" w:rsidRPr="00F46F77" w14:paraId="260DC67D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5995" w14:textId="77777777" w:rsidR="002B1EEB" w:rsidRPr="00E72B0A" w:rsidRDefault="002B1EEB" w:rsidP="009761F8">
            <w:pPr>
              <w:pStyle w:val="Tabletext"/>
              <w:keepNext/>
              <w:keepLines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866F2" w14:textId="089E3829" w:rsidR="002B1EEB" w:rsidRPr="00BF337F" w:rsidRDefault="002B1EEB" w:rsidP="009761F8">
            <w:pPr>
              <w:pStyle w:val="Tabletext"/>
              <w:keepNext/>
              <w:keepLines/>
              <w:ind w:left="284" w:hanging="284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–</w:t>
            </w:r>
            <w:r w:rsidRPr="00071C55">
              <w:rPr>
                <w:rFonts w:cs="Calibri"/>
                <w:bCs/>
              </w:rPr>
              <w:tab/>
            </w:r>
            <w:r w:rsidRPr="00E72B0A">
              <w:rPr>
                <w:rFonts w:cs="Calibri"/>
                <w:bCs/>
              </w:rPr>
              <w:t>Satellite network filings – Methodology update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22621" w14:textId="0A332B69" w:rsidR="002B1EEB" w:rsidRDefault="002B1EEB" w:rsidP="009761F8">
            <w:pPr>
              <w:pStyle w:val="Tabletext"/>
              <w:keepNext/>
              <w:keepLines/>
              <w:jc w:val="center"/>
            </w:pPr>
            <w:hyperlink r:id="rId13" w:history="1">
              <w:r w:rsidRPr="00352364">
                <w:rPr>
                  <w:rStyle w:val="Hyperlink"/>
                  <w:spacing w:val="-2"/>
                  <w:szCs w:val="24"/>
                </w:rPr>
                <w:t>CWG-FHR-22/2</w:t>
              </w:r>
            </w:hyperlink>
          </w:p>
        </w:tc>
      </w:tr>
      <w:tr w:rsidR="00110BA8" w:rsidRPr="00F46F77" w14:paraId="5562CA5D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E8F7F" w14:textId="77777777" w:rsidR="00110BA8" w:rsidRPr="00E72B0A" w:rsidRDefault="00110BA8" w:rsidP="009761F8">
            <w:pPr>
              <w:pStyle w:val="Tabletext"/>
              <w:keepNext/>
              <w:keepLines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3D426" w14:textId="14568507" w:rsidR="00110BA8" w:rsidRPr="00BF337F" w:rsidRDefault="002B1EEB" w:rsidP="009761F8">
            <w:pPr>
              <w:pStyle w:val="Tabletext"/>
              <w:keepNext/>
              <w:keepLines/>
              <w:ind w:left="284" w:hanging="284"/>
              <w:rPr>
                <w:rFonts w:cs="Calibri"/>
                <w:bCs/>
              </w:rPr>
            </w:pPr>
            <w:r>
              <w:rPr>
                <w:rFonts w:cs="Calibri"/>
              </w:rPr>
              <w:t>–</w:t>
            </w:r>
            <w:r w:rsidR="00110BA8" w:rsidRPr="00071C55">
              <w:rPr>
                <w:rFonts w:cs="Calibri"/>
              </w:rPr>
              <w:tab/>
            </w:r>
            <w:r w:rsidR="00110BA8" w:rsidRPr="00E72B0A">
              <w:rPr>
                <w:rFonts w:cs="Calibri"/>
                <w:bCs/>
                <w:i/>
                <w:iCs/>
              </w:rPr>
              <w:t>Contribution by the Russian Federation</w:t>
            </w:r>
            <w:r w:rsidR="00110BA8" w:rsidRPr="00E72B0A">
              <w:rPr>
                <w:rFonts w:cs="Calibri"/>
                <w:bCs/>
              </w:rPr>
              <w:t>:</w:t>
            </w:r>
            <w:r w:rsidR="00F670B1">
              <w:rPr>
                <w:rFonts w:cs="Calibri"/>
                <w:bCs/>
              </w:rPr>
              <w:t xml:space="preserve"> </w:t>
            </w:r>
            <w:r w:rsidR="00110BA8" w:rsidRPr="00E72B0A">
              <w:rPr>
                <w:rFonts w:cs="Calibri"/>
              </w:rPr>
              <w:t xml:space="preserve">Comments on the satellite network filings </w:t>
            </w:r>
            <w:r w:rsidR="009644A4">
              <w:rPr>
                <w:rFonts w:cs="Calibri"/>
              </w:rPr>
              <w:t>–</w:t>
            </w:r>
            <w:r w:rsidR="00110BA8" w:rsidRPr="00E72B0A">
              <w:rPr>
                <w:rFonts w:cs="Calibri"/>
              </w:rPr>
              <w:t xml:space="preserve"> Methodology update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EADEA" w14:textId="7CE0405A" w:rsidR="00110BA8" w:rsidRDefault="002B1EEB" w:rsidP="009761F8">
            <w:pPr>
              <w:pStyle w:val="Tabletext"/>
              <w:keepNext/>
              <w:keepLines/>
              <w:jc w:val="center"/>
            </w:pPr>
            <w:hyperlink r:id="rId14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</w:t>
              </w:r>
              <w:r>
                <w:rPr>
                  <w:rStyle w:val="Hyperlink"/>
                  <w:spacing w:val="-2"/>
                </w:rPr>
                <w:t>7</w:t>
              </w:r>
            </w:hyperlink>
          </w:p>
        </w:tc>
      </w:tr>
      <w:tr w:rsidR="00110BA8" w:rsidRPr="00F46F77" w14:paraId="7773D4CE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9C978" w14:textId="77777777" w:rsidR="00110BA8" w:rsidRPr="00E72B0A" w:rsidRDefault="00110BA8" w:rsidP="009761F8">
            <w:pPr>
              <w:pStyle w:val="Tabletext"/>
              <w:keepNext/>
              <w:keepLines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2DA95" w14:textId="3854500B" w:rsidR="00110BA8" w:rsidRPr="00071C55" w:rsidRDefault="002B1EEB" w:rsidP="009761F8">
            <w:pPr>
              <w:pStyle w:val="Tabletext"/>
              <w:keepNext/>
              <w:keepLines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="00110BA8" w:rsidRPr="00071C55">
              <w:rPr>
                <w:rFonts w:cs="Calibri"/>
              </w:rPr>
              <w:tab/>
            </w:r>
            <w:r w:rsidR="00110BA8" w:rsidRPr="00E72B0A">
              <w:rPr>
                <w:rFonts w:cs="Calibri"/>
                <w:i/>
                <w:iCs/>
              </w:rPr>
              <w:t xml:space="preserve">Contribution by </w:t>
            </w:r>
            <w:proofErr w:type="spellStart"/>
            <w:r w:rsidR="00110BA8" w:rsidRPr="00E72B0A">
              <w:rPr>
                <w:rFonts w:cs="Calibri"/>
                <w:i/>
                <w:iCs/>
              </w:rPr>
              <w:t>GSOA</w:t>
            </w:r>
            <w:proofErr w:type="spellEnd"/>
            <w:r w:rsidR="00110BA8" w:rsidRPr="00E72B0A">
              <w:rPr>
                <w:rFonts w:cs="Calibri"/>
              </w:rPr>
              <w:t>:</w:t>
            </w:r>
            <w:r w:rsidR="00F670B1">
              <w:rPr>
                <w:rFonts w:cs="Calibri"/>
              </w:rPr>
              <w:t xml:space="preserve"> </w:t>
            </w:r>
            <w:r w:rsidR="00110BA8" w:rsidRPr="00E72B0A">
              <w:rPr>
                <w:rFonts w:cs="Calibri"/>
              </w:rPr>
              <w:t>Satellite Network Filings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865BC" w14:textId="7C9D947D" w:rsidR="00110BA8" w:rsidRDefault="002B1EEB" w:rsidP="009761F8">
            <w:pPr>
              <w:pStyle w:val="Tabletext"/>
              <w:keepNext/>
              <w:keepLines/>
              <w:jc w:val="center"/>
            </w:pPr>
            <w:hyperlink r:id="rId15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29</w:t>
              </w:r>
            </w:hyperlink>
          </w:p>
        </w:tc>
      </w:tr>
      <w:tr w:rsidR="00110BA8" w:rsidRPr="00F46F77" w14:paraId="55C0BCEE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F067" w14:textId="77777777" w:rsidR="00110BA8" w:rsidRPr="00E72B0A" w:rsidRDefault="00110BA8" w:rsidP="009761F8">
            <w:pPr>
              <w:pStyle w:val="Tabletext"/>
              <w:keepNext/>
              <w:keepLines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F627B" w14:textId="408DAAE8" w:rsidR="00110BA8" w:rsidRPr="00071C55" w:rsidRDefault="002B1EEB" w:rsidP="009761F8">
            <w:pPr>
              <w:pStyle w:val="Tabletext"/>
              <w:keepNext/>
              <w:keepLines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="00110BA8" w:rsidRPr="00071C55">
              <w:rPr>
                <w:rFonts w:cs="Calibri"/>
              </w:rPr>
              <w:tab/>
            </w:r>
            <w:r w:rsidR="00110BA8" w:rsidRPr="00E72B0A">
              <w:rPr>
                <w:rFonts w:cs="Calibri"/>
                <w:i/>
                <w:iCs/>
              </w:rPr>
              <w:t>Contribution by the United States of America</w:t>
            </w:r>
            <w:r w:rsidR="00110BA8" w:rsidRPr="00E72B0A">
              <w:rPr>
                <w:rFonts w:cs="Calibri"/>
              </w:rPr>
              <w:t>:</w:t>
            </w:r>
            <w:r w:rsidR="00F670B1">
              <w:rPr>
                <w:rFonts w:cs="Calibri"/>
              </w:rPr>
              <w:t xml:space="preserve"> </w:t>
            </w:r>
            <w:r w:rsidR="00110BA8" w:rsidRPr="00E72B0A">
              <w:rPr>
                <w:rFonts w:cs="Calibri"/>
              </w:rPr>
              <w:t>Comments and proposals on satellite network filings and cost recovery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61D1F7" w14:textId="14AA5521" w:rsidR="00110BA8" w:rsidRDefault="002B1EEB" w:rsidP="009761F8">
            <w:pPr>
              <w:pStyle w:val="Tabletext"/>
              <w:keepNext/>
              <w:keepLines/>
              <w:jc w:val="center"/>
            </w:pPr>
            <w:hyperlink r:id="rId16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32</w:t>
              </w:r>
            </w:hyperlink>
          </w:p>
        </w:tc>
      </w:tr>
      <w:tr w:rsidR="00110BA8" w:rsidRPr="00F46F77" w14:paraId="74415827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F85D" w14:textId="77777777" w:rsidR="00110BA8" w:rsidRPr="00E72B0A" w:rsidRDefault="00110BA8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12C" w14:textId="3C2540D6" w:rsidR="00110BA8" w:rsidRPr="00071C55" w:rsidRDefault="002B1EEB" w:rsidP="002B1EEB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="00110BA8" w:rsidRPr="00071C55">
              <w:rPr>
                <w:rFonts w:cs="Calibri"/>
              </w:rPr>
              <w:tab/>
            </w:r>
            <w:r w:rsidR="00110BA8" w:rsidRPr="00E72B0A">
              <w:rPr>
                <w:rFonts w:cs="Calibri"/>
                <w:i/>
                <w:iCs/>
              </w:rPr>
              <w:t>Multicountry contribution</w:t>
            </w:r>
            <w:r w:rsidR="00110BA8" w:rsidRPr="00E72B0A">
              <w:rPr>
                <w:rFonts w:cs="Calibri"/>
              </w:rPr>
              <w:t>:</w:t>
            </w:r>
            <w:r w:rsidR="00F670B1">
              <w:rPr>
                <w:rFonts w:cs="Calibri"/>
              </w:rPr>
              <w:t xml:space="preserve"> </w:t>
            </w:r>
            <w:r w:rsidR="00110BA8" w:rsidRPr="00E72B0A">
              <w:rPr>
                <w:rFonts w:cs="Calibri"/>
              </w:rPr>
              <w:t xml:space="preserve">Contribution to the Report by the Secretary-General on satellite network filings </w:t>
            </w:r>
            <w:r w:rsidR="00BF2938">
              <w:rPr>
                <w:rFonts w:cs="Calibri"/>
              </w:rPr>
              <w:t>–</w:t>
            </w:r>
            <w:r w:rsidR="00110BA8" w:rsidRPr="00E72B0A">
              <w:rPr>
                <w:rFonts w:cs="Calibri"/>
              </w:rPr>
              <w:t xml:space="preserve"> Methodology updated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064994" w14:textId="3FD1E9AD" w:rsidR="00110BA8" w:rsidRDefault="002B1EEB" w:rsidP="00E72B0A">
            <w:pPr>
              <w:pStyle w:val="Tabletext"/>
              <w:jc w:val="center"/>
            </w:pPr>
            <w:hyperlink r:id="rId17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33</w:t>
              </w:r>
            </w:hyperlink>
          </w:p>
        </w:tc>
      </w:tr>
      <w:tr w:rsidR="008B0176" w:rsidRPr="00F46F77" w14:paraId="07B2611E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8C6C8" w14:textId="65F9DFFE" w:rsidR="008B0176" w:rsidRPr="00E72B0A" w:rsidRDefault="008B0176" w:rsidP="00E72B0A">
            <w:pPr>
              <w:pStyle w:val="Tabletext"/>
              <w:jc w:val="center"/>
              <w:rPr>
                <w:rFonts w:cs="Calibri"/>
                <w:b/>
              </w:rPr>
            </w:pPr>
            <w:r w:rsidRPr="00E72B0A">
              <w:rPr>
                <w:rFonts w:cs="Calibri"/>
                <w:b/>
              </w:rPr>
              <w:t>8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EC24B" w14:textId="43F8E506" w:rsidR="008B0176" w:rsidRPr="00047F3C" w:rsidRDefault="008B0176" w:rsidP="00E72B0A">
            <w:pPr>
              <w:pStyle w:val="Tabletext"/>
              <w:rPr>
                <w:rFonts w:cs="Calibri"/>
              </w:rPr>
            </w:pPr>
            <w:r w:rsidRPr="00BF337F">
              <w:rPr>
                <w:rFonts w:cs="Calibri"/>
              </w:rPr>
              <w:t>Methodology for future consideration of changes to the contributory unit (</w:t>
            </w:r>
            <w:proofErr w:type="spellStart"/>
            <w:r>
              <w:fldChar w:fldCharType="begin"/>
            </w:r>
            <w:r>
              <w:instrText>HYPERLINK "https://www.itu.int/md/S25-CL-C-0054/en"</w:instrText>
            </w:r>
            <w:r>
              <w:fldChar w:fldCharType="separate"/>
            </w:r>
            <w:r w:rsidRPr="0048033F">
              <w:rPr>
                <w:rStyle w:val="Hyperlink"/>
                <w:rFonts w:cs="Calibri"/>
              </w:rPr>
              <w:t>C25</w:t>
            </w:r>
            <w:proofErr w:type="spellEnd"/>
            <w:r w:rsidRPr="0048033F">
              <w:rPr>
                <w:rStyle w:val="Hyperlink"/>
                <w:rFonts w:cs="Calibri"/>
              </w:rPr>
              <w:t>/54</w:t>
            </w:r>
            <w:r>
              <w:fldChar w:fldCharType="end"/>
            </w:r>
            <w:r w:rsidRPr="00BF337F">
              <w:rPr>
                <w:rFonts w:cs="Calibri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096B5" w14:textId="1B1BB3D8" w:rsidR="008B0176" w:rsidRPr="00047F3C" w:rsidRDefault="008B0176" w:rsidP="00E72B0A">
            <w:pPr>
              <w:pStyle w:val="Tabletext"/>
              <w:jc w:val="center"/>
              <w:rPr>
                <w:rFonts w:cs="Calibri"/>
                <w:spacing w:val="-2"/>
                <w:u w:val="single"/>
              </w:rPr>
            </w:pPr>
          </w:p>
        </w:tc>
      </w:tr>
      <w:tr w:rsidR="008B0176" w:rsidRPr="00F46F77" w14:paraId="6CF8A708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8C3DA" w14:textId="77777777" w:rsidR="008B0176" w:rsidRPr="00E72B0A" w:rsidRDefault="008B0176" w:rsidP="00E72B0A">
            <w:pPr>
              <w:pStyle w:val="Tabletext"/>
              <w:jc w:val="center"/>
              <w:rPr>
                <w:rFonts w:cs="Calibri"/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E6180" w14:textId="77777777" w:rsidR="008B0176" w:rsidRPr="00BF337F" w:rsidRDefault="008B0176" w:rsidP="00E72B0A">
            <w:pPr>
              <w:pStyle w:val="Tabletext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Pr="00047F3C">
              <w:rPr>
                <w:rFonts w:cs="Calibri"/>
              </w:rPr>
              <w:t>Methodology for review and revision of the contributory unit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F6D80" w14:textId="77777777" w:rsidR="008B0176" w:rsidRDefault="008B0176" w:rsidP="00E72B0A">
            <w:pPr>
              <w:pStyle w:val="Tabletext"/>
              <w:jc w:val="center"/>
            </w:pPr>
            <w:hyperlink r:id="rId18" w:history="1">
              <w:r w:rsidRPr="00047F3C">
                <w:rPr>
                  <w:rStyle w:val="Hyperlink"/>
                  <w:rFonts w:cs="Calibri"/>
                  <w:spacing w:val="-2"/>
                  <w:szCs w:val="24"/>
                </w:rPr>
                <w:t>CWG-FHR-22/6</w:t>
              </w:r>
            </w:hyperlink>
          </w:p>
        </w:tc>
      </w:tr>
      <w:tr w:rsidR="008B0176" w:rsidRPr="00F46F77" w14:paraId="54535DA9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B4101" w14:textId="77777777" w:rsidR="008B0176" w:rsidRPr="00E72B0A" w:rsidRDefault="008B0176" w:rsidP="00E72B0A">
            <w:pPr>
              <w:pStyle w:val="Tabletext"/>
              <w:jc w:val="center"/>
              <w:rPr>
                <w:rFonts w:cs="Calibri"/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E3" w14:textId="15CE24E6" w:rsidR="008B0176" w:rsidRPr="00BF337F" w:rsidRDefault="008B0176" w:rsidP="00E72B0A">
            <w:pPr>
              <w:pStyle w:val="Tabletext"/>
              <w:rPr>
                <w:rFonts w:cs="Calibri"/>
              </w:rPr>
            </w:pPr>
            <w:r>
              <w:rPr>
                <w:rFonts w:cs="Calibri"/>
              </w:rPr>
              <w:tab/>
              <w:t>–</w:t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>Preliminary amount of contributory unit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B9E44" w14:textId="77777777" w:rsidR="008B0176" w:rsidRDefault="008B0176" w:rsidP="00E72B0A">
            <w:pPr>
              <w:pStyle w:val="Tabletext"/>
              <w:jc w:val="center"/>
            </w:pPr>
            <w:hyperlink r:id="rId19" w:history="1">
              <w:r w:rsidRPr="00551AF8">
                <w:rPr>
                  <w:rStyle w:val="Hyperlink"/>
                  <w:rFonts w:cs="Calibri"/>
                </w:rPr>
                <w:t>CWG-</w:t>
              </w:r>
              <w:r w:rsidRPr="0079198B">
                <w:rPr>
                  <w:rStyle w:val="Hyperlink"/>
                </w:rPr>
                <w:t>FHR</w:t>
              </w:r>
              <w:r w:rsidRPr="00551AF8">
                <w:rPr>
                  <w:rStyle w:val="Hyperlink"/>
                  <w:rFonts w:cs="Calibri"/>
                </w:rPr>
                <w:t>-22/INF/2</w:t>
              </w:r>
            </w:hyperlink>
          </w:p>
        </w:tc>
      </w:tr>
      <w:tr w:rsidR="00F46F77" w:rsidRPr="00F46F77" w14:paraId="71A9B717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47AB0" w14:textId="735F5EDB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9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39405" w14:textId="256C7F26" w:rsidR="003155C0" w:rsidRPr="00F46F77" w:rsidRDefault="00F46F77" w:rsidP="00E72B0A">
            <w:pPr>
              <w:pStyle w:val="Tabletext"/>
            </w:pPr>
            <w:r w:rsidRPr="00BF337F">
              <w:rPr>
                <w:rFonts w:cs="Calibri"/>
              </w:rPr>
              <w:t>Strengthening risk management and the internal control system</w:t>
            </w:r>
            <w:r w:rsidR="003155C0">
              <w:rPr>
                <w:rFonts w:cs="Calibri"/>
              </w:rPr>
              <w:t xml:space="preserve"> (</w:t>
            </w:r>
            <w:proofErr w:type="spellStart"/>
            <w:r w:rsidR="003155C0">
              <w:fldChar w:fldCharType="begin"/>
            </w:r>
            <w:r w:rsidR="003155C0">
              <w:instrText>HYPERLINK "https://www.itu.int/md/S25-CL-C-0049/en"</w:instrText>
            </w:r>
            <w:r w:rsidR="003155C0">
              <w:fldChar w:fldCharType="separate"/>
            </w:r>
            <w:r w:rsidR="003155C0" w:rsidRPr="0048033F">
              <w:rPr>
                <w:rStyle w:val="Hyperlink"/>
                <w:rFonts w:cs="Calibri"/>
              </w:rPr>
              <w:t>C25</w:t>
            </w:r>
            <w:proofErr w:type="spellEnd"/>
            <w:r w:rsidR="003155C0" w:rsidRPr="0048033F">
              <w:rPr>
                <w:rStyle w:val="Hyperlink"/>
                <w:rFonts w:cs="Calibri"/>
              </w:rPr>
              <w:t>/49</w:t>
            </w:r>
            <w:r w:rsidR="003155C0">
              <w:fldChar w:fldCharType="end"/>
            </w:r>
            <w:r w:rsidR="003155C0">
              <w:rPr>
                <w:rFonts w:cs="Calibri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F254BD" w14:textId="5595E0A6" w:rsidR="00F46F77" w:rsidRPr="00F46F77" w:rsidRDefault="00530E56" w:rsidP="00E72B0A">
            <w:pPr>
              <w:pStyle w:val="Tabletext"/>
              <w:jc w:val="center"/>
              <w:rPr>
                <w:spacing w:val="-2"/>
                <w:u w:val="single"/>
              </w:rPr>
            </w:pPr>
            <w:hyperlink r:id="rId20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 w:rsidR="00327D8C">
                <w:rPr>
                  <w:rStyle w:val="Hyperlink"/>
                  <w:spacing w:val="-2"/>
                  <w:szCs w:val="24"/>
                </w:rPr>
                <w:t>20</w:t>
              </w:r>
            </w:hyperlink>
          </w:p>
        </w:tc>
      </w:tr>
      <w:tr w:rsidR="00F46F77" w:rsidRPr="00F46F77" w14:paraId="25B7C39A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1E4CB" w14:textId="77777777" w:rsidR="00F46F77" w:rsidRPr="00E72B0A" w:rsidRDefault="00F46F77" w:rsidP="00E72B0A">
            <w:pPr>
              <w:pStyle w:val="Tabletext"/>
              <w:jc w:val="center"/>
              <w:rPr>
                <w:rFonts w:cs="Calibri"/>
                <w:b/>
              </w:rPr>
            </w:pPr>
            <w:r w:rsidRPr="00E72B0A">
              <w:rPr>
                <w:rFonts w:cs="Calibri"/>
                <w:b/>
              </w:rPr>
              <w:t>10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092" w14:textId="4DCBC9BE" w:rsidR="003155C0" w:rsidRPr="003155C0" w:rsidRDefault="003155C0" w:rsidP="00E72B0A">
            <w:pPr>
              <w:pStyle w:val="Tabletext"/>
              <w:rPr>
                <w:rFonts w:cs="Calibri"/>
              </w:rPr>
            </w:pPr>
            <w:r w:rsidRPr="003155C0">
              <w:rPr>
                <w:rFonts w:cs="Calibri"/>
                <w:bCs/>
              </w:rPr>
              <w:t>Selection process for hosting ITU meetings and conferences</w:t>
            </w:r>
          </w:p>
          <w:p w14:paraId="731307E6" w14:textId="77BBE8DB" w:rsidR="00F46F77" w:rsidRPr="00530E56" w:rsidRDefault="0048033F" w:rsidP="00E72B0A">
            <w:pPr>
              <w:pStyle w:val="Tabletext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530E56" w:rsidRPr="00530E56">
              <w:rPr>
                <w:rFonts w:cs="Calibri"/>
              </w:rPr>
              <w:t>Selection process for host countries for ITU conferences and assemblies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AACEBE" w14:textId="77777777" w:rsidR="002510D0" w:rsidRDefault="002510D0" w:rsidP="00E72B0A">
            <w:pPr>
              <w:pStyle w:val="Tabletext"/>
              <w:jc w:val="center"/>
            </w:pPr>
          </w:p>
          <w:p w14:paraId="3C22FFAF" w14:textId="16D0070A" w:rsidR="00F46F77" w:rsidRPr="00530E56" w:rsidRDefault="00530E56" w:rsidP="00E72B0A">
            <w:pPr>
              <w:pStyle w:val="Tabletext"/>
              <w:jc w:val="center"/>
              <w:rPr>
                <w:rFonts w:cs="Calibri"/>
                <w:spacing w:val="-2"/>
                <w:u w:val="single"/>
              </w:rPr>
            </w:pPr>
            <w:hyperlink r:id="rId21" w:history="1">
              <w:r w:rsidRPr="00047F3C">
                <w:rPr>
                  <w:rStyle w:val="Hyperlink"/>
                  <w:rFonts w:cs="Calibri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rFonts w:cs="Calibri"/>
                  <w:spacing w:val="-2"/>
                  <w:szCs w:val="24"/>
                </w:rPr>
                <w:t>9</w:t>
              </w:r>
            </w:hyperlink>
          </w:p>
        </w:tc>
      </w:tr>
      <w:tr w:rsidR="00F46F77" w:rsidRPr="00F46F77" w14:paraId="5688F22E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7BB6C" w14:textId="74553A88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707" w14:textId="5E179D11" w:rsidR="00F46F77" w:rsidRDefault="00F46F77" w:rsidP="00E72B0A">
            <w:pPr>
              <w:pStyle w:val="Tabletext"/>
              <w:rPr>
                <w:rFonts w:cs="Calibri"/>
                <w:bCs/>
                <w:sz w:val="24"/>
                <w:highlight w:val="yellow"/>
                <w:lang w:val="en-US"/>
              </w:rPr>
            </w:pPr>
            <w:r w:rsidRPr="008E468C">
              <w:rPr>
                <w:rFonts w:cs="Calibri"/>
                <w:sz w:val="24"/>
                <w:lang w:val="en-US"/>
              </w:rPr>
              <w:t>Reducing financial burdens on host countries of ITU conferences, meetings and activities</w:t>
            </w:r>
          </w:p>
          <w:p w14:paraId="103DD4DC" w14:textId="33DE82D2" w:rsidR="00F46F77" w:rsidRPr="00F46F77" w:rsidRDefault="00F46F77" w:rsidP="00E72B0A">
            <w:pPr>
              <w:pStyle w:val="Tabletext"/>
              <w:rPr>
                <w:szCs w:val="22"/>
              </w:rPr>
            </w:pPr>
            <w:r>
              <w:rPr>
                <w:rFonts w:cs="Calibri"/>
              </w:rPr>
              <w:tab/>
            </w:r>
            <w:r w:rsidR="003155C0">
              <w:rPr>
                <w:rFonts w:cs="Calibri"/>
              </w:rPr>
              <w:t xml:space="preserve">Modified </w:t>
            </w:r>
            <w:r w:rsidRPr="00146C84">
              <w:rPr>
                <w:rFonts w:cs="Calibri"/>
              </w:rPr>
              <w:t>Model Host Country Agreement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1BBF5C" w14:textId="44CA2D22" w:rsidR="00F46F77" w:rsidRPr="00F46F77" w:rsidRDefault="00530E56" w:rsidP="00E72B0A">
            <w:pPr>
              <w:pStyle w:val="Tabletext"/>
              <w:jc w:val="center"/>
              <w:rPr>
                <w:spacing w:val="-2"/>
                <w:u w:val="single"/>
              </w:rPr>
            </w:pPr>
            <w:hyperlink r:id="rId22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19</w:t>
              </w:r>
            </w:hyperlink>
          </w:p>
        </w:tc>
      </w:tr>
      <w:tr w:rsidR="00F46F77" w:rsidRPr="00F46F77" w14:paraId="2935E982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ACAB" w14:textId="6B42D296" w:rsidR="00F46F77" w:rsidRPr="00E72B0A" w:rsidRDefault="00F46F77" w:rsidP="00E72B0A">
            <w:pPr>
              <w:pStyle w:val="Tabletext"/>
              <w:jc w:val="center"/>
              <w:rPr>
                <w:rFonts w:cs="Calibri"/>
                <w:b/>
              </w:rPr>
            </w:pPr>
            <w:r w:rsidRPr="00E72B0A">
              <w:rPr>
                <w:rFonts w:cs="Calibri"/>
                <w:b/>
              </w:rPr>
              <w:t>12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7D7D8" w14:textId="64D3113C" w:rsidR="00204DAA" w:rsidRPr="00C37139" w:rsidRDefault="00C37139" w:rsidP="00E72B0A">
            <w:pPr>
              <w:pStyle w:val="Tabletext"/>
              <w:rPr>
                <w:rFonts w:cs="Calibri"/>
              </w:rPr>
            </w:pPr>
            <w:r w:rsidRPr="00C37139">
              <w:rPr>
                <w:rFonts w:cs="Calibri"/>
              </w:rPr>
              <w:t xml:space="preserve">Budget implications of addressing the </w:t>
            </w:r>
            <w:proofErr w:type="spellStart"/>
            <w:r w:rsidRPr="00C37139">
              <w:rPr>
                <w:rFonts w:cs="Calibri"/>
              </w:rPr>
              <w:t>WTDC</w:t>
            </w:r>
            <w:proofErr w:type="spellEnd"/>
            <w:r w:rsidRPr="00C37139">
              <w:rPr>
                <w:rFonts w:cs="Calibri"/>
              </w:rPr>
              <w:t xml:space="preserve"> 2025 Decisions</w:t>
            </w:r>
          </w:p>
          <w:p w14:paraId="7A5013C7" w14:textId="55A00A67" w:rsidR="00F46F77" w:rsidRPr="00530E56" w:rsidRDefault="0048033F" w:rsidP="00E72B0A">
            <w:pPr>
              <w:pStyle w:val="Tabletext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530E56" w:rsidRPr="00530E56">
              <w:rPr>
                <w:rFonts w:cs="Calibri"/>
              </w:rPr>
              <w:t xml:space="preserve">Annual budgetary implications of addressing the </w:t>
            </w:r>
            <w:proofErr w:type="spellStart"/>
            <w:r w:rsidR="00530E56" w:rsidRPr="00530E56">
              <w:rPr>
                <w:rFonts w:cs="Calibri"/>
              </w:rPr>
              <w:t>WTDC</w:t>
            </w:r>
            <w:proofErr w:type="spellEnd"/>
            <w:r w:rsidR="00530E56" w:rsidRPr="00530E56">
              <w:rPr>
                <w:rFonts w:cs="Calibri"/>
              </w:rPr>
              <w:t>-25 resolutions</w:t>
            </w:r>
            <w:r w:rsidR="00F46F77" w:rsidRPr="00530E56">
              <w:rPr>
                <w:rFonts w:cs="Calibri"/>
              </w:rPr>
              <w:t xml:space="preserve">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4DA6E9" w14:textId="77777777" w:rsidR="00204DAA" w:rsidRDefault="00204DAA" w:rsidP="00E72B0A">
            <w:pPr>
              <w:pStyle w:val="Tabletext"/>
              <w:jc w:val="center"/>
            </w:pPr>
          </w:p>
          <w:p w14:paraId="6D13BC91" w14:textId="061045AD" w:rsidR="00F46F77" w:rsidRPr="00530E56" w:rsidRDefault="00530E56" w:rsidP="00E72B0A">
            <w:pPr>
              <w:pStyle w:val="Tabletext"/>
              <w:jc w:val="center"/>
              <w:rPr>
                <w:rFonts w:cs="Calibri"/>
                <w:spacing w:val="-2"/>
                <w:u w:val="single"/>
              </w:rPr>
            </w:pPr>
            <w:hyperlink r:id="rId23" w:history="1">
              <w:r w:rsidRPr="00047F3C">
                <w:rPr>
                  <w:rStyle w:val="Hyperlink"/>
                  <w:rFonts w:cs="Calibri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rFonts w:cs="Calibri"/>
                  <w:spacing w:val="-2"/>
                  <w:szCs w:val="24"/>
                </w:rPr>
                <w:t>7</w:t>
              </w:r>
            </w:hyperlink>
          </w:p>
        </w:tc>
      </w:tr>
      <w:tr w:rsidR="00F46F77" w:rsidRPr="00F46F77" w14:paraId="43D6FAF2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EA2F" w14:textId="77777777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B44" w14:textId="117DB216" w:rsidR="00F46F77" w:rsidRPr="00C37139" w:rsidRDefault="00F46F77" w:rsidP="00E72B0A">
            <w:pPr>
              <w:pStyle w:val="Tabletext"/>
              <w:rPr>
                <w:szCs w:val="22"/>
              </w:rPr>
            </w:pPr>
            <w:r w:rsidRPr="00C37139">
              <w:rPr>
                <w:rFonts w:cs="Calibri"/>
                <w:bCs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9C066" w14:textId="470ED4B5" w:rsidR="00F46F77" w:rsidRPr="00124107" w:rsidRDefault="00124107" w:rsidP="00124107">
            <w:pPr>
              <w:pStyle w:val="Tabletext"/>
              <w:jc w:val="center"/>
              <w:rPr>
                <w:bCs/>
                <w:spacing w:val="-2"/>
              </w:rPr>
            </w:pPr>
            <w:hyperlink r:id="rId24" w:history="1">
              <w:r w:rsidR="00E73AC0" w:rsidRPr="0079198B">
                <w:rPr>
                  <w:rStyle w:val="Hyperlink"/>
                  <w:bCs/>
                </w:rPr>
                <w:t>CWG-FHR-21/3</w:t>
              </w:r>
            </w:hyperlink>
          </w:p>
        </w:tc>
      </w:tr>
      <w:tr w:rsidR="0048033F" w:rsidRPr="00F46F77" w14:paraId="0EDBBC1B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F35A" w14:textId="77777777" w:rsidR="0048033F" w:rsidRPr="00E72B0A" w:rsidRDefault="0048033F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58A94" w14:textId="14094AC8" w:rsidR="0048033F" w:rsidRPr="00E72B0A" w:rsidRDefault="0048033F" w:rsidP="00E72B0A">
            <w:pPr>
              <w:pStyle w:val="Tabletext"/>
            </w:pPr>
            <w:r w:rsidRPr="00BF337F">
              <w:rPr>
                <w:rFonts w:cs="Calibri"/>
                <w:bCs/>
              </w:rPr>
              <w:t xml:space="preserve">Report on </w:t>
            </w:r>
            <w:r>
              <w:rPr>
                <w:rFonts w:cs="Calibri"/>
                <w:bCs/>
              </w:rPr>
              <w:t>s</w:t>
            </w:r>
            <w:r w:rsidRPr="00BF337F">
              <w:rPr>
                <w:rFonts w:cs="Calibri"/>
                <w:bCs/>
              </w:rPr>
              <w:t xml:space="preserve">trengthening </w:t>
            </w:r>
            <w:r>
              <w:rPr>
                <w:rFonts w:cs="Calibri"/>
                <w:bCs/>
              </w:rPr>
              <w:t>r</w:t>
            </w:r>
            <w:r w:rsidRPr="00BF337F">
              <w:rPr>
                <w:rFonts w:cs="Calibri"/>
                <w:bCs/>
              </w:rPr>
              <w:t xml:space="preserve">egional </w:t>
            </w:r>
            <w:r>
              <w:rPr>
                <w:rFonts w:cs="Calibri"/>
                <w:bCs/>
              </w:rPr>
              <w:t>p</w:t>
            </w:r>
            <w:r w:rsidRPr="00BF337F">
              <w:rPr>
                <w:rFonts w:cs="Calibri"/>
                <w:bCs/>
              </w:rPr>
              <w:t>resence (</w:t>
            </w:r>
            <w:hyperlink r:id="rId25" w:history="1">
              <w:r w:rsidR="002A4A2B" w:rsidRPr="002A4A2B">
                <w:rPr>
                  <w:rStyle w:val="Hyperlink"/>
                  <w:rFonts w:cs="Calibri"/>
                  <w:bCs/>
                </w:rPr>
                <w:t xml:space="preserve">PP </w:t>
              </w:r>
              <w:r w:rsidRPr="002A4A2B">
                <w:rPr>
                  <w:rStyle w:val="Hyperlink"/>
                  <w:rFonts w:cs="Calibri"/>
                  <w:bCs/>
                </w:rPr>
                <w:t>Resolution 25</w:t>
              </w:r>
            </w:hyperlink>
            <w:r w:rsidRPr="00BF337F">
              <w:rPr>
                <w:rFonts w:cs="Calibri"/>
                <w:bCs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22329" w14:textId="2BD78AE8" w:rsidR="0048033F" w:rsidRPr="00F46F77" w:rsidRDefault="0048033F" w:rsidP="00E72B0A">
            <w:pPr>
              <w:pStyle w:val="Tabletext"/>
              <w:jc w:val="center"/>
              <w:rPr>
                <w:spacing w:val="-2"/>
              </w:rPr>
            </w:pPr>
          </w:p>
        </w:tc>
      </w:tr>
      <w:tr w:rsidR="0048033F" w:rsidRPr="00F46F77" w14:paraId="25ABEE7D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729E" w14:textId="77777777" w:rsidR="0048033F" w:rsidRPr="00E72B0A" w:rsidRDefault="0048033F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FEEB1" w14:textId="1FCFEADA" w:rsidR="0048033F" w:rsidRPr="00BF337F" w:rsidRDefault="0048033F" w:rsidP="0048033F">
            <w:pPr>
              <w:pStyle w:val="Tabletext"/>
              <w:ind w:left="284" w:hanging="284"/>
              <w:rPr>
                <w:rFonts w:cs="Calibri"/>
                <w:bCs/>
              </w:rPr>
            </w:pPr>
            <w:r>
              <w:rPr>
                <w:rFonts w:cs="Calibri"/>
              </w:rPr>
              <w:t>–</w:t>
            </w:r>
            <w:r w:rsidRPr="00071C55">
              <w:rPr>
                <w:rFonts w:cs="Calibri"/>
              </w:rPr>
              <w:tab/>
            </w:r>
            <w:r w:rsidRPr="00E72B0A">
              <w:t>Interim Report on the review of the ITU regional presence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4C73B" w14:textId="71DB097C" w:rsidR="0048033F" w:rsidRDefault="0048033F" w:rsidP="00E72B0A">
            <w:pPr>
              <w:pStyle w:val="Tabletext"/>
              <w:jc w:val="center"/>
            </w:pPr>
            <w:hyperlink r:id="rId26" w:history="1">
              <w:r w:rsidRPr="00047F3C">
                <w:rPr>
                  <w:rStyle w:val="Hyperlink"/>
                  <w:rFonts w:cs="Calibri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rFonts w:cs="Calibri"/>
                  <w:spacing w:val="-2"/>
                  <w:szCs w:val="24"/>
                </w:rPr>
                <w:t>4</w:t>
              </w:r>
            </w:hyperlink>
          </w:p>
        </w:tc>
      </w:tr>
      <w:tr w:rsidR="0048033F" w:rsidRPr="00F46F77" w14:paraId="355AEA2E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B4F" w14:textId="77777777" w:rsidR="0048033F" w:rsidRPr="00E72B0A" w:rsidRDefault="0048033F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016B" w14:textId="053F807E" w:rsidR="0048033F" w:rsidRDefault="0048033F" w:rsidP="0048033F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071C55">
              <w:rPr>
                <w:rFonts w:cs="Calibri"/>
              </w:rPr>
              <w:tab/>
            </w:r>
            <w:r w:rsidRPr="00E72B0A">
              <w:rPr>
                <w:i/>
                <w:iCs/>
              </w:rPr>
              <w:t xml:space="preserve">Contribution by the Regional Commonwealth in the Field of Communications (Executive Committee), the Kyrgyz Republic, the Russian Federation, and the </w:t>
            </w:r>
            <w:proofErr w:type="spellStart"/>
            <w:r w:rsidRPr="00E72B0A">
              <w:rPr>
                <w:i/>
                <w:iCs/>
              </w:rPr>
              <w:t>Center</w:t>
            </w:r>
            <w:proofErr w:type="spellEnd"/>
            <w:r w:rsidRPr="00E72B0A">
              <w:rPr>
                <w:i/>
                <w:iCs/>
              </w:rPr>
              <w:t xml:space="preserve"> for Global IT-Cooperation:</w:t>
            </w:r>
            <w:r w:rsidR="00F670B1">
              <w:rPr>
                <w:i/>
                <w:iCs/>
              </w:rPr>
              <w:t xml:space="preserve"> </w:t>
            </w:r>
            <w:r w:rsidRPr="00E72B0A">
              <w:rPr>
                <w:rFonts w:cs="Calibri"/>
              </w:rPr>
              <w:t>The RCC perspective on the review of the ITU</w:t>
            </w:r>
            <w:r w:rsidR="001B0069">
              <w:rPr>
                <w:rFonts w:cs="Calibri"/>
              </w:rPr>
              <w:t> </w:t>
            </w:r>
            <w:r w:rsidRPr="00E72B0A">
              <w:rPr>
                <w:rFonts w:cs="Calibri"/>
              </w:rPr>
              <w:t>regional presence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836CC" w14:textId="77777777" w:rsidR="0048033F" w:rsidRDefault="0048033F" w:rsidP="00E72B0A">
            <w:pPr>
              <w:pStyle w:val="Tabletext"/>
              <w:jc w:val="center"/>
            </w:pPr>
            <w:hyperlink r:id="rId27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31</w:t>
              </w:r>
            </w:hyperlink>
          </w:p>
        </w:tc>
      </w:tr>
      <w:tr w:rsidR="00F46F77" w:rsidRPr="00F46F77" w14:paraId="10B9D38D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13FA" w14:textId="77777777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231" w14:textId="241D06B3" w:rsidR="00F46F77" w:rsidRPr="00C37139" w:rsidRDefault="00F46F77" w:rsidP="00E72B0A">
            <w:pPr>
              <w:pStyle w:val="Tabletext"/>
              <w:rPr>
                <w:szCs w:val="22"/>
              </w:rPr>
            </w:pPr>
            <w:r w:rsidRPr="00C37139">
              <w:rPr>
                <w:rFonts w:cs="Calibri"/>
              </w:rPr>
              <w:t>Review of ITU Strategic, Financial and Operational Plans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D4981" w14:textId="70D2D2FF" w:rsidR="00F46F77" w:rsidRPr="0079198B" w:rsidRDefault="00683299" w:rsidP="00E72B0A">
            <w:pPr>
              <w:pStyle w:val="Tabletext"/>
              <w:jc w:val="center"/>
              <w:rPr>
                <w:spacing w:val="-2"/>
              </w:rPr>
            </w:pPr>
            <w:r w:rsidRPr="0079198B">
              <w:rPr>
                <w:spacing w:val="-2"/>
              </w:rPr>
              <w:t>Oral presentation</w:t>
            </w:r>
          </w:p>
        </w:tc>
      </w:tr>
      <w:tr w:rsidR="00E564CD" w:rsidRPr="00F46F77" w14:paraId="7422922E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440" w14:textId="1D80EAC7" w:rsidR="00E564CD" w:rsidRPr="00E72B0A" w:rsidRDefault="00071C55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16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263" w14:textId="5A037D62" w:rsidR="00E564CD" w:rsidRPr="00F61E67" w:rsidRDefault="00E564CD" w:rsidP="00E72B0A">
            <w:pPr>
              <w:pStyle w:val="Tabletext"/>
              <w:rPr>
                <w:rFonts w:cs="Calibri"/>
              </w:rPr>
            </w:pPr>
            <w:r w:rsidRPr="00F61E67">
              <w:rPr>
                <w:rFonts w:cs="Calibri"/>
                <w:i/>
                <w:iCs/>
              </w:rPr>
              <w:t>Contribution by the Russian Federation</w:t>
            </w:r>
            <w:r w:rsidRPr="00F61E67">
              <w:rPr>
                <w:rFonts w:cs="Calibri"/>
              </w:rPr>
              <w:t>: Proposals for the revision of PP Resolution</w:t>
            </w:r>
            <w:r w:rsidR="001B0069">
              <w:rPr>
                <w:rFonts w:cs="Calibri"/>
              </w:rPr>
              <w:t> </w:t>
            </w:r>
            <w:r w:rsidRPr="00F61E67">
              <w:rPr>
                <w:rFonts w:cs="Calibri"/>
              </w:rPr>
              <w:t xml:space="preserve">191 (Rev. Bucharest, 2022) </w:t>
            </w:r>
            <w:r w:rsidR="001B0069">
              <w:rPr>
                <w:rFonts w:cs="Calibri"/>
              </w:rPr>
              <w:t>–</w:t>
            </w:r>
            <w:r w:rsidRPr="00F61E67">
              <w:rPr>
                <w:rFonts w:cs="Calibri"/>
              </w:rPr>
              <w:t xml:space="preserve"> Strategy for the coordination of efforts</w:t>
            </w:r>
            <w:r w:rsidR="001B0069">
              <w:rPr>
                <w:rFonts w:cs="Calibri"/>
              </w:rPr>
              <w:t> </w:t>
            </w:r>
            <w:r w:rsidRPr="00F61E67">
              <w:rPr>
                <w:rFonts w:cs="Calibri"/>
              </w:rPr>
              <w:t>among the three Sectors of the Union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7F9275" w14:textId="16D7B916" w:rsidR="00E564CD" w:rsidRPr="00F61E67" w:rsidRDefault="00E564CD" w:rsidP="00E72B0A">
            <w:pPr>
              <w:pStyle w:val="Tabletext"/>
              <w:jc w:val="center"/>
              <w:rPr>
                <w:spacing w:val="-2"/>
                <w:u w:val="single"/>
              </w:rPr>
            </w:pPr>
            <w:hyperlink r:id="rId28" w:history="1">
              <w:r w:rsidRPr="00F61E67">
                <w:rPr>
                  <w:rStyle w:val="Hyperlink"/>
                  <w:spacing w:val="-2"/>
                  <w:szCs w:val="24"/>
                </w:rPr>
                <w:t>CWG-FHR-22/26</w:t>
              </w:r>
            </w:hyperlink>
          </w:p>
        </w:tc>
      </w:tr>
      <w:tr w:rsidR="0048033F" w:rsidRPr="00F46F77" w14:paraId="55D21039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23E5" w14:textId="743E6962" w:rsidR="0048033F" w:rsidRPr="00E72B0A" w:rsidRDefault="0048033F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17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5B155" w14:textId="725AA128" w:rsidR="0048033F" w:rsidRPr="00E72B0A" w:rsidRDefault="0048033F" w:rsidP="00E72B0A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Union’s headquarters premises project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00B2A4" w14:textId="1B12BA30" w:rsidR="0048033F" w:rsidRPr="00F46F77" w:rsidRDefault="0048033F" w:rsidP="00E72B0A">
            <w:pPr>
              <w:pStyle w:val="Tabletext"/>
              <w:jc w:val="center"/>
              <w:rPr>
                <w:spacing w:val="-2"/>
                <w:u w:val="single"/>
              </w:rPr>
            </w:pPr>
          </w:p>
        </w:tc>
      </w:tr>
      <w:tr w:rsidR="0048033F" w:rsidRPr="00F46F77" w14:paraId="4B19B4D9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99321" w14:textId="77777777" w:rsidR="0048033F" w:rsidRPr="00E72B0A" w:rsidRDefault="0048033F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DFDB5" w14:textId="53284059" w:rsidR="0048033F" w:rsidRDefault="0048033F" w:rsidP="0048033F">
            <w:pPr>
              <w:pStyle w:val="Tabletext"/>
              <w:ind w:left="284" w:hanging="284"/>
              <w:rPr>
                <w:szCs w:val="22"/>
              </w:rPr>
            </w:pPr>
            <w:r>
              <w:rPr>
                <w:rFonts w:cs="Calibri"/>
                <w:szCs w:val="22"/>
              </w:rPr>
              <w:t>–</w:t>
            </w:r>
            <w:r w:rsidRPr="00071C55">
              <w:rPr>
                <w:rFonts w:cs="Calibri"/>
                <w:szCs w:val="22"/>
              </w:rPr>
              <w:tab/>
            </w:r>
            <w:r w:rsidRPr="00E72B0A">
              <w:rPr>
                <w:szCs w:val="22"/>
              </w:rPr>
              <w:t>Update on the Union's Headquarters premises project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ABC61" w14:textId="58A9B1D5" w:rsidR="0048033F" w:rsidRDefault="00A93689" w:rsidP="004904E1">
            <w:pPr>
              <w:pStyle w:val="Tabletext"/>
              <w:ind w:left="-57" w:right="-57"/>
              <w:jc w:val="center"/>
            </w:pPr>
            <w:hyperlink r:id="rId29" w:history="1">
              <w:r>
                <w:rPr>
                  <w:rStyle w:val="Hyperlink"/>
                  <w:rFonts w:cs="Calibri"/>
                  <w:spacing w:val="-2"/>
                  <w:szCs w:val="24"/>
                </w:rPr>
                <w:t>CWG-FHR-22/8(</w:t>
              </w:r>
              <w:proofErr w:type="spellStart"/>
              <w:r>
                <w:rPr>
                  <w:rStyle w:val="Hyperlink"/>
                  <w:rFonts w:cs="Calibri"/>
                  <w:spacing w:val="-2"/>
                  <w:szCs w:val="24"/>
                </w:rPr>
                <w:t>Rev.1</w:t>
              </w:r>
              <w:proofErr w:type="spellEnd"/>
              <w:r>
                <w:rPr>
                  <w:rStyle w:val="Hyperlink"/>
                  <w:rFonts w:cs="Calibri"/>
                  <w:spacing w:val="-2"/>
                  <w:szCs w:val="24"/>
                </w:rPr>
                <w:t>)</w:t>
              </w:r>
            </w:hyperlink>
          </w:p>
        </w:tc>
      </w:tr>
      <w:tr w:rsidR="0048033F" w:rsidRPr="00F46F77" w14:paraId="6F9DB19F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EBD" w14:textId="77777777" w:rsidR="0048033F" w:rsidRPr="00E72B0A" w:rsidRDefault="0048033F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3B3" w14:textId="2F8BF5AD" w:rsidR="0048033F" w:rsidRDefault="0048033F" w:rsidP="0048033F">
            <w:pPr>
              <w:pStyle w:val="Tabletext"/>
              <w:ind w:left="284" w:hanging="284"/>
              <w:rPr>
                <w:szCs w:val="22"/>
              </w:rPr>
            </w:pPr>
            <w:r>
              <w:rPr>
                <w:rFonts w:cs="Calibri"/>
                <w:szCs w:val="22"/>
              </w:rPr>
              <w:t>–</w:t>
            </w:r>
            <w:r w:rsidRPr="00071C55">
              <w:rPr>
                <w:rFonts w:cs="Calibri"/>
                <w:szCs w:val="22"/>
              </w:rPr>
              <w:tab/>
            </w:r>
            <w:r w:rsidRPr="00E72B0A">
              <w:rPr>
                <w:i/>
                <w:iCs/>
                <w:szCs w:val="22"/>
              </w:rPr>
              <w:t>Contribution by the Regional Commonwealth in the Field of Communications</w:t>
            </w:r>
            <w:r w:rsidR="004904E1">
              <w:rPr>
                <w:i/>
                <w:iCs/>
                <w:szCs w:val="22"/>
              </w:rPr>
              <w:t xml:space="preserve"> and </w:t>
            </w:r>
            <w:r w:rsidR="004904E1" w:rsidRPr="00E72B0A">
              <w:rPr>
                <w:i/>
                <w:iCs/>
              </w:rPr>
              <w:t>the Kyrgyz Republic</w:t>
            </w:r>
            <w:r w:rsidRPr="00E72B0A">
              <w:rPr>
                <w:szCs w:val="22"/>
              </w:rPr>
              <w:t>: Proposal on the two Reports by the Secretary-General related to the Union's headquarters premises project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20819" w14:textId="77777777" w:rsidR="0048033F" w:rsidRDefault="0048033F" w:rsidP="00E72B0A">
            <w:pPr>
              <w:pStyle w:val="Tabletext"/>
              <w:jc w:val="center"/>
            </w:pPr>
            <w:hyperlink r:id="rId30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22</w:t>
              </w:r>
            </w:hyperlink>
          </w:p>
        </w:tc>
      </w:tr>
      <w:tr w:rsidR="00F46F77" w:rsidRPr="00F46F77" w14:paraId="72A61D15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680" w14:textId="25F74278" w:rsidR="00F46F77" w:rsidRPr="00E72B0A" w:rsidRDefault="00F46F77" w:rsidP="00617642">
            <w:pPr>
              <w:pStyle w:val="Tabletext"/>
              <w:keepNext/>
              <w:keepLines/>
              <w:jc w:val="center"/>
              <w:rPr>
                <w:b/>
              </w:rPr>
            </w:pPr>
            <w:r w:rsidRPr="00E72B0A">
              <w:rPr>
                <w:b/>
              </w:rPr>
              <w:lastRenderedPageBreak/>
              <w:t>1</w:t>
            </w:r>
            <w:r w:rsidR="00071C55" w:rsidRPr="00E72B0A">
              <w:rPr>
                <w:b/>
              </w:rPr>
              <w:t>8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9FD" w14:textId="6D420243" w:rsidR="00C37139" w:rsidRPr="00F3142E" w:rsidRDefault="00C37139" w:rsidP="00617642">
            <w:pPr>
              <w:pStyle w:val="Tabletext"/>
              <w:keepNext/>
              <w:keepLines/>
              <w:rPr>
                <w:rFonts w:cs="Calibri"/>
                <w:spacing w:val="-2"/>
              </w:rPr>
            </w:pPr>
            <w:r w:rsidRPr="00F3142E">
              <w:rPr>
                <w:rFonts w:cs="Calibri"/>
                <w:spacing w:val="-2"/>
              </w:rPr>
              <w:t>Analysis of Council Decisions </w:t>
            </w:r>
            <w:hyperlink r:id="rId31" w:history="1">
              <w:r w:rsidRPr="00235AD9">
                <w:rPr>
                  <w:rStyle w:val="Hyperlink"/>
                  <w:rFonts w:cs="Calibri"/>
                  <w:spacing w:val="-2"/>
                </w:rPr>
                <w:t>588 (</w:t>
              </w:r>
              <w:proofErr w:type="spellStart"/>
              <w:r w:rsidRPr="00235AD9">
                <w:rPr>
                  <w:rStyle w:val="Hyperlink"/>
                  <w:rFonts w:cs="Calibri"/>
                  <w:spacing w:val="-2"/>
                </w:rPr>
                <w:t>C16</w:t>
              </w:r>
              <w:proofErr w:type="spellEnd"/>
              <w:r w:rsidRPr="00235AD9">
                <w:rPr>
                  <w:rStyle w:val="Hyperlink"/>
                  <w:rFonts w:cs="Calibri"/>
                  <w:spacing w:val="-2"/>
                </w:rPr>
                <w:t>), 619 (</w:t>
              </w:r>
              <w:proofErr w:type="spellStart"/>
              <w:r w:rsidRPr="00235AD9">
                <w:rPr>
                  <w:rStyle w:val="Hyperlink"/>
                  <w:rFonts w:cs="Calibri"/>
                  <w:spacing w:val="-2"/>
                </w:rPr>
                <w:t>C19</w:t>
              </w:r>
              <w:proofErr w:type="spellEnd"/>
              <w:r w:rsidRPr="00235AD9">
                <w:rPr>
                  <w:rStyle w:val="Hyperlink"/>
                  <w:rFonts w:cs="Calibri"/>
                  <w:spacing w:val="-2"/>
                </w:rPr>
                <w:t xml:space="preserve">, last amended </w:t>
              </w:r>
              <w:proofErr w:type="spellStart"/>
              <w:r w:rsidRPr="00235AD9">
                <w:rPr>
                  <w:rStyle w:val="Hyperlink"/>
                  <w:rFonts w:cs="Calibri"/>
                  <w:spacing w:val="-2"/>
                </w:rPr>
                <w:t>C21</w:t>
              </w:r>
              <w:proofErr w:type="spellEnd"/>
              <w:r w:rsidRPr="00235AD9">
                <w:rPr>
                  <w:rStyle w:val="Hyperlink"/>
                  <w:rFonts w:cs="Calibri"/>
                  <w:spacing w:val="-2"/>
                </w:rPr>
                <w:t>) and 640 (</w:t>
              </w:r>
              <w:proofErr w:type="spellStart"/>
              <w:r w:rsidRPr="00235AD9">
                <w:rPr>
                  <w:rStyle w:val="Hyperlink"/>
                  <w:rFonts w:cs="Calibri"/>
                  <w:spacing w:val="-2"/>
                </w:rPr>
                <w:t>C24</w:t>
              </w:r>
              <w:proofErr w:type="spellEnd"/>
              <w:r w:rsidRPr="00235AD9">
                <w:rPr>
                  <w:rStyle w:val="Hyperlink"/>
                  <w:rFonts w:cs="Calibri"/>
                  <w:spacing w:val="-2"/>
                </w:rPr>
                <w:t>)</w:t>
              </w:r>
            </w:hyperlink>
          </w:p>
          <w:p w14:paraId="77B589EF" w14:textId="7FB96833" w:rsidR="00F46F77" w:rsidRPr="00F46F77" w:rsidRDefault="0048033F" w:rsidP="00617642">
            <w:pPr>
              <w:pStyle w:val="Tabletext"/>
              <w:keepNext/>
              <w:keepLines/>
              <w:ind w:left="284" w:hanging="284"/>
              <w:rPr>
                <w:szCs w:val="22"/>
              </w:rPr>
            </w:pPr>
            <w:r>
              <w:rPr>
                <w:rFonts w:cs="Calibri"/>
              </w:rPr>
              <w:tab/>
            </w:r>
            <w:r w:rsidR="00327D8C" w:rsidRPr="00327D8C">
              <w:rPr>
                <w:rFonts w:cs="Calibri"/>
              </w:rPr>
              <w:t>Review of Council Decisions related to the Union's Headquarters premises project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F58E3" w14:textId="0B5B3057" w:rsidR="00C37139" w:rsidRDefault="00C37139" w:rsidP="00617642">
            <w:pPr>
              <w:pStyle w:val="Tabletext"/>
              <w:keepNext/>
              <w:keepLines/>
              <w:jc w:val="center"/>
            </w:pPr>
          </w:p>
          <w:p w14:paraId="0A798313" w14:textId="641DE340" w:rsidR="00F46F77" w:rsidRPr="00F46F77" w:rsidRDefault="007B1BE3" w:rsidP="00617642">
            <w:pPr>
              <w:pStyle w:val="Tabletext"/>
              <w:keepNext/>
              <w:keepLines/>
              <w:jc w:val="center"/>
              <w:rPr>
                <w:spacing w:val="-2"/>
                <w:u w:val="single"/>
              </w:rPr>
            </w:pPr>
            <w:hyperlink r:id="rId32" w:history="1">
              <w:r>
                <w:rPr>
                  <w:rStyle w:val="Hyperlink"/>
                  <w:spacing w:val="-2"/>
                </w:rPr>
                <w:t>CWG-FHR-22/</w:t>
              </w:r>
              <w:r>
                <w:rPr>
                  <w:rStyle w:val="Hyperlink"/>
                  <w:spacing w:val="-2"/>
                </w:rPr>
                <w:br/>
                <w:t>18(</w:t>
              </w:r>
              <w:proofErr w:type="spellStart"/>
              <w:r>
                <w:rPr>
                  <w:rStyle w:val="Hyperlink"/>
                  <w:spacing w:val="-2"/>
                </w:rPr>
                <w:t>Rev.1</w:t>
              </w:r>
              <w:proofErr w:type="spellEnd"/>
              <w:r>
                <w:rPr>
                  <w:rStyle w:val="Hyperlink"/>
                  <w:spacing w:val="-2"/>
                </w:rPr>
                <w:t>)</w:t>
              </w:r>
            </w:hyperlink>
          </w:p>
        </w:tc>
      </w:tr>
      <w:tr w:rsidR="00F46F77" w:rsidRPr="00F46F77" w14:paraId="1DED1579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0AC" w14:textId="138E252F" w:rsidR="00F46F77" w:rsidRPr="00E72B0A" w:rsidRDefault="00F46F77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1</w:t>
            </w:r>
            <w:r w:rsidR="00071C55" w:rsidRPr="00E72B0A">
              <w:rPr>
                <w:b/>
              </w:rPr>
              <w:t>9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B97" w14:textId="778760B4" w:rsidR="00CD52E4" w:rsidRPr="00CD52E4" w:rsidRDefault="00CD52E4" w:rsidP="00E72B0A">
            <w:pPr>
              <w:pStyle w:val="Tabletext"/>
              <w:rPr>
                <w:rFonts w:cs="Calibri"/>
              </w:rPr>
            </w:pPr>
            <w:r w:rsidRPr="00CD52E4">
              <w:rPr>
                <w:rFonts w:cs="Calibri"/>
              </w:rPr>
              <w:t>MSAG Report (including risk registry update)</w:t>
            </w:r>
          </w:p>
          <w:p w14:paraId="751E9E24" w14:textId="4C9656F6" w:rsidR="00F46F77" w:rsidRPr="00487657" w:rsidRDefault="00F3142E" w:rsidP="00F3142E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487657" w:rsidRPr="00487657">
              <w:rPr>
                <w:rFonts w:cs="Calibri"/>
              </w:rPr>
              <w:t>Report on the Member States Advisory Group (MSAG) activities and outcomes since the 21</w:t>
            </w:r>
            <w:r w:rsidR="00487657" w:rsidRPr="00F3142E">
              <w:rPr>
                <w:rFonts w:cs="Calibri"/>
                <w:vertAlign w:val="superscript"/>
              </w:rPr>
              <w:t>st</w:t>
            </w:r>
            <w:r w:rsidR="00487657" w:rsidRPr="00487657">
              <w:rPr>
                <w:rFonts w:cs="Calibri"/>
              </w:rPr>
              <w:t xml:space="preserve"> meeting of the ITU Council Working Group on financial and human resources (CWG-FHR)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3220B" w14:textId="77777777" w:rsidR="00CD52E4" w:rsidRDefault="00CD52E4" w:rsidP="00E72B0A">
            <w:pPr>
              <w:pStyle w:val="Tabletext"/>
              <w:jc w:val="center"/>
            </w:pPr>
          </w:p>
          <w:p w14:paraId="32A5CE6E" w14:textId="0B222A73" w:rsidR="00F46F77" w:rsidRPr="00487657" w:rsidRDefault="00487657" w:rsidP="00E72B0A">
            <w:pPr>
              <w:pStyle w:val="Tabletext"/>
              <w:jc w:val="center"/>
              <w:rPr>
                <w:rFonts w:cs="Calibri"/>
                <w:spacing w:val="-2"/>
                <w:u w:val="single"/>
              </w:rPr>
            </w:pPr>
            <w:hyperlink r:id="rId33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</w:t>
              </w:r>
              <w:r>
                <w:rPr>
                  <w:rStyle w:val="Hyperlink"/>
                  <w:spacing w:val="-2"/>
                </w:rPr>
                <w:t>4</w:t>
              </w:r>
            </w:hyperlink>
          </w:p>
        </w:tc>
      </w:tr>
      <w:tr w:rsidR="00F46F77" w:rsidRPr="00F46F77" w14:paraId="5A29BD23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819" w14:textId="1409E5B0" w:rsidR="00F46F77" w:rsidRPr="00E72B0A" w:rsidRDefault="00071C55" w:rsidP="00E72B0A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20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60A" w14:textId="57EFB85A" w:rsidR="0048466F" w:rsidRDefault="0048466F" w:rsidP="00E72B0A">
            <w:pPr>
              <w:pStyle w:val="Tabletext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Campus strategic plan</w:t>
            </w:r>
          </w:p>
          <w:p w14:paraId="49642BAC" w14:textId="445A28E3" w:rsidR="00F46F77" w:rsidRPr="00F46F77" w:rsidRDefault="00F3142E" w:rsidP="00E72B0A">
            <w:pPr>
              <w:pStyle w:val="Tabletext"/>
              <w:rPr>
                <w:szCs w:val="22"/>
              </w:rPr>
            </w:pPr>
            <w:r>
              <w:rPr>
                <w:rFonts w:cs="Calibri"/>
                <w:bCs/>
                <w:lang w:val="en-US"/>
              </w:rPr>
              <w:tab/>
            </w:r>
            <w:r w:rsidR="0033491F">
              <w:rPr>
                <w:rFonts w:cs="Calibri"/>
                <w:bCs/>
                <w:lang w:val="en-US"/>
              </w:rPr>
              <w:t>Update on the c</w:t>
            </w:r>
            <w:r w:rsidR="00F46F77" w:rsidRPr="00BF337F">
              <w:rPr>
                <w:rFonts w:cs="Calibri"/>
                <w:bCs/>
                <w:lang w:val="en-US"/>
              </w:rPr>
              <w:t>ampus strategic plan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C59CF" w14:textId="77777777" w:rsidR="0048466F" w:rsidRDefault="0048466F" w:rsidP="00E72B0A">
            <w:pPr>
              <w:pStyle w:val="Tabletext"/>
              <w:jc w:val="center"/>
            </w:pPr>
          </w:p>
          <w:p w14:paraId="22EC313D" w14:textId="633DD29D" w:rsidR="00F46F77" w:rsidRPr="00F46F77" w:rsidRDefault="0033491F" w:rsidP="00E72B0A">
            <w:pPr>
              <w:pStyle w:val="Tabletext"/>
              <w:ind w:left="-57" w:right="-57"/>
              <w:jc w:val="center"/>
              <w:rPr>
                <w:spacing w:val="-2"/>
                <w:u w:val="single"/>
              </w:rPr>
            </w:pPr>
            <w:hyperlink r:id="rId34" w:history="1">
              <w:r w:rsidRPr="00F3142E">
                <w:rPr>
                  <w:rStyle w:val="Hyperlink"/>
                  <w:rFonts w:cs="Calibri"/>
                  <w:spacing w:val="-2"/>
                  <w:szCs w:val="24"/>
                </w:rPr>
                <w:t>CWG-FHR-22/5</w:t>
              </w:r>
              <w:r w:rsidRPr="00F3142E">
                <w:rPr>
                  <w:rStyle w:val="Hyperlink"/>
                  <w:rFonts w:cs="Calibri"/>
                  <w:spacing w:val="-2"/>
                </w:rPr>
                <w:t>(</w:t>
              </w:r>
              <w:proofErr w:type="spellStart"/>
              <w:r w:rsidRPr="00F3142E">
                <w:rPr>
                  <w:rStyle w:val="Hyperlink"/>
                  <w:rFonts w:cs="Calibri"/>
                  <w:spacing w:val="-2"/>
                </w:rPr>
                <w:t>Rev.1</w:t>
              </w:r>
              <w:proofErr w:type="spellEnd"/>
              <w:r w:rsidRPr="00F3142E">
                <w:rPr>
                  <w:rStyle w:val="Hyperlink"/>
                  <w:rFonts w:cs="Calibri"/>
                  <w:spacing w:val="-2"/>
                </w:rPr>
                <w:t>)</w:t>
              </w:r>
            </w:hyperlink>
          </w:p>
        </w:tc>
      </w:tr>
      <w:tr w:rsidR="00F3142E" w:rsidRPr="00F46F77" w14:paraId="66AEDDA1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46670" w14:textId="2DF89A03" w:rsidR="00F3142E" w:rsidRPr="00E72B0A" w:rsidRDefault="00F3142E" w:rsidP="0040564E">
            <w:pPr>
              <w:pStyle w:val="Tabletext"/>
              <w:keepNext/>
              <w:keepLines/>
              <w:jc w:val="center"/>
              <w:rPr>
                <w:b/>
              </w:rPr>
            </w:pPr>
            <w:r w:rsidRPr="00E72B0A">
              <w:rPr>
                <w:b/>
              </w:rPr>
              <w:t>21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A8A50" w14:textId="6826A5E6" w:rsidR="00F3142E" w:rsidRPr="00E72B0A" w:rsidRDefault="00F3142E" w:rsidP="0040564E">
            <w:pPr>
              <w:pStyle w:val="Tabletext"/>
              <w:keepNext/>
              <w:keepLines/>
              <w:rPr>
                <w:rFonts w:cs="Calibri"/>
              </w:rPr>
            </w:pPr>
            <w:r w:rsidRPr="00BF337F">
              <w:rPr>
                <w:rFonts w:cs="Calibri"/>
                <w:bCs/>
              </w:rPr>
              <w:t>Business continuity modalities for ITU meetings 2028-2029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8FEAB" w14:textId="12D7EDB6" w:rsidR="00F3142E" w:rsidRPr="00F46F77" w:rsidRDefault="00F3142E" w:rsidP="0040564E">
            <w:pPr>
              <w:pStyle w:val="Tabletext"/>
              <w:keepNext/>
              <w:keepLines/>
              <w:jc w:val="center"/>
              <w:rPr>
                <w:spacing w:val="-2"/>
                <w:u w:val="single"/>
              </w:rPr>
            </w:pPr>
          </w:p>
        </w:tc>
      </w:tr>
      <w:tr w:rsidR="00F3142E" w:rsidRPr="00F46F77" w14:paraId="1433A385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FDD6" w14:textId="77777777" w:rsidR="00F3142E" w:rsidRPr="00E72B0A" w:rsidRDefault="00F3142E" w:rsidP="0040564E">
            <w:pPr>
              <w:pStyle w:val="Tabletext"/>
              <w:keepNext/>
              <w:keepLines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D987" w14:textId="62B50FB3" w:rsidR="00F3142E" w:rsidRPr="00BF337F" w:rsidRDefault="00F3142E" w:rsidP="0040564E">
            <w:pPr>
              <w:pStyle w:val="Tabletext"/>
              <w:keepNext/>
              <w:keepLines/>
              <w:ind w:left="284" w:hanging="284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–</w:t>
            </w:r>
            <w:r w:rsidRPr="008C1BC6">
              <w:rPr>
                <w:rFonts w:cs="Calibri"/>
                <w:bCs/>
              </w:rPr>
              <w:tab/>
            </w:r>
            <w:r w:rsidRPr="00E72B0A">
              <w:rPr>
                <w:rFonts w:cs="Calibri"/>
                <w:bCs/>
              </w:rPr>
              <w:t>Update on business continuity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AE157" w14:textId="77777777" w:rsidR="00F3142E" w:rsidRDefault="00F3142E" w:rsidP="0040564E">
            <w:pPr>
              <w:pStyle w:val="Tabletext"/>
              <w:keepNext/>
              <w:keepLines/>
              <w:jc w:val="center"/>
            </w:pPr>
            <w:hyperlink r:id="rId35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13</w:t>
              </w:r>
            </w:hyperlink>
          </w:p>
        </w:tc>
      </w:tr>
      <w:tr w:rsidR="00F3142E" w:rsidRPr="00F46F77" w14:paraId="18BBF79C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EA61A" w14:textId="77777777" w:rsidR="00F3142E" w:rsidRPr="00E72B0A" w:rsidRDefault="00F3142E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6E1D4" w14:textId="3586DD8C" w:rsidR="00F3142E" w:rsidRPr="00F3142E" w:rsidRDefault="00F3142E" w:rsidP="00F3142E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8C1BC6">
              <w:rPr>
                <w:rFonts w:cs="Calibri"/>
              </w:rPr>
              <w:tab/>
            </w:r>
            <w:r w:rsidRPr="00E72B0A">
              <w:rPr>
                <w:rFonts w:cs="Calibri"/>
                <w:bCs/>
                <w:i/>
                <w:iCs/>
              </w:rPr>
              <w:t xml:space="preserve">Contribution by Switzerland: </w:t>
            </w:r>
            <w:r w:rsidRPr="00E72B0A">
              <w:rPr>
                <w:rFonts w:cs="Calibri"/>
                <w:bCs/>
              </w:rPr>
              <w:t>Allocation of host country extraordinary support to ensure continuity of ITU conference activities in Switzerland during the Headquarters/</w:t>
            </w:r>
            <w:proofErr w:type="spellStart"/>
            <w:r w:rsidRPr="00E72B0A">
              <w:rPr>
                <w:rFonts w:cs="Calibri"/>
                <w:bCs/>
              </w:rPr>
              <w:t>CICG</w:t>
            </w:r>
            <w:proofErr w:type="spellEnd"/>
            <w:r w:rsidRPr="00E72B0A">
              <w:rPr>
                <w:rFonts w:cs="Calibri"/>
                <w:bCs/>
              </w:rPr>
              <w:t xml:space="preserve"> construction period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24632" w14:textId="6292957A" w:rsidR="00F3142E" w:rsidRDefault="00F3142E" w:rsidP="00F3142E">
            <w:pPr>
              <w:pStyle w:val="Tabletext"/>
              <w:jc w:val="center"/>
            </w:pPr>
            <w:hyperlink r:id="rId36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23</w:t>
              </w:r>
            </w:hyperlink>
          </w:p>
        </w:tc>
      </w:tr>
      <w:tr w:rsidR="00F3142E" w:rsidRPr="00F46F77" w14:paraId="2644DAB0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42C" w14:textId="77777777" w:rsidR="00F3142E" w:rsidRPr="00E72B0A" w:rsidRDefault="00F3142E" w:rsidP="00E72B0A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FCB" w14:textId="524B8053" w:rsidR="00F3142E" w:rsidRPr="008C1BC6" w:rsidRDefault="00F3142E" w:rsidP="00F3142E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8C1BC6">
              <w:rPr>
                <w:rFonts w:cs="Calibri"/>
              </w:rPr>
              <w:tab/>
            </w:r>
            <w:r w:rsidRPr="00E72B0A">
              <w:rPr>
                <w:rFonts w:cs="Calibri"/>
                <w:bCs/>
                <w:i/>
                <w:iCs/>
              </w:rPr>
              <w:t>Contribution by the Russian Federation:</w:t>
            </w:r>
            <w:r w:rsidRPr="00E72B0A">
              <w:rPr>
                <w:rFonts w:cs="Calibri"/>
              </w:rPr>
              <w:t xml:space="preserve"> Comments on the update on business continuity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3F758" w14:textId="77777777" w:rsidR="00F3142E" w:rsidRDefault="00F3142E" w:rsidP="00E72B0A">
            <w:pPr>
              <w:pStyle w:val="Tabletext"/>
              <w:jc w:val="center"/>
            </w:pPr>
            <w:hyperlink r:id="rId37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28</w:t>
              </w:r>
            </w:hyperlink>
          </w:p>
        </w:tc>
      </w:tr>
      <w:tr w:rsidR="00683299" w:rsidRPr="00F46F77" w14:paraId="1DEAE66D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32B" w14:textId="2B7015DB" w:rsidR="00683299" w:rsidRPr="00E72B0A" w:rsidRDefault="00683299" w:rsidP="00683299">
            <w:pPr>
              <w:pStyle w:val="Tabletext"/>
              <w:jc w:val="center"/>
              <w:rPr>
                <w:rFonts w:cs="Calibri"/>
                <w:b/>
              </w:rPr>
            </w:pPr>
            <w:r w:rsidRPr="00E72B0A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B0A" w14:textId="2385C32B" w:rsidR="00683299" w:rsidRPr="003E3505" w:rsidRDefault="00683299" w:rsidP="00683299">
            <w:pPr>
              <w:pStyle w:val="Tabletext"/>
              <w:rPr>
                <w:rFonts w:cs="Calibri"/>
              </w:rPr>
            </w:pPr>
            <w:r w:rsidRPr="03AE1765">
              <w:rPr>
                <w:rFonts w:cs="Calibri"/>
              </w:rPr>
              <w:t>Abrogation of the Council Decision 601 on IIN registration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FE758" w14:textId="5D9D1319" w:rsidR="00683299" w:rsidRDefault="00683299" w:rsidP="00683299">
            <w:pPr>
              <w:pStyle w:val="Tabletext"/>
              <w:jc w:val="center"/>
            </w:pPr>
            <w:hyperlink r:id="rId38" w:history="1">
              <w:r w:rsidRPr="00047F3C">
                <w:rPr>
                  <w:rStyle w:val="Hyperlink"/>
                  <w:rFonts w:cs="Calibri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rFonts w:cs="Calibri"/>
                  <w:spacing w:val="-2"/>
                  <w:szCs w:val="24"/>
                </w:rPr>
                <w:t>3</w:t>
              </w:r>
            </w:hyperlink>
          </w:p>
        </w:tc>
      </w:tr>
      <w:tr w:rsidR="00683299" w:rsidRPr="00F46F77" w14:paraId="4D023118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9DD" w14:textId="1C96F964" w:rsidR="00683299" w:rsidRPr="00E72B0A" w:rsidRDefault="00683299" w:rsidP="00683299">
            <w:pPr>
              <w:pStyle w:val="Tabletext"/>
              <w:jc w:val="center"/>
              <w:rPr>
                <w:rFonts w:cs="Calibri"/>
                <w:b/>
              </w:rPr>
            </w:pPr>
            <w:r w:rsidRPr="00E72B0A">
              <w:rPr>
                <w:rFonts w:cs="Calibri"/>
                <w:b/>
              </w:rPr>
              <w:t>2</w:t>
            </w:r>
            <w:r>
              <w:rPr>
                <w:rFonts w:cs="Calibri"/>
                <w:b/>
              </w:rPr>
              <w:t>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21B" w14:textId="6553FDB0" w:rsidR="00683299" w:rsidRPr="003E3505" w:rsidRDefault="00683299" w:rsidP="00683299">
            <w:pPr>
              <w:pStyle w:val="Tabletext"/>
              <w:rPr>
                <w:rFonts w:cs="Calibri"/>
              </w:rPr>
            </w:pPr>
            <w:r w:rsidRPr="003E3505">
              <w:rPr>
                <w:rFonts w:cs="Calibri"/>
              </w:rPr>
              <w:t>ITU IT, Data and Information governance</w:t>
            </w:r>
          </w:p>
          <w:p w14:paraId="56A5712B" w14:textId="6F9DB434" w:rsidR="00683299" w:rsidRPr="00DE727A" w:rsidRDefault="00683299" w:rsidP="00683299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Pr="00DE727A">
              <w:rPr>
                <w:rFonts w:cs="Calibri"/>
              </w:rPr>
              <w:t xml:space="preserve">Strengthening ITU's internal digital foundations for transformation </w:t>
            </w:r>
            <w:r>
              <w:rPr>
                <w:rFonts w:cs="Calibri"/>
              </w:rPr>
              <w:t>–</w:t>
            </w:r>
            <w:r w:rsidRPr="00DE727A">
              <w:rPr>
                <w:rFonts w:cs="Calibri"/>
              </w:rPr>
              <w:t xml:space="preserve"> Strategy, enterprise architecture, ICT governance and IT operating model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AD723" w14:textId="77777777" w:rsidR="00683299" w:rsidRDefault="00683299" w:rsidP="00683299">
            <w:pPr>
              <w:pStyle w:val="Tabletext"/>
              <w:jc w:val="center"/>
            </w:pPr>
          </w:p>
          <w:p w14:paraId="23F36F51" w14:textId="538D2AAB" w:rsidR="00683299" w:rsidRPr="00DE727A" w:rsidRDefault="00683299" w:rsidP="00683299">
            <w:pPr>
              <w:pStyle w:val="Tabletext"/>
              <w:jc w:val="center"/>
              <w:rPr>
                <w:rFonts w:cs="Calibri"/>
                <w:spacing w:val="-2"/>
                <w:u w:val="single"/>
              </w:rPr>
            </w:pPr>
            <w:hyperlink r:id="rId39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14</w:t>
              </w:r>
            </w:hyperlink>
          </w:p>
        </w:tc>
      </w:tr>
      <w:tr w:rsidR="00683299" w:rsidRPr="00F46F77" w14:paraId="6CEA797A" w14:textId="77777777" w:rsidTr="008B0176">
        <w:trPr>
          <w:cantSplit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ECAF" w14:textId="0F6FA5A7" w:rsidR="00683299" w:rsidRPr="00E72B0A" w:rsidRDefault="00683299" w:rsidP="00683299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24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FB51D" w14:textId="340E1321" w:rsidR="00683299" w:rsidRPr="00E72B0A" w:rsidRDefault="00683299" w:rsidP="00683299">
            <w:pPr>
              <w:pStyle w:val="Tabletext"/>
              <w:rPr>
                <w:rFonts w:cs="Calibri"/>
              </w:rPr>
            </w:pPr>
            <w:r w:rsidRPr="00BF337F">
              <w:rPr>
                <w:rFonts w:cs="Calibri"/>
                <w:bCs/>
              </w:rPr>
              <w:t xml:space="preserve">Update on ITU </w:t>
            </w:r>
            <w:r>
              <w:rPr>
                <w:rFonts w:cs="Calibri"/>
                <w:bCs/>
              </w:rPr>
              <w:t xml:space="preserve">transformation, including </w:t>
            </w:r>
            <w:r w:rsidRPr="00BF337F">
              <w:rPr>
                <w:rFonts w:cs="Calibri"/>
                <w:bCs/>
              </w:rPr>
              <w:t>Website Project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3F493" w14:textId="2D01C8F9" w:rsidR="00683299" w:rsidRPr="00F46F77" w:rsidRDefault="00683299" w:rsidP="00683299">
            <w:pPr>
              <w:pStyle w:val="Tabletext"/>
              <w:jc w:val="center"/>
              <w:rPr>
                <w:spacing w:val="-2"/>
                <w:u w:val="single"/>
              </w:rPr>
            </w:pPr>
          </w:p>
        </w:tc>
      </w:tr>
      <w:tr w:rsidR="00683299" w:rsidRPr="00F46F77" w14:paraId="27262ABF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5264" w14:textId="77777777" w:rsidR="00683299" w:rsidRPr="00E72B0A" w:rsidRDefault="00683299" w:rsidP="00683299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09B4D" w14:textId="7377D266" w:rsidR="00683299" w:rsidRPr="00BF337F" w:rsidRDefault="00683299" w:rsidP="00683299">
            <w:pPr>
              <w:pStyle w:val="Tabletext"/>
              <w:ind w:left="284" w:hanging="284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–</w:t>
            </w:r>
            <w:r w:rsidRPr="00663329">
              <w:rPr>
                <w:rFonts w:cs="Calibri"/>
                <w:bCs/>
              </w:rPr>
              <w:tab/>
            </w:r>
            <w:r w:rsidRPr="00E72B0A">
              <w:rPr>
                <w:rFonts w:cs="Calibri"/>
                <w:bCs/>
              </w:rPr>
              <w:t>Update on ITU transformation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28BB3" w14:textId="417CF900" w:rsidR="00683299" w:rsidRDefault="00683299" w:rsidP="00683299">
            <w:pPr>
              <w:pStyle w:val="Tabletext"/>
              <w:jc w:val="center"/>
            </w:pPr>
            <w:hyperlink r:id="rId40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15</w:t>
              </w:r>
            </w:hyperlink>
          </w:p>
        </w:tc>
      </w:tr>
      <w:tr w:rsidR="00683299" w:rsidRPr="00F46F77" w14:paraId="7B9DDC0D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F9DB9" w14:textId="77777777" w:rsidR="00683299" w:rsidRPr="00E72B0A" w:rsidRDefault="00683299" w:rsidP="00683299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2B36C" w14:textId="725173BE" w:rsidR="00683299" w:rsidRPr="00F670B1" w:rsidRDefault="00683299" w:rsidP="00683299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663329">
              <w:rPr>
                <w:rFonts w:cs="Calibri"/>
              </w:rPr>
              <w:tab/>
            </w:r>
            <w:r w:rsidRPr="00E72B0A">
              <w:rPr>
                <w:rFonts w:cs="Calibri"/>
                <w:bCs/>
              </w:rPr>
              <w:t>Update on the ITU new website project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A21C2" w14:textId="59A38B6C" w:rsidR="00683299" w:rsidRDefault="00683299" w:rsidP="00683299">
            <w:pPr>
              <w:pStyle w:val="Tabletext"/>
              <w:jc w:val="center"/>
            </w:pPr>
            <w:hyperlink r:id="rId41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17</w:t>
              </w:r>
            </w:hyperlink>
          </w:p>
        </w:tc>
      </w:tr>
      <w:tr w:rsidR="00683299" w:rsidRPr="00F46F77" w14:paraId="10A438F3" w14:textId="77777777" w:rsidTr="008B0176">
        <w:trPr>
          <w:cantSplit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8F2" w14:textId="77777777" w:rsidR="00683299" w:rsidRPr="00E72B0A" w:rsidRDefault="00683299" w:rsidP="00683299">
            <w:pPr>
              <w:pStyle w:val="Tabletext"/>
              <w:jc w:val="center"/>
              <w:rPr>
                <w:b/>
              </w:rPr>
            </w:pPr>
          </w:p>
        </w:tc>
        <w:tc>
          <w:tcPr>
            <w:tcW w:w="3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233" w14:textId="3B996DC8" w:rsidR="00683299" w:rsidRPr="00663329" w:rsidRDefault="00683299" w:rsidP="00683299">
            <w:pPr>
              <w:pStyle w:val="Tabletext"/>
              <w:ind w:left="284" w:hanging="284"/>
              <w:rPr>
                <w:rFonts w:cs="Calibri"/>
              </w:rPr>
            </w:pPr>
            <w:r>
              <w:rPr>
                <w:rFonts w:cs="Calibri"/>
              </w:rPr>
              <w:t>–</w:t>
            </w:r>
            <w:r w:rsidRPr="00663329">
              <w:rPr>
                <w:rFonts w:cs="Calibri"/>
              </w:rPr>
              <w:tab/>
            </w:r>
            <w:r w:rsidRPr="00E72B0A">
              <w:rPr>
                <w:rFonts w:cs="Calibri"/>
                <w:i/>
                <w:iCs/>
              </w:rPr>
              <w:t>Contribution by People’s Republic of China:</w:t>
            </w:r>
            <w:r w:rsidRPr="00E72B0A">
              <w:rPr>
                <w:rFonts w:cs="Calibri"/>
              </w:rPr>
              <w:t xml:space="preserve"> Comments and recommendations on transformation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027089" w14:textId="387D4DFE" w:rsidR="00683299" w:rsidRDefault="00683299" w:rsidP="00683299">
            <w:pPr>
              <w:pStyle w:val="Tabletext"/>
              <w:jc w:val="center"/>
            </w:pPr>
            <w:hyperlink r:id="rId42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30</w:t>
              </w:r>
            </w:hyperlink>
          </w:p>
        </w:tc>
      </w:tr>
      <w:tr w:rsidR="00683299" w:rsidRPr="00F46F77" w14:paraId="0CFDE5EA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66C" w14:textId="38BCB207" w:rsidR="00683299" w:rsidRPr="00E72B0A" w:rsidRDefault="00683299" w:rsidP="00683299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25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4DB" w14:textId="4B9716BC" w:rsidR="00683299" w:rsidRDefault="00683299" w:rsidP="00683299">
            <w:pPr>
              <w:pStyle w:val="Tabletext"/>
            </w:pPr>
            <w:r>
              <w:rPr>
                <w:rFonts w:cs="Calibri"/>
              </w:rPr>
              <w:t>Involvement of Joint Inspection Unit in ITU Council Sessions</w:t>
            </w:r>
          </w:p>
          <w:p w14:paraId="22FAD94A" w14:textId="24C1A61B" w:rsidR="00683299" w:rsidRPr="008223DF" w:rsidRDefault="00683299" w:rsidP="00683299">
            <w:pPr>
              <w:pStyle w:val="Tabletext"/>
            </w:pPr>
            <w:r>
              <w:tab/>
            </w:r>
            <w:r w:rsidRPr="008223DF">
              <w:t>Participation of the Joint Inspection Unit in ITU Council sessions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8836B" w14:textId="77777777" w:rsidR="00683299" w:rsidRDefault="00683299" w:rsidP="00683299">
            <w:pPr>
              <w:pStyle w:val="Tabletext"/>
              <w:jc w:val="center"/>
            </w:pPr>
          </w:p>
          <w:p w14:paraId="0C6EAD60" w14:textId="1CD23C1A" w:rsidR="00683299" w:rsidRPr="008223DF" w:rsidRDefault="00683299" w:rsidP="00683299">
            <w:pPr>
              <w:pStyle w:val="Tabletext"/>
              <w:jc w:val="center"/>
              <w:rPr>
                <w:spacing w:val="-2"/>
                <w:u w:val="single"/>
              </w:rPr>
            </w:pPr>
            <w:hyperlink r:id="rId43" w:history="1">
              <w:r w:rsidRPr="00352364">
                <w:rPr>
                  <w:rStyle w:val="Hyperlink"/>
                  <w:spacing w:val="-2"/>
                  <w:szCs w:val="24"/>
                </w:rPr>
                <w:t>CWG-FHR-22/</w:t>
              </w:r>
              <w:r>
                <w:rPr>
                  <w:rStyle w:val="Hyperlink"/>
                  <w:spacing w:val="-2"/>
                  <w:szCs w:val="24"/>
                </w:rPr>
                <w:t>11</w:t>
              </w:r>
            </w:hyperlink>
          </w:p>
        </w:tc>
      </w:tr>
      <w:tr w:rsidR="00683299" w:rsidRPr="00F46F77" w14:paraId="2BD7144A" w14:textId="77777777" w:rsidTr="008B017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6DD" w14:textId="269EEB24" w:rsidR="00683299" w:rsidRPr="00E72B0A" w:rsidRDefault="00683299" w:rsidP="00683299">
            <w:pPr>
              <w:pStyle w:val="Tabletext"/>
              <w:jc w:val="center"/>
              <w:rPr>
                <w:b/>
              </w:rPr>
            </w:pPr>
            <w:r w:rsidRPr="00E72B0A">
              <w:rPr>
                <w:b/>
              </w:rPr>
              <w:t>26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A11" w14:textId="6312D30F" w:rsidR="00683299" w:rsidRPr="00F46F77" w:rsidRDefault="00683299" w:rsidP="00683299">
            <w:pPr>
              <w:pStyle w:val="Tabletext"/>
              <w:rPr>
                <w:szCs w:val="22"/>
              </w:rPr>
            </w:pPr>
            <w:r w:rsidRPr="00BF337F">
              <w:rPr>
                <w:rFonts w:cs="Calibri"/>
              </w:rPr>
              <w:t>Any other business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92758" w14:textId="77777777" w:rsidR="00683299" w:rsidRPr="00F46F77" w:rsidRDefault="00683299" w:rsidP="00683299">
            <w:pPr>
              <w:pStyle w:val="Tabletext"/>
              <w:jc w:val="center"/>
              <w:rPr>
                <w:spacing w:val="-2"/>
                <w:u w:val="single"/>
              </w:rPr>
            </w:pPr>
          </w:p>
        </w:tc>
      </w:tr>
    </w:tbl>
    <w:p w14:paraId="7F44A95D" w14:textId="7440CE31" w:rsidR="00F46F77" w:rsidRPr="00AE78C0" w:rsidRDefault="00F46F77" w:rsidP="00617642">
      <w:pPr>
        <w:pStyle w:val="Signature"/>
      </w:pPr>
      <w:r w:rsidRPr="00F46F77">
        <w:tab/>
        <w:t>Vernita D. HARRIS</w:t>
      </w:r>
      <w:r w:rsidRPr="00F46F77">
        <w:br/>
      </w:r>
      <w:r w:rsidRPr="00F46F77">
        <w:tab/>
        <w:t>Chair</w:t>
      </w:r>
      <w:bookmarkEnd w:id="3"/>
      <w:bookmarkEnd w:id="4"/>
      <w:bookmarkEnd w:id="5"/>
      <w:bookmarkEnd w:id="8"/>
    </w:p>
    <w:sectPr w:rsidR="00F46F77" w:rsidRPr="00AE78C0" w:rsidSect="009761F8">
      <w:footerReference w:type="default" r:id="rId44"/>
      <w:headerReference w:type="first" r:id="rId45"/>
      <w:footerReference w:type="first" r:id="rId46"/>
      <w:pgSz w:w="11907" w:h="16834"/>
      <w:pgMar w:top="1134" w:right="1418" w:bottom="1134" w:left="1418" w:header="680" w:footer="68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603E" w14:textId="77777777" w:rsidR="00941A8A" w:rsidRDefault="00941A8A">
      <w:r>
        <w:separator/>
      </w:r>
    </w:p>
  </w:endnote>
  <w:endnote w:type="continuationSeparator" w:id="0">
    <w:p w14:paraId="7853E7A2" w14:textId="77777777" w:rsidR="00941A8A" w:rsidRDefault="0094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66EA4505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F46F77">
            <w:rPr>
              <w:bCs/>
            </w:rPr>
            <w:t>1</w:t>
          </w:r>
          <w:r w:rsidR="00DE1387">
            <w:rPr>
              <w:bCs/>
            </w:rPr>
            <w:t>(</w:t>
          </w:r>
          <w:proofErr w:type="spellStart"/>
          <w:r w:rsidR="00DE1387">
            <w:rPr>
              <w:bCs/>
            </w:rPr>
            <w:t>Rev.</w:t>
          </w:r>
          <w:r w:rsidR="008B3316">
            <w:rPr>
              <w:bCs/>
            </w:rPr>
            <w:t>2</w:t>
          </w:r>
          <w:proofErr w:type="spellEnd"/>
          <w:r w:rsidR="00DE1387">
            <w:rPr>
              <w:bCs/>
            </w:rPr>
            <w:t>)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AE78C0">
              <w:rPr>
                <w:rStyle w:val="Hyperlink"/>
              </w:rPr>
              <w:t>council.itu.int</w:t>
            </w:r>
            <w:proofErr w:type="spellEnd"/>
            <w:r w:rsidRPr="00AE78C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4466CCE6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Pr="00623AE3">
            <w:rPr>
              <w:bCs/>
            </w:rPr>
            <w:t>/</w:t>
          </w:r>
          <w:r w:rsidR="00F46F77">
            <w:rPr>
              <w:bCs/>
            </w:rPr>
            <w:t>1</w:t>
          </w:r>
          <w:r w:rsidR="001318F8">
            <w:rPr>
              <w:bCs/>
            </w:rPr>
            <w:t>(</w:t>
          </w:r>
          <w:proofErr w:type="spellStart"/>
          <w:r w:rsidR="001318F8">
            <w:rPr>
              <w:bCs/>
            </w:rPr>
            <w:t>Rev.</w:t>
          </w:r>
          <w:r w:rsidR="006D1CE9">
            <w:rPr>
              <w:bCs/>
            </w:rPr>
            <w:t>2</w:t>
          </w:r>
          <w:proofErr w:type="spellEnd"/>
          <w:r w:rsidR="001318F8">
            <w:rPr>
              <w:bCs/>
            </w:rPr>
            <w:t>)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8298" w14:textId="77777777" w:rsidR="00941A8A" w:rsidRDefault="00941A8A">
      <w:r>
        <w:t>____________________</w:t>
      </w:r>
    </w:p>
  </w:footnote>
  <w:footnote w:type="continuationSeparator" w:id="0">
    <w:p w14:paraId="1CE0B3E5" w14:textId="77777777" w:rsidR="00941A8A" w:rsidRDefault="0094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6B477782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247BE8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6B477782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247BE8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71CD8"/>
    <w:multiLevelType w:val="hybridMultilevel"/>
    <w:tmpl w:val="9880FF94"/>
    <w:lvl w:ilvl="0" w:tplc="D4182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39BF"/>
    <w:multiLevelType w:val="hybridMultilevel"/>
    <w:tmpl w:val="0768597A"/>
    <w:lvl w:ilvl="0" w:tplc="A82AFC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54A9"/>
    <w:multiLevelType w:val="hybridMultilevel"/>
    <w:tmpl w:val="03AEA698"/>
    <w:lvl w:ilvl="0" w:tplc="9572AD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319992279">
    <w:abstractNumId w:val="3"/>
  </w:num>
  <w:num w:numId="3" w16cid:durableId="68188807">
    <w:abstractNumId w:val="1"/>
  </w:num>
  <w:num w:numId="4" w16cid:durableId="1720351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3785"/>
    <w:rsid w:val="000242D0"/>
    <w:rsid w:val="00047F3C"/>
    <w:rsid w:val="000603E1"/>
    <w:rsid w:val="00063016"/>
    <w:rsid w:val="00066795"/>
    <w:rsid w:val="00071C55"/>
    <w:rsid w:val="00076AF6"/>
    <w:rsid w:val="00081938"/>
    <w:rsid w:val="00085CF2"/>
    <w:rsid w:val="00095113"/>
    <w:rsid w:val="000B1705"/>
    <w:rsid w:val="000D454F"/>
    <w:rsid w:val="000D75B2"/>
    <w:rsid w:val="001047EA"/>
    <w:rsid w:val="00110BA8"/>
    <w:rsid w:val="001121F5"/>
    <w:rsid w:val="00124107"/>
    <w:rsid w:val="00130599"/>
    <w:rsid w:val="001318F8"/>
    <w:rsid w:val="001400DC"/>
    <w:rsid w:val="00140CE1"/>
    <w:rsid w:val="001751FF"/>
    <w:rsid w:val="0017539C"/>
    <w:rsid w:val="00175AC2"/>
    <w:rsid w:val="0017609F"/>
    <w:rsid w:val="00177738"/>
    <w:rsid w:val="00185ECC"/>
    <w:rsid w:val="0019628A"/>
    <w:rsid w:val="001A524E"/>
    <w:rsid w:val="001A7D1D"/>
    <w:rsid w:val="001B0069"/>
    <w:rsid w:val="001B51DD"/>
    <w:rsid w:val="001C628E"/>
    <w:rsid w:val="001C7634"/>
    <w:rsid w:val="001E0F7B"/>
    <w:rsid w:val="001E0FBE"/>
    <w:rsid w:val="001E2F71"/>
    <w:rsid w:val="00204DAA"/>
    <w:rsid w:val="002119FD"/>
    <w:rsid w:val="002130E0"/>
    <w:rsid w:val="00215A2C"/>
    <w:rsid w:val="002232C6"/>
    <w:rsid w:val="00230095"/>
    <w:rsid w:val="00235AD9"/>
    <w:rsid w:val="002404ED"/>
    <w:rsid w:val="00244F7F"/>
    <w:rsid w:val="00247BE8"/>
    <w:rsid w:val="002510D0"/>
    <w:rsid w:val="00260ACE"/>
    <w:rsid w:val="00264425"/>
    <w:rsid w:val="00265875"/>
    <w:rsid w:val="0027303B"/>
    <w:rsid w:val="0028109B"/>
    <w:rsid w:val="002A2188"/>
    <w:rsid w:val="002A4A2B"/>
    <w:rsid w:val="002B1EEB"/>
    <w:rsid w:val="002B1F58"/>
    <w:rsid w:val="002C1C7A"/>
    <w:rsid w:val="002C54E2"/>
    <w:rsid w:val="002C7D27"/>
    <w:rsid w:val="002F4CC1"/>
    <w:rsid w:val="0030160F"/>
    <w:rsid w:val="003155C0"/>
    <w:rsid w:val="00320223"/>
    <w:rsid w:val="00322D0D"/>
    <w:rsid w:val="00327D8C"/>
    <w:rsid w:val="0033491F"/>
    <w:rsid w:val="00352364"/>
    <w:rsid w:val="00361465"/>
    <w:rsid w:val="00371DB2"/>
    <w:rsid w:val="003877F5"/>
    <w:rsid w:val="003942D4"/>
    <w:rsid w:val="003958A8"/>
    <w:rsid w:val="003A6C4C"/>
    <w:rsid w:val="003B4C70"/>
    <w:rsid w:val="003C2533"/>
    <w:rsid w:val="003D55B9"/>
    <w:rsid w:val="003D5A7F"/>
    <w:rsid w:val="003E3505"/>
    <w:rsid w:val="003F632E"/>
    <w:rsid w:val="004016E2"/>
    <w:rsid w:val="0040435A"/>
    <w:rsid w:val="00404ACB"/>
    <w:rsid w:val="0040564E"/>
    <w:rsid w:val="00407C5C"/>
    <w:rsid w:val="00416A24"/>
    <w:rsid w:val="00431D9E"/>
    <w:rsid w:val="00433CE8"/>
    <w:rsid w:val="00434A5C"/>
    <w:rsid w:val="004544D9"/>
    <w:rsid w:val="00457971"/>
    <w:rsid w:val="00472BAD"/>
    <w:rsid w:val="0048033F"/>
    <w:rsid w:val="00484009"/>
    <w:rsid w:val="0048466F"/>
    <w:rsid w:val="00486A4D"/>
    <w:rsid w:val="00487657"/>
    <w:rsid w:val="004904E1"/>
    <w:rsid w:val="00490E72"/>
    <w:rsid w:val="00491157"/>
    <w:rsid w:val="004921C8"/>
    <w:rsid w:val="00495B0B"/>
    <w:rsid w:val="004A1B8B"/>
    <w:rsid w:val="004C6AD3"/>
    <w:rsid w:val="004D1851"/>
    <w:rsid w:val="004D599D"/>
    <w:rsid w:val="004E2037"/>
    <w:rsid w:val="004E2EA5"/>
    <w:rsid w:val="004E3AEB"/>
    <w:rsid w:val="0050223C"/>
    <w:rsid w:val="005203BE"/>
    <w:rsid w:val="005243FF"/>
    <w:rsid w:val="00530E56"/>
    <w:rsid w:val="00551AF8"/>
    <w:rsid w:val="00564FBC"/>
    <w:rsid w:val="005800BC"/>
    <w:rsid w:val="00580D7E"/>
    <w:rsid w:val="00582442"/>
    <w:rsid w:val="00592AC6"/>
    <w:rsid w:val="005A335D"/>
    <w:rsid w:val="005E2BD5"/>
    <w:rsid w:val="005F3269"/>
    <w:rsid w:val="00603FC6"/>
    <w:rsid w:val="006157BD"/>
    <w:rsid w:val="006159FA"/>
    <w:rsid w:val="00617642"/>
    <w:rsid w:val="00623AE3"/>
    <w:rsid w:val="00635EA6"/>
    <w:rsid w:val="0064179C"/>
    <w:rsid w:val="00642E7A"/>
    <w:rsid w:val="0064737F"/>
    <w:rsid w:val="006535F1"/>
    <w:rsid w:val="0065557D"/>
    <w:rsid w:val="00660D50"/>
    <w:rsid w:val="00662984"/>
    <w:rsid w:val="00663329"/>
    <w:rsid w:val="006678B6"/>
    <w:rsid w:val="0067065B"/>
    <w:rsid w:val="006716BB"/>
    <w:rsid w:val="00676C7D"/>
    <w:rsid w:val="00683299"/>
    <w:rsid w:val="006A74A1"/>
    <w:rsid w:val="006B1859"/>
    <w:rsid w:val="006B6680"/>
    <w:rsid w:val="006B6DCC"/>
    <w:rsid w:val="006D1CE9"/>
    <w:rsid w:val="00702DEF"/>
    <w:rsid w:val="00706861"/>
    <w:rsid w:val="0073553F"/>
    <w:rsid w:val="0075051B"/>
    <w:rsid w:val="00775655"/>
    <w:rsid w:val="0079198B"/>
    <w:rsid w:val="00793188"/>
    <w:rsid w:val="00794D34"/>
    <w:rsid w:val="007B1BE3"/>
    <w:rsid w:val="00800B10"/>
    <w:rsid w:val="00813E5E"/>
    <w:rsid w:val="008223DF"/>
    <w:rsid w:val="0083581B"/>
    <w:rsid w:val="00863874"/>
    <w:rsid w:val="00864AFF"/>
    <w:rsid w:val="00865925"/>
    <w:rsid w:val="008662C2"/>
    <w:rsid w:val="00891503"/>
    <w:rsid w:val="008964B4"/>
    <w:rsid w:val="008A7C60"/>
    <w:rsid w:val="008B0176"/>
    <w:rsid w:val="008B3316"/>
    <w:rsid w:val="008B4A6A"/>
    <w:rsid w:val="008C1BC6"/>
    <w:rsid w:val="008C7E27"/>
    <w:rsid w:val="008D09E3"/>
    <w:rsid w:val="008F7448"/>
    <w:rsid w:val="0090147A"/>
    <w:rsid w:val="00902E0E"/>
    <w:rsid w:val="009173EF"/>
    <w:rsid w:val="00932906"/>
    <w:rsid w:val="00941A8A"/>
    <w:rsid w:val="00961B0B"/>
    <w:rsid w:val="00962D33"/>
    <w:rsid w:val="009644A4"/>
    <w:rsid w:val="00971C28"/>
    <w:rsid w:val="009761F8"/>
    <w:rsid w:val="009B2D4B"/>
    <w:rsid w:val="009B38C3"/>
    <w:rsid w:val="009C253A"/>
    <w:rsid w:val="009E17BD"/>
    <w:rsid w:val="009E2AC3"/>
    <w:rsid w:val="009E485A"/>
    <w:rsid w:val="009F165C"/>
    <w:rsid w:val="009F347C"/>
    <w:rsid w:val="009F5E1A"/>
    <w:rsid w:val="00A04CEC"/>
    <w:rsid w:val="00A051A6"/>
    <w:rsid w:val="00A073EA"/>
    <w:rsid w:val="00A20090"/>
    <w:rsid w:val="00A27F92"/>
    <w:rsid w:val="00A32257"/>
    <w:rsid w:val="00A34664"/>
    <w:rsid w:val="00A36D20"/>
    <w:rsid w:val="00A467DF"/>
    <w:rsid w:val="00A514A4"/>
    <w:rsid w:val="00A52C84"/>
    <w:rsid w:val="00A55622"/>
    <w:rsid w:val="00A83502"/>
    <w:rsid w:val="00A93689"/>
    <w:rsid w:val="00A94376"/>
    <w:rsid w:val="00AD15B3"/>
    <w:rsid w:val="00AD1C81"/>
    <w:rsid w:val="00AD226A"/>
    <w:rsid w:val="00AD3606"/>
    <w:rsid w:val="00AD4A3D"/>
    <w:rsid w:val="00AE5E52"/>
    <w:rsid w:val="00AE78C0"/>
    <w:rsid w:val="00AF5235"/>
    <w:rsid w:val="00AF6E49"/>
    <w:rsid w:val="00B04A67"/>
    <w:rsid w:val="00B0583C"/>
    <w:rsid w:val="00B358B2"/>
    <w:rsid w:val="00B40A81"/>
    <w:rsid w:val="00B44910"/>
    <w:rsid w:val="00B60EE0"/>
    <w:rsid w:val="00B61089"/>
    <w:rsid w:val="00B70E15"/>
    <w:rsid w:val="00B72267"/>
    <w:rsid w:val="00B76EB6"/>
    <w:rsid w:val="00B7737B"/>
    <w:rsid w:val="00B824C8"/>
    <w:rsid w:val="00B84B9D"/>
    <w:rsid w:val="00B97F6D"/>
    <w:rsid w:val="00BB7C37"/>
    <w:rsid w:val="00BC251A"/>
    <w:rsid w:val="00BD032B"/>
    <w:rsid w:val="00BD1693"/>
    <w:rsid w:val="00BE2640"/>
    <w:rsid w:val="00BF2938"/>
    <w:rsid w:val="00C01189"/>
    <w:rsid w:val="00C14440"/>
    <w:rsid w:val="00C37139"/>
    <w:rsid w:val="00C374DE"/>
    <w:rsid w:val="00C47AD4"/>
    <w:rsid w:val="00C51846"/>
    <w:rsid w:val="00C52D81"/>
    <w:rsid w:val="00C55198"/>
    <w:rsid w:val="00C63DA3"/>
    <w:rsid w:val="00CA6393"/>
    <w:rsid w:val="00CA7CB8"/>
    <w:rsid w:val="00CB18FF"/>
    <w:rsid w:val="00CD0C08"/>
    <w:rsid w:val="00CD52E4"/>
    <w:rsid w:val="00CE03FB"/>
    <w:rsid w:val="00CE1EF2"/>
    <w:rsid w:val="00CE433C"/>
    <w:rsid w:val="00CF0161"/>
    <w:rsid w:val="00CF33F3"/>
    <w:rsid w:val="00D06183"/>
    <w:rsid w:val="00D22C42"/>
    <w:rsid w:val="00D464CC"/>
    <w:rsid w:val="00D53C61"/>
    <w:rsid w:val="00D65041"/>
    <w:rsid w:val="00D67F25"/>
    <w:rsid w:val="00D71BF5"/>
    <w:rsid w:val="00DB00D5"/>
    <w:rsid w:val="00DB1936"/>
    <w:rsid w:val="00DB384B"/>
    <w:rsid w:val="00DD32DF"/>
    <w:rsid w:val="00DD3D03"/>
    <w:rsid w:val="00DD59EE"/>
    <w:rsid w:val="00DE04BC"/>
    <w:rsid w:val="00DE067B"/>
    <w:rsid w:val="00DE1387"/>
    <w:rsid w:val="00DE727A"/>
    <w:rsid w:val="00DF0189"/>
    <w:rsid w:val="00E03C3D"/>
    <w:rsid w:val="00E04CE5"/>
    <w:rsid w:val="00E06FD5"/>
    <w:rsid w:val="00E10E80"/>
    <w:rsid w:val="00E124F0"/>
    <w:rsid w:val="00E16722"/>
    <w:rsid w:val="00E227F3"/>
    <w:rsid w:val="00E545C6"/>
    <w:rsid w:val="00E564CD"/>
    <w:rsid w:val="00E60F04"/>
    <w:rsid w:val="00E65B24"/>
    <w:rsid w:val="00E72B0A"/>
    <w:rsid w:val="00E73AC0"/>
    <w:rsid w:val="00E854E4"/>
    <w:rsid w:val="00E86DBF"/>
    <w:rsid w:val="00EB0D6F"/>
    <w:rsid w:val="00EB2232"/>
    <w:rsid w:val="00EC5110"/>
    <w:rsid w:val="00EC5337"/>
    <w:rsid w:val="00ED454D"/>
    <w:rsid w:val="00EE49E8"/>
    <w:rsid w:val="00EF1CD4"/>
    <w:rsid w:val="00EF6BFC"/>
    <w:rsid w:val="00F16BAB"/>
    <w:rsid w:val="00F2150A"/>
    <w:rsid w:val="00F231D8"/>
    <w:rsid w:val="00F3142E"/>
    <w:rsid w:val="00F44C00"/>
    <w:rsid w:val="00F45D2C"/>
    <w:rsid w:val="00F46C5F"/>
    <w:rsid w:val="00F46F77"/>
    <w:rsid w:val="00F52EB7"/>
    <w:rsid w:val="00F61E67"/>
    <w:rsid w:val="00F62BBE"/>
    <w:rsid w:val="00F632C0"/>
    <w:rsid w:val="00F670B1"/>
    <w:rsid w:val="00F745B6"/>
    <w:rsid w:val="00F74694"/>
    <w:rsid w:val="00F94A63"/>
    <w:rsid w:val="00FA1C28"/>
    <w:rsid w:val="00FB1279"/>
    <w:rsid w:val="00FB4B32"/>
    <w:rsid w:val="00FB6B76"/>
    <w:rsid w:val="00FB7596"/>
    <w:rsid w:val="00FD7016"/>
    <w:rsid w:val="00FE1855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E3B6B8E2-1670-4659-A2C2-DB3830E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580D7E"/>
    <w:pPr>
      <w:tabs>
        <w:tab w:val="clear" w:pos="1134"/>
        <w:tab w:val="clear" w:pos="1701"/>
        <w:tab w:val="clear" w:pos="2268"/>
        <w:tab w:val="clear" w:pos="2835"/>
        <w:tab w:val="left" w:pos="284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paragraph" w:styleId="ListParagraph">
    <w:name w:val="List Paragraph"/>
    <w:basedOn w:val="Normal"/>
    <w:uiPriority w:val="34"/>
    <w:qFormat/>
    <w:rsid w:val="003523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EB7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683299"/>
    <w:rPr>
      <w:rFonts w:ascii="Calibri" w:hAnsi="Calibri"/>
      <w:sz w:val="24"/>
      <w:lang w:val="en-GB" w:eastAsia="en-US"/>
    </w:rPr>
  </w:style>
  <w:style w:type="paragraph" w:styleId="Signature">
    <w:name w:val="Signature"/>
    <w:basedOn w:val="Normal"/>
    <w:link w:val="SignatureChar"/>
    <w:unhideWhenUsed/>
    <w:rsid w:val="00617642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617642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6-CWGFHR22-C-0002/en" TargetMode="External"/><Relationship Id="rId18" Type="http://schemas.openxmlformats.org/officeDocument/2006/relationships/hyperlink" Target="https://www.itu.int/md/S26-CWGFHR22-C-0006/en" TargetMode="External"/><Relationship Id="rId26" Type="http://schemas.openxmlformats.org/officeDocument/2006/relationships/hyperlink" Target="https://www.itu.int/md/S26-CWGFHR22-C-0004/en" TargetMode="External"/><Relationship Id="rId39" Type="http://schemas.openxmlformats.org/officeDocument/2006/relationships/hyperlink" Target="https://www.itu.int/md/S26-CWGFHR22-C-0014/en" TargetMode="External"/><Relationship Id="rId21" Type="http://schemas.openxmlformats.org/officeDocument/2006/relationships/hyperlink" Target="https://www.itu.int/md/S26-CWGFHR22-C-0009/en" TargetMode="External"/><Relationship Id="rId34" Type="http://schemas.openxmlformats.org/officeDocument/2006/relationships/hyperlink" Target="https://www.itu.int/md/S26-CWGFHR22-C-0005/en" TargetMode="External"/><Relationship Id="rId42" Type="http://schemas.openxmlformats.org/officeDocument/2006/relationships/hyperlink" Target="https://www.itu.int/md/S26-CWGFHR22-C-0030/en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6-CWGFHR22-C-0032/en" TargetMode="External"/><Relationship Id="rId29" Type="http://schemas.openxmlformats.org/officeDocument/2006/relationships/hyperlink" Target="https://www.itu.int/md/S26-CWGFHR22-C-0008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6-CWGFHR22-C-0025/en" TargetMode="External"/><Relationship Id="rId24" Type="http://schemas.openxmlformats.org/officeDocument/2006/relationships/hyperlink" Target="https://www.itu.int/md/S25-CWGFHR21-C-0003/en" TargetMode="External"/><Relationship Id="rId32" Type="http://schemas.openxmlformats.org/officeDocument/2006/relationships/hyperlink" Target="https://www.itu.int/md/S26-CWGFHR22-C-0018/en" TargetMode="External"/><Relationship Id="rId37" Type="http://schemas.openxmlformats.org/officeDocument/2006/relationships/hyperlink" Target="https://www.itu.int/md/S26-CWGFHR22-C-0028/en" TargetMode="External"/><Relationship Id="rId40" Type="http://schemas.openxmlformats.org/officeDocument/2006/relationships/hyperlink" Target="https://www.itu.int/md/S26-CWGFHR22-C-0015/en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6-CWGFHR22-C-0029/en" TargetMode="External"/><Relationship Id="rId23" Type="http://schemas.openxmlformats.org/officeDocument/2006/relationships/hyperlink" Target="https://www.itu.int/md/S26-CWGFHR22-C-0007/en" TargetMode="External"/><Relationship Id="rId28" Type="http://schemas.openxmlformats.org/officeDocument/2006/relationships/hyperlink" Target="https://www.itu.int/md/S26-CWGFHR22-C-0026/en" TargetMode="External"/><Relationship Id="rId36" Type="http://schemas.openxmlformats.org/officeDocument/2006/relationships/hyperlink" Target="https://www.itu.int/md/S26-CWGFHR22-C-0023/en" TargetMode="External"/><Relationship Id="rId10" Type="http://schemas.openxmlformats.org/officeDocument/2006/relationships/hyperlink" Target="https://www.itu.int/md/S26-CWGFHR22-C-0021/en" TargetMode="External"/><Relationship Id="rId19" Type="http://schemas.openxmlformats.org/officeDocument/2006/relationships/hyperlink" Target="https://www.itu.int/md/S26-CWGFHR22-INF-0002/en" TargetMode="External"/><Relationship Id="rId31" Type="http://schemas.openxmlformats.org/officeDocument/2006/relationships/hyperlink" Target="https://www.itu.int/dms_pub/itu-s/opb/conf/S-CONF-CL-2025-PDF-E.pdf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WGFHR22-C-0010/en" TargetMode="External"/><Relationship Id="rId14" Type="http://schemas.openxmlformats.org/officeDocument/2006/relationships/hyperlink" Target="https://www.itu.int/md/S26-CWGFHR22-C-0027/en" TargetMode="External"/><Relationship Id="rId22" Type="http://schemas.openxmlformats.org/officeDocument/2006/relationships/hyperlink" Target="https://www.itu.int/md/S26-CWGFHR22-C-0019/en" TargetMode="External"/><Relationship Id="rId27" Type="http://schemas.openxmlformats.org/officeDocument/2006/relationships/hyperlink" Target="https://www.itu.int/md/S26-CWGFHR22-C-0031/en" TargetMode="External"/><Relationship Id="rId30" Type="http://schemas.openxmlformats.org/officeDocument/2006/relationships/hyperlink" Target="https://www.itu.int/md/S26-CWGFHR22-C-0022/en" TargetMode="External"/><Relationship Id="rId35" Type="http://schemas.openxmlformats.org/officeDocument/2006/relationships/hyperlink" Target="https://www.itu.int/md/S26-CWGFHR22-C-0013/en" TargetMode="External"/><Relationship Id="rId43" Type="http://schemas.openxmlformats.org/officeDocument/2006/relationships/hyperlink" Target="https://www.itu.int/md/S26-CWGFHR22-C-0011/en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itu.int/md/S26-CWGFHR22-C-0012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26-CWGFHR22-C-0016/en" TargetMode="External"/><Relationship Id="rId17" Type="http://schemas.openxmlformats.org/officeDocument/2006/relationships/hyperlink" Target="https://www.itu.int/md/S26-CWGFHR22-C-0033/en" TargetMode="External"/><Relationship Id="rId25" Type="http://schemas.openxmlformats.org/officeDocument/2006/relationships/hyperlink" Target="https://www.itu.int/en/council/Documents/basic-texts-2023/RES-025-E.pdf" TargetMode="External"/><Relationship Id="rId33" Type="http://schemas.openxmlformats.org/officeDocument/2006/relationships/hyperlink" Target="https://www.itu.int/md/S26-CWGFHR22-C-0024/en" TargetMode="External"/><Relationship Id="rId38" Type="http://schemas.openxmlformats.org/officeDocument/2006/relationships/hyperlink" Target="https://www.itu.int/md/S26-CWGFHR22-C-0003/en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itu.int/md/S26-CWGFHR22-C-0020/en" TargetMode="External"/><Relationship Id="rId41" Type="http://schemas.openxmlformats.org/officeDocument/2006/relationships/hyperlink" Target="https://www.itu.int/md/S26-CWGFHR22-C-0017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1039</Words>
  <Characters>6706</Characters>
  <Application>Microsoft Office Word</Application>
  <DocSecurity>0</DocSecurity>
  <Lines>319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22nd meeting of CWG-FHR</vt:lpstr>
    </vt:vector>
  </TitlesOfParts>
  <Manager/>
  <Company/>
  <LinksUpToDate>false</LinksUpToDate>
  <CharactersWithSpaces>7524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22nd meeting of CWG-FHR</dc:title>
  <dc:subject>ITU Council Working Group on Financial and Human Resources</dc:subject>
  <cp:keywords>CWG-FHR; C26; Council-26</cp:keywords>
  <dc:description/>
  <dcterms:created xsi:type="dcterms:W3CDTF">2026-01-13T17:39:00Z</dcterms:created>
  <dcterms:modified xsi:type="dcterms:W3CDTF">2026-01-13T17:54:00Z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</Properties>
</file>