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F56020" w14:paraId="0043AC80" w14:textId="77777777" w:rsidTr="00AD3606">
        <w:trPr>
          <w:cantSplit/>
          <w:trHeight w:val="23"/>
        </w:trPr>
        <w:tc>
          <w:tcPr>
            <w:tcW w:w="3969" w:type="dxa"/>
            <w:vMerge w:val="restart"/>
            <w:tcMar>
              <w:left w:w="0" w:type="dxa"/>
            </w:tcMar>
          </w:tcPr>
          <w:p w14:paraId="60A806D3" w14:textId="6316C87D" w:rsidR="00AD3606" w:rsidRPr="00F871B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36EE511" w:rsidR="00AD3606" w:rsidRPr="00007198" w:rsidRDefault="00AD3606" w:rsidP="00472BAD">
            <w:pPr>
              <w:tabs>
                <w:tab w:val="left" w:pos="851"/>
              </w:tabs>
              <w:spacing w:before="0" w:line="240" w:lineRule="atLeast"/>
              <w:jc w:val="right"/>
              <w:rPr>
                <w:b/>
                <w:lang w:val="fr-FR"/>
              </w:rPr>
            </w:pPr>
            <w:r w:rsidRPr="00007198">
              <w:rPr>
                <w:b/>
                <w:lang w:val="fr-FR"/>
              </w:rPr>
              <w:t>Document C</w:t>
            </w:r>
            <w:r w:rsidR="00A52C84" w:rsidRPr="00007198">
              <w:rPr>
                <w:b/>
                <w:lang w:val="fr-FR"/>
              </w:rPr>
              <w:t>WG-</w:t>
            </w:r>
            <w:r w:rsidR="00891503" w:rsidRPr="00007198">
              <w:rPr>
                <w:b/>
                <w:lang w:val="fr-FR"/>
              </w:rPr>
              <w:t>COP</w:t>
            </w:r>
            <w:r w:rsidR="00A52C84" w:rsidRPr="00007198">
              <w:rPr>
                <w:b/>
                <w:lang w:val="fr-FR"/>
              </w:rPr>
              <w:t>-</w:t>
            </w:r>
            <w:r w:rsidR="00BC54CD" w:rsidRPr="00007198">
              <w:rPr>
                <w:b/>
                <w:lang w:val="fr-FR"/>
              </w:rPr>
              <w:t>2</w:t>
            </w:r>
            <w:r w:rsidR="00CD76B2" w:rsidRPr="00007198">
              <w:rPr>
                <w:b/>
                <w:lang w:val="fr-FR"/>
              </w:rPr>
              <w:t>4</w:t>
            </w:r>
            <w:r w:rsidRPr="00007198">
              <w:rPr>
                <w:b/>
                <w:lang w:val="fr-FR"/>
              </w:rPr>
              <w:t>/</w:t>
            </w:r>
            <w:r w:rsidR="00866F4F" w:rsidRPr="00007198">
              <w:rPr>
                <w:b/>
                <w:lang w:val="fr-FR"/>
              </w:rPr>
              <w:t>INF/</w:t>
            </w:r>
            <w:r w:rsidR="00B7519F">
              <w:rPr>
                <w:b/>
                <w:lang w:val="fr-FR"/>
              </w:rPr>
              <w:t>17</w:t>
            </w:r>
          </w:p>
        </w:tc>
      </w:tr>
      <w:tr w:rsidR="00AD3606" w:rsidRPr="00F871BD" w14:paraId="789B45BA" w14:textId="77777777" w:rsidTr="00AD3606">
        <w:trPr>
          <w:cantSplit/>
        </w:trPr>
        <w:tc>
          <w:tcPr>
            <w:tcW w:w="3969" w:type="dxa"/>
            <w:vMerge/>
          </w:tcPr>
          <w:p w14:paraId="3F3D4E17" w14:textId="77777777" w:rsidR="00AD3606" w:rsidRPr="00007198"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DE9ACEA" w14:textId="3AC33DF4" w:rsidR="00AD3606" w:rsidRPr="00F871BD" w:rsidRDefault="00B7519F" w:rsidP="00AD3606">
            <w:pPr>
              <w:tabs>
                <w:tab w:val="left" w:pos="851"/>
              </w:tabs>
              <w:spacing w:before="0"/>
              <w:jc w:val="right"/>
              <w:rPr>
                <w:b/>
              </w:rPr>
            </w:pPr>
            <w:r>
              <w:rPr>
                <w:b/>
              </w:rPr>
              <w:t>19 January 2026</w:t>
            </w:r>
          </w:p>
        </w:tc>
      </w:tr>
      <w:tr w:rsidR="00AD3606" w:rsidRPr="00F871BD" w14:paraId="58A84C4A" w14:textId="77777777" w:rsidTr="00AD3606">
        <w:trPr>
          <w:cantSplit/>
          <w:trHeight w:val="23"/>
        </w:trPr>
        <w:tc>
          <w:tcPr>
            <w:tcW w:w="3969" w:type="dxa"/>
            <w:vMerge/>
          </w:tcPr>
          <w:p w14:paraId="77CEDDAA" w14:textId="77777777" w:rsidR="00AD3606" w:rsidRPr="00F871BD"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F871BD" w:rsidRDefault="00891503" w:rsidP="00AD3606">
            <w:pPr>
              <w:tabs>
                <w:tab w:val="left" w:pos="851"/>
              </w:tabs>
              <w:spacing w:before="0" w:line="240" w:lineRule="atLeast"/>
              <w:jc w:val="right"/>
              <w:rPr>
                <w:b/>
              </w:rPr>
            </w:pPr>
            <w:r w:rsidRPr="00F871BD">
              <w:rPr>
                <w:b/>
              </w:rPr>
              <w:t>English only</w:t>
            </w:r>
          </w:p>
        </w:tc>
      </w:tr>
      <w:tr w:rsidR="00472BAD" w:rsidRPr="00F871BD" w14:paraId="12C5EF5F" w14:textId="77777777" w:rsidTr="00AD3606">
        <w:trPr>
          <w:cantSplit/>
          <w:trHeight w:val="23"/>
        </w:trPr>
        <w:tc>
          <w:tcPr>
            <w:tcW w:w="3969" w:type="dxa"/>
          </w:tcPr>
          <w:p w14:paraId="4B839BA2" w14:textId="77777777" w:rsidR="00472BAD" w:rsidRPr="00F871BD" w:rsidRDefault="00472BAD" w:rsidP="00AD3606">
            <w:pPr>
              <w:tabs>
                <w:tab w:val="left" w:pos="851"/>
              </w:tabs>
              <w:spacing w:line="240" w:lineRule="atLeast"/>
              <w:rPr>
                <w:b/>
              </w:rPr>
            </w:pPr>
          </w:p>
        </w:tc>
        <w:tc>
          <w:tcPr>
            <w:tcW w:w="5245" w:type="dxa"/>
          </w:tcPr>
          <w:p w14:paraId="12F66D25" w14:textId="77777777" w:rsidR="00472BAD" w:rsidRPr="00F871BD" w:rsidRDefault="00472BAD" w:rsidP="00AD3606">
            <w:pPr>
              <w:tabs>
                <w:tab w:val="left" w:pos="851"/>
              </w:tabs>
              <w:spacing w:before="0" w:line="240" w:lineRule="atLeast"/>
              <w:jc w:val="right"/>
              <w:rPr>
                <w:b/>
              </w:rPr>
            </w:pPr>
          </w:p>
        </w:tc>
      </w:tr>
      <w:tr w:rsidR="00AD3606" w:rsidRPr="00F871BD" w14:paraId="27000B2A" w14:textId="77777777" w:rsidTr="00AD3606">
        <w:trPr>
          <w:cantSplit/>
        </w:trPr>
        <w:tc>
          <w:tcPr>
            <w:tcW w:w="9214" w:type="dxa"/>
            <w:gridSpan w:val="2"/>
            <w:tcMar>
              <w:left w:w="0" w:type="dxa"/>
            </w:tcMar>
          </w:tcPr>
          <w:p w14:paraId="4E7CDB90" w14:textId="491E38BA" w:rsidR="00AD3606" w:rsidRPr="00F871BD" w:rsidRDefault="00EB5155" w:rsidP="00F0400D">
            <w:pPr>
              <w:pStyle w:val="Source"/>
              <w:framePr w:hSpace="0" w:wrap="auto" w:vAnchor="margin" w:hAnchor="text" w:xAlign="left" w:yAlign="inline"/>
            </w:pPr>
            <w:bookmarkStart w:id="8" w:name="dsource" w:colFirst="0" w:colLast="0"/>
            <w:bookmarkEnd w:id="7"/>
            <w:r w:rsidRPr="00F871BD">
              <w:t xml:space="preserve">Contribution by </w:t>
            </w:r>
            <w:r w:rsidR="00B7519F">
              <w:t xml:space="preserve">the </w:t>
            </w:r>
            <w:r w:rsidR="00B7519F" w:rsidRPr="00B7519F">
              <w:t>Office of the High Commissioner for Human Rights</w:t>
            </w:r>
          </w:p>
        </w:tc>
      </w:tr>
      <w:tr w:rsidR="00AD3606" w:rsidRPr="00F871BD" w14:paraId="2340750D" w14:textId="77777777" w:rsidTr="00AD3606">
        <w:trPr>
          <w:cantSplit/>
        </w:trPr>
        <w:tc>
          <w:tcPr>
            <w:tcW w:w="9214" w:type="dxa"/>
            <w:gridSpan w:val="2"/>
            <w:tcMar>
              <w:left w:w="0" w:type="dxa"/>
            </w:tcMar>
          </w:tcPr>
          <w:p w14:paraId="47B91AA8" w14:textId="3ABABC55" w:rsidR="00AD3606" w:rsidRPr="00F871BD" w:rsidRDefault="00B7519F" w:rsidP="00F0400D">
            <w:pPr>
              <w:pStyle w:val="Subtitle"/>
              <w:framePr w:hSpace="0" w:wrap="auto" w:xAlign="left" w:yAlign="inline"/>
            </w:pPr>
            <w:bookmarkStart w:id="9" w:name="dtitle1" w:colFirst="0" w:colLast="0"/>
            <w:bookmarkEnd w:id="8"/>
            <w:r w:rsidRPr="00B7519F">
              <w:t>SAFETY OF THE CHILD IN THE DIGITAL ENVIRONMENT</w:t>
            </w:r>
          </w:p>
        </w:tc>
      </w:tr>
      <w:tr w:rsidR="00AD3606" w:rsidRPr="00F871BD"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871BD" w:rsidRDefault="00F16BAB" w:rsidP="00F16BAB">
            <w:pPr>
              <w:spacing w:before="160"/>
              <w:rPr>
                <w:b/>
                <w:bCs/>
                <w:sz w:val="26"/>
                <w:szCs w:val="26"/>
              </w:rPr>
            </w:pPr>
            <w:r w:rsidRPr="00F871BD">
              <w:rPr>
                <w:b/>
                <w:bCs/>
                <w:sz w:val="26"/>
                <w:szCs w:val="26"/>
              </w:rPr>
              <w:t>Purpose</w:t>
            </w:r>
          </w:p>
          <w:p w14:paraId="2E09FE8B" w14:textId="618EC6E4" w:rsidR="00AD3606" w:rsidRPr="00F871BD" w:rsidRDefault="00B7519F" w:rsidP="00F16BAB">
            <w:r>
              <w:t xml:space="preserve">This document provides an update on the </w:t>
            </w:r>
            <w:r w:rsidRPr="00B7519F">
              <w:t>implementation of Human Rights Council Resolution 56/6 on "Safety of the Child in the Digital Environment."</w:t>
            </w:r>
          </w:p>
          <w:p w14:paraId="5076D5C4" w14:textId="28F00572" w:rsidR="00AD3606" w:rsidRPr="00F871BD" w:rsidRDefault="00AD3606" w:rsidP="00F16BAB">
            <w:pPr>
              <w:spacing w:before="160"/>
              <w:rPr>
                <w:b/>
                <w:bCs/>
                <w:sz w:val="26"/>
                <w:szCs w:val="26"/>
              </w:rPr>
            </w:pPr>
            <w:r w:rsidRPr="00F871BD">
              <w:rPr>
                <w:b/>
                <w:bCs/>
                <w:sz w:val="26"/>
                <w:szCs w:val="26"/>
              </w:rPr>
              <w:t>Action required</w:t>
            </w:r>
          </w:p>
          <w:p w14:paraId="53A776F1" w14:textId="2CB80996" w:rsidR="00891503" w:rsidRPr="00F871BD" w:rsidRDefault="00866F4F" w:rsidP="00F16BAB">
            <w:pPr>
              <w:spacing w:before="160"/>
            </w:pPr>
            <w:r w:rsidRPr="00F871BD">
              <w:t xml:space="preserve">This </w:t>
            </w:r>
            <w:r w:rsidR="00007198">
              <w:t xml:space="preserve">document </w:t>
            </w:r>
            <w:r w:rsidRPr="00F871BD">
              <w:t xml:space="preserve">is transmitted to the </w:t>
            </w:r>
            <w:r w:rsidR="00F41345" w:rsidRPr="00F871BD">
              <w:t xml:space="preserve">Council Working Group on </w:t>
            </w:r>
            <w:r w:rsidR="005567BC" w:rsidRPr="00F871BD">
              <w:t xml:space="preserve">child online protection </w:t>
            </w:r>
            <w:r w:rsidRPr="00F871BD">
              <w:rPr>
                <w:b/>
                <w:bCs/>
              </w:rPr>
              <w:t>for information</w:t>
            </w:r>
            <w:r w:rsidRPr="00F871BD">
              <w:t>.</w:t>
            </w:r>
          </w:p>
          <w:p w14:paraId="0175CD6C" w14:textId="3253ADB3" w:rsidR="00AD3606" w:rsidRPr="00F871BD" w:rsidRDefault="00AD3606" w:rsidP="00F16BAB">
            <w:pPr>
              <w:spacing w:after="160"/>
              <w:rPr>
                <w:i/>
                <w:iCs/>
                <w:sz w:val="22"/>
                <w:szCs w:val="22"/>
              </w:rPr>
            </w:pPr>
          </w:p>
        </w:tc>
      </w:tr>
    </w:tbl>
    <w:p w14:paraId="4CDB8B60" w14:textId="77777777" w:rsidR="00E227F3" w:rsidRPr="00F871B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F871B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F871BD">
        <w:br w:type="page"/>
      </w:r>
    </w:p>
    <w:bookmarkEnd w:id="5"/>
    <w:bookmarkEnd w:id="10"/>
    <w:p w14:paraId="4F3F9A9A"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center"/>
        <w:textAlignment w:val="auto"/>
        <w:rPr>
          <w:rFonts w:ascii="Aptos" w:eastAsia="DengXian" w:hAnsi="Aptos" w:cs="Arial"/>
          <w:b/>
          <w:bCs/>
          <w:kern w:val="2"/>
          <w:sz w:val="26"/>
          <w:szCs w:val="26"/>
          <w:lang w:val="en-US" w:eastAsia="zh-CN"/>
          <w14:ligatures w14:val="standardContextual"/>
        </w:rPr>
      </w:pPr>
      <w:r w:rsidRPr="00B7519F">
        <w:rPr>
          <w:rFonts w:ascii="Aptos" w:eastAsia="DengXian" w:hAnsi="Aptos" w:cs="Arial"/>
          <w:b/>
          <w:bCs/>
          <w:kern w:val="2"/>
          <w:sz w:val="26"/>
          <w:szCs w:val="26"/>
          <w:lang w:val="en-US" w:eastAsia="zh-CN"/>
          <w14:ligatures w14:val="standardContextual"/>
        </w:rPr>
        <w:lastRenderedPageBreak/>
        <w:t xml:space="preserve">OHCHR Update - HRC Resolution 56/6 </w:t>
      </w:r>
    </w:p>
    <w:p w14:paraId="561ADBD0"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center"/>
        <w:textAlignment w:val="auto"/>
        <w:rPr>
          <w:rFonts w:ascii="Aptos" w:eastAsia="DengXian" w:hAnsi="Aptos" w:cs="Arial"/>
          <w:b/>
          <w:bCs/>
          <w:kern w:val="2"/>
          <w:sz w:val="26"/>
          <w:szCs w:val="26"/>
          <w:lang w:val="en-US" w:eastAsia="zh-CN"/>
          <w14:ligatures w14:val="standardContextual"/>
        </w:rPr>
      </w:pPr>
      <w:r w:rsidRPr="00B7519F">
        <w:rPr>
          <w:rFonts w:ascii="Aptos" w:eastAsia="DengXian" w:hAnsi="Aptos" w:cs="Arial"/>
          <w:b/>
          <w:bCs/>
          <w:kern w:val="2"/>
          <w:sz w:val="26"/>
          <w:szCs w:val="26"/>
          <w:lang w:val="en-US" w:eastAsia="zh-CN"/>
          <w14:ligatures w14:val="standardContextual"/>
        </w:rPr>
        <w:t>"Safety of the Child in the Digital Environment"</w:t>
      </w:r>
    </w:p>
    <w:p w14:paraId="5F6F9A8B"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center"/>
        <w:textAlignment w:val="auto"/>
        <w:rPr>
          <w:rFonts w:ascii="Aptos" w:eastAsia="DengXian" w:hAnsi="Aptos" w:cs="Arial"/>
          <w:b/>
          <w:bCs/>
          <w:kern w:val="2"/>
          <w:sz w:val="22"/>
          <w:szCs w:val="22"/>
          <w:lang w:val="en-US" w:eastAsia="zh-CN"/>
          <w14:ligatures w14:val="standardContextual"/>
        </w:rPr>
      </w:pPr>
      <w:r w:rsidRPr="00B7519F">
        <w:rPr>
          <w:rFonts w:ascii="Aptos" w:eastAsia="DengXian" w:hAnsi="Aptos" w:cs="Arial"/>
          <w:b/>
          <w:bCs/>
          <w:kern w:val="2"/>
          <w:sz w:val="22"/>
          <w:szCs w:val="22"/>
          <w:lang w:val="en-US" w:eastAsia="zh-CN"/>
          <w14:ligatures w14:val="standardContextual"/>
        </w:rPr>
        <w:t>ITU Council Working Group on Child Online Protection (CWG-COP) 24, 19 January 2026</w:t>
      </w:r>
    </w:p>
    <w:p w14:paraId="5788BA7C"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center"/>
        <w:textAlignment w:val="auto"/>
        <w:rPr>
          <w:rFonts w:ascii="Aptos" w:eastAsia="DengXian" w:hAnsi="Aptos" w:cs="Arial"/>
          <w:kern w:val="2"/>
          <w:szCs w:val="24"/>
          <w:lang w:val="en-US" w:eastAsia="zh-CN"/>
          <w14:ligatures w14:val="standardContextual"/>
        </w:rPr>
      </w:pPr>
    </w:p>
    <w:p w14:paraId="336707C8"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Aptos" w:eastAsia="DengXian" w:hAnsi="Aptos" w:cs="Arial"/>
          <w:kern w:val="2"/>
          <w:sz w:val="22"/>
          <w:szCs w:val="22"/>
          <w:lang w:val="en-US" w:eastAsia="zh-CN"/>
          <w14:ligatures w14:val="standardContextual"/>
        </w:rPr>
      </w:pPr>
      <w:r w:rsidRPr="00B7519F">
        <w:rPr>
          <w:rFonts w:ascii="Aptos" w:eastAsia="DengXian" w:hAnsi="Aptos" w:cs="Arial"/>
          <w:kern w:val="2"/>
          <w:sz w:val="22"/>
          <w:szCs w:val="22"/>
          <w:lang w:val="en-US" w:eastAsia="zh-CN"/>
          <w14:ligatures w14:val="standardContextual"/>
        </w:rPr>
        <w:t>The Office of the High Commissioner for Human Rights is pleased to provide this update on implementation of Human Rights Council Resolution 56/6 on "Safety of the Child in the Digital Environment."</w:t>
      </w:r>
    </w:p>
    <w:p w14:paraId="12A24A3E"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Aptos" w:eastAsia="DengXian" w:hAnsi="Aptos" w:cs="Arial"/>
          <w:kern w:val="2"/>
          <w:sz w:val="22"/>
          <w:szCs w:val="22"/>
          <w:lang w:val="en-US" w:eastAsia="zh-CN"/>
          <w14:ligatures w14:val="standardContextual"/>
        </w:rPr>
      </w:pPr>
      <w:r w:rsidRPr="00B7519F">
        <w:rPr>
          <w:rFonts w:ascii="Aptos" w:eastAsia="DengXian" w:hAnsi="Aptos" w:cs="Arial"/>
          <w:kern w:val="2"/>
          <w:sz w:val="22"/>
          <w:szCs w:val="22"/>
          <w:lang w:val="en-US" w:eastAsia="zh-CN"/>
          <w14:ligatures w14:val="standardContextual"/>
        </w:rPr>
        <w:t>OHCHR acknowledges this afternoon's important launch of the Joint Statement on Artificial Intelligence and the Rights of the Child. We are pleased to co-sign this framework alongside ITU, the Committee on the Rights of the Child, and UNICEF,</w:t>
      </w:r>
      <w:r w:rsidRPr="00B7519F">
        <w:rPr>
          <w:rFonts w:ascii="Aptos" w:eastAsia="DengXian" w:hAnsi="Aptos" w:cs="Arial"/>
          <w:kern w:val="2"/>
          <w:szCs w:val="24"/>
          <w:lang w:val="en-US" w:eastAsia="zh-CN"/>
          <w14:ligatures w14:val="standardContextual"/>
        </w:rPr>
        <w:t xml:space="preserve"> </w:t>
      </w:r>
      <w:r w:rsidRPr="00B7519F">
        <w:rPr>
          <w:rFonts w:ascii="Aptos" w:eastAsia="DengXian" w:hAnsi="Aptos" w:cs="Arial"/>
          <w:kern w:val="2"/>
          <w:sz w:val="22"/>
          <w:szCs w:val="22"/>
          <w:lang w:val="en-US" w:eastAsia="zh-CN"/>
          <w14:ligatures w14:val="standardContextual"/>
        </w:rPr>
        <w:t>and the numerous other co-signatories, and congratulate all partners on this important milestone.</w:t>
      </w:r>
    </w:p>
    <w:p w14:paraId="7706E40B"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Aptos" w:eastAsia="DengXian" w:hAnsi="Aptos" w:cs="Arial"/>
          <w:kern w:val="2"/>
          <w:sz w:val="22"/>
          <w:szCs w:val="22"/>
          <w:lang w:val="en-US" w:eastAsia="zh-CN"/>
          <w14:ligatures w14:val="standardContextual"/>
        </w:rPr>
      </w:pPr>
      <w:r w:rsidRPr="00B7519F">
        <w:rPr>
          <w:rFonts w:ascii="Aptos" w:eastAsia="DengXian" w:hAnsi="Aptos" w:cs="Arial"/>
          <w:kern w:val="2"/>
          <w:sz w:val="22"/>
          <w:szCs w:val="22"/>
          <w:lang w:val="en-US" w:eastAsia="zh-CN"/>
          <w14:ligatures w14:val="standardContextual"/>
        </w:rPr>
        <w:t xml:space="preserve">In July 2024, the </w:t>
      </w:r>
      <w:r w:rsidRPr="00B7519F">
        <w:rPr>
          <w:rFonts w:ascii="Aptos" w:eastAsia="DengXian" w:hAnsi="Aptos" w:cs="Arial"/>
          <w:b/>
          <w:bCs/>
          <w:kern w:val="2"/>
          <w:sz w:val="22"/>
          <w:szCs w:val="22"/>
          <w:lang w:val="en-US" w:eastAsia="zh-CN"/>
          <w14:ligatures w14:val="standardContextual"/>
        </w:rPr>
        <w:t>UN Human Rights Council adopted Resolution 56/6 on "Safety of the Child in the Digital Environment."</w:t>
      </w:r>
      <w:r w:rsidRPr="00B7519F">
        <w:rPr>
          <w:rFonts w:ascii="Aptos" w:eastAsia="DengXian" w:hAnsi="Aptos" w:cs="Arial"/>
          <w:kern w:val="2"/>
          <w:sz w:val="22"/>
          <w:szCs w:val="22"/>
          <w:lang w:val="en-US" w:eastAsia="zh-CN"/>
          <w14:ligatures w14:val="standardContextual"/>
        </w:rPr>
        <w:t xml:space="preserve"> This cross-regional resolution, led by Egypt, Kazakhstan, Malaysia, Senegal, Singapore, and the United Arab Emirates, mandates OHCHR to convene multi-stakeholder consultations to develop options for a global framework on child safety online.</w:t>
      </w:r>
    </w:p>
    <w:p w14:paraId="5E676AB0"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Aptos" w:eastAsia="DengXian" w:hAnsi="Aptos" w:cs="Arial"/>
          <w:kern w:val="2"/>
          <w:sz w:val="22"/>
          <w:szCs w:val="22"/>
          <w:lang w:val="en-US" w:eastAsia="zh-CN"/>
          <w14:ligatures w14:val="standardContextual"/>
        </w:rPr>
      </w:pPr>
      <w:r w:rsidRPr="00B7519F">
        <w:rPr>
          <w:rFonts w:ascii="Aptos" w:eastAsia="DengXian" w:hAnsi="Aptos" w:cs="Arial"/>
          <w:kern w:val="2"/>
          <w:sz w:val="22"/>
          <w:szCs w:val="22"/>
          <w:lang w:val="en-US" w:eastAsia="zh-CN"/>
          <w14:ligatures w14:val="standardContextual"/>
        </w:rPr>
        <w:t>The report will be presented to the Council's 64th session in March 2027, followed by an interactive dialogue among member states. This dialogue will provide the space for states to deliberate on the framework options and define next steps – potentially including follow-up mechanisms, implementation support, or further normative development at the global level.</w:t>
      </w:r>
    </w:p>
    <w:p w14:paraId="4074C2F8"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Aptos" w:eastAsia="DengXian" w:hAnsi="Aptos" w:cs="Arial"/>
          <w:kern w:val="2"/>
          <w:sz w:val="22"/>
          <w:szCs w:val="22"/>
          <w:lang w:val="en-US" w:eastAsia="zh-CN"/>
          <w14:ligatures w14:val="standardContextual"/>
        </w:rPr>
      </w:pPr>
      <w:r w:rsidRPr="00B7519F">
        <w:rPr>
          <w:rFonts w:ascii="Aptos" w:eastAsia="DengXian" w:hAnsi="Aptos" w:cs="Arial"/>
          <w:kern w:val="2"/>
          <w:sz w:val="22"/>
          <w:szCs w:val="22"/>
          <w:lang w:val="en-US" w:eastAsia="zh-CN"/>
          <w14:ligatures w14:val="standardContextual"/>
        </w:rPr>
        <w:t>The Human Rights Council is the principal UN intergovernmental body responsible for human rights, composed of 47 member states. Its resolutions and interactive dialogues shape international human rights standards and influence state policy worldwide.</w:t>
      </w:r>
    </w:p>
    <w:p w14:paraId="5A68868C"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Aptos" w:eastAsia="DengXian" w:hAnsi="Aptos" w:cs="Arial"/>
          <w:kern w:val="2"/>
          <w:sz w:val="22"/>
          <w:szCs w:val="22"/>
          <w:lang w:val="en-US" w:eastAsia="zh-CN"/>
          <w14:ligatures w14:val="standardContextual"/>
        </w:rPr>
      </w:pPr>
      <w:r w:rsidRPr="00B7519F">
        <w:rPr>
          <w:rFonts w:ascii="Aptos" w:eastAsia="DengXian" w:hAnsi="Aptos" w:cs="Arial"/>
          <w:kern w:val="2"/>
          <w:sz w:val="22"/>
          <w:szCs w:val="22"/>
          <w:lang w:val="en-US" w:eastAsia="zh-CN"/>
          <w14:ligatures w14:val="standardContextual"/>
        </w:rPr>
        <w:t>This mandate is significant for several reasons:</w:t>
      </w:r>
    </w:p>
    <w:p w14:paraId="76FE9C9F"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Aptos" w:eastAsia="DengXian" w:hAnsi="Aptos" w:cs="Arial"/>
          <w:kern w:val="2"/>
          <w:sz w:val="22"/>
          <w:szCs w:val="22"/>
          <w:lang w:val="en-US" w:eastAsia="zh-CN"/>
          <w14:ligatures w14:val="standardContextual"/>
        </w:rPr>
      </w:pPr>
      <w:r w:rsidRPr="00B7519F">
        <w:rPr>
          <w:rFonts w:ascii="Aptos" w:eastAsia="DengXian" w:hAnsi="Aptos" w:cs="Arial"/>
          <w:kern w:val="2"/>
          <w:sz w:val="22"/>
          <w:szCs w:val="22"/>
          <w:lang w:val="en-US" w:eastAsia="zh-CN"/>
          <w14:ligatures w14:val="standardContextual"/>
        </w:rPr>
        <w:t>First, it positions child online safety within the international human rights framework – grounded in the Convention on the Rights of the Child and General Comment No. 25.</w:t>
      </w:r>
    </w:p>
    <w:p w14:paraId="20CB71F4"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Aptos" w:eastAsia="DengXian" w:hAnsi="Aptos" w:cs="Arial"/>
          <w:kern w:val="2"/>
          <w:sz w:val="22"/>
          <w:szCs w:val="22"/>
          <w:lang w:val="en-US" w:eastAsia="zh-CN"/>
          <w14:ligatures w14:val="standardContextual"/>
        </w:rPr>
      </w:pPr>
      <w:r w:rsidRPr="00B7519F">
        <w:rPr>
          <w:rFonts w:ascii="Aptos" w:eastAsia="DengXian" w:hAnsi="Aptos" w:cs="Arial"/>
          <w:kern w:val="2"/>
          <w:sz w:val="22"/>
          <w:szCs w:val="22"/>
          <w:lang w:val="en-US" w:eastAsia="zh-CN"/>
          <w14:ligatures w14:val="standardContextual"/>
        </w:rPr>
        <w:t xml:space="preserve">Second, this process will generate policy options with the potential to influence national legislation, regulatory approaches, and corporate accountability frameworks globally. The interactive dialogue at HRC 64 will ensure that beyond the mandated report, states actively engage with the framework </w:t>
      </w:r>
      <w:proofErr w:type="gramStart"/>
      <w:r w:rsidRPr="00B7519F">
        <w:rPr>
          <w:rFonts w:ascii="Aptos" w:eastAsia="DengXian" w:hAnsi="Aptos" w:cs="Arial"/>
          <w:kern w:val="2"/>
          <w:sz w:val="22"/>
          <w:szCs w:val="22"/>
          <w:lang w:val="en-US" w:eastAsia="zh-CN"/>
          <w14:ligatures w14:val="standardContextual"/>
        </w:rPr>
        <w:t>options, and</w:t>
      </w:r>
      <w:proofErr w:type="gramEnd"/>
      <w:r w:rsidRPr="00B7519F">
        <w:rPr>
          <w:rFonts w:ascii="Aptos" w:eastAsia="DengXian" w:hAnsi="Aptos" w:cs="Arial"/>
          <w:kern w:val="2"/>
          <w:sz w:val="22"/>
          <w:szCs w:val="22"/>
          <w:lang w:val="en-US" w:eastAsia="zh-CN"/>
          <w14:ligatures w14:val="standardContextual"/>
        </w:rPr>
        <w:t xml:space="preserve"> will have the opportunity to define and follow up on the next steps.</w:t>
      </w:r>
    </w:p>
    <w:p w14:paraId="37DF7096"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Aptos" w:eastAsia="DengXian" w:hAnsi="Aptos" w:cs="Arial"/>
          <w:kern w:val="2"/>
          <w:sz w:val="22"/>
          <w:szCs w:val="22"/>
          <w:lang w:val="en-US" w:eastAsia="zh-CN"/>
          <w14:ligatures w14:val="standardContextual"/>
        </w:rPr>
      </w:pPr>
      <w:r w:rsidRPr="00B7519F">
        <w:rPr>
          <w:rFonts w:ascii="Aptos" w:eastAsia="DengXian" w:hAnsi="Aptos" w:cs="Arial"/>
          <w:kern w:val="2"/>
          <w:sz w:val="22"/>
          <w:szCs w:val="22"/>
          <w:lang w:val="en-US" w:eastAsia="zh-CN"/>
          <w14:ligatures w14:val="standardContextual"/>
        </w:rPr>
        <w:t>Third, the resolution explicitly requires comprehensive multi-stakeholder engagement: governments, civil society organizations – including child rights and youth-led NGOs – the private sector, educational institutions, parents' and family associations, faith-based organizations, UN Special Rapporteurs, UN agencies, and crucially, children themselves. This diversity of perspectives is a core strength of the mandate, and will be essential to developing credible, implementable framework options.</w:t>
      </w:r>
    </w:p>
    <w:p w14:paraId="11EF0742"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Aptos" w:eastAsia="DengXian" w:hAnsi="Aptos" w:cs="Arial"/>
          <w:kern w:val="2"/>
          <w:sz w:val="22"/>
          <w:szCs w:val="22"/>
          <w:lang w:val="en-US" w:eastAsia="zh-CN"/>
          <w14:ligatures w14:val="standardContextual"/>
        </w:rPr>
      </w:pPr>
      <w:r w:rsidRPr="00B7519F">
        <w:rPr>
          <w:rFonts w:ascii="Aptos" w:eastAsia="DengXian" w:hAnsi="Aptos" w:cs="Arial"/>
          <w:kern w:val="2"/>
          <w:sz w:val="22"/>
          <w:szCs w:val="22"/>
          <w:lang w:val="en-US" w:eastAsia="zh-CN"/>
          <w14:ligatures w14:val="standardContextual"/>
        </w:rPr>
        <w:t>OHCHR aims to take a strong partnership-based approach to implementing this mandate, recognizing the resource constraints we currently face across the UN system. We will conduct consultations throughout 2026 – primarily online – to gather stakeholder perspectives on risks, best practices, and governance gaps across different contexts and regions.</w:t>
      </w:r>
    </w:p>
    <w:p w14:paraId="19F61D82"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Aptos" w:eastAsia="DengXian" w:hAnsi="Aptos" w:cs="Arial"/>
          <w:kern w:val="2"/>
          <w:sz w:val="22"/>
          <w:szCs w:val="22"/>
          <w:lang w:val="en-US" w:eastAsia="zh-CN"/>
          <w14:ligatures w14:val="standardContextual"/>
        </w:rPr>
      </w:pPr>
      <w:r w:rsidRPr="00B7519F">
        <w:rPr>
          <w:rFonts w:ascii="Aptos" w:eastAsia="DengXian" w:hAnsi="Aptos" w:cs="Arial"/>
          <w:kern w:val="2"/>
          <w:sz w:val="22"/>
          <w:szCs w:val="22"/>
          <w:lang w:val="en-US" w:eastAsia="zh-CN"/>
          <w14:ligatures w14:val="standardContextual"/>
        </w:rPr>
        <w:t>We see strong complementarities with the Joint Statement launched this afternoon, and the work of many partners present today; notably, ITU's technical expertise, state regulatory experience, civil society advocacy and monitoring, industry innovation, and academic research can all contribute essential insights to what will ultimately be deliberated by states.</w:t>
      </w:r>
    </w:p>
    <w:p w14:paraId="11D6D65A" w14:textId="77777777" w:rsidR="00B7519F" w:rsidRPr="00B7519F"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Aptos" w:eastAsia="DengXian" w:hAnsi="Aptos" w:cs="Arial"/>
          <w:kern w:val="2"/>
          <w:sz w:val="22"/>
          <w:szCs w:val="22"/>
          <w:lang w:val="en-US" w:eastAsia="zh-CN"/>
          <w14:ligatures w14:val="standardContextual"/>
        </w:rPr>
      </w:pPr>
      <w:r w:rsidRPr="00B7519F">
        <w:rPr>
          <w:rFonts w:ascii="Aptos" w:eastAsia="DengXian" w:hAnsi="Aptos" w:cs="Arial"/>
          <w:kern w:val="2"/>
          <w:sz w:val="22"/>
          <w:szCs w:val="22"/>
          <w:lang w:val="en-US" w:eastAsia="zh-CN"/>
          <w14:ligatures w14:val="standardContextual"/>
        </w:rPr>
        <w:t>OHCHR welcomes input and engagement from all stakeholders, whose contributions will directly inform the mandated report and deliberations at the 64th session of the Human Rights Council in March 2027. We also welcome your partnership in facilitating the regional consultations throughout 2026, including in the process to identify and connect with relevant stakeholders across regions who can participate and provide input.</w:t>
      </w:r>
    </w:p>
    <w:p w14:paraId="257674B4" w14:textId="7FA04886" w:rsidR="00A514A4" w:rsidRDefault="00B7519F" w:rsidP="00B7519F">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Aptos" w:eastAsia="DengXian" w:hAnsi="Aptos" w:cs="Arial"/>
          <w:kern w:val="2"/>
          <w:sz w:val="22"/>
          <w:szCs w:val="22"/>
          <w:lang w:val="en-US" w:eastAsia="zh-CN"/>
          <w14:ligatures w14:val="standardContextual"/>
        </w:rPr>
      </w:pPr>
      <w:r w:rsidRPr="00B7519F">
        <w:rPr>
          <w:rFonts w:ascii="Aptos" w:eastAsia="DengXian" w:hAnsi="Aptos" w:cs="Arial"/>
          <w:kern w:val="2"/>
          <w:sz w:val="22"/>
          <w:szCs w:val="22"/>
          <w:lang w:val="en-US" w:eastAsia="zh-CN"/>
          <w14:ligatures w14:val="standardContextual"/>
        </w:rPr>
        <w:t>We look forward to keeping this Working Group informed as the process unfolds.</w:t>
      </w:r>
    </w:p>
    <w:p w14:paraId="1CA56241" w14:textId="55A98EBB" w:rsidR="00B7519F" w:rsidRPr="00B7519F" w:rsidRDefault="00B7519F" w:rsidP="00B7519F">
      <w:pPr>
        <w:tabs>
          <w:tab w:val="clear" w:pos="567"/>
          <w:tab w:val="clear" w:pos="1134"/>
          <w:tab w:val="clear" w:pos="1701"/>
          <w:tab w:val="clear" w:pos="2268"/>
          <w:tab w:val="clear" w:pos="2835"/>
        </w:tabs>
        <w:overflowPunct/>
        <w:autoSpaceDE/>
        <w:autoSpaceDN/>
        <w:adjustRightInd/>
        <w:spacing w:before="1080" w:line="278" w:lineRule="auto"/>
        <w:jc w:val="center"/>
        <w:textAlignment w:val="auto"/>
        <w:rPr>
          <w:rFonts w:ascii="Aptos" w:eastAsia="DengXian" w:hAnsi="Aptos" w:cs="Arial"/>
          <w:kern w:val="2"/>
          <w:sz w:val="22"/>
          <w:szCs w:val="22"/>
          <w:lang w:val="en-US" w:eastAsia="zh-CN"/>
          <w14:ligatures w14:val="standardContextual"/>
        </w:rPr>
      </w:pPr>
      <w:r>
        <w:rPr>
          <w:rFonts w:ascii="Aptos" w:eastAsia="DengXian" w:hAnsi="Aptos" w:cs="Arial"/>
          <w:kern w:val="2"/>
          <w:sz w:val="22"/>
          <w:szCs w:val="22"/>
          <w:lang w:val="en-US" w:eastAsia="zh-CN"/>
          <w14:ligatures w14:val="standardContextual"/>
        </w:rPr>
        <w:t>___________________</w:t>
      </w:r>
    </w:p>
    <w:sectPr w:rsidR="00B7519F" w:rsidRPr="00B7519F" w:rsidSect="00AD3606">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3E25BDDC"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CD76B2">
            <w:rPr>
              <w:bCs/>
            </w:rPr>
            <w:t>4</w:t>
          </w:r>
          <w:r w:rsidR="00A52C84" w:rsidRPr="00623AE3">
            <w:rPr>
              <w:bCs/>
            </w:rPr>
            <w:t>/</w:t>
          </w:r>
          <w:r w:rsidR="00866F4F">
            <w:rPr>
              <w:bCs/>
            </w:rPr>
            <w:t>INF/</w:t>
          </w:r>
          <w:r w:rsidR="00B7519F">
            <w:rPr>
              <w:bCs/>
            </w:rPr>
            <w:t>17</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76BC3574" w:rsidR="00EE49E8" w:rsidRDefault="00A52C84" w:rsidP="00EE49E8">
          <w:pPr>
            <w:pStyle w:val="Header"/>
            <w:jc w:val="left"/>
            <w:rPr>
              <w:noProof/>
            </w:rPr>
          </w:pPr>
          <w:hyperlink r:id="rId1" w:history="1">
            <w:r w:rsidRPr="00CD76B2">
              <w:rPr>
                <w:rStyle w:val="Hyperlink"/>
              </w:rPr>
              <w:t>council.itu.int/working-groups</w:t>
            </w:r>
          </w:hyperlink>
        </w:p>
      </w:tc>
      <w:tc>
        <w:tcPr>
          <w:tcW w:w="6957" w:type="dxa"/>
        </w:tcPr>
        <w:p w14:paraId="3F62E0D8" w14:textId="14A9A43B"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CD76B2">
            <w:rPr>
              <w:bCs/>
            </w:rPr>
            <w:t>4</w:t>
          </w:r>
          <w:r w:rsidRPr="00623AE3">
            <w:rPr>
              <w:bCs/>
            </w:rPr>
            <w:t>/</w:t>
          </w:r>
          <w:r w:rsidR="00866F4F">
            <w:rPr>
              <w:bCs/>
            </w:rPr>
            <w:t>INF/</w:t>
          </w:r>
          <w:r w:rsidR="00B7519F">
            <w:rPr>
              <w:bCs/>
            </w:rPr>
            <w:t>17</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A8F"/>
    <w:rsid w:val="00007198"/>
    <w:rsid w:val="000210D4"/>
    <w:rsid w:val="00063016"/>
    <w:rsid w:val="00066795"/>
    <w:rsid w:val="00076AF6"/>
    <w:rsid w:val="00085518"/>
    <w:rsid w:val="000859C4"/>
    <w:rsid w:val="00085CF2"/>
    <w:rsid w:val="000B1705"/>
    <w:rsid w:val="000D75B2"/>
    <w:rsid w:val="001121F5"/>
    <w:rsid w:val="00130599"/>
    <w:rsid w:val="001400DC"/>
    <w:rsid w:val="00140CE1"/>
    <w:rsid w:val="0017539C"/>
    <w:rsid w:val="00175AC2"/>
    <w:rsid w:val="0017609F"/>
    <w:rsid w:val="001A7D1D"/>
    <w:rsid w:val="001B51DD"/>
    <w:rsid w:val="001C628E"/>
    <w:rsid w:val="001E0F7B"/>
    <w:rsid w:val="001E0FBE"/>
    <w:rsid w:val="002119FD"/>
    <w:rsid w:val="002130E0"/>
    <w:rsid w:val="00225FA7"/>
    <w:rsid w:val="00244F7F"/>
    <w:rsid w:val="00264425"/>
    <w:rsid w:val="00265875"/>
    <w:rsid w:val="0027303B"/>
    <w:rsid w:val="0028109B"/>
    <w:rsid w:val="002A2188"/>
    <w:rsid w:val="002B1F58"/>
    <w:rsid w:val="002C1C7A"/>
    <w:rsid w:val="002C54E2"/>
    <w:rsid w:val="0030160F"/>
    <w:rsid w:val="00320223"/>
    <w:rsid w:val="00322D0D"/>
    <w:rsid w:val="00361465"/>
    <w:rsid w:val="003877F5"/>
    <w:rsid w:val="00394091"/>
    <w:rsid w:val="003942D4"/>
    <w:rsid w:val="003958A8"/>
    <w:rsid w:val="003C2533"/>
    <w:rsid w:val="003D5A7F"/>
    <w:rsid w:val="004016E2"/>
    <w:rsid w:val="0040435A"/>
    <w:rsid w:val="00416A24"/>
    <w:rsid w:val="00431D9E"/>
    <w:rsid w:val="00433CE8"/>
    <w:rsid w:val="00434A5C"/>
    <w:rsid w:val="004544D9"/>
    <w:rsid w:val="00472BAD"/>
    <w:rsid w:val="00474CAD"/>
    <w:rsid w:val="00484009"/>
    <w:rsid w:val="00490E72"/>
    <w:rsid w:val="00491157"/>
    <w:rsid w:val="004921C8"/>
    <w:rsid w:val="00495B0B"/>
    <w:rsid w:val="004A1B8B"/>
    <w:rsid w:val="004D1851"/>
    <w:rsid w:val="004D599D"/>
    <w:rsid w:val="004E2EA5"/>
    <w:rsid w:val="004E3AEB"/>
    <w:rsid w:val="0050223C"/>
    <w:rsid w:val="005217BD"/>
    <w:rsid w:val="005243FF"/>
    <w:rsid w:val="005567BC"/>
    <w:rsid w:val="00564FBC"/>
    <w:rsid w:val="005800BC"/>
    <w:rsid w:val="00582442"/>
    <w:rsid w:val="005A335D"/>
    <w:rsid w:val="005E2BD5"/>
    <w:rsid w:val="005F3269"/>
    <w:rsid w:val="00610DC7"/>
    <w:rsid w:val="00623AE3"/>
    <w:rsid w:val="006273F5"/>
    <w:rsid w:val="0064737F"/>
    <w:rsid w:val="006535F1"/>
    <w:rsid w:val="0065557D"/>
    <w:rsid w:val="00660D50"/>
    <w:rsid w:val="00662984"/>
    <w:rsid w:val="006716BB"/>
    <w:rsid w:val="006B1859"/>
    <w:rsid w:val="006B6680"/>
    <w:rsid w:val="006B6DCC"/>
    <w:rsid w:val="006F5369"/>
    <w:rsid w:val="00702DEF"/>
    <w:rsid w:val="00706861"/>
    <w:rsid w:val="0075051B"/>
    <w:rsid w:val="00775655"/>
    <w:rsid w:val="00793188"/>
    <w:rsid w:val="00794D34"/>
    <w:rsid w:val="00813E5E"/>
    <w:rsid w:val="0083581B"/>
    <w:rsid w:val="00854BE3"/>
    <w:rsid w:val="00863874"/>
    <w:rsid w:val="00864AFF"/>
    <w:rsid w:val="00865925"/>
    <w:rsid w:val="00866F4F"/>
    <w:rsid w:val="00891503"/>
    <w:rsid w:val="008964B4"/>
    <w:rsid w:val="008B4A6A"/>
    <w:rsid w:val="008C7E27"/>
    <w:rsid w:val="008F7448"/>
    <w:rsid w:val="0090147A"/>
    <w:rsid w:val="009173EF"/>
    <w:rsid w:val="00932906"/>
    <w:rsid w:val="00955751"/>
    <w:rsid w:val="00961B0B"/>
    <w:rsid w:val="00962D33"/>
    <w:rsid w:val="0099790D"/>
    <w:rsid w:val="009B38C3"/>
    <w:rsid w:val="009C253A"/>
    <w:rsid w:val="009E17BD"/>
    <w:rsid w:val="009E485A"/>
    <w:rsid w:val="00A04CEC"/>
    <w:rsid w:val="00A05885"/>
    <w:rsid w:val="00A27F92"/>
    <w:rsid w:val="00A32257"/>
    <w:rsid w:val="00A36D20"/>
    <w:rsid w:val="00A467DF"/>
    <w:rsid w:val="00A514A4"/>
    <w:rsid w:val="00A52C84"/>
    <w:rsid w:val="00A55622"/>
    <w:rsid w:val="00A83502"/>
    <w:rsid w:val="00AD15B3"/>
    <w:rsid w:val="00AD3606"/>
    <w:rsid w:val="00AD4A3D"/>
    <w:rsid w:val="00AF6E49"/>
    <w:rsid w:val="00B04A67"/>
    <w:rsid w:val="00B0583C"/>
    <w:rsid w:val="00B358B2"/>
    <w:rsid w:val="00B40A81"/>
    <w:rsid w:val="00B44910"/>
    <w:rsid w:val="00B45936"/>
    <w:rsid w:val="00B64669"/>
    <w:rsid w:val="00B72267"/>
    <w:rsid w:val="00B7519F"/>
    <w:rsid w:val="00B769C7"/>
    <w:rsid w:val="00B76EB6"/>
    <w:rsid w:val="00B7737B"/>
    <w:rsid w:val="00B824C8"/>
    <w:rsid w:val="00B84B9D"/>
    <w:rsid w:val="00BC251A"/>
    <w:rsid w:val="00BC3F65"/>
    <w:rsid w:val="00BC54CD"/>
    <w:rsid w:val="00BC6146"/>
    <w:rsid w:val="00BD032B"/>
    <w:rsid w:val="00BE2640"/>
    <w:rsid w:val="00C01189"/>
    <w:rsid w:val="00C10F2C"/>
    <w:rsid w:val="00C374DE"/>
    <w:rsid w:val="00C47AD4"/>
    <w:rsid w:val="00C52D81"/>
    <w:rsid w:val="00C55198"/>
    <w:rsid w:val="00CA293A"/>
    <w:rsid w:val="00CA6393"/>
    <w:rsid w:val="00CB18FF"/>
    <w:rsid w:val="00CD0C08"/>
    <w:rsid w:val="00CD76B2"/>
    <w:rsid w:val="00CE03FB"/>
    <w:rsid w:val="00CE433C"/>
    <w:rsid w:val="00CF0161"/>
    <w:rsid w:val="00CF33F3"/>
    <w:rsid w:val="00D06183"/>
    <w:rsid w:val="00D22C42"/>
    <w:rsid w:val="00D464CC"/>
    <w:rsid w:val="00D53C61"/>
    <w:rsid w:val="00D65041"/>
    <w:rsid w:val="00DB00D5"/>
    <w:rsid w:val="00DB1936"/>
    <w:rsid w:val="00DB384B"/>
    <w:rsid w:val="00DF0189"/>
    <w:rsid w:val="00E06FD5"/>
    <w:rsid w:val="00E10E80"/>
    <w:rsid w:val="00E124F0"/>
    <w:rsid w:val="00E227F3"/>
    <w:rsid w:val="00E545C6"/>
    <w:rsid w:val="00E60F04"/>
    <w:rsid w:val="00E65B24"/>
    <w:rsid w:val="00E854E4"/>
    <w:rsid w:val="00E86DBF"/>
    <w:rsid w:val="00EB0D6F"/>
    <w:rsid w:val="00EB2232"/>
    <w:rsid w:val="00EB5155"/>
    <w:rsid w:val="00EC5337"/>
    <w:rsid w:val="00ED454D"/>
    <w:rsid w:val="00EE49E8"/>
    <w:rsid w:val="00F0400D"/>
    <w:rsid w:val="00F16BAB"/>
    <w:rsid w:val="00F2150A"/>
    <w:rsid w:val="00F231D8"/>
    <w:rsid w:val="00F41345"/>
    <w:rsid w:val="00F44C00"/>
    <w:rsid w:val="00F45D2C"/>
    <w:rsid w:val="00F46C5F"/>
    <w:rsid w:val="00F56020"/>
    <w:rsid w:val="00F632C0"/>
    <w:rsid w:val="00F74694"/>
    <w:rsid w:val="00F871BD"/>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0400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CD76B2"/>
    <w:rPr>
      <w:color w:val="605E5C"/>
      <w:shd w:val="clear" w:color="auto" w:fill="E1DFDD"/>
    </w:rPr>
  </w:style>
  <w:style w:type="character" w:styleId="PlaceholderText">
    <w:name w:val="Placeholder Text"/>
    <w:basedOn w:val="DefaultParagraphFont"/>
    <w:uiPriority w:val="99"/>
    <w:semiHidden/>
    <w:rsid w:val="00F871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3851</Characters>
  <Application>Microsoft Office Word</Application>
  <DocSecurity>0</DocSecurity>
  <Lines>275</Lines>
  <Paragraphs>179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on child onlinie protection</dc:subject>
  <dc:creator/>
  <cp:keywords>CWG-COP; C26; Council-26</cp:keywords>
  <dc:description/>
  <cp:lastModifiedBy/>
  <cp:revision>1</cp:revision>
  <dcterms:created xsi:type="dcterms:W3CDTF">2026-01-20T15:08:00Z</dcterms:created>
  <dcterms:modified xsi:type="dcterms:W3CDTF">2026-01-20T15:08:00Z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68537e51-2890-49e6-83a1-9d0d2fc8e3bc</vt:lpwstr>
  </property>
</Properties>
</file>