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A23EF"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328AA88"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BA23EF">
              <w:rPr>
                <w:b/>
                <w:lang w:val="fr-FR"/>
              </w:rPr>
              <w:t>16</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332967BD" w:rsidR="00AD3606" w:rsidRPr="00F871BD" w:rsidRDefault="00BA23EF" w:rsidP="00AD3606">
            <w:pPr>
              <w:tabs>
                <w:tab w:val="left" w:pos="851"/>
              </w:tabs>
              <w:spacing w:before="0"/>
              <w:jc w:val="right"/>
              <w:rPr>
                <w:b/>
              </w:rPr>
            </w:pPr>
            <w:r>
              <w:rPr>
                <w:b/>
              </w:rPr>
              <w:t>19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0D46C1F0" w:rsidR="00AD3606" w:rsidRPr="00F871BD" w:rsidRDefault="00BA23EF" w:rsidP="00F0400D">
            <w:pPr>
              <w:pStyle w:val="Source"/>
              <w:framePr w:hSpace="0" w:wrap="auto" w:vAnchor="margin" w:hAnchor="text" w:xAlign="left" w:yAlign="inline"/>
            </w:pPr>
            <w:bookmarkStart w:id="8" w:name="dsource" w:colFirst="0" w:colLast="0"/>
            <w:bookmarkEnd w:id="7"/>
            <w:r>
              <w:t>ITU-T Study Group 17</w:t>
            </w:r>
          </w:p>
        </w:tc>
      </w:tr>
      <w:tr w:rsidR="00AD3606" w:rsidRPr="00F871BD" w14:paraId="2340750D" w14:textId="77777777" w:rsidTr="00AD3606">
        <w:trPr>
          <w:cantSplit/>
        </w:trPr>
        <w:tc>
          <w:tcPr>
            <w:tcW w:w="9214" w:type="dxa"/>
            <w:gridSpan w:val="2"/>
            <w:tcMar>
              <w:left w:w="0" w:type="dxa"/>
            </w:tcMar>
          </w:tcPr>
          <w:p w14:paraId="47B91AA8" w14:textId="3D02D5BE" w:rsidR="00AD3606" w:rsidRPr="00F871BD" w:rsidRDefault="00BA23EF" w:rsidP="00BA23EF">
            <w:pPr>
              <w:pStyle w:val="Subtitle"/>
              <w:framePr w:hSpace="0" w:wrap="auto" w:xAlign="left" w:yAlign="inline"/>
            </w:pPr>
            <w:bookmarkStart w:id="9" w:name="dtitle1" w:colFirst="0" w:colLast="0"/>
            <w:bookmarkEnd w:id="8"/>
            <w:r>
              <w:t>LIAISON STATEMENT ON SG17 UPDATE ON THE WORK OF THE CORRESPONDENCE GROUP ON CHILD ONLINE PROTECTION (CG-COP)</w:t>
            </w:r>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2E09FE8B" w14:textId="3F655E7C" w:rsidR="00AD3606" w:rsidRPr="00F871BD" w:rsidRDefault="00BA23EF" w:rsidP="00F16BAB">
            <w:r w:rsidRPr="00BA23EF">
              <w:t>This Liaison Statement informs Council Working Group on Child Online Protection (CWG-COP, ITU-D Q3/2, ITU-D Q6/1) of the progress of the CG-COP as reported at the meeting of the ITU-T Study Group 17 (Geneva, 3-11 December 2025).</w:t>
            </w:r>
          </w:p>
          <w:p w14:paraId="5076D5C4" w14:textId="28F00572"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F16BAB">
            <w:pPr>
              <w:spacing w:before="160"/>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0175CD6C" w14:textId="27D740C1" w:rsidR="00AD3606" w:rsidRPr="00F871BD" w:rsidRDefault="00AD3606" w:rsidP="00F16BAB">
            <w:pPr>
              <w:spacing w:after="160"/>
              <w:rPr>
                <w:i/>
                <w:iCs/>
                <w:sz w:val="22"/>
                <w:szCs w:val="22"/>
              </w:rPr>
            </w:pP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ECA31BE" w14:textId="77777777" w:rsidR="00225DDB" w:rsidRDefault="0090147A">
      <w:pPr>
        <w:tabs>
          <w:tab w:val="clear" w:pos="567"/>
          <w:tab w:val="clear" w:pos="1134"/>
          <w:tab w:val="clear" w:pos="1701"/>
          <w:tab w:val="clear" w:pos="2268"/>
          <w:tab w:val="clear" w:pos="2835"/>
        </w:tabs>
        <w:overflowPunct/>
        <w:autoSpaceDE/>
        <w:autoSpaceDN/>
        <w:adjustRightInd/>
        <w:spacing w:before="0"/>
        <w:textAlignment w:val="auto"/>
        <w:sectPr w:rsidR="00225DDB"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r w:rsidRPr="00F871BD">
        <w:br w:type="page"/>
      </w:r>
    </w:p>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p>
    <w:tbl>
      <w:tblPr>
        <w:tblW w:w="9640" w:type="dxa"/>
        <w:tblInd w:w="-1" w:type="dxa"/>
        <w:tblLayout w:type="fixed"/>
        <w:tblCellMar>
          <w:left w:w="57" w:type="dxa"/>
          <w:right w:w="57" w:type="dxa"/>
        </w:tblCellMar>
        <w:tblLook w:val="0000" w:firstRow="0" w:lastRow="0" w:firstColumn="0" w:lastColumn="0" w:noHBand="0" w:noVBand="0"/>
      </w:tblPr>
      <w:tblGrid>
        <w:gridCol w:w="1104"/>
        <w:gridCol w:w="441"/>
        <w:gridCol w:w="157"/>
        <w:gridCol w:w="425"/>
        <w:gridCol w:w="3302"/>
        <w:gridCol w:w="26"/>
        <w:gridCol w:w="4185"/>
      </w:tblGrid>
      <w:tr w:rsidR="00225DDB" w:rsidRPr="00225DDB" w14:paraId="069E3EDF" w14:textId="77777777" w:rsidTr="00056430">
        <w:trPr>
          <w:cantSplit/>
        </w:trPr>
        <w:tc>
          <w:tcPr>
            <w:tcW w:w="1104" w:type="dxa"/>
            <w:vMerge w:val="restart"/>
            <w:vAlign w:val="center"/>
          </w:tcPr>
          <w:p w14:paraId="75CF89FE"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eastAsia="SimSun" w:hAnsi="Times New Roman"/>
                <w:sz w:val="20"/>
                <w:lang w:eastAsia="ja-JP"/>
              </w:rPr>
            </w:pPr>
            <w:bookmarkStart w:id="12" w:name="dtableau"/>
            <w:bookmarkEnd w:id="5"/>
            <w:bookmarkEnd w:id="10"/>
            <w:r w:rsidRPr="00225DDB">
              <w:rPr>
                <w:rFonts w:ascii="Times New Roman" w:eastAsia="SimSun" w:hAnsi="Times New Roman"/>
                <w:noProof/>
                <w:szCs w:val="24"/>
                <w:lang w:eastAsia="ja-JP"/>
              </w:rPr>
              <w:drawing>
                <wp:inline distT="0" distB="0" distL="0" distR="0" wp14:anchorId="485EE165" wp14:editId="7AF9B2B5">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5"/>
            <w:vMerge w:val="restart"/>
          </w:tcPr>
          <w:p w14:paraId="35EDCDAF"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16"/>
                <w:szCs w:val="16"/>
                <w:lang w:eastAsia="ja-JP"/>
              </w:rPr>
            </w:pPr>
            <w:r w:rsidRPr="00225DDB">
              <w:rPr>
                <w:rFonts w:ascii="Times New Roman" w:eastAsia="SimSun" w:hAnsi="Times New Roman"/>
                <w:sz w:val="16"/>
                <w:szCs w:val="16"/>
                <w:lang w:eastAsia="ja-JP"/>
              </w:rPr>
              <w:t>INTERNATIONAL TELECOMMUNICATION UNION</w:t>
            </w:r>
          </w:p>
          <w:p w14:paraId="7EF88883"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6"/>
                <w:lang w:eastAsia="ja-JP"/>
              </w:rPr>
            </w:pPr>
            <w:r w:rsidRPr="00225DDB">
              <w:rPr>
                <w:rFonts w:ascii="Times New Roman" w:eastAsia="SimSun" w:hAnsi="Times New Roman"/>
                <w:b/>
                <w:bCs/>
                <w:sz w:val="26"/>
                <w:szCs w:val="26"/>
                <w:lang w:eastAsia="ja-JP"/>
              </w:rPr>
              <w:t>TELECOMMUNICATION</w:t>
            </w:r>
            <w:r w:rsidRPr="00225DDB">
              <w:rPr>
                <w:rFonts w:ascii="Times New Roman" w:eastAsia="SimSun" w:hAnsi="Times New Roman"/>
                <w:b/>
                <w:bCs/>
                <w:sz w:val="26"/>
                <w:szCs w:val="26"/>
                <w:lang w:eastAsia="ja-JP"/>
              </w:rPr>
              <w:br/>
              <w:t>STANDARDIZATION SECTOR</w:t>
            </w:r>
          </w:p>
          <w:p w14:paraId="1F9A16E8"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0"/>
                <w:lang w:eastAsia="ja-JP"/>
              </w:rPr>
            </w:pPr>
            <w:r w:rsidRPr="00225DDB">
              <w:rPr>
                <w:rFonts w:ascii="Times New Roman" w:eastAsia="SimSun" w:hAnsi="Times New Roman"/>
                <w:sz w:val="20"/>
                <w:lang w:eastAsia="ja-JP"/>
              </w:rPr>
              <w:t xml:space="preserve">STUDY PERIOD </w:t>
            </w:r>
            <w:r w:rsidRPr="00225DDB">
              <w:rPr>
                <w:rFonts w:ascii="Times New Roman" w:eastAsia="SimSun" w:hAnsi="Times New Roman"/>
                <w:sz w:val="20"/>
                <w:szCs w:val="24"/>
                <w:lang w:eastAsia="ja-JP"/>
              </w:rPr>
              <w:t>2025-2028</w:t>
            </w:r>
          </w:p>
        </w:tc>
        <w:tc>
          <w:tcPr>
            <w:tcW w:w="4185" w:type="dxa"/>
            <w:vAlign w:val="center"/>
          </w:tcPr>
          <w:p w14:paraId="756D8BEF"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jc w:val="right"/>
              <w:rPr>
                <w:rFonts w:ascii="Times New Roman" w:eastAsia="SimSun" w:hAnsi="Times New Roman"/>
                <w:b/>
                <w:sz w:val="32"/>
              </w:rPr>
            </w:pPr>
            <w:r w:rsidRPr="00225DDB">
              <w:rPr>
                <w:rFonts w:ascii="Times New Roman" w:eastAsia="SimSun" w:hAnsi="Times New Roman"/>
                <w:b/>
                <w:sz w:val="32"/>
              </w:rPr>
              <w:t>SG17-LS103</w:t>
            </w:r>
          </w:p>
        </w:tc>
      </w:tr>
      <w:tr w:rsidR="00225DDB" w:rsidRPr="00225DDB" w14:paraId="7EE42E0E" w14:textId="77777777" w:rsidTr="00056430">
        <w:trPr>
          <w:cantSplit/>
        </w:trPr>
        <w:tc>
          <w:tcPr>
            <w:tcW w:w="1104" w:type="dxa"/>
            <w:vMerge/>
          </w:tcPr>
          <w:p w14:paraId="7FDEABF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bookmarkStart w:id="13" w:name="dsg" w:colFirst="2" w:colLast="2"/>
          </w:p>
        </w:tc>
        <w:tc>
          <w:tcPr>
            <w:tcW w:w="4351" w:type="dxa"/>
            <w:gridSpan w:val="5"/>
            <w:vMerge/>
          </w:tcPr>
          <w:p w14:paraId="1C789427"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p>
        </w:tc>
        <w:tc>
          <w:tcPr>
            <w:tcW w:w="4185" w:type="dxa"/>
          </w:tcPr>
          <w:p w14:paraId="58D8593C"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mallCaps/>
                <w:sz w:val="28"/>
                <w:szCs w:val="28"/>
                <w:lang w:eastAsia="ja-JP"/>
              </w:rPr>
            </w:pPr>
            <w:r w:rsidRPr="00225DDB">
              <w:rPr>
                <w:rFonts w:ascii="Times New Roman" w:eastAsia="SimSun" w:hAnsi="Times New Roman"/>
                <w:b/>
                <w:bCs/>
                <w:smallCaps/>
                <w:sz w:val="28"/>
                <w:szCs w:val="28"/>
                <w:lang w:eastAsia="ja-JP"/>
              </w:rPr>
              <w:t>STUDY GROUP 17</w:t>
            </w:r>
          </w:p>
        </w:tc>
      </w:tr>
      <w:bookmarkEnd w:id="13"/>
      <w:tr w:rsidR="00225DDB" w:rsidRPr="00225DDB" w14:paraId="20A8BAAD" w14:textId="77777777" w:rsidTr="00056430">
        <w:trPr>
          <w:cantSplit/>
        </w:trPr>
        <w:tc>
          <w:tcPr>
            <w:tcW w:w="1104" w:type="dxa"/>
            <w:vMerge/>
            <w:tcBorders>
              <w:bottom w:val="single" w:sz="12" w:space="0" w:color="auto"/>
            </w:tcBorders>
          </w:tcPr>
          <w:p w14:paraId="12C7D86F"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351" w:type="dxa"/>
            <w:gridSpan w:val="5"/>
            <w:vMerge/>
            <w:tcBorders>
              <w:bottom w:val="single" w:sz="12" w:space="0" w:color="auto"/>
            </w:tcBorders>
          </w:tcPr>
          <w:p w14:paraId="17C6CBDB"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185" w:type="dxa"/>
            <w:tcBorders>
              <w:bottom w:val="single" w:sz="12" w:space="0" w:color="auto"/>
            </w:tcBorders>
            <w:vAlign w:val="center"/>
          </w:tcPr>
          <w:p w14:paraId="40874682"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z w:val="28"/>
                <w:szCs w:val="28"/>
                <w:lang w:eastAsia="ja-JP"/>
              </w:rPr>
            </w:pPr>
            <w:r w:rsidRPr="00225DDB">
              <w:rPr>
                <w:rFonts w:ascii="Times New Roman" w:eastAsia="SimSun" w:hAnsi="Times New Roman"/>
                <w:b/>
                <w:bCs/>
                <w:sz w:val="28"/>
                <w:szCs w:val="28"/>
                <w:lang w:eastAsia="ja-JP"/>
              </w:rPr>
              <w:t>Original: English</w:t>
            </w:r>
          </w:p>
        </w:tc>
      </w:tr>
      <w:tr w:rsidR="00225DDB" w:rsidRPr="00225DDB" w14:paraId="4CD92D40" w14:textId="77777777" w:rsidTr="00056430">
        <w:trPr>
          <w:cantSplit/>
        </w:trPr>
        <w:tc>
          <w:tcPr>
            <w:tcW w:w="1545" w:type="dxa"/>
            <w:gridSpan w:val="2"/>
          </w:tcPr>
          <w:p w14:paraId="040E4356"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bookmarkStart w:id="14" w:name="dbluepink" w:colFirst="1" w:colLast="1"/>
            <w:r w:rsidRPr="00225DDB">
              <w:rPr>
                <w:rFonts w:ascii="Times New Roman" w:eastAsia="SimSun" w:hAnsi="Times New Roman"/>
                <w:b/>
                <w:bCs/>
                <w:szCs w:val="24"/>
                <w:lang w:eastAsia="ja-JP"/>
              </w:rPr>
              <w:t>Question(s):</w:t>
            </w:r>
          </w:p>
        </w:tc>
        <w:tc>
          <w:tcPr>
            <w:tcW w:w="3910" w:type="dxa"/>
            <w:gridSpan w:val="4"/>
          </w:tcPr>
          <w:p w14:paraId="3239EE78"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225DDB">
              <w:rPr>
                <w:rFonts w:ascii="Times New Roman" w:eastAsia="SimSun" w:hAnsi="Times New Roman"/>
                <w:szCs w:val="24"/>
                <w:lang w:eastAsia="ja-JP"/>
              </w:rPr>
              <w:t>All/17</w:t>
            </w:r>
          </w:p>
        </w:tc>
        <w:tc>
          <w:tcPr>
            <w:tcW w:w="4185" w:type="dxa"/>
          </w:tcPr>
          <w:p w14:paraId="737E3C38"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szCs w:val="24"/>
                <w:lang w:eastAsia="ja-JP"/>
              </w:rPr>
            </w:pPr>
            <w:r w:rsidRPr="00225DDB">
              <w:rPr>
                <w:rFonts w:ascii="Times New Roman" w:eastAsia="SimSun" w:hAnsi="Times New Roman"/>
                <w:szCs w:val="24"/>
                <w:lang w:eastAsia="ja-JP"/>
              </w:rPr>
              <w:t>Geneva, 3-11 December 2025</w:t>
            </w:r>
          </w:p>
        </w:tc>
      </w:tr>
      <w:tr w:rsidR="00225DDB" w:rsidRPr="00225DDB" w14:paraId="058FB37B" w14:textId="77777777" w:rsidTr="00056430">
        <w:trPr>
          <w:cantSplit/>
        </w:trPr>
        <w:tc>
          <w:tcPr>
            <w:tcW w:w="9640" w:type="dxa"/>
            <w:gridSpan w:val="7"/>
          </w:tcPr>
          <w:p w14:paraId="42A9C24C"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jc w:val="center"/>
              <w:textAlignment w:val="auto"/>
              <w:rPr>
                <w:rFonts w:ascii="Times New Roman" w:eastAsia="SimSun" w:hAnsi="Times New Roman"/>
                <w:b/>
                <w:bCs/>
                <w:szCs w:val="24"/>
                <w:lang w:eastAsia="ja-JP"/>
              </w:rPr>
            </w:pPr>
            <w:bookmarkStart w:id="15" w:name="ddoctype"/>
            <w:bookmarkEnd w:id="14"/>
            <w:r w:rsidRPr="00225DDB">
              <w:rPr>
                <w:rFonts w:ascii="Times New Roman" w:eastAsia="SimSun" w:hAnsi="Times New Roman"/>
                <w:b/>
                <w:bCs/>
                <w:szCs w:val="24"/>
                <w:lang w:eastAsia="ja-JP"/>
              </w:rPr>
              <w:t>Ref.: SG17-TD291R1/PLEN</w:t>
            </w:r>
          </w:p>
        </w:tc>
      </w:tr>
      <w:bookmarkEnd w:id="15"/>
      <w:tr w:rsidR="00225DDB" w:rsidRPr="00225DDB" w14:paraId="224A0E1A" w14:textId="77777777" w:rsidTr="00056430">
        <w:trPr>
          <w:cantSplit/>
        </w:trPr>
        <w:tc>
          <w:tcPr>
            <w:tcW w:w="1545" w:type="dxa"/>
            <w:gridSpan w:val="2"/>
          </w:tcPr>
          <w:p w14:paraId="74E52F4D"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Source:</w:t>
            </w:r>
          </w:p>
        </w:tc>
        <w:tc>
          <w:tcPr>
            <w:tcW w:w="8095" w:type="dxa"/>
            <w:gridSpan w:val="5"/>
          </w:tcPr>
          <w:p w14:paraId="175490F7"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225DDB">
              <w:rPr>
                <w:rFonts w:ascii="Times New Roman" w:eastAsia="SimSun" w:hAnsi="Times New Roman"/>
                <w:szCs w:val="24"/>
                <w:lang w:eastAsia="ja-JP"/>
              </w:rPr>
              <w:t>ITU-T Study Group 17</w:t>
            </w:r>
          </w:p>
        </w:tc>
      </w:tr>
      <w:tr w:rsidR="00225DDB" w:rsidRPr="00225DDB" w14:paraId="735C9A49" w14:textId="77777777" w:rsidTr="00056430">
        <w:trPr>
          <w:cantSplit/>
        </w:trPr>
        <w:tc>
          <w:tcPr>
            <w:tcW w:w="1545" w:type="dxa"/>
            <w:gridSpan w:val="2"/>
            <w:tcBorders>
              <w:bottom w:val="single" w:sz="8" w:space="0" w:color="auto"/>
            </w:tcBorders>
          </w:tcPr>
          <w:p w14:paraId="0E0BC208"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Title:</w:t>
            </w:r>
          </w:p>
        </w:tc>
        <w:tc>
          <w:tcPr>
            <w:tcW w:w="8095" w:type="dxa"/>
            <w:gridSpan w:val="5"/>
            <w:tcBorders>
              <w:bottom w:val="single" w:sz="8" w:space="0" w:color="auto"/>
            </w:tcBorders>
          </w:tcPr>
          <w:p w14:paraId="741F646D"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225DDB">
              <w:rPr>
                <w:rFonts w:ascii="Times New Roman" w:eastAsia="SimSun" w:hAnsi="Times New Roman"/>
                <w:szCs w:val="24"/>
                <w:lang w:eastAsia="ja-JP"/>
              </w:rPr>
              <w:t>LS on update on the work of the Correspondence Group on Child online protection (CG-COP)</w:t>
            </w:r>
          </w:p>
        </w:tc>
      </w:tr>
      <w:bookmarkEnd w:id="12"/>
      <w:tr w:rsidR="00225DDB" w:rsidRPr="00225DDB" w14:paraId="58F5988A" w14:textId="77777777" w:rsidTr="00056430">
        <w:tblPrEx>
          <w:tblLook w:val="04A0" w:firstRow="1" w:lastRow="0" w:firstColumn="1" w:lastColumn="0" w:noHBand="0" w:noVBand="1"/>
        </w:tblPrEx>
        <w:trPr>
          <w:cantSplit/>
          <w:trHeight w:val="357"/>
        </w:trPr>
        <w:tc>
          <w:tcPr>
            <w:tcW w:w="9640" w:type="dxa"/>
            <w:gridSpan w:val="7"/>
            <w:tcBorders>
              <w:top w:val="single" w:sz="12" w:space="0" w:color="auto"/>
            </w:tcBorders>
          </w:tcPr>
          <w:p w14:paraId="4297E9EA" w14:textId="77777777" w:rsidR="00225DDB" w:rsidRPr="00225DDB" w:rsidRDefault="00225DDB" w:rsidP="00225DDB">
            <w:pPr>
              <w:tabs>
                <w:tab w:val="clear" w:pos="567"/>
                <w:tab w:val="clear" w:pos="1134"/>
                <w:tab w:val="clear" w:pos="1701"/>
                <w:tab w:val="clear" w:pos="2268"/>
                <w:tab w:val="clear" w:pos="2835"/>
                <w:tab w:val="center" w:pos="4905"/>
                <w:tab w:val="left" w:pos="8594"/>
              </w:tabs>
              <w:overflowPunct/>
              <w:autoSpaceDE/>
              <w:autoSpaceDN/>
              <w:adjustRightInd/>
              <w:jc w:val="center"/>
              <w:textAlignment w:val="auto"/>
              <w:rPr>
                <w:rFonts w:ascii="Times New Roman" w:eastAsia="SimSun" w:hAnsi="Times New Roman"/>
                <w:b/>
                <w:szCs w:val="24"/>
                <w:lang w:eastAsia="ja-JP"/>
              </w:rPr>
            </w:pPr>
            <w:r w:rsidRPr="00225DDB">
              <w:rPr>
                <w:rFonts w:ascii="Times New Roman" w:eastAsia="SimSun" w:hAnsi="Times New Roman"/>
                <w:b/>
                <w:szCs w:val="24"/>
                <w:lang w:eastAsia="ja-JP"/>
              </w:rPr>
              <w:t>LIAISON STATEMENT</w:t>
            </w:r>
          </w:p>
        </w:tc>
      </w:tr>
      <w:tr w:rsidR="00225DDB" w:rsidRPr="00225DDB" w14:paraId="25C9EA5C" w14:textId="77777777" w:rsidTr="00056430">
        <w:tblPrEx>
          <w:tblLook w:val="04A0" w:firstRow="1" w:lastRow="0" w:firstColumn="1" w:lastColumn="0" w:noHBand="0" w:noVBand="1"/>
        </w:tblPrEx>
        <w:trPr>
          <w:cantSplit/>
          <w:trHeight w:val="357"/>
        </w:trPr>
        <w:tc>
          <w:tcPr>
            <w:tcW w:w="2127" w:type="dxa"/>
            <w:gridSpan w:val="4"/>
          </w:tcPr>
          <w:p w14:paraId="60E9BA80"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For action to:</w:t>
            </w:r>
          </w:p>
        </w:tc>
        <w:tc>
          <w:tcPr>
            <w:tcW w:w="7513" w:type="dxa"/>
            <w:gridSpan w:val="3"/>
          </w:tcPr>
          <w:p w14:paraId="01A4AE93"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rPr>
            </w:pPr>
            <w:r w:rsidRPr="00225DDB">
              <w:rPr>
                <w:rFonts w:ascii="Times New Roman" w:hAnsi="Times New Roman"/>
                <w:bCs/>
              </w:rPr>
              <w:t>-</w:t>
            </w:r>
          </w:p>
        </w:tc>
      </w:tr>
      <w:tr w:rsidR="00225DDB" w:rsidRPr="00E06283" w14:paraId="4F8BB277" w14:textId="77777777" w:rsidTr="00056430">
        <w:tblPrEx>
          <w:tblLook w:val="04A0" w:firstRow="1" w:lastRow="0" w:firstColumn="1" w:lastColumn="0" w:noHBand="0" w:noVBand="1"/>
        </w:tblPrEx>
        <w:trPr>
          <w:cantSplit/>
          <w:trHeight w:val="357"/>
        </w:trPr>
        <w:tc>
          <w:tcPr>
            <w:tcW w:w="2127" w:type="dxa"/>
            <w:gridSpan w:val="4"/>
          </w:tcPr>
          <w:p w14:paraId="4E30A4A9"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For information to:</w:t>
            </w:r>
          </w:p>
        </w:tc>
        <w:tc>
          <w:tcPr>
            <w:tcW w:w="7513" w:type="dxa"/>
            <w:gridSpan w:val="3"/>
          </w:tcPr>
          <w:p w14:paraId="3B29D98C"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lang w:val="fr-FR"/>
              </w:rPr>
            </w:pPr>
            <w:r w:rsidRPr="00225DDB">
              <w:rPr>
                <w:rFonts w:ascii="Times New Roman" w:hAnsi="Times New Roman"/>
                <w:bCs/>
                <w:lang w:val="fr-CH"/>
              </w:rPr>
              <w:t>CWG-COP, ITU-D Q3/2, ITU-D Q6/1</w:t>
            </w:r>
          </w:p>
        </w:tc>
      </w:tr>
      <w:tr w:rsidR="00225DDB" w:rsidRPr="00225DDB" w14:paraId="44E50BD2" w14:textId="77777777" w:rsidTr="00056430">
        <w:tblPrEx>
          <w:tblLook w:val="04A0" w:firstRow="1" w:lastRow="0" w:firstColumn="1" w:lastColumn="0" w:noHBand="0" w:noVBand="1"/>
        </w:tblPrEx>
        <w:trPr>
          <w:cantSplit/>
          <w:trHeight w:val="357"/>
        </w:trPr>
        <w:tc>
          <w:tcPr>
            <w:tcW w:w="2127" w:type="dxa"/>
            <w:gridSpan w:val="4"/>
          </w:tcPr>
          <w:p w14:paraId="3D4A5A92"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Approval:</w:t>
            </w:r>
          </w:p>
        </w:tc>
        <w:tc>
          <w:tcPr>
            <w:tcW w:w="7513" w:type="dxa"/>
            <w:gridSpan w:val="3"/>
          </w:tcPr>
          <w:p w14:paraId="6881569F"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ITU-T Study Group 17 meeting (Geneva, 11 December 2025)</w:t>
            </w:r>
          </w:p>
        </w:tc>
      </w:tr>
      <w:tr w:rsidR="00225DDB" w:rsidRPr="00225DDB" w14:paraId="78D2DCCB" w14:textId="77777777" w:rsidTr="00056430">
        <w:tblPrEx>
          <w:tblLook w:val="04A0" w:firstRow="1" w:lastRow="0" w:firstColumn="1" w:lastColumn="0" w:noHBand="0" w:noVBand="1"/>
        </w:tblPrEx>
        <w:trPr>
          <w:cantSplit/>
          <w:trHeight w:val="357"/>
        </w:trPr>
        <w:tc>
          <w:tcPr>
            <w:tcW w:w="2127" w:type="dxa"/>
            <w:gridSpan w:val="4"/>
            <w:tcBorders>
              <w:bottom w:val="single" w:sz="12" w:space="0" w:color="auto"/>
            </w:tcBorders>
          </w:tcPr>
          <w:p w14:paraId="22034D02"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Deadline:</w:t>
            </w:r>
          </w:p>
        </w:tc>
        <w:tc>
          <w:tcPr>
            <w:tcW w:w="7513" w:type="dxa"/>
            <w:gridSpan w:val="3"/>
            <w:tcBorders>
              <w:bottom w:val="single" w:sz="12" w:space="0" w:color="auto"/>
            </w:tcBorders>
          </w:tcPr>
          <w:p w14:paraId="73AE17C5"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rPr>
            </w:pPr>
            <w:r w:rsidRPr="00225DDB">
              <w:rPr>
                <w:rFonts w:ascii="Times New Roman" w:eastAsia="SimSun" w:hAnsi="Times New Roman"/>
                <w:lang w:val="en-US" w:eastAsia="zh-CN"/>
              </w:rPr>
              <w:t>N/A</w:t>
            </w:r>
          </w:p>
        </w:tc>
      </w:tr>
      <w:tr w:rsidR="00225DDB" w:rsidRPr="00E06283" w14:paraId="259F8645" w14:textId="77777777" w:rsidTr="00056430">
        <w:tblPrEx>
          <w:jc w:val="center"/>
          <w:tblInd w:w="0" w:type="dxa"/>
        </w:tblPrEx>
        <w:trPr>
          <w:cantSplit/>
          <w:jc w:val="center"/>
        </w:trPr>
        <w:tc>
          <w:tcPr>
            <w:tcW w:w="1702" w:type="dxa"/>
            <w:gridSpan w:val="3"/>
            <w:tcBorders>
              <w:top w:val="single" w:sz="6" w:space="0" w:color="auto"/>
              <w:bottom w:val="single" w:sz="6" w:space="0" w:color="auto"/>
            </w:tcBorders>
          </w:tcPr>
          <w:p w14:paraId="4C6D5E3E"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Contact:</w:t>
            </w:r>
          </w:p>
        </w:tc>
        <w:tc>
          <w:tcPr>
            <w:tcW w:w="3727" w:type="dxa"/>
            <w:gridSpan w:val="2"/>
            <w:tcBorders>
              <w:top w:val="single" w:sz="6" w:space="0" w:color="auto"/>
              <w:bottom w:val="single" w:sz="6" w:space="0" w:color="auto"/>
            </w:tcBorders>
          </w:tcPr>
          <w:p w14:paraId="1AC54C2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225DDB">
              <w:rPr>
                <w:rFonts w:ascii="Times New Roman" w:eastAsia="SimSun" w:hAnsi="Times New Roman"/>
                <w:szCs w:val="24"/>
                <w:lang w:val="en-US" w:eastAsia="ja-JP"/>
              </w:rPr>
              <w:t>Arnaud Taddei</w:t>
            </w:r>
            <w:r w:rsidRPr="00225DDB">
              <w:rPr>
                <w:rFonts w:ascii="Times New Roman" w:eastAsia="SimSun" w:hAnsi="Times New Roman"/>
                <w:szCs w:val="24"/>
                <w:lang w:val="en-US" w:eastAsia="ja-JP"/>
              </w:rPr>
              <w:br/>
            </w:r>
            <w:r w:rsidRPr="00225DDB">
              <w:rPr>
                <w:rFonts w:ascii="Times New Roman" w:eastAsia="SimSun" w:hAnsi="Times New Roman"/>
                <w:szCs w:val="24"/>
                <w:lang w:eastAsia="ja-JP"/>
              </w:rPr>
              <w:t>Chair, SG17</w:t>
            </w:r>
          </w:p>
        </w:tc>
        <w:tc>
          <w:tcPr>
            <w:tcW w:w="4211" w:type="dxa"/>
            <w:gridSpan w:val="2"/>
            <w:tcBorders>
              <w:top w:val="single" w:sz="6" w:space="0" w:color="auto"/>
              <w:bottom w:val="single" w:sz="6" w:space="0" w:color="auto"/>
            </w:tcBorders>
          </w:tcPr>
          <w:p w14:paraId="1E07A05B"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fr-CH" w:eastAsia="ja-JP"/>
              </w:rPr>
            </w:pPr>
            <w:proofErr w:type="gramStart"/>
            <w:r w:rsidRPr="00225DDB">
              <w:rPr>
                <w:rFonts w:ascii="Times New Roman" w:eastAsia="SimSun" w:hAnsi="Times New Roman"/>
                <w:szCs w:val="24"/>
                <w:lang w:val="fr-FR" w:eastAsia="ja-JP"/>
              </w:rPr>
              <w:t>E-mail</w:t>
            </w:r>
            <w:proofErr w:type="gramEnd"/>
            <w:r w:rsidRPr="00225DDB">
              <w:rPr>
                <w:rFonts w:ascii="Times New Roman" w:eastAsia="SimSun" w:hAnsi="Times New Roman"/>
                <w:szCs w:val="24"/>
                <w:lang w:val="fr-FR" w:eastAsia="ja-JP"/>
              </w:rPr>
              <w:t xml:space="preserve"> : </w:t>
            </w:r>
            <w:r w:rsidRPr="00225DDB">
              <w:rPr>
                <w:rFonts w:ascii="Times New Roman" w:eastAsia="SimSun" w:hAnsi="Times New Roman"/>
                <w:color w:val="0000FF"/>
                <w:szCs w:val="24"/>
                <w:u w:val="single"/>
                <w:lang w:val="fr-FR" w:eastAsia="ja-JP"/>
              </w:rPr>
              <w:t>arnaud.taddei@broadcom.com</w:t>
            </w:r>
          </w:p>
        </w:tc>
      </w:tr>
      <w:tr w:rsidR="00225DDB" w:rsidRPr="00E06283" w14:paraId="5DC8BEE7" w14:textId="77777777" w:rsidTr="00056430">
        <w:tblPrEx>
          <w:jc w:val="center"/>
          <w:tblInd w:w="0" w:type="dxa"/>
        </w:tblPrEx>
        <w:trPr>
          <w:cantSplit/>
          <w:jc w:val="center"/>
        </w:trPr>
        <w:tc>
          <w:tcPr>
            <w:tcW w:w="1702" w:type="dxa"/>
            <w:gridSpan w:val="3"/>
            <w:tcBorders>
              <w:top w:val="single" w:sz="6" w:space="0" w:color="auto"/>
              <w:bottom w:val="single" w:sz="6" w:space="0" w:color="auto"/>
            </w:tcBorders>
          </w:tcPr>
          <w:p w14:paraId="73EEDC48"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hAnsi="Times New Roman"/>
                <w:b/>
                <w:bCs/>
                <w:szCs w:val="24"/>
                <w:lang w:eastAsia="ja-JP"/>
              </w:rPr>
            </w:pPr>
            <w:r w:rsidRPr="00225DDB">
              <w:rPr>
                <w:rFonts w:ascii="Times New Roman" w:eastAsia="SimSun" w:hAnsi="Times New Roman"/>
                <w:b/>
                <w:bCs/>
                <w:szCs w:val="24"/>
                <w:lang w:eastAsia="ja-JP"/>
              </w:rPr>
              <w:t>Contact:</w:t>
            </w:r>
          </w:p>
        </w:tc>
        <w:tc>
          <w:tcPr>
            <w:tcW w:w="3727" w:type="dxa"/>
            <w:gridSpan w:val="2"/>
            <w:tcBorders>
              <w:top w:val="single" w:sz="6" w:space="0" w:color="auto"/>
              <w:bottom w:val="single" w:sz="6" w:space="0" w:color="auto"/>
            </w:tcBorders>
          </w:tcPr>
          <w:p w14:paraId="2D85A07B"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en-US" w:eastAsia="ja-JP"/>
              </w:rPr>
            </w:pPr>
            <w:r w:rsidRPr="00225DDB">
              <w:rPr>
                <w:rFonts w:ascii="Times New Roman" w:eastAsia="SimSun" w:hAnsi="Times New Roman"/>
                <w:szCs w:val="24"/>
                <w:lang w:val="en-US" w:eastAsia="ja-JP"/>
              </w:rPr>
              <w:t>Honey Makola</w:t>
            </w:r>
            <w:r w:rsidRPr="00225DDB">
              <w:rPr>
                <w:rFonts w:ascii="Times New Roman" w:eastAsia="SimSun" w:hAnsi="Times New Roman"/>
                <w:szCs w:val="24"/>
                <w:lang w:val="en-US" w:eastAsia="ja-JP"/>
              </w:rPr>
              <w:br/>
              <w:t>Convenor, CG-COP</w:t>
            </w:r>
          </w:p>
        </w:tc>
        <w:tc>
          <w:tcPr>
            <w:tcW w:w="4211" w:type="dxa"/>
            <w:gridSpan w:val="2"/>
            <w:tcBorders>
              <w:top w:val="single" w:sz="6" w:space="0" w:color="auto"/>
              <w:bottom w:val="single" w:sz="6" w:space="0" w:color="auto"/>
            </w:tcBorders>
          </w:tcPr>
          <w:p w14:paraId="7A6A5EEE"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highlight w:val="yellow"/>
                <w:lang w:val="fr-FR" w:eastAsia="ja-JP"/>
              </w:rPr>
            </w:pPr>
            <w:r w:rsidRPr="00225DDB">
              <w:rPr>
                <w:rFonts w:ascii="Times New Roman" w:eastAsia="SimSun" w:hAnsi="Times New Roman"/>
                <w:szCs w:val="24"/>
                <w:lang w:val="de-DE" w:eastAsia="ja-JP"/>
              </w:rPr>
              <w:t xml:space="preserve">E-mail: </w:t>
            </w:r>
            <w:r w:rsidRPr="00225DDB">
              <w:rPr>
                <w:rFonts w:ascii="Times New Roman" w:eastAsia="SimSun" w:hAnsi="Times New Roman"/>
                <w:szCs w:val="24"/>
                <w:lang w:eastAsia="ja-JP"/>
              </w:rPr>
              <w:fldChar w:fldCharType="begin"/>
            </w:r>
            <w:r w:rsidRPr="00225DDB">
              <w:rPr>
                <w:rFonts w:ascii="Times New Roman" w:eastAsia="SimSun" w:hAnsi="Times New Roman"/>
                <w:szCs w:val="24"/>
                <w:lang w:val="fr-FR" w:eastAsia="ja-JP"/>
              </w:rPr>
              <w:instrText>HYPERLINK</w:instrText>
            </w:r>
            <w:r w:rsidRPr="00225DDB">
              <w:rPr>
                <w:rFonts w:ascii="Times New Roman" w:eastAsia="SimSun" w:hAnsi="Times New Roman"/>
                <w:szCs w:val="24"/>
                <w:lang w:eastAsia="ja-JP"/>
              </w:rPr>
            </w:r>
            <w:r w:rsidRPr="00225DDB">
              <w:rPr>
                <w:rFonts w:ascii="Times New Roman" w:eastAsia="SimSun" w:hAnsi="Times New Roman"/>
                <w:szCs w:val="24"/>
                <w:lang w:eastAsia="ja-JP"/>
              </w:rPr>
              <w:fldChar w:fldCharType="separate"/>
            </w:r>
            <w:r w:rsidRPr="00225DDB">
              <w:rPr>
                <w:rFonts w:ascii="Times New Roman" w:eastAsia="SimSun" w:hAnsi="Times New Roman"/>
                <w:color w:val="0000FF"/>
                <w:szCs w:val="24"/>
                <w:u w:val="single"/>
                <w:lang w:val="fr-FR" w:eastAsia="ja-JP"/>
              </w:rPr>
              <w:t>HMakola@icasa.org.za</w:t>
            </w:r>
            <w:r w:rsidRPr="00225DDB">
              <w:rPr>
                <w:rFonts w:ascii="Times New Roman" w:eastAsia="SimSun" w:hAnsi="Times New Roman"/>
                <w:szCs w:val="24"/>
                <w:lang w:eastAsia="ja-JP"/>
              </w:rPr>
              <w:fldChar w:fldCharType="end"/>
            </w:r>
            <w:r w:rsidRPr="00225DDB">
              <w:rPr>
                <w:rFonts w:ascii="Times New Roman" w:eastAsia="SimSun" w:hAnsi="Times New Roman"/>
                <w:szCs w:val="24"/>
                <w:lang w:val="fr-FR" w:eastAsia="ja-JP"/>
              </w:rPr>
              <w:t xml:space="preserve"> </w:t>
            </w:r>
          </w:p>
        </w:tc>
      </w:tr>
      <w:tr w:rsidR="00225DDB" w:rsidRPr="00E06283" w14:paraId="0A308C15" w14:textId="77777777" w:rsidTr="00056430">
        <w:tblPrEx>
          <w:jc w:val="center"/>
          <w:tblInd w:w="0" w:type="dxa"/>
        </w:tblPrEx>
        <w:trPr>
          <w:cantSplit/>
          <w:jc w:val="center"/>
        </w:trPr>
        <w:tc>
          <w:tcPr>
            <w:tcW w:w="1702" w:type="dxa"/>
            <w:gridSpan w:val="3"/>
            <w:tcBorders>
              <w:top w:val="single" w:sz="6" w:space="0" w:color="auto"/>
              <w:bottom w:val="single" w:sz="6" w:space="0" w:color="auto"/>
            </w:tcBorders>
          </w:tcPr>
          <w:p w14:paraId="79509A3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Contact:</w:t>
            </w:r>
          </w:p>
        </w:tc>
        <w:tc>
          <w:tcPr>
            <w:tcW w:w="3727" w:type="dxa"/>
            <w:gridSpan w:val="2"/>
            <w:tcBorders>
              <w:top w:val="single" w:sz="6" w:space="0" w:color="auto"/>
              <w:bottom w:val="single" w:sz="6" w:space="0" w:color="auto"/>
            </w:tcBorders>
          </w:tcPr>
          <w:p w14:paraId="24399C02"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en-US" w:eastAsia="ja-JP"/>
              </w:rPr>
            </w:pPr>
            <w:r w:rsidRPr="00225DDB">
              <w:rPr>
                <w:rFonts w:ascii="Times New Roman" w:eastAsia="SimSun" w:hAnsi="Times New Roman"/>
                <w:szCs w:val="24"/>
                <w:lang w:val="en-US" w:eastAsia="ja-JP"/>
              </w:rPr>
              <w:t>Elsayed Ali</w:t>
            </w:r>
          </w:p>
          <w:p w14:paraId="5122B2CC"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en-US" w:eastAsia="ja-JP"/>
              </w:rPr>
            </w:pPr>
            <w:r w:rsidRPr="00225DDB">
              <w:rPr>
                <w:rFonts w:ascii="Times New Roman" w:eastAsia="SimSun" w:hAnsi="Times New Roman"/>
                <w:szCs w:val="24"/>
                <w:lang w:val="en-US" w:eastAsia="ja-JP"/>
              </w:rPr>
              <w:t>Co-Convenor, CG-COP</w:t>
            </w:r>
          </w:p>
        </w:tc>
        <w:tc>
          <w:tcPr>
            <w:tcW w:w="4211" w:type="dxa"/>
            <w:gridSpan w:val="2"/>
            <w:tcBorders>
              <w:top w:val="single" w:sz="6" w:space="0" w:color="auto"/>
              <w:bottom w:val="single" w:sz="6" w:space="0" w:color="auto"/>
            </w:tcBorders>
          </w:tcPr>
          <w:p w14:paraId="3B320D2F"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de-DE" w:eastAsia="ja-JP"/>
              </w:rPr>
            </w:pPr>
            <w:r w:rsidRPr="00225DDB">
              <w:rPr>
                <w:rFonts w:ascii="Times New Roman" w:eastAsia="SimSun" w:hAnsi="Times New Roman"/>
                <w:szCs w:val="24"/>
                <w:lang w:val="de-DE" w:eastAsia="ja-JP"/>
              </w:rPr>
              <w:t xml:space="preserve">E-mail: </w:t>
            </w:r>
            <w:r w:rsidRPr="00225DDB">
              <w:rPr>
                <w:rFonts w:ascii="Times New Roman" w:eastAsia="SimSun" w:hAnsi="Times New Roman"/>
                <w:szCs w:val="24"/>
                <w:lang w:eastAsia="ja-JP"/>
              </w:rPr>
              <w:fldChar w:fldCharType="begin"/>
            </w:r>
            <w:r w:rsidRPr="00225DDB">
              <w:rPr>
                <w:rFonts w:ascii="Times New Roman" w:eastAsia="SimSun" w:hAnsi="Times New Roman"/>
                <w:szCs w:val="24"/>
                <w:lang w:val="fr-FR" w:eastAsia="ja-JP"/>
              </w:rPr>
              <w:instrText>HYPERLINK</w:instrText>
            </w:r>
            <w:r w:rsidRPr="00225DDB">
              <w:rPr>
                <w:rFonts w:ascii="Times New Roman" w:eastAsia="SimSun" w:hAnsi="Times New Roman"/>
                <w:szCs w:val="24"/>
                <w:lang w:eastAsia="ja-JP"/>
              </w:rPr>
            </w:r>
            <w:r w:rsidRPr="00225DDB">
              <w:rPr>
                <w:rFonts w:ascii="Times New Roman" w:eastAsia="SimSun" w:hAnsi="Times New Roman"/>
                <w:szCs w:val="24"/>
                <w:lang w:eastAsia="ja-JP"/>
              </w:rPr>
              <w:fldChar w:fldCharType="separate"/>
            </w:r>
            <w:r w:rsidRPr="00225DDB">
              <w:rPr>
                <w:rFonts w:ascii="Times New Roman" w:eastAsia="SimSun" w:hAnsi="Times New Roman"/>
                <w:color w:val="0000FF"/>
                <w:szCs w:val="24"/>
                <w:u w:val="single"/>
                <w:lang w:val="de-DE" w:eastAsia="ja-JP"/>
              </w:rPr>
              <w:t>eali@cra.gov.qa</w:t>
            </w:r>
            <w:r w:rsidRPr="00225DDB">
              <w:rPr>
                <w:rFonts w:ascii="Times New Roman" w:eastAsia="SimSun" w:hAnsi="Times New Roman"/>
                <w:szCs w:val="24"/>
                <w:lang w:eastAsia="ja-JP"/>
              </w:rPr>
              <w:fldChar w:fldCharType="end"/>
            </w:r>
            <w:r w:rsidRPr="00225DDB">
              <w:rPr>
                <w:rFonts w:ascii="Times New Roman" w:eastAsia="SimSun" w:hAnsi="Times New Roman"/>
                <w:szCs w:val="24"/>
                <w:lang w:val="de-DE" w:eastAsia="ja-JP"/>
              </w:rPr>
              <w:t xml:space="preserve"> </w:t>
            </w:r>
          </w:p>
        </w:tc>
      </w:tr>
    </w:tbl>
    <w:p w14:paraId="037ACA77"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fr-CH" w:eastAsia="ja-JP"/>
        </w:rPr>
      </w:pPr>
    </w:p>
    <w:tbl>
      <w:tblPr>
        <w:tblW w:w="9640" w:type="dxa"/>
        <w:tblInd w:w="-1" w:type="dxa"/>
        <w:tblLayout w:type="fixed"/>
        <w:tblCellMar>
          <w:left w:w="57" w:type="dxa"/>
          <w:right w:w="57" w:type="dxa"/>
        </w:tblCellMar>
        <w:tblLook w:val="04A0" w:firstRow="1" w:lastRow="0" w:firstColumn="1" w:lastColumn="0" w:noHBand="0" w:noVBand="1"/>
      </w:tblPr>
      <w:tblGrid>
        <w:gridCol w:w="1641"/>
        <w:gridCol w:w="7999"/>
      </w:tblGrid>
      <w:tr w:rsidR="00225DDB" w:rsidRPr="00225DDB" w14:paraId="7A4626EA" w14:textId="77777777" w:rsidTr="00056430">
        <w:trPr>
          <w:cantSplit/>
        </w:trPr>
        <w:tc>
          <w:tcPr>
            <w:tcW w:w="1641" w:type="dxa"/>
          </w:tcPr>
          <w:p w14:paraId="18B5D9A0"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225DDB">
              <w:rPr>
                <w:rFonts w:ascii="Times New Roman" w:eastAsia="SimSun" w:hAnsi="Times New Roman"/>
                <w:b/>
                <w:bCs/>
                <w:szCs w:val="24"/>
                <w:lang w:eastAsia="ja-JP"/>
              </w:rPr>
              <w:t>Abstract:</w:t>
            </w:r>
          </w:p>
        </w:tc>
        <w:tc>
          <w:tcPr>
            <w:tcW w:w="7999" w:type="dxa"/>
          </w:tcPr>
          <w:p w14:paraId="136A90E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225DDB">
              <w:rPr>
                <w:rFonts w:ascii="Times New Roman" w:eastAsia="SimSun" w:hAnsi="Times New Roman"/>
                <w:szCs w:val="24"/>
                <w:lang w:eastAsia="ja-JP"/>
              </w:rPr>
              <w:t>This Liaison Statement informs Council Working Group on Child Online Protection (CWG-COP, ITU-D Q3/2, ITU-D Q6/1) of the progress of the CG-COP as reported at the meeting of the ITU-T Study Group 17 (Geneva, 3-11 December 2025).</w:t>
            </w:r>
          </w:p>
        </w:tc>
      </w:tr>
    </w:tbl>
    <w:p w14:paraId="704FCAE7"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zh-CN"/>
        </w:rPr>
      </w:pPr>
      <w:r w:rsidRPr="00225DDB">
        <w:rPr>
          <w:rFonts w:ascii="Times New Roman" w:eastAsia="SimSun" w:hAnsi="Times New Roman"/>
          <w:szCs w:val="24"/>
          <w:lang w:eastAsia="zh-CN"/>
        </w:rPr>
        <w:t>ITU-T Study Group 17 informs you that the work of its Correspondence Group on Child online protection (CG-COP) has continued to progress well.</w:t>
      </w:r>
      <w:r w:rsidRPr="00225DDB">
        <w:rPr>
          <w:rFonts w:ascii="Times New Roman" w:eastAsia="SimSun" w:hAnsi="Times New Roman"/>
          <w:szCs w:val="24"/>
          <w:lang w:eastAsia="ja-JP"/>
        </w:rPr>
        <w:t xml:space="preserve"> The CG-COP has been working within SG17 with the aim to identify areas where current technical standards fall short in addressing emerging online threats to children </w:t>
      </w:r>
      <w:r w:rsidRPr="00225DDB">
        <w:rPr>
          <w:rFonts w:ascii="Times New Roman" w:eastAsia="SimSun" w:hAnsi="Times New Roman"/>
          <w:szCs w:val="24"/>
          <w:lang w:eastAsia="zh-CN"/>
        </w:rPr>
        <w:t>as per the Terms of Reference (TOR) for the CG-COP.</w:t>
      </w:r>
    </w:p>
    <w:p w14:paraId="4027EF56"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zh-CN"/>
        </w:rPr>
      </w:pPr>
      <w:r w:rsidRPr="00225DDB">
        <w:rPr>
          <w:rFonts w:ascii="Times New Roman" w:eastAsia="SimSun" w:hAnsi="Times New Roman"/>
          <w:szCs w:val="24"/>
          <w:lang w:eastAsia="zh-CN"/>
        </w:rPr>
        <w:t xml:space="preserve">SG17 notes that the outcomes of work undertaken by the CG-COP have been referenced in the </w:t>
      </w:r>
      <w:r w:rsidRPr="00225DDB">
        <w:rPr>
          <w:rFonts w:ascii="Times New Roman" w:eastAsia="SimSun" w:hAnsi="Times New Roman"/>
          <w:i/>
          <w:iCs/>
          <w:szCs w:val="24"/>
          <w:lang w:eastAsia="zh-CN"/>
        </w:rPr>
        <w:t>Recalling</w:t>
      </w:r>
      <w:r w:rsidRPr="00225DDB">
        <w:rPr>
          <w:rFonts w:ascii="Times New Roman" w:eastAsia="SimSun" w:hAnsi="Times New Roman"/>
          <w:szCs w:val="24"/>
          <w:lang w:eastAsia="zh-CN"/>
        </w:rPr>
        <w:t xml:space="preserve"> section of Resolution 67 (Rev. Kigali, 2022; Baku, 2025) on “The Role of the ITU Telecommunication Development Sector in Child Online Protection,” highlighting the continued relevance of SG17’s technical work and its contribution to child online protection efforts across the Union.</w:t>
      </w:r>
    </w:p>
    <w:p w14:paraId="571593F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en-US" w:eastAsia="zh-CN"/>
        </w:rPr>
      </w:pPr>
      <w:r w:rsidRPr="00225DDB">
        <w:rPr>
          <w:rFonts w:ascii="Times New Roman" w:eastAsia="SimSun" w:hAnsi="Times New Roman"/>
          <w:szCs w:val="24"/>
          <w:lang w:eastAsia="zh-CN"/>
        </w:rPr>
        <w:t xml:space="preserve">SG17 previously shared the initial gap analysis for your information.  Since then, further gaps have been identified through the work of the CG-COP. SG17 therefore shares the updated gap analysis attached. </w:t>
      </w:r>
      <w:r w:rsidRPr="00225DDB">
        <w:rPr>
          <w:rFonts w:ascii="Times New Roman" w:eastAsia="SimSun" w:hAnsi="Times New Roman"/>
          <w:szCs w:val="24"/>
          <w:lang w:val="en-US" w:eastAsia="zh-CN"/>
        </w:rPr>
        <w:t>Building on this expanded analysis, SG17 has also established the following work items to address the identified gaps:</w:t>
      </w:r>
    </w:p>
    <w:p w14:paraId="71DAC093" w14:textId="77777777" w:rsidR="00225DDB" w:rsidRPr="00225DDB" w:rsidRDefault="00225DDB" w:rsidP="00225DDB">
      <w:pPr>
        <w:numPr>
          <w:ilvl w:val="0"/>
          <w:numId w:val="2"/>
        </w:numPr>
        <w:tabs>
          <w:tab w:val="clear" w:pos="567"/>
          <w:tab w:val="clear" w:pos="1134"/>
          <w:tab w:val="clear" w:pos="1701"/>
          <w:tab w:val="clear" w:pos="2268"/>
          <w:tab w:val="clear" w:pos="2835"/>
        </w:tabs>
        <w:overflowPunct/>
        <w:autoSpaceDE/>
        <w:autoSpaceDN/>
        <w:adjustRightInd/>
        <w:jc w:val="both"/>
        <w:textAlignment w:val="auto"/>
        <w:rPr>
          <w:rFonts w:ascii="Times New Roman" w:eastAsia="SimSun" w:hAnsi="Times New Roman"/>
          <w:szCs w:val="24"/>
          <w:lang w:val="en-US" w:eastAsia="zh-CN"/>
        </w:rPr>
      </w:pPr>
      <w:r w:rsidRPr="00225DDB">
        <w:rPr>
          <w:rFonts w:ascii="Times New Roman" w:eastAsia="SimSun" w:hAnsi="Times New Roman"/>
          <w:szCs w:val="24"/>
          <w:lang w:eastAsia="zh-CN"/>
        </w:rPr>
        <w:t xml:space="preserve">“Determination - X.1091 (ex. </w:t>
      </w:r>
      <w:proofErr w:type="spellStart"/>
      <w:r w:rsidRPr="00225DDB">
        <w:rPr>
          <w:rFonts w:ascii="Times New Roman" w:eastAsia="SimSun" w:hAnsi="Times New Roman"/>
          <w:szCs w:val="24"/>
          <w:lang w:eastAsia="zh-CN"/>
        </w:rPr>
        <w:t>X.aas</w:t>
      </w:r>
      <w:proofErr w:type="spellEnd"/>
      <w:r w:rsidRPr="00225DDB">
        <w:rPr>
          <w:rFonts w:ascii="Times New Roman" w:eastAsia="SimSun" w:hAnsi="Times New Roman"/>
          <w:szCs w:val="24"/>
          <w:lang w:eastAsia="zh-CN"/>
        </w:rPr>
        <w:t xml:space="preserve">), Information security, cybersecurity and privacy protection -Age assurance systems - Part 1: Framework”, which is a discussion result of </w:t>
      </w:r>
      <w:hyperlink r:id="rId12" w:history="1">
        <w:r w:rsidRPr="00225DDB">
          <w:rPr>
            <w:rFonts w:ascii="Times New Roman" w:eastAsia="SimSun" w:hAnsi="Times New Roman"/>
            <w:color w:val="0000FF"/>
            <w:szCs w:val="24"/>
            <w:u w:val="single"/>
            <w:lang w:eastAsia="zh-CN"/>
          </w:rPr>
          <w:t>TD251-GEN</w:t>
        </w:r>
      </w:hyperlink>
      <w:r w:rsidRPr="00225DDB">
        <w:rPr>
          <w:rFonts w:ascii="Times New Roman" w:eastAsia="SimSun" w:hAnsi="Times New Roman"/>
          <w:szCs w:val="24"/>
          <w:lang w:eastAsia="zh-CN"/>
        </w:rPr>
        <w:t xml:space="preserve"> (LS/i on submission of IS text of </w:t>
      </w:r>
      <w:bookmarkStart w:id="16" w:name="_Hlk216189388"/>
      <w:r w:rsidRPr="00225DDB">
        <w:rPr>
          <w:rFonts w:ascii="Times New Roman" w:eastAsia="SimSun" w:hAnsi="Times New Roman"/>
          <w:szCs w:val="24"/>
          <w:lang w:eastAsia="zh-CN"/>
        </w:rPr>
        <w:t>ISO/IEC 27566-1</w:t>
      </w:r>
      <w:bookmarkEnd w:id="16"/>
      <w:r w:rsidRPr="00225DDB">
        <w:rPr>
          <w:rFonts w:ascii="Times New Roman" w:eastAsia="SimSun" w:hAnsi="Times New Roman"/>
          <w:szCs w:val="24"/>
          <w:lang w:eastAsia="zh-CN"/>
        </w:rPr>
        <w:t xml:space="preserve"> [from ISO/IEC JTC1/SC27]. (This work item addresses the standardization gap concerning Age Assurance standards).</w:t>
      </w:r>
    </w:p>
    <w:p w14:paraId="701AB0AD" w14:textId="77777777" w:rsidR="00225DDB" w:rsidRPr="00225DDB" w:rsidRDefault="00225DDB" w:rsidP="00225DDB">
      <w:pPr>
        <w:numPr>
          <w:ilvl w:val="0"/>
          <w:numId w:val="2"/>
        </w:numPr>
        <w:tabs>
          <w:tab w:val="clear" w:pos="567"/>
          <w:tab w:val="clear" w:pos="1134"/>
          <w:tab w:val="clear" w:pos="1701"/>
          <w:tab w:val="clear" w:pos="2268"/>
          <w:tab w:val="clear" w:pos="2835"/>
        </w:tabs>
        <w:overflowPunct/>
        <w:autoSpaceDE/>
        <w:autoSpaceDN/>
        <w:adjustRightInd/>
        <w:jc w:val="both"/>
        <w:textAlignment w:val="auto"/>
        <w:rPr>
          <w:rFonts w:ascii="Times New Roman" w:eastAsia="SimSun" w:hAnsi="Times New Roman"/>
          <w:szCs w:val="24"/>
          <w:lang w:val="en-US" w:eastAsia="zh-CN"/>
        </w:rPr>
      </w:pPr>
      <w:r w:rsidRPr="00225DDB">
        <w:rPr>
          <w:rFonts w:ascii="Times New Roman" w:eastAsia="SimSun" w:hAnsi="Times New Roman"/>
          <w:szCs w:val="24"/>
          <w:lang w:eastAsia="zh-CN"/>
        </w:rPr>
        <w:t>Proposal for a new work item X. PARCEP: Interoperable Parental Control Enforcement Protocol (PARCEP) for Child Online Protection. PARCEP addresses a critical gap identified by the SG17 CG-COP gap analysis: the absence of global technical standards for cross-vendor parental controls, especially in environments with end-to-end encryption (E2EE)</w:t>
      </w:r>
    </w:p>
    <w:p w14:paraId="4AF8BEA1"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val="en-US" w:eastAsia="zh-CN"/>
        </w:rPr>
      </w:pPr>
      <w:r w:rsidRPr="00225DDB">
        <w:rPr>
          <w:rFonts w:ascii="Times New Roman" w:eastAsia="SimSun" w:hAnsi="Times New Roman"/>
          <w:b/>
          <w:bCs/>
          <w:szCs w:val="24"/>
          <w:lang w:val="en-US" w:eastAsia="zh-CN"/>
        </w:rPr>
        <w:t>Note</w:t>
      </w:r>
      <w:r w:rsidRPr="00225DDB">
        <w:rPr>
          <w:rFonts w:ascii="Times New Roman" w:eastAsia="SimSun" w:hAnsi="Times New Roman"/>
          <w:szCs w:val="24"/>
          <w:lang w:val="en-US" w:eastAsia="zh-CN"/>
        </w:rPr>
        <w:t xml:space="preserve">: Work on the above-mentioned work items is now underway for the 2025–2028 study period, </w:t>
      </w:r>
      <w:proofErr w:type="gramStart"/>
      <w:r w:rsidRPr="00225DDB">
        <w:rPr>
          <w:rFonts w:ascii="Times New Roman" w:eastAsia="SimSun" w:hAnsi="Times New Roman"/>
          <w:szCs w:val="24"/>
          <w:lang w:val="en-US" w:eastAsia="zh-CN"/>
        </w:rPr>
        <w:t>taking into account</w:t>
      </w:r>
      <w:proofErr w:type="gramEnd"/>
      <w:r w:rsidRPr="00225DDB">
        <w:rPr>
          <w:rFonts w:ascii="Times New Roman" w:eastAsia="SimSun" w:hAnsi="Times New Roman"/>
          <w:szCs w:val="24"/>
          <w:lang w:val="en-US" w:eastAsia="zh-CN"/>
        </w:rPr>
        <w:t xml:space="preserve"> that development of the </w:t>
      </w:r>
      <w:r w:rsidRPr="00225DDB">
        <w:rPr>
          <w:rFonts w:ascii="Times New Roman" w:eastAsia="SimSun" w:hAnsi="Times New Roman"/>
          <w:szCs w:val="24"/>
          <w:lang w:eastAsia="zh-CN"/>
        </w:rPr>
        <w:t xml:space="preserve">ISO/IEC 27566 </w:t>
      </w:r>
      <w:r w:rsidRPr="00225DDB">
        <w:rPr>
          <w:rFonts w:ascii="Times New Roman" w:eastAsia="SimSun" w:hAnsi="Times New Roman"/>
          <w:szCs w:val="24"/>
          <w:lang w:val="en-US" w:eastAsia="zh-CN"/>
        </w:rPr>
        <w:t>is expected to advance further in Part 2 and Part 3 of the standard.</w:t>
      </w:r>
    </w:p>
    <w:p w14:paraId="43B601FA" w14:textId="77777777" w:rsidR="00225DDB" w:rsidRPr="00225DDB" w:rsidRDefault="00225DDB" w:rsidP="00225DDB">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zh-CN"/>
        </w:rPr>
      </w:pPr>
      <w:r w:rsidRPr="00225DDB">
        <w:rPr>
          <w:rFonts w:ascii="Times New Roman" w:eastAsia="SimSun" w:hAnsi="Times New Roman"/>
          <w:szCs w:val="24"/>
          <w:lang w:eastAsia="ja-JP"/>
        </w:rPr>
        <w:t xml:space="preserve">The CG-COP </w:t>
      </w:r>
      <w:r w:rsidRPr="00225DDB">
        <w:rPr>
          <w:rFonts w:ascii="Times New Roman" w:hAnsi="Times New Roman"/>
          <w:szCs w:val="24"/>
        </w:rPr>
        <w:t>continues to function during the 2025–2028 study period.</w:t>
      </w:r>
      <w:r w:rsidRPr="00225DDB">
        <w:rPr>
          <w:rFonts w:ascii="Times New Roman" w:eastAsia="SimSun" w:hAnsi="Times New Roman"/>
          <w:szCs w:val="24"/>
          <w:lang w:eastAsia="zh-CN"/>
        </w:rPr>
        <w:t xml:space="preserve"> </w:t>
      </w:r>
      <w:r w:rsidRPr="00225DDB">
        <w:rPr>
          <w:rFonts w:ascii="Times New Roman" w:eastAsia="MS Mincho" w:hAnsi="Times New Roman"/>
          <w:szCs w:val="24"/>
          <w:lang w:eastAsia="ja-JP"/>
        </w:rPr>
        <w:t xml:space="preserve">SG17 invites you to consider participation in the activities of the Correspondence Group through its mailing list: </w:t>
      </w:r>
      <w:hyperlink w:history="1">
        <w:r w:rsidRPr="00225DDB">
          <w:rPr>
            <w:rFonts w:ascii="Times New Roman" w:eastAsia="MS Mincho" w:hAnsi="Times New Roman"/>
            <w:color w:val="0000FF"/>
            <w:szCs w:val="24"/>
            <w:u w:val="single"/>
            <w:lang w:eastAsia="ja-JP"/>
          </w:rPr>
          <w:t>t25sg17cgcop@lists.itu.int</w:t>
        </w:r>
      </w:hyperlink>
      <w:r w:rsidRPr="00225DDB">
        <w:rPr>
          <w:rFonts w:ascii="Times New Roman" w:eastAsia="MS Mincho" w:hAnsi="Times New Roman"/>
          <w:szCs w:val="24"/>
          <w:lang w:eastAsia="ja-JP"/>
        </w:rPr>
        <w:t xml:space="preserve">. </w:t>
      </w:r>
      <w:r w:rsidRPr="00225DDB">
        <w:rPr>
          <w:rFonts w:ascii="Times New Roman" w:eastAsia="SimSun" w:hAnsi="Times New Roman"/>
          <w:szCs w:val="24"/>
          <w:lang w:eastAsia="zh-CN"/>
        </w:rPr>
        <w:t xml:space="preserve">CG-COP is interested in pursuing more collaborative efforts in this regard. </w:t>
      </w:r>
    </w:p>
    <w:p w14:paraId="3876A558" w14:textId="77777777" w:rsidR="00225DDB" w:rsidRPr="00225DDB" w:rsidRDefault="00225DDB" w:rsidP="00225DDB">
      <w:pPr>
        <w:keepNext/>
        <w:tabs>
          <w:tab w:val="clear" w:pos="567"/>
          <w:tab w:val="clear" w:pos="1134"/>
          <w:tab w:val="clear" w:pos="1701"/>
          <w:tab w:val="clear" w:pos="2268"/>
          <w:tab w:val="clear" w:pos="2835"/>
          <w:tab w:val="left" w:pos="794"/>
          <w:tab w:val="left" w:pos="1191"/>
          <w:tab w:val="left" w:pos="1588"/>
          <w:tab w:val="left" w:pos="1985"/>
        </w:tabs>
        <w:spacing w:before="160"/>
        <w:rPr>
          <w:rFonts w:ascii="Times New Roman" w:eastAsia="MS Mincho" w:hAnsi="Times New Roman"/>
          <w:b/>
        </w:rPr>
      </w:pPr>
      <w:r w:rsidRPr="00225DDB">
        <w:rPr>
          <w:rFonts w:ascii="Times New Roman" w:eastAsia="MS Mincho" w:hAnsi="Times New Roman"/>
          <w:b/>
        </w:rPr>
        <w:t>Attachments:1</w:t>
      </w:r>
    </w:p>
    <w:p w14:paraId="3AB1EC6C"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spacing w:before="80"/>
        <w:ind w:left="794" w:hanging="794"/>
        <w:rPr>
          <w:rFonts w:ascii="Times New Roman" w:hAnsi="Times New Roman"/>
        </w:rPr>
      </w:pPr>
      <w:r w:rsidRPr="00225DDB">
        <w:rPr>
          <w:rFonts w:ascii="Times New Roman" w:hAnsi="Times New Roman"/>
        </w:rPr>
        <w:t>–</w:t>
      </w:r>
      <w:r w:rsidRPr="00225DDB">
        <w:rPr>
          <w:rFonts w:ascii="Times New Roman" w:hAnsi="Times New Roman"/>
        </w:rPr>
        <w:tab/>
        <w:t>Gap analysis on standards that support child online protection (COP) (</w:t>
      </w:r>
      <w:hyperlink r:id="rId13" w:history="1">
        <w:r w:rsidRPr="00225DDB">
          <w:rPr>
            <w:rFonts w:ascii="Times New Roman" w:hAnsi="Times New Roman"/>
            <w:color w:val="0000FF"/>
            <w:u w:val="single"/>
          </w:rPr>
          <w:t>SG17-TD161/PLEN</w:t>
        </w:r>
      </w:hyperlink>
      <w:r w:rsidRPr="00225DDB">
        <w:rPr>
          <w:rFonts w:ascii="Times New Roman" w:hAnsi="Times New Roman"/>
        </w:rPr>
        <w:t>)</w:t>
      </w:r>
    </w:p>
    <w:p w14:paraId="56C7C1B3" w14:textId="77777777" w:rsidR="00225DDB" w:rsidRPr="00225DDB" w:rsidRDefault="00225DDB" w:rsidP="00225DDB">
      <w:pPr>
        <w:tabs>
          <w:tab w:val="clear" w:pos="567"/>
          <w:tab w:val="clear" w:pos="1134"/>
          <w:tab w:val="clear" w:pos="1701"/>
          <w:tab w:val="clear" w:pos="2268"/>
          <w:tab w:val="clear" w:pos="2835"/>
          <w:tab w:val="left" w:pos="794"/>
          <w:tab w:val="left" w:pos="1191"/>
          <w:tab w:val="left" w:pos="1588"/>
          <w:tab w:val="left" w:pos="1985"/>
        </w:tabs>
        <w:spacing w:before="80"/>
        <w:ind w:left="794" w:hanging="794"/>
        <w:jc w:val="center"/>
        <w:rPr>
          <w:rFonts w:ascii="Times New Roman" w:eastAsia="MS Mincho" w:hAnsi="Times New Roman"/>
        </w:rPr>
      </w:pPr>
      <w:r w:rsidRPr="00225DDB">
        <w:rPr>
          <w:rFonts w:ascii="Times New Roman" w:hAnsi="Times New Roman"/>
        </w:rPr>
        <w:t>________________</w:t>
      </w:r>
    </w:p>
    <w:p w14:paraId="257674B4" w14:textId="39DA8DE6" w:rsidR="00A514A4" w:rsidRPr="00F871BD" w:rsidRDefault="00A514A4">
      <w:pPr>
        <w:tabs>
          <w:tab w:val="clear" w:pos="567"/>
          <w:tab w:val="clear" w:pos="1134"/>
          <w:tab w:val="clear" w:pos="1701"/>
          <w:tab w:val="clear" w:pos="2268"/>
          <w:tab w:val="clear" w:pos="2835"/>
        </w:tabs>
        <w:overflowPunct/>
        <w:autoSpaceDE/>
        <w:autoSpaceDN/>
        <w:adjustRightInd/>
        <w:spacing w:before="0"/>
        <w:textAlignment w:val="auto"/>
        <w:rPr>
          <w:i/>
          <w:iCs/>
        </w:rPr>
      </w:pPr>
    </w:p>
    <w:sectPr w:rsidR="00A514A4" w:rsidRPr="00F871BD" w:rsidSect="00225DDB">
      <w:headerReference w:type="default" r:id="rId14"/>
      <w:footerReference w:type="default" r:id="rId15"/>
      <w:headerReference w:type="first" r:id="rId16"/>
      <w:footerReference w:type="first" r:id="rId17"/>
      <w:pgSz w:w="11907" w:h="16834"/>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2DD8ACB0"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A52C84" w:rsidRPr="00623AE3">
            <w:rPr>
              <w:bCs/>
            </w:rPr>
            <w:t>xx-E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4C38CB42"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225DDB">
            <w:rPr>
              <w:bCs/>
            </w:rPr>
            <w:t>16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25DDB" w:rsidRPr="00784011" w14:paraId="6087FD8E" w14:textId="77777777" w:rsidTr="00BC54CD">
      <w:trPr>
        <w:trHeight w:val="142"/>
        <w:jc w:val="center"/>
      </w:trPr>
      <w:tc>
        <w:tcPr>
          <w:tcW w:w="1803" w:type="dxa"/>
          <w:vAlign w:val="center"/>
        </w:tcPr>
        <w:p w14:paraId="08221CE3" w14:textId="77777777" w:rsidR="00225DDB" w:rsidRDefault="00225DDB" w:rsidP="00EE49E8">
          <w:pPr>
            <w:pStyle w:val="Header"/>
            <w:jc w:val="left"/>
            <w:rPr>
              <w:noProof/>
            </w:rPr>
          </w:pPr>
        </w:p>
      </w:tc>
      <w:tc>
        <w:tcPr>
          <w:tcW w:w="8261" w:type="dxa"/>
        </w:tcPr>
        <w:p w14:paraId="1FBAE8F7" w14:textId="6C887AC5" w:rsidR="00225DDB" w:rsidRPr="00E06FD5" w:rsidRDefault="00225DDB" w:rsidP="00A52C84">
          <w:pPr>
            <w:pStyle w:val="Header"/>
            <w:tabs>
              <w:tab w:val="left" w:pos="6028"/>
              <w:tab w:val="right" w:pos="8505"/>
              <w:tab w:val="right" w:pos="9639"/>
            </w:tabs>
            <w:jc w:val="left"/>
            <w:rPr>
              <w:rFonts w:ascii="Arial" w:hAnsi="Arial" w:cs="Arial"/>
              <w:b/>
              <w:bCs/>
              <w:szCs w:val="18"/>
            </w:rPr>
          </w:pPr>
          <w:r>
            <w:rPr>
              <w:bCs/>
            </w:rPr>
            <w:tab/>
          </w:r>
          <w:r w:rsidRPr="00623AE3">
            <w:rPr>
              <w:bCs/>
            </w:rPr>
            <w:t>C</w:t>
          </w:r>
          <w:r>
            <w:rPr>
              <w:bCs/>
            </w:rPr>
            <w:t>WG-COP-24</w:t>
          </w:r>
          <w:r w:rsidRPr="00623AE3">
            <w:rPr>
              <w:bCs/>
            </w:rPr>
            <w:t>/</w:t>
          </w:r>
          <w:r>
            <w:rPr>
              <w:bCs/>
            </w:rPr>
            <w:t>INF/16</w:t>
          </w:r>
          <w:r w:rsidRPr="00623AE3">
            <w:rPr>
              <w:bCs/>
            </w:rPr>
            <w:t>-E</w:t>
          </w:r>
          <w:r>
            <w:rPr>
              <w:bCs/>
            </w:rPr>
            <w:tab/>
          </w:r>
          <w:r>
            <w:fldChar w:fldCharType="begin"/>
          </w:r>
          <w:r>
            <w:instrText>PAGE</w:instrText>
          </w:r>
          <w:r>
            <w:fldChar w:fldCharType="separate"/>
          </w:r>
          <w:r>
            <w:t>1</w:t>
          </w:r>
          <w:r>
            <w:rPr>
              <w:noProof/>
            </w:rPr>
            <w:fldChar w:fldCharType="end"/>
          </w:r>
        </w:p>
      </w:tc>
    </w:tr>
  </w:tbl>
  <w:p w14:paraId="5C1728C5" w14:textId="77777777" w:rsidR="00225DDB" w:rsidRPr="00DB1936" w:rsidRDefault="00225DDB"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25DDB" w:rsidRPr="00784011" w14:paraId="69ABE3D8" w14:textId="77777777" w:rsidTr="00056430">
      <w:trPr>
        <w:trHeight w:val="142"/>
        <w:jc w:val="center"/>
      </w:trPr>
      <w:tc>
        <w:tcPr>
          <w:tcW w:w="1803" w:type="dxa"/>
          <w:vAlign w:val="center"/>
        </w:tcPr>
        <w:p w14:paraId="3714F19F" w14:textId="77777777" w:rsidR="00225DDB" w:rsidRDefault="00225DDB" w:rsidP="00225DDB">
          <w:pPr>
            <w:pStyle w:val="Header"/>
            <w:jc w:val="left"/>
            <w:rPr>
              <w:noProof/>
            </w:rPr>
          </w:pPr>
        </w:p>
      </w:tc>
      <w:tc>
        <w:tcPr>
          <w:tcW w:w="8261" w:type="dxa"/>
        </w:tcPr>
        <w:p w14:paraId="398620FA" w14:textId="4DDE643B" w:rsidR="00225DDB" w:rsidRPr="00E06FD5" w:rsidRDefault="00225DDB" w:rsidP="00225DDB">
          <w:pPr>
            <w:pStyle w:val="Header"/>
            <w:tabs>
              <w:tab w:val="left" w:pos="6028"/>
              <w:tab w:val="right" w:pos="8505"/>
              <w:tab w:val="right" w:pos="9639"/>
            </w:tabs>
            <w:jc w:val="left"/>
            <w:rPr>
              <w:rFonts w:ascii="Arial" w:hAnsi="Arial" w:cs="Arial"/>
              <w:b/>
              <w:bCs/>
              <w:szCs w:val="18"/>
            </w:rPr>
          </w:pPr>
          <w:r>
            <w:rPr>
              <w:bCs/>
            </w:rPr>
            <w:tab/>
          </w:r>
          <w:r w:rsidRPr="00623AE3">
            <w:rPr>
              <w:bCs/>
            </w:rPr>
            <w:t>C</w:t>
          </w:r>
          <w:r>
            <w:rPr>
              <w:bCs/>
            </w:rPr>
            <w:t>WG-COP-24</w:t>
          </w:r>
          <w:r w:rsidRPr="00623AE3">
            <w:rPr>
              <w:bCs/>
            </w:rPr>
            <w:t>/</w:t>
          </w:r>
          <w:r>
            <w:rPr>
              <w:bCs/>
            </w:rPr>
            <w:t>INF/16</w:t>
          </w:r>
          <w:r w:rsidRPr="00623AE3">
            <w:rPr>
              <w:bCs/>
            </w:rPr>
            <w:t>-E</w:t>
          </w:r>
          <w:r>
            <w:rPr>
              <w:bCs/>
            </w:rPr>
            <w:tab/>
          </w:r>
          <w:r>
            <w:fldChar w:fldCharType="begin"/>
          </w:r>
          <w:r>
            <w:instrText>PAGE</w:instrText>
          </w:r>
          <w:r>
            <w:fldChar w:fldCharType="separate"/>
          </w:r>
          <w:r>
            <w:t>1</w:t>
          </w:r>
          <w:r>
            <w:rPr>
              <w:noProof/>
            </w:rPr>
            <w:fldChar w:fldCharType="end"/>
          </w:r>
        </w:p>
      </w:tc>
    </w:tr>
  </w:tbl>
  <w:p w14:paraId="69F748FD" w14:textId="77777777" w:rsidR="00225DDB" w:rsidRPr="00623AE3" w:rsidRDefault="00225DDB"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D3EC" w14:textId="77777777" w:rsidR="00225DDB" w:rsidRDefault="00225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234C" w14:textId="4CF024DF" w:rsidR="00225DDB" w:rsidRDefault="00225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9B13AE"/>
    <w:multiLevelType w:val="hybridMultilevel"/>
    <w:tmpl w:val="ABF0B364"/>
    <w:lvl w:ilvl="0" w:tplc="96DE5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117002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63016"/>
    <w:rsid w:val="00066795"/>
    <w:rsid w:val="00076AF6"/>
    <w:rsid w:val="00085518"/>
    <w:rsid w:val="000859C4"/>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119FD"/>
    <w:rsid w:val="002130E0"/>
    <w:rsid w:val="00225DDB"/>
    <w:rsid w:val="00225FA7"/>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091"/>
    <w:rsid w:val="003942D4"/>
    <w:rsid w:val="003958A8"/>
    <w:rsid w:val="003C2533"/>
    <w:rsid w:val="003D5A7F"/>
    <w:rsid w:val="004016E2"/>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217BD"/>
    <w:rsid w:val="005243FF"/>
    <w:rsid w:val="005567BC"/>
    <w:rsid w:val="00564FBC"/>
    <w:rsid w:val="005800BC"/>
    <w:rsid w:val="00582442"/>
    <w:rsid w:val="005A335D"/>
    <w:rsid w:val="005E2BD5"/>
    <w:rsid w:val="005F3269"/>
    <w:rsid w:val="00610DC7"/>
    <w:rsid w:val="00623AE3"/>
    <w:rsid w:val="006273F5"/>
    <w:rsid w:val="0064737F"/>
    <w:rsid w:val="006535F1"/>
    <w:rsid w:val="0065557D"/>
    <w:rsid w:val="00660D50"/>
    <w:rsid w:val="00662984"/>
    <w:rsid w:val="006716BB"/>
    <w:rsid w:val="006B1859"/>
    <w:rsid w:val="006B6680"/>
    <w:rsid w:val="006B6DCC"/>
    <w:rsid w:val="006F5369"/>
    <w:rsid w:val="00702DEF"/>
    <w:rsid w:val="00706861"/>
    <w:rsid w:val="0075051B"/>
    <w:rsid w:val="00775655"/>
    <w:rsid w:val="00793188"/>
    <w:rsid w:val="00794D3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32906"/>
    <w:rsid w:val="00955751"/>
    <w:rsid w:val="00961B0B"/>
    <w:rsid w:val="00962D33"/>
    <w:rsid w:val="00971C6A"/>
    <w:rsid w:val="0099790D"/>
    <w:rsid w:val="009B38C3"/>
    <w:rsid w:val="009C253A"/>
    <w:rsid w:val="009E17BD"/>
    <w:rsid w:val="009E485A"/>
    <w:rsid w:val="00A04CEC"/>
    <w:rsid w:val="00A05885"/>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358B2"/>
    <w:rsid w:val="00B40A81"/>
    <w:rsid w:val="00B44910"/>
    <w:rsid w:val="00B45936"/>
    <w:rsid w:val="00B64669"/>
    <w:rsid w:val="00B72267"/>
    <w:rsid w:val="00B76EB6"/>
    <w:rsid w:val="00B7737B"/>
    <w:rsid w:val="00B824C8"/>
    <w:rsid w:val="00B84B9D"/>
    <w:rsid w:val="00BA23EF"/>
    <w:rsid w:val="00BC251A"/>
    <w:rsid w:val="00BC3F65"/>
    <w:rsid w:val="00BC54CD"/>
    <w:rsid w:val="00BC6146"/>
    <w:rsid w:val="00BD032B"/>
    <w:rsid w:val="00BE2640"/>
    <w:rsid w:val="00C01189"/>
    <w:rsid w:val="00C10F2C"/>
    <w:rsid w:val="00C374DE"/>
    <w:rsid w:val="00C47AD4"/>
    <w:rsid w:val="00C52D81"/>
    <w:rsid w:val="00C55198"/>
    <w:rsid w:val="00CA293A"/>
    <w:rsid w:val="00CA6393"/>
    <w:rsid w:val="00CB18FF"/>
    <w:rsid w:val="00CD0C08"/>
    <w:rsid w:val="00CD76B2"/>
    <w:rsid w:val="00CE03FB"/>
    <w:rsid w:val="00CE433C"/>
    <w:rsid w:val="00CF0161"/>
    <w:rsid w:val="00CF33F3"/>
    <w:rsid w:val="00D06183"/>
    <w:rsid w:val="00D22C42"/>
    <w:rsid w:val="00D464CC"/>
    <w:rsid w:val="00D53C61"/>
    <w:rsid w:val="00D65041"/>
    <w:rsid w:val="00DB00D5"/>
    <w:rsid w:val="00DB1936"/>
    <w:rsid w:val="00DB384B"/>
    <w:rsid w:val="00DF0189"/>
    <w:rsid w:val="00E06283"/>
    <w:rsid w:val="00E06FD5"/>
    <w:rsid w:val="00E10E80"/>
    <w:rsid w:val="00E124F0"/>
    <w:rsid w:val="00E227F3"/>
    <w:rsid w:val="00E545C6"/>
    <w:rsid w:val="00E60F04"/>
    <w:rsid w:val="00E65B24"/>
    <w:rsid w:val="00E854E4"/>
    <w:rsid w:val="00E86DBF"/>
    <w:rsid w:val="00EB0D6F"/>
    <w:rsid w:val="00EB2232"/>
    <w:rsid w:val="00EB5155"/>
    <w:rsid w:val="00EC5337"/>
    <w:rsid w:val="00ED454D"/>
    <w:rsid w:val="00EE49E8"/>
    <w:rsid w:val="00F0400D"/>
    <w:rsid w:val="00F16BAB"/>
    <w:rsid w:val="00F2150A"/>
    <w:rsid w:val="00F231D8"/>
    <w:rsid w:val="00F41345"/>
    <w:rsid w:val="00F44C00"/>
    <w:rsid w:val="00F45D2C"/>
    <w:rsid w:val="00F46C5F"/>
    <w:rsid w:val="00F632C0"/>
    <w:rsid w:val="00F74694"/>
    <w:rsid w:val="00F871BD"/>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md/T25-SG17-251203-TD-PLEN-0161/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meetingdoc.asp?lang=en&amp;parent=T25-SG17-251203-TD-GEN-0251"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3561</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child onlinie protection</dc:subject>
  <dc:creator/>
  <cp:keywords>CWG-COP; C26; Council-26</cp:keywords>
  <dc:description/>
  <cp:lastModifiedBy/>
  <cp:revision>1</cp:revision>
  <dcterms:created xsi:type="dcterms:W3CDTF">2026-01-19T14:13:00Z</dcterms:created>
  <dcterms:modified xsi:type="dcterms:W3CDTF">2026-01-19T14:52:00Z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ies>
</file>