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1728AF" w14:paraId="0043AC80" w14:textId="77777777" w:rsidTr="00AD3606">
        <w:trPr>
          <w:cantSplit/>
          <w:trHeight w:val="23"/>
        </w:trPr>
        <w:tc>
          <w:tcPr>
            <w:tcW w:w="3969" w:type="dxa"/>
            <w:vMerge w:val="restart"/>
            <w:tcMar>
              <w:left w:w="0" w:type="dxa"/>
            </w:tcMar>
          </w:tcPr>
          <w:p w14:paraId="60A806D3" w14:textId="6316C87D" w:rsidR="00AD3606" w:rsidRPr="00F871BD"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303A3031" w:rsidR="00AD3606" w:rsidRPr="00007198" w:rsidRDefault="00AD3606" w:rsidP="00472BAD">
            <w:pPr>
              <w:tabs>
                <w:tab w:val="left" w:pos="851"/>
              </w:tabs>
              <w:spacing w:before="0" w:line="240" w:lineRule="atLeast"/>
              <w:jc w:val="right"/>
              <w:rPr>
                <w:b/>
                <w:lang w:val="fr-FR"/>
              </w:rPr>
            </w:pPr>
            <w:r w:rsidRPr="00007198">
              <w:rPr>
                <w:b/>
                <w:lang w:val="fr-FR"/>
              </w:rPr>
              <w:t>Document C</w:t>
            </w:r>
            <w:r w:rsidR="00A52C84" w:rsidRPr="00007198">
              <w:rPr>
                <w:b/>
                <w:lang w:val="fr-FR"/>
              </w:rPr>
              <w:t>WG-</w:t>
            </w:r>
            <w:r w:rsidR="00891503" w:rsidRPr="00007198">
              <w:rPr>
                <w:b/>
                <w:lang w:val="fr-FR"/>
              </w:rPr>
              <w:t>COP</w:t>
            </w:r>
            <w:r w:rsidR="00A52C84" w:rsidRPr="00007198">
              <w:rPr>
                <w:b/>
                <w:lang w:val="fr-FR"/>
              </w:rPr>
              <w:t>-</w:t>
            </w:r>
            <w:r w:rsidR="00BC54CD" w:rsidRPr="00007198">
              <w:rPr>
                <w:b/>
                <w:lang w:val="fr-FR"/>
              </w:rPr>
              <w:t>2</w:t>
            </w:r>
            <w:r w:rsidR="00CD76B2" w:rsidRPr="00007198">
              <w:rPr>
                <w:b/>
                <w:lang w:val="fr-FR"/>
              </w:rPr>
              <w:t>4</w:t>
            </w:r>
            <w:r w:rsidRPr="00007198">
              <w:rPr>
                <w:b/>
                <w:lang w:val="fr-FR"/>
              </w:rPr>
              <w:t>/</w:t>
            </w:r>
            <w:r w:rsidR="00866F4F" w:rsidRPr="00007198">
              <w:rPr>
                <w:b/>
                <w:lang w:val="fr-FR"/>
              </w:rPr>
              <w:t>INF/</w:t>
            </w:r>
            <w:r w:rsidR="00733385">
              <w:rPr>
                <w:b/>
                <w:lang w:val="fr-FR"/>
              </w:rPr>
              <w:t>15</w:t>
            </w:r>
          </w:p>
        </w:tc>
      </w:tr>
      <w:tr w:rsidR="00AD3606" w:rsidRPr="00F871BD" w14:paraId="789B45BA" w14:textId="77777777" w:rsidTr="00AD3606">
        <w:trPr>
          <w:cantSplit/>
        </w:trPr>
        <w:tc>
          <w:tcPr>
            <w:tcW w:w="3969" w:type="dxa"/>
            <w:vMerge/>
          </w:tcPr>
          <w:p w14:paraId="3F3D4E17" w14:textId="77777777" w:rsidR="00AD3606" w:rsidRPr="00007198"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2DE9ACEA" w14:textId="776F399F" w:rsidR="00AD3606" w:rsidRPr="00F871BD" w:rsidRDefault="001728AF" w:rsidP="00AD3606">
            <w:pPr>
              <w:tabs>
                <w:tab w:val="left" w:pos="851"/>
              </w:tabs>
              <w:spacing w:before="0"/>
              <w:jc w:val="right"/>
              <w:rPr>
                <w:b/>
              </w:rPr>
            </w:pPr>
            <w:r>
              <w:rPr>
                <w:b/>
              </w:rPr>
              <w:t>19 January 2026</w:t>
            </w:r>
          </w:p>
        </w:tc>
      </w:tr>
      <w:tr w:rsidR="00AD3606" w:rsidRPr="00F871BD" w14:paraId="58A84C4A" w14:textId="77777777" w:rsidTr="00AD3606">
        <w:trPr>
          <w:cantSplit/>
          <w:trHeight w:val="23"/>
        </w:trPr>
        <w:tc>
          <w:tcPr>
            <w:tcW w:w="3969" w:type="dxa"/>
            <w:vMerge/>
          </w:tcPr>
          <w:p w14:paraId="77CEDDAA" w14:textId="77777777" w:rsidR="00AD3606" w:rsidRPr="00F871BD" w:rsidRDefault="00AD3606" w:rsidP="00AD3606">
            <w:pPr>
              <w:tabs>
                <w:tab w:val="left" w:pos="851"/>
              </w:tabs>
              <w:spacing w:line="240" w:lineRule="atLeast"/>
              <w:rPr>
                <w:b/>
              </w:rPr>
            </w:pPr>
            <w:bookmarkStart w:id="7" w:name="dorlang" w:colFirst="1" w:colLast="1"/>
            <w:bookmarkEnd w:id="6"/>
          </w:p>
        </w:tc>
        <w:tc>
          <w:tcPr>
            <w:tcW w:w="5245" w:type="dxa"/>
          </w:tcPr>
          <w:p w14:paraId="561AAE94" w14:textId="05CDF347" w:rsidR="00AD3606" w:rsidRPr="00F871BD" w:rsidRDefault="00891503" w:rsidP="00AD3606">
            <w:pPr>
              <w:tabs>
                <w:tab w:val="left" w:pos="851"/>
              </w:tabs>
              <w:spacing w:before="0" w:line="240" w:lineRule="atLeast"/>
              <w:jc w:val="right"/>
              <w:rPr>
                <w:b/>
              </w:rPr>
            </w:pPr>
            <w:r w:rsidRPr="00F871BD">
              <w:rPr>
                <w:b/>
              </w:rPr>
              <w:t>English only</w:t>
            </w:r>
          </w:p>
        </w:tc>
      </w:tr>
      <w:tr w:rsidR="00472BAD" w:rsidRPr="00F871BD" w14:paraId="12C5EF5F" w14:textId="77777777" w:rsidTr="00AD3606">
        <w:trPr>
          <w:cantSplit/>
          <w:trHeight w:val="23"/>
        </w:trPr>
        <w:tc>
          <w:tcPr>
            <w:tcW w:w="3969" w:type="dxa"/>
          </w:tcPr>
          <w:p w14:paraId="4B839BA2" w14:textId="77777777" w:rsidR="00472BAD" w:rsidRPr="00F871BD" w:rsidRDefault="00472BAD" w:rsidP="00AD3606">
            <w:pPr>
              <w:tabs>
                <w:tab w:val="left" w:pos="851"/>
              </w:tabs>
              <w:spacing w:line="240" w:lineRule="atLeast"/>
              <w:rPr>
                <w:b/>
              </w:rPr>
            </w:pPr>
          </w:p>
        </w:tc>
        <w:tc>
          <w:tcPr>
            <w:tcW w:w="5245" w:type="dxa"/>
          </w:tcPr>
          <w:p w14:paraId="12F66D25" w14:textId="77777777" w:rsidR="00472BAD" w:rsidRPr="00F871BD" w:rsidRDefault="00472BAD" w:rsidP="00AD3606">
            <w:pPr>
              <w:tabs>
                <w:tab w:val="left" w:pos="851"/>
              </w:tabs>
              <w:spacing w:before="0" w:line="240" w:lineRule="atLeast"/>
              <w:jc w:val="right"/>
              <w:rPr>
                <w:b/>
              </w:rPr>
            </w:pPr>
          </w:p>
        </w:tc>
      </w:tr>
      <w:tr w:rsidR="00AD3606" w:rsidRPr="00F871BD" w14:paraId="27000B2A" w14:textId="77777777" w:rsidTr="00AD3606">
        <w:trPr>
          <w:cantSplit/>
        </w:trPr>
        <w:tc>
          <w:tcPr>
            <w:tcW w:w="9214" w:type="dxa"/>
            <w:gridSpan w:val="2"/>
            <w:tcMar>
              <w:left w:w="0" w:type="dxa"/>
            </w:tcMar>
          </w:tcPr>
          <w:p w14:paraId="4E7CDB90" w14:textId="023FF77D" w:rsidR="00AD3606" w:rsidRPr="00F871BD" w:rsidRDefault="00EB5155" w:rsidP="00F0400D">
            <w:pPr>
              <w:pStyle w:val="Source"/>
              <w:framePr w:hSpace="0" w:wrap="auto" w:vAnchor="margin" w:hAnchor="text" w:xAlign="left" w:yAlign="inline"/>
            </w:pPr>
            <w:bookmarkStart w:id="8" w:name="dsource" w:colFirst="0" w:colLast="0"/>
            <w:bookmarkEnd w:id="7"/>
            <w:r w:rsidRPr="00F871BD">
              <w:t>Contribution by</w:t>
            </w:r>
            <w:r w:rsidR="001728AF">
              <w:t xml:space="preserve"> the Philippines</w:t>
            </w:r>
          </w:p>
        </w:tc>
      </w:tr>
      <w:tr w:rsidR="00AD3606" w:rsidRPr="00F871BD" w14:paraId="2340750D" w14:textId="77777777" w:rsidTr="00AD3606">
        <w:trPr>
          <w:cantSplit/>
        </w:trPr>
        <w:tc>
          <w:tcPr>
            <w:tcW w:w="9214" w:type="dxa"/>
            <w:gridSpan w:val="2"/>
            <w:tcMar>
              <w:left w:w="0" w:type="dxa"/>
            </w:tcMar>
          </w:tcPr>
          <w:p w14:paraId="47B91AA8" w14:textId="58D04E51" w:rsidR="00AD3606" w:rsidRPr="00F871BD" w:rsidRDefault="001728AF" w:rsidP="00F0400D">
            <w:pPr>
              <w:pStyle w:val="Subtitle"/>
              <w:framePr w:hSpace="0" w:wrap="auto" w:xAlign="left" w:yAlign="inline"/>
            </w:pPr>
            <w:bookmarkStart w:id="9" w:name="dtitle1" w:colFirst="0" w:colLast="0"/>
            <w:bookmarkStart w:id="10" w:name="_Hlk219727697"/>
            <w:bookmarkEnd w:id="8"/>
            <w:r w:rsidRPr="001728AF">
              <w:t>THE PHILIPPINES’ APPROACH AND INITIATIVES FOR CHILD ONLINE PROTECTION</w:t>
            </w:r>
            <w:bookmarkEnd w:id="10"/>
          </w:p>
        </w:tc>
      </w:tr>
      <w:tr w:rsidR="00AD3606" w:rsidRPr="00F871BD"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3A59D05A" w:rsidR="00AD3606" w:rsidRPr="00F871BD" w:rsidRDefault="00F16BAB" w:rsidP="00F16BAB">
            <w:pPr>
              <w:spacing w:before="160"/>
              <w:rPr>
                <w:b/>
                <w:bCs/>
                <w:sz w:val="26"/>
                <w:szCs w:val="26"/>
              </w:rPr>
            </w:pPr>
            <w:r w:rsidRPr="00F871BD">
              <w:rPr>
                <w:b/>
                <w:bCs/>
                <w:sz w:val="26"/>
                <w:szCs w:val="26"/>
              </w:rPr>
              <w:t>Purpose</w:t>
            </w:r>
          </w:p>
          <w:p w14:paraId="2E09FE8B" w14:textId="7FFF4698" w:rsidR="00AD3606" w:rsidRPr="00F871BD" w:rsidRDefault="001728AF" w:rsidP="00F16BAB">
            <w:r w:rsidRPr="001728AF">
              <w:t>To share the Republic of the Philippines’ current approach and initiatives for Child Online Protection particularly on Institutional Frameworks against Trafficking and Child-Oriented Transparency in line with Resolution 179 (Rev. Bucharest, 2022) of the Plenipotentiary Conference.</w:t>
            </w:r>
          </w:p>
          <w:p w14:paraId="5076D5C4" w14:textId="28F00572" w:rsidR="00AD3606" w:rsidRPr="00F871BD" w:rsidRDefault="00AD3606" w:rsidP="00F16BAB">
            <w:pPr>
              <w:spacing w:before="160"/>
              <w:rPr>
                <w:b/>
                <w:bCs/>
                <w:sz w:val="26"/>
                <w:szCs w:val="26"/>
              </w:rPr>
            </w:pPr>
            <w:r w:rsidRPr="00F871BD">
              <w:rPr>
                <w:b/>
                <w:bCs/>
                <w:sz w:val="26"/>
                <w:szCs w:val="26"/>
              </w:rPr>
              <w:t>Action required</w:t>
            </w:r>
          </w:p>
          <w:p w14:paraId="53A776F1" w14:textId="2CB80996" w:rsidR="00891503" w:rsidRPr="00F871BD" w:rsidRDefault="00866F4F" w:rsidP="00F16BAB">
            <w:pPr>
              <w:spacing w:before="160"/>
            </w:pPr>
            <w:r w:rsidRPr="00F871BD">
              <w:t xml:space="preserve">This </w:t>
            </w:r>
            <w:r w:rsidR="00007198">
              <w:t xml:space="preserve">document </w:t>
            </w:r>
            <w:r w:rsidRPr="00F871BD">
              <w:t xml:space="preserve">is transmitted to the </w:t>
            </w:r>
            <w:r w:rsidR="00F41345" w:rsidRPr="00F871BD">
              <w:t xml:space="preserve">Council Working Group on </w:t>
            </w:r>
            <w:r w:rsidR="005567BC" w:rsidRPr="00F871BD">
              <w:t xml:space="preserve">child online protection </w:t>
            </w:r>
            <w:r w:rsidRPr="00F871BD">
              <w:rPr>
                <w:b/>
                <w:bCs/>
              </w:rPr>
              <w:t>for information</w:t>
            </w:r>
            <w:r w:rsidRPr="00F871BD">
              <w:t>.</w:t>
            </w:r>
          </w:p>
          <w:p w14:paraId="5BBC35A7" w14:textId="77777777" w:rsidR="006F5369" w:rsidRPr="00F871BD" w:rsidRDefault="006F5369">
            <w:r w:rsidRPr="00F871BD">
              <w:t>_______________</w:t>
            </w:r>
          </w:p>
          <w:p w14:paraId="00DEE14C" w14:textId="5B2C016C" w:rsidR="00AD3606" w:rsidRPr="00F871BD" w:rsidRDefault="00EB5155" w:rsidP="00F16BAB">
            <w:pPr>
              <w:spacing w:before="160"/>
              <w:rPr>
                <w:sz w:val="26"/>
                <w:szCs w:val="26"/>
              </w:rPr>
            </w:pPr>
            <w:r w:rsidRPr="00F871BD">
              <w:rPr>
                <w:b/>
                <w:bCs/>
                <w:sz w:val="26"/>
                <w:szCs w:val="26"/>
              </w:rPr>
              <w:t>References</w:t>
            </w:r>
          </w:p>
          <w:p w14:paraId="0175CD6C" w14:textId="23092327" w:rsidR="00AD3606" w:rsidRPr="00F871BD" w:rsidRDefault="001728AF" w:rsidP="001728AF">
            <w:pPr>
              <w:spacing w:after="160"/>
              <w:rPr>
                <w:i/>
                <w:iCs/>
                <w:sz w:val="22"/>
                <w:szCs w:val="22"/>
              </w:rPr>
            </w:pPr>
            <w:hyperlink r:id="rId8">
              <w:r w:rsidRPr="001728AF">
                <w:rPr>
                  <w:rStyle w:val="Hyperlink"/>
                  <w:i/>
                  <w:iCs/>
                  <w:sz w:val="22"/>
                  <w:szCs w:val="22"/>
                  <w:lang w:val="en-PH"/>
                </w:rPr>
                <w:t>Guidelines on Child-Oriented Transparency</w:t>
              </w:r>
            </w:hyperlink>
          </w:p>
        </w:tc>
      </w:tr>
    </w:tbl>
    <w:p w14:paraId="4CDB8B60" w14:textId="77777777" w:rsidR="00E227F3" w:rsidRPr="00F871BD"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1" w:name="_Hlk133421428"/>
      <w:bookmarkEnd w:id="2"/>
      <w:bookmarkEnd w:id="9"/>
    </w:p>
    <w:bookmarkEnd w:id="3"/>
    <w:bookmarkEnd w:id="4"/>
    <w:p w14:paraId="1D7ED322" w14:textId="77777777" w:rsidR="0090147A" w:rsidRPr="00F871BD"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F871BD">
        <w:br w:type="page"/>
      </w:r>
    </w:p>
    <w:bookmarkEnd w:id="5"/>
    <w:bookmarkEnd w:id="11"/>
    <w:p w14:paraId="58ED9177" w14:textId="77777777" w:rsidR="001728AF" w:rsidRPr="001728AF" w:rsidRDefault="001728AF" w:rsidP="001728AF">
      <w:pPr>
        <w:overflowPunct/>
        <w:autoSpaceDE/>
        <w:autoSpaceDN/>
        <w:adjustRightInd/>
        <w:spacing w:before="0" w:after="200"/>
        <w:textAlignment w:val="auto"/>
        <w:rPr>
          <w:rFonts w:eastAsia="Calibri" w:cs="Calibri"/>
          <w:b/>
          <w:bCs/>
          <w:szCs w:val="24"/>
          <w:lang w:val="en-PH" w:eastAsia="zh-CN"/>
        </w:rPr>
      </w:pPr>
      <w:r w:rsidRPr="001728AF">
        <w:rPr>
          <w:rFonts w:eastAsia="Calibri" w:cs="Calibri"/>
          <w:b/>
          <w:bCs/>
          <w:szCs w:val="24"/>
          <w:lang w:val="en-PH" w:eastAsia="zh-CN"/>
        </w:rPr>
        <w:t>A Whole-of-Government Approach to Child Online Protection</w:t>
      </w:r>
    </w:p>
    <w:p w14:paraId="2CF26A9B" w14:textId="77777777" w:rsidR="001728AF" w:rsidRPr="001728AF" w:rsidRDefault="001728AF" w:rsidP="001728AF">
      <w:pPr>
        <w:overflowPunct/>
        <w:autoSpaceDE/>
        <w:autoSpaceDN/>
        <w:adjustRightInd/>
        <w:spacing w:before="0"/>
        <w:jc w:val="both"/>
        <w:textAlignment w:val="auto"/>
        <w:rPr>
          <w:rFonts w:eastAsia="Calibri" w:cs="Calibri"/>
          <w:szCs w:val="24"/>
          <w:lang w:val="en-PH" w:eastAsia="zh-CN"/>
        </w:rPr>
      </w:pPr>
      <w:r w:rsidRPr="001728AF">
        <w:rPr>
          <w:rFonts w:eastAsia="Calibri" w:cs="Calibri"/>
          <w:szCs w:val="24"/>
          <w:lang w:val="en-PH" w:eastAsia="zh-CN"/>
        </w:rPr>
        <w:t>The Philippines adopts a whole-of-government approach to child online protection. Recognizing that safeguarding children in the digital sphere requires coordinated action across policy, regulation, law enforcement, and education. Through the establishment of Inter-agency Councils and Technical Working Groups (TWG), the Philippines address online risks to children, including data privacy violations, online sexual abuse and exploitation, harmful content, and digital safety awareness, while ensuring that children’s rights and best interests are upheld in line with national laws and international commitments.</w:t>
      </w:r>
    </w:p>
    <w:p w14:paraId="6AF0971F" w14:textId="77777777" w:rsidR="001728AF" w:rsidRPr="001728AF" w:rsidRDefault="001728AF" w:rsidP="001728AF">
      <w:pPr>
        <w:overflowPunct/>
        <w:autoSpaceDE/>
        <w:autoSpaceDN/>
        <w:adjustRightInd/>
        <w:spacing w:before="0"/>
        <w:jc w:val="both"/>
        <w:textAlignment w:val="auto"/>
        <w:rPr>
          <w:rFonts w:eastAsia="Calibri" w:cs="Calibri"/>
          <w:szCs w:val="24"/>
          <w:lang w:val="en-PH" w:eastAsia="zh-CN"/>
        </w:rPr>
      </w:pPr>
    </w:p>
    <w:p w14:paraId="2AE25FCC" w14:textId="77777777" w:rsidR="001728AF" w:rsidRPr="001728AF" w:rsidRDefault="001728AF" w:rsidP="001728AF">
      <w:pPr>
        <w:overflowPunct/>
        <w:autoSpaceDE/>
        <w:autoSpaceDN/>
        <w:adjustRightInd/>
        <w:spacing w:before="0"/>
        <w:jc w:val="both"/>
        <w:textAlignment w:val="auto"/>
        <w:rPr>
          <w:rFonts w:eastAsia="Calibri" w:cs="Calibri"/>
          <w:szCs w:val="24"/>
          <w:lang w:val="en-PH" w:eastAsia="zh-CN"/>
        </w:rPr>
      </w:pPr>
      <w:r w:rsidRPr="001728AF">
        <w:rPr>
          <w:rFonts w:eastAsia="Calibri" w:cs="Calibri"/>
          <w:szCs w:val="24"/>
          <w:lang w:val="en-PH" w:eastAsia="zh-CN"/>
        </w:rPr>
        <w:t>The Department of Information and Communications Technology (DICT), as the primary agency of the Philippines for ICT development, reinforces child online protection efforts through various capacity-building programs, and inter-agency coordination mechanisms to promote safer online environments for children. Through its programs and initiatives, the DICT advances digital literacy, responsible internet use, and platform accountability, while supporting the implementation of technical and institutional safeguards against online harms affecting children.</w:t>
      </w:r>
    </w:p>
    <w:p w14:paraId="4981DF5D" w14:textId="77777777" w:rsidR="001728AF" w:rsidRPr="001728AF" w:rsidRDefault="001728AF" w:rsidP="001728AF">
      <w:pPr>
        <w:overflowPunct/>
        <w:autoSpaceDE/>
        <w:autoSpaceDN/>
        <w:adjustRightInd/>
        <w:spacing w:before="0"/>
        <w:jc w:val="both"/>
        <w:textAlignment w:val="auto"/>
        <w:rPr>
          <w:rFonts w:eastAsia="Calibri" w:cs="Calibri"/>
          <w:szCs w:val="24"/>
          <w:lang w:val="en-PH" w:eastAsia="zh-CN"/>
        </w:rPr>
      </w:pPr>
    </w:p>
    <w:p w14:paraId="1662CCDA" w14:textId="77777777" w:rsidR="001728AF" w:rsidRPr="001728AF" w:rsidRDefault="001728AF" w:rsidP="001728AF">
      <w:pPr>
        <w:overflowPunct/>
        <w:autoSpaceDE/>
        <w:autoSpaceDN/>
        <w:adjustRightInd/>
        <w:spacing w:before="0"/>
        <w:jc w:val="both"/>
        <w:textAlignment w:val="auto"/>
        <w:rPr>
          <w:rFonts w:eastAsia="Calibri" w:cs="Calibri"/>
          <w:szCs w:val="24"/>
          <w:lang w:val="en-PH" w:eastAsia="zh-CN"/>
        </w:rPr>
      </w:pPr>
      <w:r w:rsidRPr="001728AF">
        <w:rPr>
          <w:rFonts w:eastAsia="Calibri" w:cs="Calibri"/>
          <w:szCs w:val="24"/>
          <w:lang w:val="en-PH" w:eastAsia="zh-CN"/>
        </w:rPr>
        <w:t xml:space="preserve">The DICT also works alongside various government agencies such as the Department of Justice (DOJ), the Department of Social Welfare and Development (DSWD), and the Department of Interior and Local Government (DILG) through specialized units addressing online sexual abuse and exploitation of children, to strengthen legal enforcement, investigation, and prosecution of cyber-enabled crimes involving children. The DICT is also member-agency of the National Coordination Center Against Online Sexual Abuse and Exploitation of Children (OSAEC) and Child Sexual Abuse and Exploitation Materials (CSAEM) (NCC-OSAEC-CSAEM) which aims to safeguard, protect, and empower every child from all forms of OSAEC and CSAEM through a holistic and coordinated approach. </w:t>
      </w:r>
    </w:p>
    <w:p w14:paraId="67598768" w14:textId="77777777" w:rsidR="001728AF" w:rsidRPr="001728AF" w:rsidRDefault="001728AF" w:rsidP="001728AF">
      <w:pPr>
        <w:overflowPunct/>
        <w:autoSpaceDE/>
        <w:autoSpaceDN/>
        <w:adjustRightInd/>
        <w:spacing w:before="0"/>
        <w:jc w:val="both"/>
        <w:textAlignment w:val="auto"/>
        <w:rPr>
          <w:rFonts w:eastAsia="Calibri" w:cs="Calibri"/>
          <w:szCs w:val="24"/>
          <w:lang w:val="en-PH" w:eastAsia="zh-CN"/>
        </w:rPr>
      </w:pPr>
    </w:p>
    <w:p w14:paraId="70AC942B" w14:textId="77777777" w:rsidR="001728AF" w:rsidRPr="001728AF" w:rsidRDefault="001728AF" w:rsidP="001728AF">
      <w:pPr>
        <w:overflowPunct/>
        <w:autoSpaceDE/>
        <w:autoSpaceDN/>
        <w:adjustRightInd/>
        <w:spacing w:before="0"/>
        <w:jc w:val="both"/>
        <w:textAlignment w:val="auto"/>
        <w:rPr>
          <w:rFonts w:eastAsia="Calibri" w:cs="Calibri"/>
          <w:szCs w:val="24"/>
          <w:lang w:val="en-PH" w:eastAsia="zh-CN"/>
        </w:rPr>
      </w:pPr>
      <w:r w:rsidRPr="001728AF">
        <w:rPr>
          <w:rFonts w:eastAsia="Calibri" w:cs="Calibri"/>
          <w:szCs w:val="24"/>
          <w:lang w:val="en-PH" w:eastAsia="zh-CN"/>
        </w:rPr>
        <w:t>Through sustained inter-agency collaboration and policy alignment, the Philippines continues to advance a comprehensive and coordinated approach to child online protection, ensuring that digital transformation efforts are balanced with strong safeguards for children’s rights, safety, and well-being in the online environment.</w:t>
      </w:r>
    </w:p>
    <w:p w14:paraId="27BD2B56" w14:textId="77777777" w:rsidR="001728AF" w:rsidRPr="001728AF" w:rsidRDefault="001728AF" w:rsidP="001728AF">
      <w:pPr>
        <w:overflowPunct/>
        <w:autoSpaceDE/>
        <w:autoSpaceDN/>
        <w:adjustRightInd/>
        <w:spacing w:before="0"/>
        <w:jc w:val="both"/>
        <w:textAlignment w:val="auto"/>
        <w:rPr>
          <w:rFonts w:eastAsia="Calibri" w:cs="Calibri"/>
          <w:b/>
          <w:bCs/>
          <w:szCs w:val="24"/>
          <w:lang w:val="en-PH" w:eastAsia="zh-CN"/>
        </w:rPr>
      </w:pPr>
    </w:p>
    <w:p w14:paraId="1F344382" w14:textId="77777777" w:rsidR="001728AF" w:rsidRPr="001728AF" w:rsidRDefault="001728AF" w:rsidP="001728AF">
      <w:pPr>
        <w:overflowPunct/>
        <w:autoSpaceDE/>
        <w:autoSpaceDN/>
        <w:adjustRightInd/>
        <w:spacing w:before="0"/>
        <w:jc w:val="both"/>
        <w:textAlignment w:val="auto"/>
        <w:rPr>
          <w:rFonts w:eastAsia="Calibri" w:cs="Calibri"/>
          <w:b/>
          <w:bCs/>
          <w:szCs w:val="24"/>
          <w:lang w:val="en-PH" w:eastAsia="zh-CN"/>
        </w:rPr>
      </w:pPr>
      <w:r w:rsidRPr="001728AF">
        <w:rPr>
          <w:rFonts w:eastAsia="Calibri" w:cs="Calibri"/>
          <w:b/>
          <w:bCs/>
          <w:szCs w:val="24"/>
          <w:lang w:val="en-PH" w:eastAsia="zh-CN"/>
        </w:rPr>
        <w:t>Institutional Frameworks and Intensified Monitoring on Child Online Trafficking</w:t>
      </w:r>
    </w:p>
    <w:p w14:paraId="330E8DB9" w14:textId="77777777" w:rsidR="001728AF" w:rsidRPr="001728AF" w:rsidRDefault="001728AF" w:rsidP="001728AF">
      <w:pPr>
        <w:overflowPunct/>
        <w:autoSpaceDE/>
        <w:autoSpaceDN/>
        <w:adjustRightInd/>
        <w:spacing w:before="0"/>
        <w:jc w:val="both"/>
        <w:textAlignment w:val="auto"/>
        <w:rPr>
          <w:rFonts w:eastAsia="Calibri" w:cs="Calibri"/>
          <w:szCs w:val="24"/>
          <w:lang w:val="en-PH" w:eastAsia="zh-CN"/>
        </w:rPr>
      </w:pPr>
    </w:p>
    <w:p w14:paraId="505FAE39" w14:textId="77777777" w:rsidR="001728AF" w:rsidRPr="001728AF" w:rsidRDefault="001728AF" w:rsidP="001728AF">
      <w:pPr>
        <w:overflowPunct/>
        <w:autoSpaceDE/>
        <w:autoSpaceDN/>
        <w:adjustRightInd/>
        <w:spacing w:before="0"/>
        <w:jc w:val="both"/>
        <w:textAlignment w:val="auto"/>
        <w:rPr>
          <w:rFonts w:eastAsia="Calibri" w:cs="Calibri"/>
          <w:color w:val="0A0A0A"/>
          <w:szCs w:val="24"/>
          <w:highlight w:val="white"/>
          <w:lang w:val="en-PH" w:eastAsia="zh-CN"/>
        </w:rPr>
      </w:pPr>
      <w:r w:rsidRPr="001728AF">
        <w:rPr>
          <w:rFonts w:eastAsia="Calibri" w:cs="Calibri"/>
          <w:szCs w:val="24"/>
          <w:lang w:val="en-PH" w:eastAsia="zh-CN"/>
        </w:rPr>
        <w:t>Under the DOJ, the Inter-Agency Council Against Trafficking (IACAT) i</w:t>
      </w:r>
      <w:r w:rsidRPr="001728AF">
        <w:rPr>
          <w:rFonts w:eastAsia="Calibri" w:cs="Calibri"/>
          <w:color w:val="0A0A0A"/>
          <w:szCs w:val="24"/>
          <w:highlight w:val="white"/>
          <w:lang w:val="en-PH" w:eastAsia="zh-CN"/>
        </w:rPr>
        <w:t xml:space="preserve">s the central coordinating body that monitors and combats human trafficking by implementing the Anti-Trafficking in Persons Act. It develops comprehensive and integrated programs to prevent and suppress trafficking in persons, establish the necessary institutional mechanism for the protection and support of trafficked persons, and ensure effective response to cases of trafficking in persons particularly in the investigation and prosecution of trafficking persons cases. IACAT also works </w:t>
      </w:r>
      <w:proofErr w:type="gramStart"/>
      <w:r w:rsidRPr="001728AF">
        <w:rPr>
          <w:rFonts w:eastAsia="Calibri" w:cs="Calibri"/>
          <w:color w:val="0A0A0A"/>
          <w:szCs w:val="24"/>
          <w:highlight w:val="white"/>
          <w:lang w:val="en-PH" w:eastAsia="zh-CN"/>
        </w:rPr>
        <w:t>hand-in-hand</w:t>
      </w:r>
      <w:proofErr w:type="gramEnd"/>
      <w:r w:rsidRPr="001728AF">
        <w:rPr>
          <w:rFonts w:eastAsia="Calibri" w:cs="Calibri"/>
          <w:color w:val="0A0A0A"/>
          <w:szCs w:val="24"/>
          <w:highlight w:val="white"/>
          <w:lang w:val="en-PH" w:eastAsia="zh-CN"/>
        </w:rPr>
        <w:t xml:space="preserve"> with NCC-OSAEC-OSAEM.</w:t>
      </w:r>
    </w:p>
    <w:p w14:paraId="01ABAD82" w14:textId="77777777" w:rsidR="001728AF" w:rsidRPr="001728AF" w:rsidRDefault="001728AF" w:rsidP="001728AF">
      <w:pPr>
        <w:overflowPunct/>
        <w:autoSpaceDE/>
        <w:autoSpaceDN/>
        <w:adjustRightInd/>
        <w:spacing w:before="0"/>
        <w:jc w:val="both"/>
        <w:textAlignment w:val="auto"/>
        <w:rPr>
          <w:rFonts w:eastAsia="Calibri" w:cs="Calibri"/>
          <w:color w:val="0A0A0A"/>
          <w:szCs w:val="24"/>
          <w:highlight w:val="white"/>
          <w:lang w:val="en-PH" w:eastAsia="zh-CN"/>
        </w:rPr>
      </w:pPr>
    </w:p>
    <w:p w14:paraId="322BFDD0" w14:textId="77777777" w:rsidR="001728AF" w:rsidRPr="001728AF" w:rsidRDefault="001728AF" w:rsidP="001728AF">
      <w:pPr>
        <w:overflowPunct/>
        <w:autoSpaceDE/>
        <w:autoSpaceDN/>
        <w:adjustRightInd/>
        <w:spacing w:before="0" w:line="276" w:lineRule="auto"/>
        <w:jc w:val="both"/>
        <w:textAlignment w:val="auto"/>
        <w:rPr>
          <w:rFonts w:eastAsia="Calibri" w:cs="Calibri"/>
          <w:color w:val="0A0A0A"/>
          <w:szCs w:val="24"/>
          <w:highlight w:val="white"/>
          <w:lang w:val="en-PH" w:eastAsia="zh-CN"/>
        </w:rPr>
      </w:pPr>
      <w:r w:rsidRPr="001728AF">
        <w:rPr>
          <w:rFonts w:eastAsia="Calibri" w:cs="Calibri"/>
          <w:color w:val="0A0A0A"/>
          <w:szCs w:val="24"/>
          <w:highlight w:val="white"/>
          <w:lang w:val="en-PH" w:eastAsia="zh-CN"/>
        </w:rPr>
        <w:t>The IACAT adopted the Philippine Strategic Plan Against OSAEC-CSAEM crafted by NCC-OSAEC-CSAEM last 10 September 2025. The Strategic plan establishes a comprehensive roadmap for concerted efforts against OSAEC and CSAEM from 2025 through 2028, aiming to deliver four (4) key results: (1) Prevention and Advocacy – communities in the Philippines are knowledgeable and effectively prevent and reduce OSAEC-CSAEM; (2) Protection and Response – a more proactive, gender-responsive, and child friendly environment and protection system that caters to the strategic and practical needs of the victims-survivors, (3) Prosecution, Law Enforcement and Compliance – OSAEC-CSAEM cases are reported and reduced, and (4) Partnerships and Networking – local and international partnerships and networks are strengthened and expanded.</w:t>
      </w:r>
    </w:p>
    <w:p w14:paraId="5CB4E722" w14:textId="77777777" w:rsidR="001728AF" w:rsidRPr="001728AF" w:rsidRDefault="001728AF" w:rsidP="001728AF">
      <w:pPr>
        <w:overflowPunct/>
        <w:autoSpaceDE/>
        <w:autoSpaceDN/>
        <w:adjustRightInd/>
        <w:spacing w:before="0" w:line="276" w:lineRule="auto"/>
        <w:jc w:val="both"/>
        <w:textAlignment w:val="auto"/>
        <w:rPr>
          <w:rFonts w:eastAsia="Calibri" w:cs="Calibri"/>
          <w:color w:val="0A0A0A"/>
          <w:szCs w:val="24"/>
          <w:highlight w:val="white"/>
          <w:lang w:val="en-PH" w:eastAsia="zh-CN"/>
        </w:rPr>
      </w:pPr>
    </w:p>
    <w:p w14:paraId="2313FAA4" w14:textId="77777777" w:rsidR="001728AF" w:rsidRPr="001728AF" w:rsidRDefault="001728AF" w:rsidP="001728AF">
      <w:pPr>
        <w:overflowPunct/>
        <w:autoSpaceDE/>
        <w:autoSpaceDN/>
        <w:adjustRightInd/>
        <w:spacing w:before="0" w:line="276" w:lineRule="auto"/>
        <w:jc w:val="both"/>
        <w:textAlignment w:val="auto"/>
        <w:rPr>
          <w:rFonts w:eastAsia="Calibri" w:cs="Calibri"/>
          <w:color w:val="0A0A0A"/>
          <w:szCs w:val="24"/>
          <w:highlight w:val="white"/>
          <w:lang w:val="en-PH" w:eastAsia="zh-CN"/>
        </w:rPr>
      </w:pPr>
      <w:r w:rsidRPr="001728AF">
        <w:rPr>
          <w:rFonts w:eastAsia="Calibri" w:cs="Calibri"/>
          <w:color w:val="0A0A0A"/>
          <w:szCs w:val="24"/>
          <w:highlight w:val="white"/>
          <w:lang w:val="en-PH" w:eastAsia="zh-CN"/>
        </w:rPr>
        <w:t xml:space="preserve">Between September 2024 and June 2025, NCC-OSAEC-CSAEM conducted island-wide consultations to develop the National Action Plan. Stakeholders from government agencies, non-government partners, and civil society, internet and financial intermediaries, and most especially children, joined workshops to clarify the OSAEC-CSAEM landscape and co-create solutions. Survivors’ voices grounded the process with lived insights, helping shape more effective, humane responses. This was developed with the support of UNICEF, the Philippine Legislators’ Committee on Population and Development Foundation, Inc., EU </w:t>
      </w:r>
      <w:proofErr w:type="spellStart"/>
      <w:r w:rsidRPr="001728AF">
        <w:rPr>
          <w:rFonts w:eastAsia="Calibri" w:cs="Calibri"/>
          <w:color w:val="0A0A0A"/>
          <w:szCs w:val="24"/>
          <w:highlight w:val="white"/>
          <w:lang w:val="en-PH" w:eastAsia="zh-CN"/>
        </w:rPr>
        <w:t>GoJust</w:t>
      </w:r>
      <w:proofErr w:type="spellEnd"/>
      <w:r w:rsidRPr="001728AF">
        <w:rPr>
          <w:rFonts w:eastAsia="Calibri" w:cs="Calibri"/>
          <w:color w:val="0A0A0A"/>
          <w:szCs w:val="24"/>
          <w:highlight w:val="white"/>
          <w:lang w:val="en-PH" w:eastAsia="zh-CN"/>
        </w:rPr>
        <w:t xml:space="preserve"> II, and </w:t>
      </w:r>
      <w:proofErr w:type="spellStart"/>
      <w:r w:rsidRPr="001728AF">
        <w:rPr>
          <w:rFonts w:eastAsia="Calibri" w:cs="Calibri"/>
          <w:color w:val="0A0A0A"/>
          <w:szCs w:val="24"/>
          <w:highlight w:val="white"/>
          <w:lang w:val="en-PH" w:eastAsia="zh-CN"/>
        </w:rPr>
        <w:t>SaferKidsPh</w:t>
      </w:r>
      <w:proofErr w:type="spellEnd"/>
      <w:r w:rsidRPr="001728AF">
        <w:rPr>
          <w:rFonts w:eastAsia="Calibri" w:cs="Calibri"/>
          <w:color w:val="0A0A0A"/>
          <w:szCs w:val="24"/>
          <w:highlight w:val="white"/>
          <w:lang w:val="en-PH" w:eastAsia="zh-CN"/>
        </w:rPr>
        <w:t>.</w:t>
      </w:r>
    </w:p>
    <w:p w14:paraId="50831FA6" w14:textId="77777777" w:rsidR="001728AF" w:rsidRPr="001728AF" w:rsidRDefault="001728AF" w:rsidP="001728AF">
      <w:pPr>
        <w:overflowPunct/>
        <w:autoSpaceDE/>
        <w:autoSpaceDN/>
        <w:adjustRightInd/>
        <w:spacing w:before="0" w:line="276" w:lineRule="auto"/>
        <w:jc w:val="both"/>
        <w:textAlignment w:val="auto"/>
        <w:rPr>
          <w:rFonts w:eastAsia="Calibri" w:cs="Calibri"/>
          <w:color w:val="0A0A0A"/>
          <w:szCs w:val="24"/>
          <w:highlight w:val="white"/>
          <w:lang w:val="en-PH" w:eastAsia="zh-CN"/>
        </w:rPr>
      </w:pPr>
    </w:p>
    <w:p w14:paraId="5161F460" w14:textId="77777777" w:rsidR="001728AF" w:rsidRPr="001728AF" w:rsidRDefault="001728AF" w:rsidP="001728AF">
      <w:pPr>
        <w:overflowPunct/>
        <w:autoSpaceDE/>
        <w:autoSpaceDN/>
        <w:adjustRightInd/>
        <w:spacing w:before="0" w:line="276" w:lineRule="auto"/>
        <w:jc w:val="both"/>
        <w:textAlignment w:val="auto"/>
        <w:rPr>
          <w:rFonts w:eastAsia="Calibri" w:cs="Calibri"/>
          <w:color w:val="0A0A0A"/>
          <w:szCs w:val="24"/>
          <w:highlight w:val="white"/>
          <w:lang w:val="en-PH" w:eastAsia="zh-CN"/>
        </w:rPr>
      </w:pPr>
      <w:r w:rsidRPr="001728AF">
        <w:rPr>
          <w:rFonts w:eastAsia="Calibri" w:cs="Calibri"/>
          <w:color w:val="0A0A0A"/>
          <w:szCs w:val="24"/>
          <w:highlight w:val="white"/>
          <w:lang w:val="en-PH" w:eastAsia="zh-CN"/>
        </w:rPr>
        <w:t>To reinforce local anti-trafficking efforts, the IACAT revised and enhanced the DILG-DSWD-DOJ Joint Memorandum Circular establishing Guidelines on the Institutionalization and Strengthening of the Regional Committee on Anti-Trafficking and Violence Against Women and Their Children (RCAT-VAWC) and Local Committee on Anti-Trafficking and Violence Against Women and Their Children (LCAT-VAWC). This policy issuance, jointly developed by the DILG, DSWD, and the DOJ, aims to institutionalize the establishment of RCAT-VAWC and LCAT-VAWC and strengthen their mandates to effectively coordinate and implement anti-trafficking, OSAEC, violence against women and their children, and other forms of gender-based violence (GBV) related initiatives at the national level.</w:t>
      </w:r>
    </w:p>
    <w:p w14:paraId="35E8F53F" w14:textId="77777777" w:rsidR="001728AF" w:rsidRPr="001728AF" w:rsidRDefault="001728AF" w:rsidP="001728AF">
      <w:pPr>
        <w:overflowPunct/>
        <w:autoSpaceDE/>
        <w:autoSpaceDN/>
        <w:adjustRightInd/>
        <w:spacing w:before="0" w:line="276" w:lineRule="auto"/>
        <w:jc w:val="both"/>
        <w:textAlignment w:val="auto"/>
        <w:rPr>
          <w:rFonts w:eastAsia="Calibri" w:cs="Calibri"/>
          <w:color w:val="0A0A0A"/>
          <w:szCs w:val="24"/>
          <w:highlight w:val="white"/>
          <w:lang w:val="en-PH" w:eastAsia="zh-CN"/>
        </w:rPr>
      </w:pPr>
    </w:p>
    <w:p w14:paraId="45153AB8" w14:textId="77777777" w:rsidR="001728AF" w:rsidRPr="001728AF" w:rsidRDefault="001728AF" w:rsidP="001728AF">
      <w:pPr>
        <w:overflowPunct/>
        <w:autoSpaceDE/>
        <w:autoSpaceDN/>
        <w:adjustRightInd/>
        <w:spacing w:before="0" w:line="276" w:lineRule="auto"/>
        <w:jc w:val="both"/>
        <w:textAlignment w:val="auto"/>
        <w:rPr>
          <w:rFonts w:eastAsia="Calibri" w:cs="Calibri"/>
          <w:color w:val="0A0A0A"/>
          <w:szCs w:val="24"/>
          <w:highlight w:val="white"/>
          <w:lang w:val="en-PH" w:eastAsia="zh-CN"/>
        </w:rPr>
      </w:pPr>
      <w:r w:rsidRPr="001728AF">
        <w:rPr>
          <w:rFonts w:eastAsia="Calibri" w:cs="Calibri"/>
          <w:color w:val="0A0A0A"/>
          <w:szCs w:val="24"/>
          <w:highlight w:val="white"/>
          <w:lang w:val="en-PH" w:eastAsia="zh-CN"/>
        </w:rPr>
        <w:t>The DILG, through Memorandum Circular 2024-094, integrated anti-OSAEC and CSAEM measures into the Child-Friendly Local Governance Audit (CFLGA). It highlights the need for local ordinances at the community level to prevent and respond to online sexual abuse and exploitation of children. Memorandum Circular 2024-140 further guides Local Government Units (LGUs) in crafting a comprehensive ordinance on OSAEC and CSAEM. After one year, capacity-building tied to the 2025 CFLGA strengthened local services, with 62% of cities and municipalities (1,010 of 1,642) adopting anti-OSAEC and CSAEM ordinances. The DILG rolled out the Barangay Child Protection Policy-Making Module to guide barangays in framing and adopting community policies that address OSAEC and CSAEM. The rollout reached local officials from Justice Zones—Tagaytay City, Cebu City, Davao City, Puerto Princesa City, and Bacolod City.</w:t>
      </w:r>
    </w:p>
    <w:p w14:paraId="5A7A6D99" w14:textId="77777777" w:rsidR="001728AF" w:rsidRPr="001728AF" w:rsidRDefault="001728AF" w:rsidP="001728AF">
      <w:pPr>
        <w:overflowPunct/>
        <w:autoSpaceDE/>
        <w:autoSpaceDN/>
        <w:adjustRightInd/>
        <w:spacing w:before="0"/>
        <w:jc w:val="both"/>
        <w:textAlignment w:val="auto"/>
        <w:rPr>
          <w:rFonts w:eastAsia="Calibri" w:cs="Calibri"/>
          <w:color w:val="0A0A0A"/>
          <w:szCs w:val="24"/>
          <w:highlight w:val="white"/>
          <w:lang w:val="en-PH" w:eastAsia="zh-CN"/>
        </w:rPr>
      </w:pPr>
    </w:p>
    <w:p w14:paraId="25CB6EBC" w14:textId="77777777" w:rsidR="001728AF" w:rsidRPr="001728AF" w:rsidRDefault="001728AF" w:rsidP="001728AF">
      <w:pPr>
        <w:overflowPunct/>
        <w:autoSpaceDE/>
        <w:autoSpaceDN/>
        <w:adjustRightInd/>
        <w:spacing w:before="0" w:line="276" w:lineRule="auto"/>
        <w:jc w:val="both"/>
        <w:textAlignment w:val="auto"/>
        <w:rPr>
          <w:rFonts w:eastAsia="Calibri" w:cs="Calibri"/>
          <w:szCs w:val="24"/>
          <w:lang w:val="en-PH" w:eastAsia="zh-CN"/>
        </w:rPr>
      </w:pPr>
      <w:r w:rsidRPr="001728AF">
        <w:rPr>
          <w:rFonts w:eastAsia="Calibri" w:cs="Calibri"/>
          <w:szCs w:val="24"/>
          <w:lang w:val="en-PH" w:eastAsia="zh-CN"/>
        </w:rPr>
        <w:t>The Council for the Welfare of Children (CWC) launched the MAKABATA Helpline 1383 in November 2022 to receive reports on child protection through phone, email, text, and social media. With the issuance of the Executive Order 79 s. 2024, it institutionalized the MAKABATA Program and Helpline 1383 available 24/7. In 2025, the CWC strengthened office setup, expanded the Helpline team with additional personnel, and enhanced its capacity to respond to child protection issues even beyond regular working hours.</w:t>
      </w:r>
    </w:p>
    <w:p w14:paraId="0863E835" w14:textId="77777777" w:rsidR="001728AF" w:rsidRPr="001728AF" w:rsidRDefault="001728AF" w:rsidP="001728AF">
      <w:pPr>
        <w:overflowPunct/>
        <w:autoSpaceDE/>
        <w:autoSpaceDN/>
        <w:adjustRightInd/>
        <w:spacing w:before="0" w:line="276" w:lineRule="auto"/>
        <w:jc w:val="both"/>
        <w:textAlignment w:val="auto"/>
        <w:rPr>
          <w:rFonts w:eastAsia="Calibri" w:cs="Calibri"/>
          <w:szCs w:val="24"/>
          <w:lang w:val="en-PH" w:eastAsia="zh-CN"/>
        </w:rPr>
      </w:pPr>
    </w:p>
    <w:p w14:paraId="7BCFFEC9" w14:textId="77777777" w:rsidR="001728AF" w:rsidRPr="001728AF" w:rsidRDefault="001728AF" w:rsidP="001728AF">
      <w:pPr>
        <w:overflowPunct/>
        <w:autoSpaceDE/>
        <w:autoSpaceDN/>
        <w:adjustRightInd/>
        <w:spacing w:before="0" w:line="276" w:lineRule="auto"/>
        <w:jc w:val="both"/>
        <w:textAlignment w:val="auto"/>
        <w:rPr>
          <w:rFonts w:eastAsia="Calibri" w:cs="Calibri"/>
          <w:szCs w:val="24"/>
          <w:lang w:val="en-PH" w:eastAsia="zh-CN"/>
        </w:rPr>
      </w:pPr>
      <w:r w:rsidRPr="001728AF">
        <w:rPr>
          <w:rFonts w:eastAsia="Calibri" w:cs="Calibri"/>
          <w:color w:val="09090A"/>
          <w:szCs w:val="24"/>
          <w:lang w:val="en-PH" w:eastAsia="zh-CN"/>
        </w:rPr>
        <w:t xml:space="preserve">As mandated by the Anti-Trafficking in Persons Act, the IACAT also established </w:t>
      </w:r>
      <w:proofErr w:type="spellStart"/>
      <w:r w:rsidRPr="001728AF">
        <w:rPr>
          <w:rFonts w:eastAsia="Calibri" w:cs="Calibri"/>
          <w:color w:val="09090A"/>
          <w:szCs w:val="24"/>
          <w:lang w:val="en-PH" w:eastAsia="zh-CN"/>
        </w:rPr>
        <w:t>ProtectPortal</w:t>
      </w:r>
      <w:proofErr w:type="spellEnd"/>
      <w:r w:rsidRPr="001728AF">
        <w:rPr>
          <w:rFonts w:eastAsia="Calibri" w:cs="Calibri"/>
          <w:color w:val="09090A"/>
          <w:szCs w:val="24"/>
          <w:lang w:val="en-PH" w:eastAsia="zh-CN"/>
        </w:rPr>
        <w:t xml:space="preserve"> to consolidate TIP-related data across all phases of government response, from investigation to prosecution. It is a data management system that enhances government agencies’ ability to consolidate and access trafficking-related data, leading to smarter </w:t>
      </w:r>
      <w:r w:rsidRPr="001728AF">
        <w:rPr>
          <w:rFonts w:eastAsia="Calibri" w:cs="Calibri"/>
          <w:szCs w:val="24"/>
          <w:lang w:val="en-PH" w:eastAsia="zh-CN"/>
        </w:rPr>
        <w:t xml:space="preserve">decisions and stronger protection efforts. The portal is a powerful new tool to strengthen the country’s fight against human trafficking and protect vulnerable communities. On 25 September 2025, the IACAT, in partnership with International Justice Mission (IJM) officially launched the IACAT </w:t>
      </w:r>
      <w:proofErr w:type="spellStart"/>
      <w:r w:rsidRPr="001728AF">
        <w:rPr>
          <w:rFonts w:eastAsia="Calibri" w:cs="Calibri"/>
          <w:szCs w:val="24"/>
          <w:lang w:val="en-PH" w:eastAsia="zh-CN"/>
        </w:rPr>
        <w:t>ProtectPortal</w:t>
      </w:r>
      <w:proofErr w:type="spellEnd"/>
      <w:r w:rsidRPr="001728AF">
        <w:rPr>
          <w:rFonts w:eastAsia="Calibri" w:cs="Calibri"/>
          <w:szCs w:val="24"/>
          <w:lang w:val="en-PH" w:eastAsia="zh-CN"/>
        </w:rPr>
        <w:t>.</w:t>
      </w:r>
    </w:p>
    <w:p w14:paraId="756E546F" w14:textId="77777777" w:rsidR="001728AF" w:rsidRPr="001728AF" w:rsidRDefault="001728AF" w:rsidP="001728AF">
      <w:pPr>
        <w:overflowPunct/>
        <w:autoSpaceDE/>
        <w:autoSpaceDN/>
        <w:adjustRightInd/>
        <w:spacing w:before="0" w:line="276" w:lineRule="auto"/>
        <w:jc w:val="both"/>
        <w:textAlignment w:val="auto"/>
        <w:rPr>
          <w:rFonts w:eastAsia="Calibri" w:cs="Calibri"/>
          <w:szCs w:val="24"/>
          <w:lang w:val="en-PH" w:eastAsia="zh-CN"/>
        </w:rPr>
      </w:pPr>
    </w:p>
    <w:p w14:paraId="24AA2A6D" w14:textId="77777777" w:rsidR="001728AF" w:rsidRPr="001728AF" w:rsidRDefault="001728AF" w:rsidP="001728AF">
      <w:pPr>
        <w:overflowPunct/>
        <w:autoSpaceDE/>
        <w:autoSpaceDN/>
        <w:adjustRightInd/>
        <w:spacing w:before="0" w:line="276" w:lineRule="auto"/>
        <w:jc w:val="both"/>
        <w:textAlignment w:val="auto"/>
        <w:rPr>
          <w:rFonts w:eastAsia="Calibri" w:cs="Calibri"/>
          <w:szCs w:val="24"/>
          <w:lang w:val="en-PH" w:eastAsia="zh-CN"/>
        </w:rPr>
      </w:pPr>
      <w:r w:rsidRPr="001728AF">
        <w:rPr>
          <w:rFonts w:eastAsia="Calibri" w:cs="Calibri"/>
          <w:szCs w:val="24"/>
          <w:lang w:val="en-PH" w:eastAsia="zh-CN"/>
        </w:rPr>
        <w:t>The NCC-OSAEC-CSAEM, through the leadership of the Bureau of Immigration (BI) and the Philippine National Police – Women and Children Protection Center (PNP-WCPC), spearheaded the creation of a Technical Working Group (TWG) to develop the Child Sex Offenders Registry and the Registry of Blacklisted Aliens. These registries will serve as vital mechanisms for tracking and monitoring convicted offenders and will support prevention, investigation, and enforcement efforts related to child sexual abuse and exploitation.</w:t>
      </w:r>
    </w:p>
    <w:p w14:paraId="2F2A5411" w14:textId="77777777" w:rsidR="001728AF" w:rsidRPr="001728AF" w:rsidRDefault="001728AF" w:rsidP="001728AF">
      <w:pPr>
        <w:overflowPunct/>
        <w:autoSpaceDE/>
        <w:autoSpaceDN/>
        <w:adjustRightInd/>
        <w:spacing w:before="0" w:line="276" w:lineRule="auto"/>
        <w:jc w:val="both"/>
        <w:textAlignment w:val="auto"/>
        <w:rPr>
          <w:rFonts w:eastAsia="Calibri" w:cs="Calibri"/>
          <w:szCs w:val="24"/>
          <w:lang w:val="en-PH" w:eastAsia="zh-CN"/>
        </w:rPr>
      </w:pPr>
    </w:p>
    <w:p w14:paraId="05E7DA0F" w14:textId="77777777" w:rsidR="001728AF" w:rsidRPr="001728AF" w:rsidRDefault="001728AF" w:rsidP="001728AF">
      <w:pPr>
        <w:overflowPunct/>
        <w:autoSpaceDE/>
        <w:autoSpaceDN/>
        <w:adjustRightInd/>
        <w:spacing w:before="0" w:line="276" w:lineRule="auto"/>
        <w:jc w:val="both"/>
        <w:textAlignment w:val="auto"/>
        <w:rPr>
          <w:rFonts w:eastAsia="Calibri" w:cs="Calibri"/>
          <w:szCs w:val="24"/>
          <w:lang w:val="en-PH" w:eastAsia="zh-CN"/>
        </w:rPr>
      </w:pPr>
      <w:r w:rsidRPr="001728AF">
        <w:rPr>
          <w:rFonts w:eastAsia="Calibri" w:cs="Calibri"/>
          <w:szCs w:val="24"/>
          <w:lang w:val="en-PH" w:eastAsia="zh-CN"/>
        </w:rPr>
        <w:t xml:space="preserve">The Guidelines on Accessibility and Reasonable Accommodations for Children was also approved on 10 September 2025 by the CWC. This was established to provide guiding principles for ensuring access to justice for children with disabilities who are victim survivors or witnesses of OSAEC, CSAEM or other forms of child abuse or exploitation. The Guidelines shall apply to all appropriate government agencies and non-government organizations mandated or authorized to assist victim-survivors or witnesses of OSAEC-CSAEM, or other forms of child abuse or exploitation cases. </w:t>
      </w:r>
    </w:p>
    <w:p w14:paraId="2AA528AC" w14:textId="77777777" w:rsidR="001728AF" w:rsidRPr="001728AF" w:rsidRDefault="001728AF" w:rsidP="001728AF">
      <w:pPr>
        <w:overflowPunct/>
        <w:autoSpaceDE/>
        <w:autoSpaceDN/>
        <w:adjustRightInd/>
        <w:spacing w:before="0" w:line="276" w:lineRule="auto"/>
        <w:jc w:val="both"/>
        <w:textAlignment w:val="auto"/>
        <w:rPr>
          <w:rFonts w:eastAsia="Calibri" w:cs="Calibri"/>
          <w:szCs w:val="24"/>
          <w:lang w:val="en-PH" w:eastAsia="zh-CN"/>
        </w:rPr>
      </w:pPr>
    </w:p>
    <w:p w14:paraId="1D16234E" w14:textId="77777777" w:rsidR="001728AF" w:rsidRPr="001728AF" w:rsidRDefault="001728AF" w:rsidP="001728AF">
      <w:pPr>
        <w:overflowPunct/>
        <w:autoSpaceDE/>
        <w:autoSpaceDN/>
        <w:adjustRightInd/>
        <w:spacing w:before="0" w:line="276" w:lineRule="auto"/>
        <w:jc w:val="both"/>
        <w:textAlignment w:val="auto"/>
        <w:rPr>
          <w:rFonts w:eastAsia="Calibri" w:cs="Calibri"/>
          <w:szCs w:val="24"/>
          <w:lang w:val="en-PH" w:eastAsia="zh-CN"/>
        </w:rPr>
      </w:pPr>
      <w:r w:rsidRPr="001728AF">
        <w:rPr>
          <w:rFonts w:eastAsia="Calibri" w:cs="Calibri"/>
          <w:szCs w:val="24"/>
          <w:lang w:val="en-PH" w:eastAsia="zh-CN"/>
        </w:rPr>
        <w:t>The DOJ also re-organized its Anti-Trafficking Task Forces across different regions and ports in the Philippines. By virtue of the re-organization, the Regional Anti-Trafficking Task Forces were redesignated as the Regional Anti-Child Online Sexual Exploitation and Trafficking Task Forces (RACETTF) reflecting the task forces’ expanded mandate to address both TIP and OSAEC-CSAEM cases. It further expands the membership of the Task Forces to 652 member prosecutors.</w:t>
      </w:r>
    </w:p>
    <w:p w14:paraId="7555327C" w14:textId="77777777" w:rsidR="001728AF" w:rsidRPr="001728AF" w:rsidRDefault="001728AF" w:rsidP="001728AF">
      <w:pPr>
        <w:overflowPunct/>
        <w:autoSpaceDE/>
        <w:autoSpaceDN/>
        <w:adjustRightInd/>
        <w:spacing w:before="0"/>
        <w:jc w:val="both"/>
        <w:textAlignment w:val="auto"/>
        <w:rPr>
          <w:rFonts w:eastAsia="Calibri" w:cs="Calibri"/>
          <w:szCs w:val="24"/>
          <w:lang w:val="en-PH" w:eastAsia="zh-CN"/>
        </w:rPr>
      </w:pPr>
    </w:p>
    <w:p w14:paraId="607EC65E" w14:textId="77777777" w:rsidR="001728AF" w:rsidRPr="001728AF" w:rsidRDefault="001728AF" w:rsidP="001728AF">
      <w:pPr>
        <w:overflowPunct/>
        <w:autoSpaceDE/>
        <w:autoSpaceDN/>
        <w:adjustRightInd/>
        <w:spacing w:before="0" w:line="276" w:lineRule="auto"/>
        <w:jc w:val="both"/>
        <w:textAlignment w:val="auto"/>
        <w:rPr>
          <w:rFonts w:eastAsia="Calibri" w:cs="Calibri"/>
          <w:szCs w:val="24"/>
          <w:lang w:val="en-PH" w:eastAsia="zh-CN"/>
        </w:rPr>
      </w:pPr>
      <w:r w:rsidRPr="001728AF">
        <w:rPr>
          <w:rFonts w:eastAsia="Calibri" w:cs="Calibri"/>
          <w:szCs w:val="24"/>
          <w:lang w:val="en-PH" w:eastAsia="zh-CN"/>
        </w:rPr>
        <w:t xml:space="preserve">On victim protection and assistance, the DSWD, through its Recovery and Reintegration Program for Trafficking Persons (RRPTP), has provided support to 1,783 trafficked victims, of which 471 (26%) were minors in 2025. The RRPTP provides comprehensive support to trafficking victims, ensuring they receive adequate recovery and reintegration services. </w:t>
      </w:r>
    </w:p>
    <w:p w14:paraId="7A8CDFC8" w14:textId="77777777" w:rsidR="001728AF" w:rsidRPr="001728AF" w:rsidRDefault="001728AF" w:rsidP="001728AF">
      <w:pPr>
        <w:overflowPunct/>
        <w:autoSpaceDE/>
        <w:autoSpaceDN/>
        <w:adjustRightInd/>
        <w:spacing w:before="0"/>
        <w:jc w:val="both"/>
        <w:textAlignment w:val="auto"/>
        <w:rPr>
          <w:rFonts w:eastAsia="Calibri" w:cs="Calibri"/>
          <w:b/>
          <w:bCs/>
          <w:szCs w:val="24"/>
          <w:lang w:val="en-PH" w:eastAsia="zh-CN"/>
        </w:rPr>
      </w:pPr>
    </w:p>
    <w:p w14:paraId="0972017B" w14:textId="77777777" w:rsidR="001728AF" w:rsidRPr="001728AF" w:rsidRDefault="001728AF" w:rsidP="001728AF">
      <w:pPr>
        <w:overflowPunct/>
        <w:autoSpaceDE/>
        <w:autoSpaceDN/>
        <w:adjustRightInd/>
        <w:spacing w:before="0"/>
        <w:jc w:val="both"/>
        <w:textAlignment w:val="auto"/>
        <w:rPr>
          <w:rFonts w:eastAsia="Calibri" w:cs="Calibri"/>
          <w:b/>
          <w:bCs/>
          <w:szCs w:val="24"/>
          <w:lang w:val="en-PH" w:eastAsia="zh-CN"/>
        </w:rPr>
      </w:pPr>
    </w:p>
    <w:p w14:paraId="75AF8F0B" w14:textId="77777777" w:rsidR="001728AF" w:rsidRPr="001728AF" w:rsidRDefault="001728AF" w:rsidP="001728AF">
      <w:pPr>
        <w:overflowPunct/>
        <w:autoSpaceDE/>
        <w:autoSpaceDN/>
        <w:adjustRightInd/>
        <w:spacing w:before="0"/>
        <w:jc w:val="both"/>
        <w:textAlignment w:val="auto"/>
        <w:rPr>
          <w:rFonts w:eastAsia="Calibri" w:cs="Calibri"/>
          <w:b/>
          <w:bCs/>
          <w:szCs w:val="24"/>
          <w:lang w:val="en-PH" w:eastAsia="zh-CN"/>
        </w:rPr>
      </w:pPr>
    </w:p>
    <w:p w14:paraId="6B0F7E26" w14:textId="77777777" w:rsidR="001728AF" w:rsidRPr="001728AF" w:rsidRDefault="001728AF" w:rsidP="001728AF">
      <w:pPr>
        <w:overflowPunct/>
        <w:autoSpaceDE/>
        <w:autoSpaceDN/>
        <w:adjustRightInd/>
        <w:spacing w:before="0" w:after="200"/>
        <w:jc w:val="both"/>
        <w:textAlignment w:val="auto"/>
        <w:rPr>
          <w:rFonts w:eastAsia="Calibri" w:cs="Calibri"/>
          <w:b/>
          <w:bCs/>
          <w:szCs w:val="24"/>
          <w:lang w:val="en-PH" w:eastAsia="zh-CN"/>
        </w:rPr>
      </w:pPr>
      <w:r w:rsidRPr="001728AF">
        <w:rPr>
          <w:rFonts w:eastAsia="Calibri" w:cs="Calibri"/>
          <w:b/>
          <w:bCs/>
          <w:szCs w:val="24"/>
          <w:lang w:val="en-PH" w:eastAsia="zh-CN"/>
        </w:rPr>
        <w:t>Advancing Digital Literacy and Safer Internet Practices</w:t>
      </w:r>
    </w:p>
    <w:p w14:paraId="4C675A09" w14:textId="77777777" w:rsidR="001728AF" w:rsidRPr="001728AF" w:rsidRDefault="001728AF" w:rsidP="001728AF">
      <w:pPr>
        <w:overflowPunct/>
        <w:autoSpaceDE/>
        <w:autoSpaceDN/>
        <w:adjustRightInd/>
        <w:spacing w:before="0" w:line="276" w:lineRule="auto"/>
        <w:jc w:val="both"/>
        <w:textAlignment w:val="auto"/>
        <w:rPr>
          <w:rFonts w:eastAsia="Calibri" w:cs="Calibri"/>
          <w:szCs w:val="24"/>
          <w:lang w:val="en-PH" w:eastAsia="zh-CN"/>
        </w:rPr>
      </w:pPr>
      <w:r w:rsidRPr="001728AF">
        <w:rPr>
          <w:rFonts w:eastAsia="Calibri" w:cs="Calibri"/>
          <w:szCs w:val="24"/>
          <w:lang w:val="en-PH" w:eastAsia="zh-CN"/>
        </w:rPr>
        <w:t xml:space="preserve">The DICT through its ICT Literacy and Competency Development Bureau (ILCDB) has integrated child online protection into their digital literacy curricula and modules which are distributed to various learning institutions and schools nationwide. The ILCDB developed a Cyber Safety curriculum which consists of </w:t>
      </w:r>
      <w:proofErr w:type="spellStart"/>
      <w:r w:rsidRPr="001728AF">
        <w:rPr>
          <w:rFonts w:eastAsia="Calibri" w:cs="Calibri"/>
          <w:szCs w:val="24"/>
          <w:lang w:val="en-PH" w:eastAsia="zh-CN"/>
        </w:rPr>
        <w:t>CyberSafe</w:t>
      </w:r>
      <w:proofErr w:type="spellEnd"/>
      <w:r w:rsidRPr="001728AF">
        <w:rPr>
          <w:rFonts w:eastAsia="Calibri" w:cs="Calibri"/>
          <w:szCs w:val="24"/>
          <w:lang w:val="en-PH" w:eastAsia="zh-CN"/>
        </w:rPr>
        <w:t xml:space="preserve"> modules that discuss how to use computers and tablets, programs that are commonly used, and safe internet practices particularly when browsing the web, communicating on the internet, and social media use. Modules have been created for every grade level from Grades 1-12 to ensure its appropriateness to the level of understanding and needs of every student. As </w:t>
      </w:r>
      <w:proofErr w:type="spellStart"/>
      <w:r w:rsidRPr="001728AF">
        <w:rPr>
          <w:rFonts w:eastAsia="Calibri" w:cs="Calibri"/>
          <w:szCs w:val="24"/>
          <w:lang w:val="en-PH" w:eastAsia="zh-CN"/>
        </w:rPr>
        <w:t>students</w:t>
      </w:r>
      <w:proofErr w:type="spellEnd"/>
      <w:r w:rsidRPr="001728AF">
        <w:rPr>
          <w:rFonts w:eastAsia="Calibri" w:cs="Calibri"/>
          <w:szCs w:val="24"/>
          <w:lang w:val="en-PH" w:eastAsia="zh-CN"/>
        </w:rPr>
        <w:t xml:space="preserve"> progress, they are introduced to more concepts that will help them navigate their way with caution in the digital realm.</w:t>
      </w:r>
    </w:p>
    <w:p w14:paraId="33F5EA34" w14:textId="77777777" w:rsidR="001728AF" w:rsidRPr="001728AF" w:rsidRDefault="001728AF" w:rsidP="001728AF">
      <w:pPr>
        <w:overflowPunct/>
        <w:autoSpaceDE/>
        <w:autoSpaceDN/>
        <w:adjustRightInd/>
        <w:spacing w:before="0" w:line="276" w:lineRule="auto"/>
        <w:jc w:val="both"/>
        <w:textAlignment w:val="auto"/>
        <w:rPr>
          <w:rFonts w:eastAsia="Calibri" w:cs="Calibri"/>
          <w:szCs w:val="24"/>
          <w:lang w:val="en-PH" w:eastAsia="zh-CN"/>
        </w:rPr>
      </w:pPr>
    </w:p>
    <w:p w14:paraId="7C26AC0C" w14:textId="77777777" w:rsidR="001728AF" w:rsidRPr="001728AF" w:rsidRDefault="001728AF" w:rsidP="001728AF">
      <w:pPr>
        <w:overflowPunct/>
        <w:autoSpaceDE/>
        <w:autoSpaceDN/>
        <w:adjustRightInd/>
        <w:spacing w:before="0" w:line="276" w:lineRule="auto"/>
        <w:jc w:val="both"/>
        <w:textAlignment w:val="auto"/>
        <w:rPr>
          <w:rFonts w:eastAsia="Calibri" w:cs="Calibri"/>
          <w:szCs w:val="24"/>
          <w:lang w:val="en-PH" w:eastAsia="zh-CN"/>
        </w:rPr>
      </w:pPr>
      <w:r w:rsidRPr="001728AF">
        <w:rPr>
          <w:rFonts w:eastAsia="Calibri" w:cs="Calibri"/>
          <w:szCs w:val="24"/>
          <w:lang w:val="en-PH" w:eastAsia="zh-CN"/>
        </w:rPr>
        <w:t>The DICT conducts various advocacy and awareness initiatives focused on OSAEC and CSAEM. As mandated by Presidential Proclamation No. 417, the DICT celebrates the Safer Internet Day annually. OSAEC-CSAEM awareness materials are included in Cybersecurity Advocacy Modules such as modules on Digital Parenting, Online Violence Against Women and Children, and Cybersecurity for Children. In 2025, the Cybersecurity Bureau also partnered with the Japan International Cooperation Agency (JICA) to develop and disseminate OSAEC Awareness Raising Video Campaigns for Parents and Children.</w:t>
      </w:r>
      <w:r w:rsidRPr="001728AF">
        <w:rPr>
          <w:rFonts w:eastAsia="Calibri" w:cs="Calibri"/>
          <w:sz w:val="26"/>
          <w:szCs w:val="26"/>
          <w:vertAlign w:val="superscript"/>
          <w:lang w:val="en-PH" w:eastAsia="zh-CN"/>
        </w:rPr>
        <w:footnoteReference w:id="1"/>
      </w:r>
      <w:r w:rsidRPr="001728AF">
        <w:rPr>
          <w:rFonts w:eastAsia="Calibri" w:cs="Calibri"/>
          <w:szCs w:val="24"/>
          <w:lang w:val="en-PH" w:eastAsia="zh-CN"/>
        </w:rPr>
        <w:t xml:space="preserve"> These videos were disseminated to various public and private organizations as well as the DICT Regional Offices to raise awareness against OSAEC. The Regional Offices ensure the nationwide implementation of the different advocacy and awareness programs of the bureau. In total, 84 Cybersecurity advocacy and awareness initiatives focused on OSAEC-CSAEM were conducted in 2025.</w:t>
      </w:r>
    </w:p>
    <w:p w14:paraId="72A33C6C" w14:textId="77777777" w:rsidR="001728AF" w:rsidRPr="001728AF" w:rsidRDefault="001728AF" w:rsidP="001728AF">
      <w:pPr>
        <w:overflowPunct/>
        <w:autoSpaceDE/>
        <w:autoSpaceDN/>
        <w:adjustRightInd/>
        <w:spacing w:before="0" w:line="276" w:lineRule="auto"/>
        <w:jc w:val="both"/>
        <w:textAlignment w:val="auto"/>
        <w:rPr>
          <w:rFonts w:eastAsia="Calibri" w:cs="Calibri"/>
          <w:szCs w:val="24"/>
          <w:lang w:val="en-PH" w:eastAsia="zh-CN"/>
        </w:rPr>
      </w:pPr>
    </w:p>
    <w:p w14:paraId="7B51E302" w14:textId="77777777" w:rsidR="001728AF" w:rsidRPr="001728AF" w:rsidRDefault="001728AF" w:rsidP="001728AF">
      <w:pPr>
        <w:overflowPunct/>
        <w:autoSpaceDE/>
        <w:autoSpaceDN/>
        <w:adjustRightInd/>
        <w:spacing w:before="0" w:line="276" w:lineRule="auto"/>
        <w:jc w:val="both"/>
        <w:textAlignment w:val="auto"/>
        <w:rPr>
          <w:rFonts w:eastAsia="Calibri" w:cs="Calibri"/>
          <w:szCs w:val="24"/>
          <w:lang w:val="en-PH" w:eastAsia="zh-CN"/>
        </w:rPr>
      </w:pPr>
      <w:r w:rsidRPr="001728AF">
        <w:rPr>
          <w:rFonts w:eastAsia="Calibri" w:cs="Calibri"/>
          <w:szCs w:val="24"/>
          <w:lang w:val="en-PH" w:eastAsia="zh-CN"/>
        </w:rPr>
        <w:t>The IACAT also amplified targeted awareness-raising campaigns designed to promote anti-human trafficking messages of IACAT to various anti-Trafficking in Persons (TIP) related celebrations such as the Safer Internet and the World Day Against Trafficking. The IACAT also intensified its Barangay</w:t>
      </w:r>
      <w:r w:rsidRPr="001728AF">
        <w:rPr>
          <w:rFonts w:eastAsia="Calibri" w:cs="Calibri"/>
          <w:szCs w:val="24"/>
          <w:vertAlign w:val="superscript"/>
          <w:lang w:val="en-PH" w:eastAsia="zh-CN"/>
        </w:rPr>
        <w:footnoteReference w:id="2"/>
      </w:r>
      <w:r w:rsidRPr="001728AF">
        <w:rPr>
          <w:rFonts w:eastAsia="Calibri" w:cs="Calibri"/>
          <w:szCs w:val="24"/>
          <w:lang w:val="en-PH" w:eastAsia="zh-CN"/>
        </w:rPr>
        <w:t xml:space="preserve"> IACAT as a major awareness program, designed to shift social norms, increase community reporting, and promote vigilance and awareness on certain issues on trafficking in persons and OSAEC.</w:t>
      </w:r>
    </w:p>
    <w:p w14:paraId="0F7EB399" w14:textId="77777777" w:rsidR="001728AF" w:rsidRPr="001728AF" w:rsidRDefault="001728AF" w:rsidP="001728AF">
      <w:pPr>
        <w:overflowPunct/>
        <w:autoSpaceDE/>
        <w:autoSpaceDN/>
        <w:adjustRightInd/>
        <w:spacing w:before="0"/>
        <w:jc w:val="both"/>
        <w:textAlignment w:val="auto"/>
        <w:rPr>
          <w:rFonts w:eastAsia="Calibri" w:cs="Calibri"/>
          <w:szCs w:val="24"/>
          <w:lang w:val="en-PH" w:eastAsia="zh-CN"/>
        </w:rPr>
      </w:pPr>
    </w:p>
    <w:p w14:paraId="0ABCAF68" w14:textId="77777777" w:rsidR="001728AF" w:rsidRPr="001728AF" w:rsidRDefault="001728AF" w:rsidP="001728AF">
      <w:pPr>
        <w:overflowPunct/>
        <w:autoSpaceDE/>
        <w:autoSpaceDN/>
        <w:adjustRightInd/>
        <w:spacing w:before="0"/>
        <w:jc w:val="both"/>
        <w:textAlignment w:val="auto"/>
        <w:rPr>
          <w:rFonts w:eastAsia="Calibri" w:cs="Calibri"/>
          <w:szCs w:val="24"/>
          <w:lang w:val="en-PH" w:eastAsia="zh-CN"/>
        </w:rPr>
      </w:pPr>
    </w:p>
    <w:p w14:paraId="03A1CC73" w14:textId="77777777" w:rsidR="001728AF" w:rsidRPr="001728AF" w:rsidRDefault="001728AF" w:rsidP="001728AF">
      <w:pPr>
        <w:overflowPunct/>
        <w:autoSpaceDE/>
        <w:autoSpaceDN/>
        <w:adjustRightInd/>
        <w:spacing w:before="0" w:after="200"/>
        <w:jc w:val="both"/>
        <w:textAlignment w:val="auto"/>
        <w:rPr>
          <w:rFonts w:eastAsia="Calibri" w:cs="Calibri"/>
          <w:b/>
          <w:bCs/>
          <w:szCs w:val="24"/>
          <w:lang w:val="en-PH" w:eastAsia="zh-CN"/>
        </w:rPr>
      </w:pPr>
      <w:r w:rsidRPr="001728AF">
        <w:rPr>
          <w:rFonts w:eastAsia="Calibri" w:cs="Calibri"/>
          <w:b/>
          <w:bCs/>
          <w:szCs w:val="24"/>
          <w:lang w:val="en-PH" w:eastAsia="zh-CN"/>
        </w:rPr>
        <w:t>Guidelines on Child-Oriented Transparency</w:t>
      </w:r>
    </w:p>
    <w:p w14:paraId="3F731A19" w14:textId="77777777" w:rsidR="001728AF" w:rsidRDefault="001728AF" w:rsidP="001728AF">
      <w:pPr>
        <w:overflowPunct/>
        <w:autoSpaceDE/>
        <w:autoSpaceDN/>
        <w:adjustRightInd/>
        <w:spacing w:before="0" w:line="276" w:lineRule="auto"/>
        <w:jc w:val="both"/>
        <w:textAlignment w:val="auto"/>
        <w:rPr>
          <w:rFonts w:eastAsia="Calibri" w:cs="Calibri"/>
          <w:szCs w:val="24"/>
          <w:lang w:val="en-PH" w:eastAsia="zh-CN"/>
        </w:rPr>
      </w:pPr>
      <w:r w:rsidRPr="001728AF">
        <w:rPr>
          <w:rFonts w:eastAsia="Calibri" w:cs="Calibri"/>
          <w:szCs w:val="24"/>
          <w:lang w:val="en-PH" w:eastAsia="zh-CN"/>
        </w:rPr>
        <w:t xml:space="preserve">Last 2024, the Philippines through the National Privacy Commission (NPC) developed the Advisory on the Guidelines on Child-Oriented Transparency. </w:t>
      </w:r>
      <w:proofErr w:type="gramStart"/>
      <w:r w:rsidRPr="001728AF">
        <w:rPr>
          <w:rFonts w:eastAsia="Calibri" w:cs="Calibri"/>
          <w:szCs w:val="24"/>
          <w:lang w:val="en-PH" w:eastAsia="zh-CN"/>
        </w:rPr>
        <w:t>This Advisory aims</w:t>
      </w:r>
      <w:proofErr w:type="gramEnd"/>
      <w:r w:rsidRPr="001728AF">
        <w:rPr>
          <w:rFonts w:eastAsia="Calibri" w:cs="Calibri"/>
          <w:szCs w:val="24"/>
          <w:lang w:val="en-PH" w:eastAsia="zh-CN"/>
        </w:rPr>
        <w:t xml:space="preserve"> to provide guidelines on processing children's personal data in recognition of their best interests and evolving capacities. After the enactment of the Data Privacy Act, the Philippines encountered significant challenges in promoting and safeguarding children’s best interests and their right to privacy. To resolve this, the NPC consulted representatives from child rights advocacy groups, the academe, and the technology industry on how to strengthen the protection of children’s personal data in the digital environment.</w:t>
      </w:r>
    </w:p>
    <w:p w14:paraId="3D64D2A7" w14:textId="77777777" w:rsidR="001728AF" w:rsidRDefault="001728AF" w:rsidP="001728AF">
      <w:pPr>
        <w:overflowPunct/>
        <w:autoSpaceDE/>
        <w:autoSpaceDN/>
        <w:adjustRightInd/>
        <w:spacing w:before="0" w:line="276" w:lineRule="auto"/>
        <w:jc w:val="both"/>
        <w:textAlignment w:val="auto"/>
        <w:rPr>
          <w:rFonts w:eastAsia="Calibri" w:cs="Calibri"/>
          <w:szCs w:val="24"/>
          <w:lang w:val="en-PH" w:eastAsia="zh-CN"/>
        </w:rPr>
      </w:pPr>
    </w:p>
    <w:p w14:paraId="5CB1EBAF" w14:textId="1872B03F" w:rsidR="001728AF" w:rsidRDefault="001728AF" w:rsidP="001728AF">
      <w:pPr>
        <w:overflowPunct/>
        <w:autoSpaceDE/>
        <w:autoSpaceDN/>
        <w:adjustRightInd/>
        <w:spacing w:before="0" w:line="276" w:lineRule="auto"/>
        <w:jc w:val="both"/>
        <w:textAlignment w:val="auto"/>
        <w:rPr>
          <w:rFonts w:eastAsia="Calibri" w:cs="Calibri"/>
          <w:szCs w:val="24"/>
          <w:lang w:val="en-PH" w:eastAsia="zh-CN"/>
        </w:rPr>
      </w:pPr>
      <w:r w:rsidRPr="001728AF">
        <w:rPr>
          <w:rFonts w:eastAsia="Calibri" w:cs="Calibri"/>
          <w:szCs w:val="24"/>
          <w:lang w:val="en-PH" w:eastAsia="zh-CN"/>
        </w:rPr>
        <w:t xml:space="preserve">The Advisory is a step toward fully recognizing and acknowledging children as data subjects and rights holders. The Advisory discussed how the existing obligations of Personal Information Controllers (PIC) and Personal Information Processors (PIP) in relation to the Principle of Transparency apply to ensure that children are protected while they create and interact within a protective environment. It emphasizes the importance of adopting a risk-based and context-specific approach when processing children’s data, </w:t>
      </w:r>
      <w:proofErr w:type="gramStart"/>
      <w:r w:rsidRPr="001728AF">
        <w:rPr>
          <w:rFonts w:eastAsia="Calibri" w:cs="Calibri"/>
          <w:szCs w:val="24"/>
          <w:lang w:val="en-PH" w:eastAsia="zh-CN"/>
        </w:rPr>
        <w:t>taking into account</w:t>
      </w:r>
      <w:proofErr w:type="gramEnd"/>
      <w:r w:rsidRPr="001728AF">
        <w:rPr>
          <w:rFonts w:eastAsia="Calibri" w:cs="Calibri"/>
          <w:szCs w:val="24"/>
          <w:lang w:val="en-PH" w:eastAsia="zh-CN"/>
        </w:rPr>
        <w:t xml:space="preserve"> age, maturity, evolving capacities, and best interests of the child.</w:t>
      </w:r>
    </w:p>
    <w:p w14:paraId="64CEF781" w14:textId="77777777" w:rsidR="001728AF" w:rsidRDefault="001728AF" w:rsidP="001728AF">
      <w:pPr>
        <w:overflowPunct/>
        <w:autoSpaceDE/>
        <w:autoSpaceDN/>
        <w:adjustRightInd/>
        <w:spacing w:before="0" w:line="276" w:lineRule="auto"/>
        <w:jc w:val="both"/>
        <w:textAlignment w:val="auto"/>
        <w:rPr>
          <w:rFonts w:eastAsia="Calibri" w:cs="Calibri"/>
          <w:szCs w:val="24"/>
          <w:lang w:val="en-PH" w:eastAsia="zh-CN"/>
        </w:rPr>
      </w:pPr>
    </w:p>
    <w:p w14:paraId="712D1CEF" w14:textId="6999A408" w:rsidR="001728AF" w:rsidRPr="001728AF" w:rsidRDefault="001728AF" w:rsidP="001728AF">
      <w:pPr>
        <w:overflowPunct/>
        <w:autoSpaceDE/>
        <w:autoSpaceDN/>
        <w:adjustRightInd/>
        <w:spacing w:before="0" w:line="276" w:lineRule="auto"/>
        <w:jc w:val="both"/>
        <w:textAlignment w:val="auto"/>
        <w:rPr>
          <w:rFonts w:eastAsia="Calibri" w:cs="Calibri"/>
          <w:szCs w:val="24"/>
          <w:lang w:val="en-PH" w:eastAsia="zh-CN"/>
        </w:rPr>
      </w:pPr>
      <w:r w:rsidRPr="001728AF">
        <w:rPr>
          <w:rFonts w:eastAsia="Calibri" w:cs="Calibri"/>
          <w:szCs w:val="24"/>
          <w:lang w:val="en-PH" w:eastAsia="zh-CN"/>
        </w:rPr>
        <w:t>As part of the requirements under the Advisory, PICs must incorporate Child Privacy Impact Assessments (CPIA) as part of their Privacy Impact Assessments (PIA) to determine risks in products or services specifically intended for children or likely to be accessed by children. As a result, PICs will be better equipped to implement appropriate and effective measures to promote Transparency when processing children’s personal data.</w:t>
      </w:r>
    </w:p>
    <w:p w14:paraId="6ABBEFC3" w14:textId="77777777" w:rsidR="001728AF" w:rsidRPr="001728AF" w:rsidRDefault="001728AF" w:rsidP="001728AF">
      <w:pPr>
        <w:overflowPunct/>
        <w:autoSpaceDE/>
        <w:autoSpaceDN/>
        <w:adjustRightInd/>
        <w:spacing w:before="0" w:line="276" w:lineRule="auto"/>
        <w:jc w:val="both"/>
        <w:textAlignment w:val="auto"/>
        <w:rPr>
          <w:rFonts w:eastAsia="Calibri" w:cs="Calibri"/>
          <w:szCs w:val="24"/>
          <w:lang w:val="en-PH" w:eastAsia="zh-CN"/>
        </w:rPr>
      </w:pPr>
    </w:p>
    <w:p w14:paraId="46E9FE41" w14:textId="77777777" w:rsidR="001728AF" w:rsidRPr="001728AF" w:rsidRDefault="001728AF" w:rsidP="001728AF">
      <w:pPr>
        <w:overflowPunct/>
        <w:autoSpaceDE/>
        <w:autoSpaceDN/>
        <w:adjustRightInd/>
        <w:spacing w:before="0" w:line="276" w:lineRule="auto"/>
        <w:jc w:val="both"/>
        <w:textAlignment w:val="auto"/>
        <w:rPr>
          <w:rFonts w:eastAsia="Calibri" w:cs="Calibri"/>
          <w:szCs w:val="24"/>
          <w:lang w:val="en-PH" w:eastAsia="zh-CN"/>
        </w:rPr>
      </w:pPr>
      <w:r w:rsidRPr="001728AF">
        <w:rPr>
          <w:rFonts w:eastAsia="Calibri" w:cs="Calibri"/>
          <w:szCs w:val="24"/>
          <w:lang w:val="en-PH" w:eastAsia="zh-CN"/>
        </w:rPr>
        <w:t>As part of the Philippines’ broader child online protection and digital rights agenda, this Advisory contributes to creating a safer, more accountable, and rights-respecting digital environment for children. It operationalizes data protection principles in a child-sensitive manner and complements national and international efforts to uphold children’s rights to privacy, protection, participation, and access to age-appropriate information in the digital space.</w:t>
      </w:r>
    </w:p>
    <w:p w14:paraId="19CBEB77" w14:textId="77777777" w:rsidR="001728AF" w:rsidRPr="001728AF" w:rsidRDefault="001728AF" w:rsidP="001728AF">
      <w:pPr>
        <w:overflowPunct/>
        <w:autoSpaceDE/>
        <w:autoSpaceDN/>
        <w:adjustRightInd/>
        <w:spacing w:before="0" w:line="276" w:lineRule="auto"/>
        <w:jc w:val="both"/>
        <w:textAlignment w:val="auto"/>
        <w:rPr>
          <w:rFonts w:eastAsia="Calibri" w:cs="Calibri"/>
          <w:szCs w:val="24"/>
          <w:lang w:val="en-PH" w:eastAsia="zh-CN"/>
        </w:rPr>
      </w:pPr>
    </w:p>
    <w:p w14:paraId="3F1504A1" w14:textId="77777777" w:rsidR="001728AF" w:rsidRPr="001728AF" w:rsidRDefault="001728AF" w:rsidP="001728AF">
      <w:pPr>
        <w:overflowPunct/>
        <w:autoSpaceDE/>
        <w:autoSpaceDN/>
        <w:adjustRightInd/>
        <w:spacing w:before="0" w:line="276" w:lineRule="auto"/>
        <w:jc w:val="both"/>
        <w:textAlignment w:val="auto"/>
        <w:rPr>
          <w:rFonts w:eastAsia="Calibri" w:cs="Calibri"/>
          <w:szCs w:val="24"/>
          <w:lang w:val="en-PH" w:eastAsia="zh-CN"/>
        </w:rPr>
      </w:pPr>
      <w:r w:rsidRPr="001728AF">
        <w:rPr>
          <w:rFonts w:eastAsia="Calibri" w:cs="Calibri"/>
          <w:szCs w:val="24"/>
          <w:lang w:val="en-PH" w:eastAsia="zh-CN"/>
        </w:rPr>
        <w:t>Further, as part of efforts to provide adequate, quality, and accessible data privacy education in the Philippines, the NPC produced a series of animated videos to distill fundamental data privacy concepts and principles using scenarios familiar to everyday life. These videos break down data privacy concepts into bite-sized and easy-to-understand pieces that are suitable for all age groups. These videos are available in English, Filipino, and Bisaya, three of the most widely spoken languages in the Philippines, to ensure broader reach and accessibility.</w:t>
      </w:r>
    </w:p>
    <w:p w14:paraId="245F6A82" w14:textId="77777777" w:rsidR="001728AF" w:rsidRPr="001728AF" w:rsidRDefault="001728AF" w:rsidP="001728AF">
      <w:pPr>
        <w:overflowPunct/>
        <w:autoSpaceDE/>
        <w:autoSpaceDN/>
        <w:adjustRightInd/>
        <w:spacing w:before="0"/>
        <w:jc w:val="both"/>
        <w:textAlignment w:val="auto"/>
        <w:rPr>
          <w:rFonts w:eastAsia="Calibri" w:cs="Calibri"/>
          <w:szCs w:val="24"/>
          <w:lang w:val="en-PH" w:eastAsia="zh-CN"/>
        </w:rPr>
      </w:pPr>
    </w:p>
    <w:sdt>
      <w:sdtPr>
        <w:rPr>
          <w:rFonts w:eastAsia="Calibri" w:cs="Calibri"/>
          <w:szCs w:val="24"/>
          <w:lang w:val="en-PH" w:eastAsia="zh-CN"/>
        </w:rPr>
        <w:tag w:val="goog_rdk_0"/>
        <w:id w:val="-1191203208"/>
        <w:lock w:val="contentLocked"/>
      </w:sdtPr>
      <w:sdtContent>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75"/>
            <w:gridCol w:w="5655"/>
          </w:tblGrid>
          <w:tr w:rsidR="001728AF" w:rsidRPr="001728AF" w14:paraId="5144090C" w14:textId="77777777" w:rsidTr="00056430">
            <w:tc>
              <w:tcPr>
                <w:tcW w:w="3375" w:type="dxa"/>
                <w:tcMar>
                  <w:top w:w="100" w:type="dxa"/>
                  <w:left w:w="100" w:type="dxa"/>
                  <w:bottom w:w="100" w:type="dxa"/>
                  <w:right w:w="100" w:type="dxa"/>
                </w:tcMar>
              </w:tcPr>
              <w:p w14:paraId="7B85C4C8" w14:textId="77777777" w:rsidR="001728AF" w:rsidRPr="001728AF" w:rsidRDefault="001728AF" w:rsidP="001728AF">
                <w:pPr>
                  <w:widowControl w:val="0"/>
                  <w:pBdr>
                    <w:top w:val="nil"/>
                    <w:left w:val="nil"/>
                    <w:bottom w:val="nil"/>
                    <w:right w:val="nil"/>
                    <w:between w:val="nil"/>
                  </w:pBdr>
                  <w:overflowPunct/>
                  <w:autoSpaceDE/>
                  <w:autoSpaceDN/>
                  <w:adjustRightInd/>
                  <w:spacing w:before="0"/>
                  <w:textAlignment w:val="auto"/>
                  <w:rPr>
                    <w:rFonts w:eastAsia="Calibri" w:cs="Calibri"/>
                    <w:b/>
                    <w:bCs/>
                    <w:szCs w:val="24"/>
                    <w:lang w:val="en-PH" w:eastAsia="zh-CN"/>
                  </w:rPr>
                </w:pPr>
                <w:r w:rsidRPr="001728AF">
                  <w:rPr>
                    <w:rFonts w:eastAsia="Calibri" w:cs="Calibri"/>
                    <w:b/>
                    <w:bCs/>
                    <w:szCs w:val="24"/>
                    <w:lang w:val="en-PH" w:eastAsia="zh-CN"/>
                  </w:rPr>
                  <w:t>Concept</w:t>
                </w:r>
              </w:p>
            </w:tc>
            <w:tc>
              <w:tcPr>
                <w:tcW w:w="5655" w:type="dxa"/>
                <w:tcMar>
                  <w:top w:w="100" w:type="dxa"/>
                  <w:left w:w="100" w:type="dxa"/>
                  <w:bottom w:w="100" w:type="dxa"/>
                  <w:right w:w="100" w:type="dxa"/>
                </w:tcMar>
              </w:tcPr>
              <w:p w14:paraId="55DB1867" w14:textId="77777777" w:rsidR="001728AF" w:rsidRPr="001728AF" w:rsidRDefault="001728AF" w:rsidP="001728AF">
                <w:pPr>
                  <w:widowControl w:val="0"/>
                  <w:pBdr>
                    <w:top w:val="nil"/>
                    <w:left w:val="nil"/>
                    <w:bottom w:val="nil"/>
                    <w:right w:val="nil"/>
                    <w:between w:val="nil"/>
                  </w:pBdr>
                  <w:overflowPunct/>
                  <w:autoSpaceDE/>
                  <w:autoSpaceDN/>
                  <w:adjustRightInd/>
                  <w:spacing w:before="0"/>
                  <w:textAlignment w:val="auto"/>
                  <w:rPr>
                    <w:rFonts w:eastAsia="Calibri" w:cs="Calibri"/>
                    <w:b/>
                    <w:bCs/>
                    <w:szCs w:val="24"/>
                    <w:lang w:val="en-PH" w:eastAsia="zh-CN"/>
                  </w:rPr>
                </w:pPr>
                <w:r w:rsidRPr="001728AF">
                  <w:rPr>
                    <w:rFonts w:eastAsia="Calibri" w:cs="Calibri"/>
                    <w:b/>
                    <w:bCs/>
                    <w:szCs w:val="24"/>
                    <w:lang w:val="en-PH" w:eastAsia="zh-CN"/>
                  </w:rPr>
                  <w:t xml:space="preserve">Description </w:t>
                </w:r>
              </w:p>
            </w:tc>
          </w:tr>
          <w:tr w:rsidR="001728AF" w:rsidRPr="001728AF" w14:paraId="10A4C561" w14:textId="77777777" w:rsidTr="00056430">
            <w:tc>
              <w:tcPr>
                <w:tcW w:w="3375" w:type="dxa"/>
                <w:tcMar>
                  <w:top w:w="100" w:type="dxa"/>
                  <w:left w:w="100" w:type="dxa"/>
                  <w:bottom w:w="100" w:type="dxa"/>
                  <w:right w:w="100" w:type="dxa"/>
                </w:tcMar>
              </w:tcPr>
              <w:p w14:paraId="3A1C0533" w14:textId="77777777" w:rsidR="001728AF" w:rsidRPr="001728AF" w:rsidRDefault="001728AF" w:rsidP="001728AF">
                <w:pPr>
                  <w:widowControl w:val="0"/>
                  <w:overflowPunct/>
                  <w:autoSpaceDE/>
                  <w:autoSpaceDN/>
                  <w:adjustRightInd/>
                  <w:spacing w:before="0"/>
                  <w:textAlignment w:val="auto"/>
                  <w:rPr>
                    <w:rFonts w:eastAsia="Calibri" w:cs="Calibri"/>
                    <w:szCs w:val="24"/>
                    <w:lang w:val="en-PH" w:eastAsia="zh-CN"/>
                  </w:rPr>
                </w:pPr>
                <w:r w:rsidRPr="001728AF">
                  <w:rPr>
                    <w:rFonts w:eastAsia="Calibri" w:cs="Calibri"/>
                    <w:szCs w:val="24"/>
                    <w:lang w:val="en-PH" w:eastAsia="zh-CN"/>
                  </w:rPr>
                  <w:t>Episode 1: Personal Information, Sensitive Personal Information, and Processing</w:t>
                </w:r>
                <w:r w:rsidRPr="001728AF">
                  <w:rPr>
                    <w:rFonts w:eastAsia="Calibri" w:cs="Calibri"/>
                    <w:szCs w:val="24"/>
                    <w:lang w:val="en-PH" w:eastAsia="zh-CN"/>
                  </w:rPr>
                  <w:br/>
                </w:r>
                <w:r w:rsidRPr="001728AF">
                  <w:rPr>
                    <w:rFonts w:eastAsia="Calibri" w:cs="Calibri"/>
                    <w:szCs w:val="24"/>
                    <w:lang w:val="en-PH" w:eastAsia="zh-CN"/>
                  </w:rPr>
                  <w:br/>
                </w:r>
              </w:p>
            </w:tc>
            <w:tc>
              <w:tcPr>
                <w:tcW w:w="5655" w:type="dxa"/>
                <w:tcMar>
                  <w:top w:w="100" w:type="dxa"/>
                  <w:left w:w="100" w:type="dxa"/>
                  <w:bottom w:w="100" w:type="dxa"/>
                  <w:right w:w="100" w:type="dxa"/>
                </w:tcMar>
              </w:tcPr>
              <w:p w14:paraId="60004852" w14:textId="77777777" w:rsidR="001728AF" w:rsidRPr="001728AF" w:rsidRDefault="001728AF" w:rsidP="001728AF">
                <w:pPr>
                  <w:widowControl w:val="0"/>
                  <w:overflowPunct/>
                  <w:autoSpaceDE/>
                  <w:autoSpaceDN/>
                  <w:adjustRightInd/>
                  <w:spacing w:before="0"/>
                  <w:jc w:val="both"/>
                  <w:textAlignment w:val="auto"/>
                  <w:rPr>
                    <w:rFonts w:eastAsia="Calibri" w:cs="Calibri"/>
                    <w:szCs w:val="24"/>
                    <w:lang w:val="en-PH" w:eastAsia="zh-CN"/>
                  </w:rPr>
                </w:pPr>
                <w:r w:rsidRPr="001728AF">
                  <w:rPr>
                    <w:rFonts w:eastAsia="Calibri" w:cs="Calibri"/>
                    <w:szCs w:val="24"/>
                    <w:lang w:val="en-PH" w:eastAsia="zh-CN"/>
                  </w:rPr>
                  <w:t>The pilot episode explains the concepts of personal information, sensitive personal information, and processing within the context of food delivery.</w:t>
                </w:r>
                <w:r w:rsidRPr="001728AF">
                  <w:rPr>
                    <w:rFonts w:eastAsia="Calibri" w:cs="Calibri"/>
                    <w:szCs w:val="24"/>
                    <w:lang w:val="en-PH" w:eastAsia="zh-CN"/>
                  </w:rPr>
                  <w:br/>
                </w:r>
                <w:r w:rsidRPr="001728AF">
                  <w:rPr>
                    <w:rFonts w:eastAsia="Calibri" w:cs="Calibri"/>
                    <w:szCs w:val="24"/>
                    <w:lang w:val="en-PH" w:eastAsia="zh-CN"/>
                  </w:rPr>
                  <w:br/>
                </w:r>
                <w:r w:rsidRPr="001728AF">
                  <w:rPr>
                    <w:rFonts w:eastAsia="Calibri" w:cs="Calibri"/>
                    <w:b/>
                    <w:bCs/>
                    <w:szCs w:val="24"/>
                    <w:lang w:val="en-PH" w:eastAsia="zh-CN"/>
                  </w:rPr>
                  <w:t>Links to videos:</w:t>
                </w:r>
                <w:r w:rsidRPr="001728AF">
                  <w:rPr>
                    <w:rFonts w:eastAsia="Calibri" w:cs="Calibri"/>
                    <w:szCs w:val="24"/>
                    <w:lang w:val="en-PH" w:eastAsia="zh-CN"/>
                  </w:rPr>
                  <w:br/>
                </w:r>
                <w:hyperlink r:id="rId9">
                  <w:r w:rsidRPr="001728AF">
                    <w:rPr>
                      <w:rFonts w:eastAsia="Calibri" w:cs="Calibri"/>
                      <w:szCs w:val="24"/>
                      <w:u w:val="single"/>
                      <w:lang w:val="en-PH" w:eastAsia="zh-CN"/>
                    </w:rPr>
                    <w:t>https://www.youtube.com/watch?v=RG6hZJb1SOw</w:t>
                  </w:r>
                </w:hyperlink>
                <w:r w:rsidRPr="001728AF">
                  <w:rPr>
                    <w:rFonts w:eastAsia="Calibri" w:cs="Calibri"/>
                    <w:szCs w:val="24"/>
                    <w:lang w:val="en-PH" w:eastAsia="zh-CN"/>
                  </w:rPr>
                  <w:t xml:space="preserve"> (ENG)</w:t>
                </w:r>
              </w:p>
              <w:p w14:paraId="05E366FB" w14:textId="77777777" w:rsidR="001728AF" w:rsidRPr="001728AF" w:rsidRDefault="001728AF" w:rsidP="001728AF">
                <w:pPr>
                  <w:widowControl w:val="0"/>
                  <w:overflowPunct/>
                  <w:autoSpaceDE/>
                  <w:autoSpaceDN/>
                  <w:adjustRightInd/>
                  <w:spacing w:before="0"/>
                  <w:textAlignment w:val="auto"/>
                  <w:rPr>
                    <w:rFonts w:eastAsia="Calibri" w:cs="Calibri"/>
                    <w:szCs w:val="24"/>
                    <w:lang w:val="en-PH" w:eastAsia="zh-CN"/>
                  </w:rPr>
                </w:pPr>
                <w:hyperlink r:id="rId10">
                  <w:r w:rsidRPr="001728AF">
                    <w:rPr>
                      <w:rFonts w:eastAsia="Calibri" w:cs="Calibri"/>
                      <w:szCs w:val="24"/>
                      <w:u w:val="single"/>
                      <w:lang w:val="en-PH" w:eastAsia="zh-CN"/>
                    </w:rPr>
                    <w:t>https://www.youtube.com/watch?v=5b7dVViSzRA</w:t>
                  </w:r>
                </w:hyperlink>
                <w:r w:rsidRPr="001728AF">
                  <w:rPr>
                    <w:rFonts w:eastAsia="Calibri" w:cs="Calibri"/>
                    <w:szCs w:val="24"/>
                    <w:lang w:val="en-PH" w:eastAsia="zh-CN"/>
                  </w:rPr>
                  <w:t xml:space="preserve"> (FIL)</w:t>
                </w:r>
              </w:p>
              <w:p w14:paraId="7FF261F4" w14:textId="77777777" w:rsidR="001728AF" w:rsidRPr="001728AF" w:rsidRDefault="001728AF" w:rsidP="001728AF">
                <w:pPr>
                  <w:widowControl w:val="0"/>
                  <w:overflowPunct/>
                  <w:autoSpaceDE/>
                  <w:autoSpaceDN/>
                  <w:adjustRightInd/>
                  <w:spacing w:before="0"/>
                  <w:textAlignment w:val="auto"/>
                  <w:rPr>
                    <w:rFonts w:eastAsia="Calibri" w:cs="Calibri"/>
                    <w:szCs w:val="24"/>
                    <w:lang w:val="en-PH" w:eastAsia="zh-CN"/>
                  </w:rPr>
                </w:pPr>
                <w:hyperlink r:id="rId11">
                  <w:r w:rsidRPr="001728AF">
                    <w:rPr>
                      <w:rFonts w:eastAsia="Calibri" w:cs="Calibri"/>
                      <w:szCs w:val="24"/>
                      <w:u w:val="single"/>
                      <w:lang w:val="en-PH" w:eastAsia="zh-CN"/>
                    </w:rPr>
                    <w:t>https://www.youtube.com/watch?v=tWp-mV1mjwk</w:t>
                  </w:r>
                </w:hyperlink>
                <w:r w:rsidRPr="001728AF">
                  <w:rPr>
                    <w:rFonts w:eastAsia="Calibri" w:cs="Calibri"/>
                    <w:szCs w:val="24"/>
                    <w:lang w:val="en-PH" w:eastAsia="zh-CN"/>
                  </w:rPr>
                  <w:t xml:space="preserve"> (BISAYA)</w:t>
                </w:r>
              </w:p>
            </w:tc>
          </w:tr>
          <w:tr w:rsidR="001728AF" w:rsidRPr="001728AF" w14:paraId="6B38E41F" w14:textId="77777777" w:rsidTr="00056430">
            <w:tc>
              <w:tcPr>
                <w:tcW w:w="3375" w:type="dxa"/>
                <w:tcBorders>
                  <w:top w:val="single" w:sz="6" w:space="0" w:color="000000"/>
                  <w:left w:val="single" w:sz="6" w:space="0" w:color="000000"/>
                  <w:bottom w:val="single" w:sz="6" w:space="0" w:color="000000"/>
                  <w:right w:val="single" w:sz="6" w:space="0" w:color="000000"/>
                </w:tcBorders>
                <w:tcMar>
                  <w:top w:w="20" w:type="dxa"/>
                  <w:left w:w="80" w:type="dxa"/>
                  <w:bottom w:w="20" w:type="dxa"/>
                  <w:right w:w="80" w:type="dxa"/>
                </w:tcMar>
              </w:tcPr>
              <w:p w14:paraId="1C34D7E8" w14:textId="77777777" w:rsidR="001728AF" w:rsidRPr="001728AF" w:rsidRDefault="001728AF" w:rsidP="001728AF">
                <w:pPr>
                  <w:widowControl w:val="0"/>
                  <w:overflowPunct/>
                  <w:autoSpaceDE/>
                  <w:autoSpaceDN/>
                  <w:adjustRightInd/>
                  <w:spacing w:before="0"/>
                  <w:textAlignment w:val="auto"/>
                  <w:rPr>
                    <w:rFonts w:eastAsia="Calibri" w:cs="Calibri"/>
                    <w:szCs w:val="24"/>
                    <w:lang w:val="en-PH" w:eastAsia="zh-CN"/>
                  </w:rPr>
                </w:pPr>
                <w:r w:rsidRPr="001728AF">
                  <w:rPr>
                    <w:rFonts w:eastAsia="Calibri" w:cs="Calibri"/>
                    <w:szCs w:val="24"/>
                    <w:lang w:val="en-PH" w:eastAsia="zh-CN"/>
                  </w:rPr>
                  <w:t>Episode 2: Data Subject, Personal Information Controller and Personal Information</w:t>
                </w:r>
              </w:p>
              <w:p w14:paraId="324BA591" w14:textId="77777777" w:rsidR="001728AF" w:rsidRPr="001728AF" w:rsidRDefault="001728AF" w:rsidP="001728AF">
                <w:pPr>
                  <w:widowControl w:val="0"/>
                  <w:overflowPunct/>
                  <w:autoSpaceDE/>
                  <w:autoSpaceDN/>
                  <w:adjustRightInd/>
                  <w:spacing w:before="0"/>
                  <w:textAlignment w:val="auto"/>
                  <w:rPr>
                    <w:rFonts w:eastAsia="Calibri" w:cs="Calibri"/>
                    <w:szCs w:val="24"/>
                    <w:lang w:val="en-PH" w:eastAsia="zh-CN"/>
                  </w:rPr>
                </w:pPr>
                <w:r w:rsidRPr="001728AF">
                  <w:rPr>
                    <w:rFonts w:eastAsia="Calibri" w:cs="Calibri"/>
                    <w:szCs w:val="24"/>
                    <w:lang w:val="en-PH" w:eastAsia="zh-CN"/>
                  </w:rPr>
                  <w:t>Processor, and Accountability</w:t>
                </w:r>
              </w:p>
            </w:tc>
            <w:tc>
              <w:tcPr>
                <w:tcW w:w="5655" w:type="dxa"/>
                <w:tcMar>
                  <w:top w:w="100" w:type="dxa"/>
                  <w:left w:w="100" w:type="dxa"/>
                  <w:bottom w:w="100" w:type="dxa"/>
                  <w:right w:w="100" w:type="dxa"/>
                </w:tcMar>
              </w:tcPr>
              <w:p w14:paraId="1B1B6DB1" w14:textId="77777777" w:rsidR="001728AF" w:rsidRPr="001728AF" w:rsidRDefault="001728AF" w:rsidP="001728AF">
                <w:pPr>
                  <w:widowControl w:val="0"/>
                  <w:pBdr>
                    <w:top w:val="nil"/>
                    <w:left w:val="nil"/>
                    <w:bottom w:val="nil"/>
                    <w:right w:val="nil"/>
                    <w:between w:val="nil"/>
                  </w:pBdr>
                  <w:overflowPunct/>
                  <w:autoSpaceDE/>
                  <w:autoSpaceDN/>
                  <w:adjustRightInd/>
                  <w:spacing w:before="0"/>
                  <w:jc w:val="both"/>
                  <w:textAlignment w:val="auto"/>
                  <w:rPr>
                    <w:rFonts w:eastAsia="Calibri" w:cs="Calibri"/>
                    <w:szCs w:val="24"/>
                    <w:lang w:val="en-PH" w:eastAsia="zh-CN"/>
                  </w:rPr>
                </w:pPr>
                <w:r w:rsidRPr="001728AF">
                  <w:rPr>
                    <w:rFonts w:eastAsia="Calibri" w:cs="Calibri"/>
                    <w:szCs w:val="24"/>
                    <w:lang w:val="en-PH" w:eastAsia="zh-CN"/>
                  </w:rPr>
                  <w:t>Episode 2 explains how the Personal Information Controller, the Personal Information Processor, and the Data Subject each have their own important roles to play within the privacy ecosystem.</w:t>
                </w:r>
              </w:p>
              <w:p w14:paraId="064BD3C1" w14:textId="77777777" w:rsidR="001728AF" w:rsidRPr="001728AF" w:rsidRDefault="001728AF" w:rsidP="001728AF">
                <w:pPr>
                  <w:widowControl w:val="0"/>
                  <w:pBdr>
                    <w:top w:val="nil"/>
                    <w:left w:val="nil"/>
                    <w:bottom w:val="nil"/>
                    <w:right w:val="nil"/>
                    <w:between w:val="nil"/>
                  </w:pBdr>
                  <w:overflowPunct/>
                  <w:autoSpaceDE/>
                  <w:autoSpaceDN/>
                  <w:adjustRightInd/>
                  <w:spacing w:before="0"/>
                  <w:textAlignment w:val="auto"/>
                  <w:rPr>
                    <w:rFonts w:eastAsia="Calibri" w:cs="Calibri"/>
                    <w:szCs w:val="24"/>
                    <w:lang w:val="en-PH" w:eastAsia="zh-CN"/>
                  </w:rPr>
                </w:pPr>
                <w:r w:rsidRPr="001728AF">
                  <w:rPr>
                    <w:rFonts w:eastAsia="Calibri" w:cs="Calibri"/>
                    <w:szCs w:val="24"/>
                    <w:lang w:val="en-PH" w:eastAsia="zh-CN"/>
                  </w:rPr>
                  <w:br/>
                </w:r>
                <w:r w:rsidRPr="001728AF">
                  <w:rPr>
                    <w:rFonts w:eastAsia="Calibri" w:cs="Calibri"/>
                    <w:b/>
                    <w:bCs/>
                    <w:szCs w:val="24"/>
                    <w:lang w:val="en-PH" w:eastAsia="zh-CN"/>
                  </w:rPr>
                  <w:t>Links to videos:</w:t>
                </w:r>
                <w:r w:rsidRPr="001728AF">
                  <w:rPr>
                    <w:rFonts w:eastAsia="Calibri" w:cs="Calibri"/>
                    <w:szCs w:val="24"/>
                    <w:lang w:val="en-PH" w:eastAsia="zh-CN"/>
                  </w:rPr>
                  <w:br/>
                </w:r>
                <w:hyperlink r:id="rId12">
                  <w:r w:rsidRPr="001728AF">
                    <w:rPr>
                      <w:rFonts w:eastAsia="Calibri" w:cs="Calibri"/>
                      <w:szCs w:val="24"/>
                      <w:u w:val="single"/>
                      <w:lang w:val="en-PH" w:eastAsia="zh-CN"/>
                    </w:rPr>
                    <w:t>https://www.youtube.com/watch?v=N0XFSOiklLU</w:t>
                  </w:r>
                </w:hyperlink>
                <w:r w:rsidRPr="001728AF">
                  <w:rPr>
                    <w:rFonts w:eastAsia="Calibri" w:cs="Calibri"/>
                    <w:szCs w:val="24"/>
                    <w:lang w:val="en-PH" w:eastAsia="zh-CN"/>
                  </w:rPr>
                  <w:t xml:space="preserve"> (ENG)</w:t>
                </w:r>
              </w:p>
              <w:p w14:paraId="26074C49" w14:textId="77777777" w:rsidR="001728AF" w:rsidRPr="001728AF" w:rsidRDefault="001728AF" w:rsidP="001728AF">
                <w:pPr>
                  <w:widowControl w:val="0"/>
                  <w:pBdr>
                    <w:top w:val="nil"/>
                    <w:left w:val="nil"/>
                    <w:bottom w:val="nil"/>
                    <w:right w:val="nil"/>
                    <w:between w:val="nil"/>
                  </w:pBdr>
                  <w:overflowPunct/>
                  <w:autoSpaceDE/>
                  <w:autoSpaceDN/>
                  <w:adjustRightInd/>
                  <w:spacing w:before="0"/>
                  <w:textAlignment w:val="auto"/>
                  <w:rPr>
                    <w:rFonts w:eastAsia="Calibri" w:cs="Calibri"/>
                    <w:szCs w:val="24"/>
                    <w:lang w:val="en-PH" w:eastAsia="zh-CN"/>
                  </w:rPr>
                </w:pPr>
                <w:hyperlink r:id="rId13">
                  <w:r w:rsidRPr="001728AF">
                    <w:rPr>
                      <w:rFonts w:eastAsia="Calibri" w:cs="Calibri"/>
                      <w:szCs w:val="24"/>
                      <w:u w:val="single"/>
                      <w:lang w:val="en-PH" w:eastAsia="zh-CN"/>
                    </w:rPr>
                    <w:t>https://www.youtube.com/watch?v=v4UYQhP11qA</w:t>
                  </w:r>
                </w:hyperlink>
                <w:r w:rsidRPr="001728AF">
                  <w:rPr>
                    <w:rFonts w:eastAsia="Calibri" w:cs="Calibri"/>
                    <w:szCs w:val="24"/>
                    <w:lang w:val="en-PH" w:eastAsia="zh-CN"/>
                  </w:rPr>
                  <w:t xml:space="preserve"> (FIL)</w:t>
                </w:r>
              </w:p>
              <w:p w14:paraId="010656B4" w14:textId="77777777" w:rsidR="001728AF" w:rsidRPr="001728AF" w:rsidRDefault="001728AF" w:rsidP="001728AF">
                <w:pPr>
                  <w:widowControl w:val="0"/>
                  <w:pBdr>
                    <w:top w:val="nil"/>
                    <w:left w:val="nil"/>
                    <w:bottom w:val="nil"/>
                    <w:right w:val="nil"/>
                    <w:between w:val="nil"/>
                  </w:pBdr>
                  <w:overflowPunct/>
                  <w:autoSpaceDE/>
                  <w:autoSpaceDN/>
                  <w:adjustRightInd/>
                  <w:spacing w:before="0"/>
                  <w:textAlignment w:val="auto"/>
                  <w:rPr>
                    <w:rFonts w:eastAsia="Calibri" w:cs="Calibri"/>
                    <w:szCs w:val="24"/>
                    <w:lang w:val="en-PH" w:eastAsia="zh-CN"/>
                  </w:rPr>
                </w:pPr>
                <w:hyperlink r:id="rId14">
                  <w:r w:rsidRPr="001728AF">
                    <w:rPr>
                      <w:rFonts w:eastAsia="Calibri" w:cs="Calibri"/>
                      <w:szCs w:val="24"/>
                      <w:u w:val="single"/>
                      <w:lang w:val="en-PH" w:eastAsia="zh-CN"/>
                    </w:rPr>
                    <w:t>https://www.youtube.com/watch?v=g1K-4m8le60</w:t>
                  </w:r>
                </w:hyperlink>
                <w:r w:rsidRPr="001728AF">
                  <w:rPr>
                    <w:rFonts w:eastAsia="Calibri" w:cs="Calibri"/>
                    <w:szCs w:val="24"/>
                    <w:lang w:val="en-PH" w:eastAsia="zh-CN"/>
                  </w:rPr>
                  <w:t xml:space="preserve"> (BISAYA)</w:t>
                </w:r>
              </w:p>
            </w:tc>
          </w:tr>
          <w:tr w:rsidR="001728AF" w:rsidRPr="001728AF" w14:paraId="7818F262" w14:textId="77777777" w:rsidTr="00056430">
            <w:tc>
              <w:tcPr>
                <w:tcW w:w="3375" w:type="dxa"/>
                <w:tcBorders>
                  <w:top w:val="single" w:sz="6" w:space="0" w:color="000000"/>
                  <w:left w:val="single" w:sz="6" w:space="0" w:color="000000"/>
                  <w:bottom w:val="single" w:sz="6" w:space="0" w:color="000000"/>
                  <w:right w:val="single" w:sz="6" w:space="0" w:color="000000"/>
                </w:tcBorders>
                <w:tcMar>
                  <w:top w:w="20" w:type="dxa"/>
                  <w:left w:w="80" w:type="dxa"/>
                  <w:bottom w:w="20" w:type="dxa"/>
                  <w:right w:w="80" w:type="dxa"/>
                </w:tcMar>
              </w:tcPr>
              <w:p w14:paraId="009463F7" w14:textId="77777777" w:rsidR="001728AF" w:rsidRPr="001728AF" w:rsidRDefault="001728AF" w:rsidP="001728AF">
                <w:pPr>
                  <w:widowControl w:val="0"/>
                  <w:overflowPunct/>
                  <w:autoSpaceDE/>
                  <w:autoSpaceDN/>
                  <w:adjustRightInd/>
                  <w:spacing w:before="0"/>
                  <w:textAlignment w:val="auto"/>
                  <w:rPr>
                    <w:rFonts w:eastAsia="Calibri" w:cs="Calibri"/>
                    <w:szCs w:val="24"/>
                    <w:lang w:val="en-PH" w:eastAsia="zh-CN"/>
                  </w:rPr>
                </w:pPr>
                <w:r w:rsidRPr="001728AF">
                  <w:rPr>
                    <w:rFonts w:eastAsia="Calibri" w:cs="Calibri"/>
                    <w:szCs w:val="24"/>
                    <w:lang w:val="en-PH" w:eastAsia="zh-CN"/>
                  </w:rPr>
                  <w:t>Episode 3: Privacy Notice, Right to Information, and Transparency</w:t>
                </w:r>
              </w:p>
            </w:tc>
            <w:tc>
              <w:tcPr>
                <w:tcW w:w="5655" w:type="dxa"/>
                <w:tcMar>
                  <w:top w:w="100" w:type="dxa"/>
                  <w:left w:w="100" w:type="dxa"/>
                  <w:bottom w:w="100" w:type="dxa"/>
                  <w:right w:w="100" w:type="dxa"/>
                </w:tcMar>
              </w:tcPr>
              <w:p w14:paraId="57CBAC8F" w14:textId="77777777" w:rsidR="001728AF" w:rsidRPr="001728AF" w:rsidRDefault="001728AF" w:rsidP="001728AF">
                <w:pPr>
                  <w:widowControl w:val="0"/>
                  <w:pBdr>
                    <w:top w:val="nil"/>
                    <w:left w:val="nil"/>
                    <w:bottom w:val="nil"/>
                    <w:right w:val="nil"/>
                    <w:between w:val="nil"/>
                  </w:pBdr>
                  <w:overflowPunct/>
                  <w:autoSpaceDE/>
                  <w:autoSpaceDN/>
                  <w:adjustRightInd/>
                  <w:spacing w:before="0"/>
                  <w:jc w:val="both"/>
                  <w:textAlignment w:val="auto"/>
                  <w:rPr>
                    <w:rFonts w:eastAsia="Calibri" w:cs="Calibri"/>
                    <w:szCs w:val="24"/>
                    <w:lang w:val="en-PH" w:eastAsia="zh-CN"/>
                  </w:rPr>
                </w:pPr>
                <w:r w:rsidRPr="001728AF">
                  <w:rPr>
                    <w:rFonts w:eastAsia="Calibri" w:cs="Calibri"/>
                    <w:szCs w:val="24"/>
                    <w:lang w:val="en-PH" w:eastAsia="zh-CN"/>
                  </w:rPr>
                  <w:t>Episode 3 discusses the interplay of a privacy notice with the right to be informed and the Principle of Transparency.</w:t>
                </w:r>
                <w:r w:rsidRPr="001728AF">
                  <w:rPr>
                    <w:rFonts w:eastAsia="Calibri" w:cs="Calibri"/>
                    <w:szCs w:val="24"/>
                    <w:lang w:val="en-PH" w:eastAsia="zh-CN"/>
                  </w:rPr>
                  <w:br/>
                </w:r>
                <w:r w:rsidRPr="001728AF">
                  <w:rPr>
                    <w:rFonts w:eastAsia="Calibri" w:cs="Calibri"/>
                    <w:szCs w:val="24"/>
                    <w:lang w:val="en-PH" w:eastAsia="zh-CN"/>
                  </w:rPr>
                  <w:br/>
                </w:r>
                <w:r w:rsidRPr="001728AF">
                  <w:rPr>
                    <w:rFonts w:eastAsia="Calibri" w:cs="Calibri"/>
                    <w:b/>
                    <w:bCs/>
                    <w:szCs w:val="24"/>
                    <w:lang w:val="en-PH" w:eastAsia="zh-CN"/>
                  </w:rPr>
                  <w:t>Links to videos:</w:t>
                </w:r>
                <w:r w:rsidRPr="001728AF">
                  <w:rPr>
                    <w:rFonts w:eastAsia="Calibri" w:cs="Calibri"/>
                    <w:szCs w:val="24"/>
                    <w:lang w:val="en-PH" w:eastAsia="zh-CN"/>
                  </w:rPr>
                  <w:br/>
                </w:r>
                <w:hyperlink r:id="rId15">
                  <w:r w:rsidRPr="001728AF">
                    <w:rPr>
                      <w:rFonts w:eastAsia="Calibri" w:cs="Calibri"/>
                      <w:szCs w:val="24"/>
                      <w:u w:val="single"/>
                      <w:lang w:val="en-PH" w:eastAsia="zh-CN"/>
                    </w:rPr>
                    <w:t>https://www.youtube.com/watch?v=GEeCnX1Wz8o</w:t>
                  </w:r>
                </w:hyperlink>
                <w:r w:rsidRPr="001728AF">
                  <w:rPr>
                    <w:rFonts w:eastAsia="Calibri" w:cs="Calibri"/>
                    <w:szCs w:val="24"/>
                    <w:lang w:val="en-PH" w:eastAsia="zh-CN"/>
                  </w:rPr>
                  <w:t xml:space="preserve"> (ENG)</w:t>
                </w:r>
              </w:p>
              <w:p w14:paraId="3BA7BBC6" w14:textId="77777777" w:rsidR="001728AF" w:rsidRPr="001728AF" w:rsidRDefault="001728AF" w:rsidP="001728AF">
                <w:pPr>
                  <w:widowControl w:val="0"/>
                  <w:pBdr>
                    <w:top w:val="nil"/>
                    <w:left w:val="nil"/>
                    <w:bottom w:val="nil"/>
                    <w:right w:val="nil"/>
                    <w:between w:val="nil"/>
                  </w:pBdr>
                  <w:overflowPunct/>
                  <w:autoSpaceDE/>
                  <w:autoSpaceDN/>
                  <w:adjustRightInd/>
                  <w:spacing w:before="0"/>
                  <w:textAlignment w:val="auto"/>
                  <w:rPr>
                    <w:rFonts w:eastAsia="Calibri" w:cs="Calibri"/>
                    <w:szCs w:val="24"/>
                    <w:lang w:val="en-PH" w:eastAsia="zh-CN"/>
                  </w:rPr>
                </w:pPr>
                <w:hyperlink r:id="rId16">
                  <w:r w:rsidRPr="001728AF">
                    <w:rPr>
                      <w:rFonts w:eastAsia="Calibri" w:cs="Calibri"/>
                      <w:szCs w:val="24"/>
                      <w:u w:val="single"/>
                      <w:lang w:val="en-PH" w:eastAsia="zh-CN"/>
                    </w:rPr>
                    <w:t>https://www.youtube.com/watch?v=H2UYxcof6cg</w:t>
                  </w:r>
                </w:hyperlink>
                <w:r w:rsidRPr="001728AF">
                  <w:rPr>
                    <w:rFonts w:eastAsia="Calibri" w:cs="Calibri"/>
                    <w:szCs w:val="24"/>
                    <w:lang w:val="en-PH" w:eastAsia="zh-CN"/>
                  </w:rPr>
                  <w:t xml:space="preserve"> (FIL)</w:t>
                </w:r>
              </w:p>
              <w:p w14:paraId="2CDB675C" w14:textId="77777777" w:rsidR="001728AF" w:rsidRPr="001728AF" w:rsidRDefault="001728AF" w:rsidP="001728AF">
                <w:pPr>
                  <w:widowControl w:val="0"/>
                  <w:pBdr>
                    <w:top w:val="nil"/>
                    <w:left w:val="nil"/>
                    <w:bottom w:val="nil"/>
                    <w:right w:val="nil"/>
                    <w:between w:val="nil"/>
                  </w:pBdr>
                  <w:overflowPunct/>
                  <w:autoSpaceDE/>
                  <w:autoSpaceDN/>
                  <w:adjustRightInd/>
                  <w:spacing w:before="0"/>
                  <w:textAlignment w:val="auto"/>
                  <w:rPr>
                    <w:rFonts w:eastAsia="Calibri" w:cs="Calibri"/>
                    <w:szCs w:val="24"/>
                    <w:lang w:val="en-PH" w:eastAsia="zh-CN"/>
                  </w:rPr>
                </w:pPr>
                <w:hyperlink r:id="rId17">
                  <w:r w:rsidRPr="001728AF">
                    <w:rPr>
                      <w:rFonts w:eastAsia="Calibri" w:cs="Calibri"/>
                      <w:szCs w:val="24"/>
                      <w:u w:val="single"/>
                      <w:lang w:val="en-PH" w:eastAsia="zh-CN"/>
                    </w:rPr>
                    <w:t>https://www.youtube.com/watch?v=pn6k88zr3_c</w:t>
                  </w:r>
                </w:hyperlink>
                <w:r w:rsidRPr="001728AF">
                  <w:rPr>
                    <w:rFonts w:eastAsia="Calibri" w:cs="Calibri"/>
                    <w:szCs w:val="24"/>
                    <w:lang w:val="en-PH" w:eastAsia="zh-CN"/>
                  </w:rPr>
                  <w:t xml:space="preserve"> (BISAYA)</w:t>
                </w:r>
              </w:p>
            </w:tc>
          </w:tr>
          <w:tr w:rsidR="001728AF" w:rsidRPr="001728AF" w14:paraId="67D72E21" w14:textId="77777777" w:rsidTr="00056430">
            <w:tc>
              <w:tcPr>
                <w:tcW w:w="3375" w:type="dxa"/>
                <w:tcBorders>
                  <w:top w:val="single" w:sz="6" w:space="0" w:color="000000"/>
                  <w:left w:val="single" w:sz="6" w:space="0" w:color="000000"/>
                  <w:bottom w:val="single" w:sz="6" w:space="0" w:color="000000"/>
                  <w:right w:val="single" w:sz="6" w:space="0" w:color="000000"/>
                </w:tcBorders>
                <w:tcMar>
                  <w:top w:w="20" w:type="dxa"/>
                  <w:left w:w="80" w:type="dxa"/>
                  <w:bottom w:w="20" w:type="dxa"/>
                  <w:right w:w="80" w:type="dxa"/>
                </w:tcMar>
              </w:tcPr>
              <w:p w14:paraId="7017A21E" w14:textId="77777777" w:rsidR="001728AF" w:rsidRPr="001728AF" w:rsidRDefault="001728AF" w:rsidP="001728AF">
                <w:pPr>
                  <w:widowControl w:val="0"/>
                  <w:overflowPunct/>
                  <w:autoSpaceDE/>
                  <w:autoSpaceDN/>
                  <w:adjustRightInd/>
                  <w:spacing w:before="0"/>
                  <w:textAlignment w:val="auto"/>
                  <w:rPr>
                    <w:rFonts w:eastAsia="Calibri" w:cs="Calibri"/>
                    <w:szCs w:val="24"/>
                    <w:lang w:val="en-PH" w:eastAsia="zh-CN"/>
                  </w:rPr>
                </w:pPr>
                <w:r w:rsidRPr="001728AF">
                  <w:rPr>
                    <w:rFonts w:eastAsia="Calibri" w:cs="Calibri"/>
                    <w:szCs w:val="24"/>
                    <w:lang w:val="en-PH" w:eastAsia="zh-CN"/>
                  </w:rPr>
                  <w:t>Episode 4: Consent</w:t>
                </w:r>
              </w:p>
            </w:tc>
            <w:tc>
              <w:tcPr>
                <w:tcW w:w="5655" w:type="dxa"/>
                <w:tcMar>
                  <w:top w:w="100" w:type="dxa"/>
                  <w:left w:w="100" w:type="dxa"/>
                  <w:bottom w:w="100" w:type="dxa"/>
                  <w:right w:w="100" w:type="dxa"/>
                </w:tcMar>
              </w:tcPr>
              <w:p w14:paraId="55B3574D" w14:textId="77777777" w:rsidR="001728AF" w:rsidRPr="001728AF" w:rsidRDefault="001728AF" w:rsidP="001728AF">
                <w:pPr>
                  <w:widowControl w:val="0"/>
                  <w:pBdr>
                    <w:top w:val="nil"/>
                    <w:left w:val="nil"/>
                    <w:bottom w:val="nil"/>
                    <w:right w:val="nil"/>
                    <w:between w:val="nil"/>
                  </w:pBdr>
                  <w:overflowPunct/>
                  <w:autoSpaceDE/>
                  <w:autoSpaceDN/>
                  <w:adjustRightInd/>
                  <w:spacing w:before="0"/>
                  <w:jc w:val="both"/>
                  <w:textAlignment w:val="auto"/>
                  <w:rPr>
                    <w:rFonts w:eastAsia="Calibri" w:cs="Calibri"/>
                    <w:szCs w:val="24"/>
                    <w:lang w:val="en-PH" w:eastAsia="zh-CN"/>
                  </w:rPr>
                </w:pPr>
                <w:r w:rsidRPr="001728AF">
                  <w:rPr>
                    <w:rFonts w:eastAsia="Calibri" w:cs="Calibri"/>
                    <w:szCs w:val="24"/>
                    <w:lang w:val="en-PH" w:eastAsia="zh-CN"/>
                  </w:rPr>
                  <w:t>Episode 4 breaks down the elements of consent and explains what it means to give data subjects a meaningful choice in the processing of their personal data.</w:t>
                </w:r>
                <w:r w:rsidRPr="001728AF">
                  <w:rPr>
                    <w:rFonts w:eastAsia="Calibri" w:cs="Calibri"/>
                    <w:szCs w:val="24"/>
                    <w:lang w:val="en-PH" w:eastAsia="zh-CN"/>
                  </w:rPr>
                  <w:br/>
                </w:r>
                <w:r w:rsidRPr="001728AF">
                  <w:rPr>
                    <w:rFonts w:eastAsia="Calibri" w:cs="Calibri"/>
                    <w:szCs w:val="24"/>
                    <w:lang w:val="en-PH" w:eastAsia="zh-CN"/>
                  </w:rPr>
                  <w:br/>
                </w:r>
                <w:r w:rsidRPr="001728AF">
                  <w:rPr>
                    <w:rFonts w:eastAsia="Calibri" w:cs="Calibri"/>
                    <w:b/>
                    <w:bCs/>
                    <w:szCs w:val="24"/>
                    <w:lang w:val="en-PH" w:eastAsia="zh-CN"/>
                  </w:rPr>
                  <w:t>Links to videos:</w:t>
                </w:r>
                <w:r w:rsidRPr="001728AF">
                  <w:rPr>
                    <w:rFonts w:eastAsia="Calibri" w:cs="Calibri"/>
                    <w:szCs w:val="24"/>
                    <w:lang w:val="en-PH" w:eastAsia="zh-CN"/>
                  </w:rPr>
                  <w:br/>
                </w:r>
                <w:hyperlink r:id="rId18">
                  <w:r w:rsidRPr="001728AF">
                    <w:rPr>
                      <w:rFonts w:eastAsia="Calibri" w:cs="Calibri"/>
                      <w:szCs w:val="24"/>
                      <w:u w:val="single"/>
                      <w:lang w:val="en-PH" w:eastAsia="zh-CN"/>
                    </w:rPr>
                    <w:t>https://www.youtube.com/watch?v=kE8aD3thOqA</w:t>
                  </w:r>
                </w:hyperlink>
                <w:r w:rsidRPr="001728AF">
                  <w:rPr>
                    <w:rFonts w:eastAsia="Calibri" w:cs="Calibri"/>
                    <w:szCs w:val="24"/>
                    <w:lang w:val="en-PH" w:eastAsia="zh-CN"/>
                  </w:rPr>
                  <w:t xml:space="preserve"> (ENG)</w:t>
                </w:r>
              </w:p>
              <w:p w14:paraId="5C290F4B" w14:textId="77777777" w:rsidR="001728AF" w:rsidRPr="001728AF" w:rsidRDefault="001728AF" w:rsidP="001728AF">
                <w:pPr>
                  <w:widowControl w:val="0"/>
                  <w:pBdr>
                    <w:top w:val="nil"/>
                    <w:left w:val="nil"/>
                    <w:bottom w:val="nil"/>
                    <w:right w:val="nil"/>
                    <w:between w:val="nil"/>
                  </w:pBdr>
                  <w:overflowPunct/>
                  <w:autoSpaceDE/>
                  <w:autoSpaceDN/>
                  <w:adjustRightInd/>
                  <w:spacing w:before="0"/>
                  <w:textAlignment w:val="auto"/>
                  <w:rPr>
                    <w:rFonts w:eastAsia="Calibri" w:cs="Calibri"/>
                    <w:szCs w:val="24"/>
                    <w:lang w:val="en-PH" w:eastAsia="zh-CN"/>
                  </w:rPr>
                </w:pPr>
                <w:hyperlink r:id="rId19">
                  <w:r w:rsidRPr="001728AF">
                    <w:rPr>
                      <w:rFonts w:eastAsia="Calibri" w:cs="Calibri"/>
                      <w:szCs w:val="24"/>
                      <w:u w:val="single"/>
                      <w:lang w:val="en-PH" w:eastAsia="zh-CN"/>
                    </w:rPr>
                    <w:t>https://www.youtube.com/watch?v=Gj2CD_7hSWc</w:t>
                  </w:r>
                </w:hyperlink>
                <w:r w:rsidRPr="001728AF">
                  <w:rPr>
                    <w:rFonts w:eastAsia="Calibri" w:cs="Calibri"/>
                    <w:szCs w:val="24"/>
                    <w:lang w:val="en-PH" w:eastAsia="zh-CN"/>
                  </w:rPr>
                  <w:t xml:space="preserve"> (FIL)</w:t>
                </w:r>
              </w:p>
              <w:p w14:paraId="2E3CA6C9" w14:textId="77777777" w:rsidR="001728AF" w:rsidRPr="001728AF" w:rsidRDefault="001728AF" w:rsidP="001728AF">
                <w:pPr>
                  <w:widowControl w:val="0"/>
                  <w:pBdr>
                    <w:top w:val="nil"/>
                    <w:left w:val="nil"/>
                    <w:bottom w:val="nil"/>
                    <w:right w:val="nil"/>
                    <w:between w:val="nil"/>
                  </w:pBdr>
                  <w:overflowPunct/>
                  <w:autoSpaceDE/>
                  <w:autoSpaceDN/>
                  <w:adjustRightInd/>
                  <w:spacing w:before="0"/>
                  <w:textAlignment w:val="auto"/>
                  <w:rPr>
                    <w:rFonts w:eastAsia="Calibri" w:cs="Calibri"/>
                    <w:szCs w:val="24"/>
                    <w:lang w:val="en-PH" w:eastAsia="zh-CN"/>
                  </w:rPr>
                </w:pPr>
                <w:hyperlink r:id="rId20">
                  <w:r w:rsidRPr="001728AF">
                    <w:rPr>
                      <w:rFonts w:eastAsia="Calibri" w:cs="Calibri"/>
                      <w:szCs w:val="24"/>
                      <w:u w:val="single"/>
                      <w:lang w:val="en-PH" w:eastAsia="zh-CN"/>
                    </w:rPr>
                    <w:t>https://www.youtube.com/watch?v=ttgXYycUbWc</w:t>
                  </w:r>
                </w:hyperlink>
                <w:r w:rsidRPr="001728AF">
                  <w:rPr>
                    <w:rFonts w:eastAsia="Calibri" w:cs="Calibri"/>
                    <w:szCs w:val="24"/>
                    <w:lang w:val="en-PH" w:eastAsia="zh-CN"/>
                  </w:rPr>
                  <w:t xml:space="preserve"> (BISAYA)</w:t>
                </w:r>
              </w:p>
            </w:tc>
          </w:tr>
        </w:tbl>
      </w:sdtContent>
    </w:sdt>
    <w:p w14:paraId="4511A245" w14:textId="77777777" w:rsidR="001728AF" w:rsidRPr="001728AF" w:rsidRDefault="001728AF" w:rsidP="001728AF">
      <w:pPr>
        <w:overflowPunct/>
        <w:autoSpaceDE/>
        <w:autoSpaceDN/>
        <w:adjustRightInd/>
        <w:spacing w:before="0" w:line="276" w:lineRule="auto"/>
        <w:jc w:val="both"/>
        <w:textAlignment w:val="auto"/>
        <w:rPr>
          <w:rFonts w:eastAsia="Calibri" w:cs="Calibri"/>
          <w:szCs w:val="24"/>
          <w:lang w:val="en-PH" w:eastAsia="zh-CN"/>
        </w:rPr>
      </w:pPr>
    </w:p>
    <w:p w14:paraId="257674B4" w14:textId="06B8AC1A" w:rsidR="00A514A4" w:rsidRPr="00F871BD" w:rsidRDefault="00A514A4">
      <w:pPr>
        <w:tabs>
          <w:tab w:val="clear" w:pos="567"/>
          <w:tab w:val="clear" w:pos="1134"/>
          <w:tab w:val="clear" w:pos="1701"/>
          <w:tab w:val="clear" w:pos="2268"/>
          <w:tab w:val="clear" w:pos="2835"/>
        </w:tabs>
        <w:overflowPunct/>
        <w:autoSpaceDE/>
        <w:autoSpaceDN/>
        <w:adjustRightInd/>
        <w:spacing w:before="0"/>
        <w:textAlignment w:val="auto"/>
        <w:rPr>
          <w:i/>
          <w:iCs/>
        </w:rPr>
      </w:pPr>
    </w:p>
    <w:sectPr w:rsidR="00A514A4" w:rsidRPr="00F871BD" w:rsidSect="00AD3606">
      <w:footerReference w:type="default" r:id="rId21"/>
      <w:headerReference w:type="first" r:id="rId22"/>
      <w:footerReference w:type="first" r:id="rId2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C7BEE" w14:textId="77777777" w:rsidR="004016E2" w:rsidRDefault="004016E2">
      <w:r>
        <w:separator/>
      </w:r>
    </w:p>
  </w:endnote>
  <w:endnote w:type="continuationSeparator" w:id="0">
    <w:p w14:paraId="3011603F" w14:textId="77777777" w:rsidR="004016E2" w:rsidRDefault="00401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BC54CD">
      <w:trPr>
        <w:trHeight w:val="142"/>
        <w:jc w:val="center"/>
      </w:trPr>
      <w:tc>
        <w:tcPr>
          <w:tcW w:w="1803" w:type="dxa"/>
          <w:vAlign w:val="center"/>
        </w:tcPr>
        <w:p w14:paraId="727FD637" w14:textId="696C90B6" w:rsidR="00EE49E8" w:rsidRDefault="00EE49E8" w:rsidP="00EE49E8">
          <w:pPr>
            <w:pStyle w:val="Header"/>
            <w:jc w:val="left"/>
            <w:rPr>
              <w:noProof/>
            </w:rPr>
          </w:pPr>
        </w:p>
      </w:tc>
      <w:tc>
        <w:tcPr>
          <w:tcW w:w="8261" w:type="dxa"/>
        </w:tcPr>
        <w:p w14:paraId="2D49E76E" w14:textId="7FD8DF1B" w:rsidR="00EE49E8" w:rsidRPr="00E06FD5" w:rsidRDefault="00EE49E8" w:rsidP="00A52C84">
          <w:pPr>
            <w:pStyle w:val="Header"/>
            <w:tabs>
              <w:tab w:val="left" w:pos="6028"/>
              <w:tab w:val="right" w:pos="8505"/>
              <w:tab w:val="right" w:pos="9639"/>
            </w:tabs>
            <w:jc w:val="left"/>
            <w:rPr>
              <w:rFonts w:ascii="Arial" w:hAnsi="Arial" w:cs="Arial"/>
              <w:b/>
              <w:bCs/>
              <w:szCs w:val="18"/>
            </w:rPr>
          </w:pPr>
          <w:r>
            <w:rPr>
              <w:bCs/>
            </w:rPr>
            <w:tab/>
          </w:r>
          <w:r w:rsidR="00A52C84" w:rsidRPr="00623AE3">
            <w:rPr>
              <w:bCs/>
            </w:rPr>
            <w:t>C</w:t>
          </w:r>
          <w:r w:rsidR="00A52C84">
            <w:rPr>
              <w:bCs/>
            </w:rPr>
            <w:t>WG-</w:t>
          </w:r>
          <w:r w:rsidR="00891503">
            <w:rPr>
              <w:bCs/>
            </w:rPr>
            <w:t>COP</w:t>
          </w:r>
          <w:r w:rsidR="00A52C84">
            <w:rPr>
              <w:bCs/>
            </w:rPr>
            <w:t>-</w:t>
          </w:r>
          <w:r w:rsidR="00BC54CD">
            <w:rPr>
              <w:bCs/>
            </w:rPr>
            <w:t>2</w:t>
          </w:r>
          <w:r w:rsidR="00CD76B2">
            <w:rPr>
              <w:bCs/>
            </w:rPr>
            <w:t>4</w:t>
          </w:r>
          <w:r w:rsidR="00A52C84" w:rsidRPr="00623AE3">
            <w:rPr>
              <w:bCs/>
            </w:rPr>
            <w:t>/</w:t>
          </w:r>
          <w:r w:rsidR="00866F4F">
            <w:rPr>
              <w:bCs/>
            </w:rPr>
            <w:t>INF/</w:t>
          </w:r>
          <w:r w:rsidR="00733385">
            <w:rPr>
              <w:bCs/>
            </w:rPr>
            <w:t>15</w:t>
          </w:r>
          <w:r w:rsidR="00A52C84" w:rsidRPr="00623AE3">
            <w:rPr>
              <w:bCs/>
            </w:rPr>
            <w:t>-E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76BC3574" w:rsidR="00EE49E8" w:rsidRDefault="00A52C84" w:rsidP="00EE49E8">
          <w:pPr>
            <w:pStyle w:val="Header"/>
            <w:jc w:val="left"/>
            <w:rPr>
              <w:noProof/>
            </w:rPr>
          </w:pPr>
          <w:hyperlink r:id="rId1" w:history="1">
            <w:r w:rsidRPr="00CD76B2">
              <w:rPr>
                <w:rStyle w:val="Hyperlink"/>
              </w:rPr>
              <w:t>council.itu.int/working-groups</w:t>
            </w:r>
          </w:hyperlink>
        </w:p>
      </w:tc>
      <w:tc>
        <w:tcPr>
          <w:tcW w:w="6957" w:type="dxa"/>
        </w:tcPr>
        <w:p w14:paraId="3F62E0D8" w14:textId="186FD65D" w:rsidR="00EE49E8" w:rsidRPr="00E06FD5" w:rsidRDefault="00EE49E8" w:rsidP="00A52C84">
          <w:pPr>
            <w:pStyle w:val="Header"/>
            <w:tabs>
              <w:tab w:val="left" w:pos="4718"/>
              <w:tab w:val="right" w:pos="8505"/>
              <w:tab w:val="right" w:pos="9639"/>
            </w:tabs>
            <w:jc w:val="left"/>
            <w:rPr>
              <w:rFonts w:ascii="Arial" w:hAnsi="Arial" w:cs="Arial"/>
              <w:b/>
              <w:bCs/>
              <w:szCs w:val="18"/>
            </w:rPr>
          </w:pPr>
          <w:r>
            <w:rPr>
              <w:bCs/>
            </w:rPr>
            <w:tab/>
          </w:r>
          <w:r w:rsidRPr="00623AE3">
            <w:rPr>
              <w:bCs/>
            </w:rPr>
            <w:t>C</w:t>
          </w:r>
          <w:r w:rsidR="00A52C84">
            <w:rPr>
              <w:bCs/>
            </w:rPr>
            <w:t>WG-</w:t>
          </w:r>
          <w:r w:rsidR="00891503">
            <w:rPr>
              <w:bCs/>
            </w:rPr>
            <w:t>COP</w:t>
          </w:r>
          <w:r w:rsidR="00A52C84">
            <w:rPr>
              <w:bCs/>
            </w:rPr>
            <w:t>-</w:t>
          </w:r>
          <w:r w:rsidR="00BC54CD">
            <w:rPr>
              <w:bCs/>
            </w:rPr>
            <w:t>2</w:t>
          </w:r>
          <w:r w:rsidR="00CD76B2">
            <w:rPr>
              <w:bCs/>
            </w:rPr>
            <w:t>4</w:t>
          </w:r>
          <w:r w:rsidRPr="00623AE3">
            <w:rPr>
              <w:bCs/>
            </w:rPr>
            <w:t>/</w:t>
          </w:r>
          <w:r w:rsidR="00866F4F">
            <w:rPr>
              <w:bCs/>
            </w:rPr>
            <w:t>INF/</w:t>
          </w:r>
          <w:r w:rsidR="00733385">
            <w:rPr>
              <w:bCs/>
            </w:rPr>
            <w:t>15</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7DD74" w14:textId="77777777" w:rsidR="004016E2" w:rsidRDefault="004016E2">
      <w:r>
        <w:t>____________________</w:t>
      </w:r>
    </w:p>
  </w:footnote>
  <w:footnote w:type="continuationSeparator" w:id="0">
    <w:p w14:paraId="0262EED0" w14:textId="77777777" w:rsidR="004016E2" w:rsidRDefault="004016E2">
      <w:r>
        <w:continuationSeparator/>
      </w:r>
    </w:p>
  </w:footnote>
  <w:footnote w:id="1">
    <w:p w14:paraId="508B1BB0" w14:textId="77777777" w:rsidR="001728AF" w:rsidRPr="00A411C5" w:rsidRDefault="001728AF" w:rsidP="001728AF">
      <w:pPr>
        <w:keepLines/>
        <w:tabs>
          <w:tab w:val="left" w:pos="256"/>
        </w:tabs>
        <w:spacing w:before="0"/>
        <w:rPr>
          <w:rStyle w:val="Hyperlink"/>
          <w:sz w:val="20"/>
        </w:rPr>
      </w:pPr>
      <w:r>
        <w:rPr>
          <w:rStyle w:val="FootnoteReference"/>
          <w:vertAlign w:val="superscript"/>
        </w:rPr>
        <w:footnoteRef/>
      </w:r>
      <w:r>
        <w:rPr>
          <w:sz w:val="20"/>
        </w:rPr>
        <w:t xml:space="preserve"> </w:t>
      </w:r>
      <w:r>
        <w:rPr>
          <w:sz w:val="20"/>
        </w:rPr>
        <w:fldChar w:fldCharType="begin"/>
      </w:r>
      <w:r>
        <w:rPr>
          <w:sz w:val="20"/>
        </w:rPr>
        <w:instrText>HYPERLINK "mailto:https://www.facebook.com/CYBERSECgovph/videos/dear-parentskeeping-your-child-safe-online-begins-with-awareness-on-safer-intern/1321934465727198/"</w:instrText>
      </w:r>
      <w:r>
        <w:rPr>
          <w:sz w:val="20"/>
        </w:rPr>
      </w:r>
      <w:r>
        <w:rPr>
          <w:sz w:val="20"/>
        </w:rPr>
        <w:fldChar w:fldCharType="separate"/>
      </w:r>
      <w:r w:rsidRPr="00A411C5">
        <w:rPr>
          <w:rStyle w:val="Hyperlink"/>
          <w:sz w:val="20"/>
        </w:rPr>
        <w:t xml:space="preserve">https://www.facebook.com/CYBERSECgovph/videos/dear-parentskeeping-your-child-safe-online-begins-with- </w:t>
      </w:r>
    </w:p>
    <w:p w14:paraId="03B21AFD" w14:textId="77777777" w:rsidR="001728AF" w:rsidRDefault="001728AF" w:rsidP="001728AF">
      <w:pPr>
        <w:keepLines/>
        <w:tabs>
          <w:tab w:val="left" w:pos="256"/>
        </w:tabs>
        <w:spacing w:before="0"/>
        <w:rPr>
          <w:sz w:val="20"/>
        </w:rPr>
      </w:pPr>
      <w:r w:rsidRPr="00A411C5">
        <w:rPr>
          <w:rStyle w:val="Hyperlink"/>
          <w:sz w:val="20"/>
        </w:rPr>
        <w:t xml:space="preserve">  awareness-on-safer-intern/1321934465727198/</w:t>
      </w:r>
      <w:r>
        <w:rPr>
          <w:sz w:val="20"/>
        </w:rPr>
        <w:fldChar w:fldCharType="end"/>
      </w:r>
      <w:r>
        <w:rPr>
          <w:sz w:val="20"/>
        </w:rPr>
        <w:t>.</w:t>
      </w:r>
    </w:p>
  </w:footnote>
  <w:footnote w:id="2">
    <w:p w14:paraId="62C20C89" w14:textId="77777777" w:rsidR="001728AF" w:rsidRDefault="001728AF" w:rsidP="001728AF">
      <w:pPr>
        <w:spacing w:before="0"/>
        <w:ind w:right="-1"/>
        <w:rPr>
          <w:sz w:val="20"/>
        </w:rPr>
      </w:pPr>
      <w:r>
        <w:rPr>
          <w:rStyle w:val="FootnoteReference"/>
          <w:vertAlign w:val="superscript"/>
        </w:rPr>
        <w:footnoteRef/>
      </w:r>
      <w:r>
        <w:rPr>
          <w:sz w:val="20"/>
        </w:rPr>
        <w:t xml:space="preserve"> Barangay is a Filipino word referring to a small administrative district of the local government in the </w:t>
      </w:r>
    </w:p>
    <w:p w14:paraId="4967DF8D" w14:textId="77777777" w:rsidR="001728AF" w:rsidRDefault="001728AF" w:rsidP="001728AF">
      <w:pPr>
        <w:spacing w:before="0"/>
        <w:ind w:right="-1"/>
        <w:rPr>
          <w:sz w:val="20"/>
        </w:rPr>
      </w:pPr>
      <w:r>
        <w:rPr>
          <w:sz w:val="20"/>
        </w:rPr>
        <w:t xml:space="preserve">  Philippines.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12"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61312"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AAFC3"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2"/>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11999"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62336"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78C64C6C"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5567BC">
                            <w:rPr>
                              <w:b/>
                              <w:bCs/>
                              <w:szCs w:val="24"/>
                            </w:rPr>
                            <w:t>child online protection</w:t>
                          </w:r>
                          <w:r>
                            <w:br/>
                          </w:r>
                          <w:r w:rsidR="00BC54CD">
                            <w:rPr>
                              <w:sz w:val="20"/>
                            </w:rPr>
                            <w:t>Twent</w:t>
                          </w:r>
                          <w:r w:rsidR="00225FA7">
                            <w:rPr>
                              <w:sz w:val="20"/>
                            </w:rPr>
                            <w:t>y-</w:t>
                          </w:r>
                          <w:r w:rsidR="00CD76B2">
                            <w:rPr>
                              <w:sz w:val="20"/>
                            </w:rPr>
                            <w:t>fourth</w:t>
                          </w:r>
                          <w:r w:rsidRPr="00130599">
                            <w:rPr>
                              <w:sz w:val="20"/>
                            </w:rPr>
                            <w:t xml:space="preserve"> meeting </w:t>
                          </w:r>
                          <w:r w:rsidR="00225FA7">
                            <w:rPr>
                              <w:sz w:val="20"/>
                            </w:rPr>
                            <w:t>–</w:t>
                          </w:r>
                          <w:r w:rsidR="00B358B2">
                            <w:rPr>
                              <w:sz w:val="20"/>
                            </w:rPr>
                            <w:t xml:space="preserve"> </w:t>
                          </w:r>
                          <w:r w:rsidR="0099790D">
                            <w:rPr>
                              <w:sz w:val="20"/>
                            </w:rPr>
                            <w:t>19</w:t>
                          </w:r>
                          <w:r w:rsidR="00225FA7">
                            <w:rPr>
                              <w:sz w:val="20"/>
                            </w:rPr>
                            <w:t xml:space="preserve"> </w:t>
                          </w:r>
                          <w:r w:rsidR="00CD76B2">
                            <w:rPr>
                              <w:sz w:val="20"/>
                            </w:rPr>
                            <w:t xml:space="preserve">January </w:t>
                          </w:r>
                          <w:r w:rsidR="00225FA7">
                            <w:rPr>
                              <w:sz w:val="20"/>
                            </w:rPr>
                            <w:t>202</w:t>
                          </w:r>
                          <w:r w:rsidR="00CD76B2">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78C64C6C"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5567BC">
                      <w:rPr>
                        <w:b/>
                        <w:bCs/>
                        <w:szCs w:val="24"/>
                      </w:rPr>
                      <w:t>child online protection</w:t>
                    </w:r>
                    <w:r>
                      <w:br/>
                    </w:r>
                    <w:r w:rsidR="00BC54CD">
                      <w:rPr>
                        <w:sz w:val="20"/>
                      </w:rPr>
                      <w:t>Twent</w:t>
                    </w:r>
                    <w:r w:rsidR="00225FA7">
                      <w:rPr>
                        <w:sz w:val="20"/>
                      </w:rPr>
                      <w:t>y-</w:t>
                    </w:r>
                    <w:r w:rsidR="00CD76B2">
                      <w:rPr>
                        <w:sz w:val="20"/>
                      </w:rPr>
                      <w:t>fourth</w:t>
                    </w:r>
                    <w:r w:rsidRPr="00130599">
                      <w:rPr>
                        <w:sz w:val="20"/>
                      </w:rPr>
                      <w:t xml:space="preserve"> meeting </w:t>
                    </w:r>
                    <w:r w:rsidR="00225FA7">
                      <w:rPr>
                        <w:sz w:val="20"/>
                      </w:rPr>
                      <w:t>–</w:t>
                    </w:r>
                    <w:r w:rsidR="00B358B2">
                      <w:rPr>
                        <w:sz w:val="20"/>
                      </w:rPr>
                      <w:t xml:space="preserve"> </w:t>
                    </w:r>
                    <w:r w:rsidR="0099790D">
                      <w:rPr>
                        <w:sz w:val="20"/>
                      </w:rPr>
                      <w:t>19</w:t>
                    </w:r>
                    <w:r w:rsidR="00225FA7">
                      <w:rPr>
                        <w:sz w:val="20"/>
                      </w:rPr>
                      <w:t xml:space="preserve"> </w:t>
                    </w:r>
                    <w:r w:rsidR="00CD76B2">
                      <w:rPr>
                        <w:sz w:val="20"/>
                      </w:rPr>
                      <w:t xml:space="preserve">January </w:t>
                    </w:r>
                    <w:r w:rsidR="00225FA7">
                      <w:rPr>
                        <w:sz w:val="20"/>
                      </w:rPr>
                      <w:t>202</w:t>
                    </w:r>
                    <w:r w:rsidR="00CD76B2">
                      <w:rPr>
                        <w:sz w:val="20"/>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01A8F"/>
    <w:rsid w:val="00007198"/>
    <w:rsid w:val="000210D4"/>
    <w:rsid w:val="00063016"/>
    <w:rsid w:val="00066795"/>
    <w:rsid w:val="00076AF6"/>
    <w:rsid w:val="00085518"/>
    <w:rsid w:val="000859C4"/>
    <w:rsid w:val="00085CF2"/>
    <w:rsid w:val="000B1705"/>
    <w:rsid w:val="000D75B2"/>
    <w:rsid w:val="001121F5"/>
    <w:rsid w:val="00130599"/>
    <w:rsid w:val="001400DC"/>
    <w:rsid w:val="00140CE1"/>
    <w:rsid w:val="001728AF"/>
    <w:rsid w:val="0017539C"/>
    <w:rsid w:val="00175AC2"/>
    <w:rsid w:val="0017609F"/>
    <w:rsid w:val="001A7D1D"/>
    <w:rsid w:val="001B51DD"/>
    <w:rsid w:val="001C628E"/>
    <w:rsid w:val="001E0F7B"/>
    <w:rsid w:val="001E0FBE"/>
    <w:rsid w:val="002119FD"/>
    <w:rsid w:val="002130E0"/>
    <w:rsid w:val="00225FA7"/>
    <w:rsid w:val="00244F7F"/>
    <w:rsid w:val="00264425"/>
    <w:rsid w:val="00265875"/>
    <w:rsid w:val="0027303B"/>
    <w:rsid w:val="0028109B"/>
    <w:rsid w:val="002A2188"/>
    <w:rsid w:val="002B1F58"/>
    <w:rsid w:val="002C1C7A"/>
    <w:rsid w:val="002C54E2"/>
    <w:rsid w:val="0030160F"/>
    <w:rsid w:val="00320223"/>
    <w:rsid w:val="00322D0D"/>
    <w:rsid w:val="00361465"/>
    <w:rsid w:val="003877F5"/>
    <w:rsid w:val="00394091"/>
    <w:rsid w:val="003942D4"/>
    <w:rsid w:val="003958A8"/>
    <w:rsid w:val="003C2533"/>
    <w:rsid w:val="003D5A7F"/>
    <w:rsid w:val="004016E2"/>
    <w:rsid w:val="0040435A"/>
    <w:rsid w:val="00416A24"/>
    <w:rsid w:val="00431D9E"/>
    <w:rsid w:val="00433CE8"/>
    <w:rsid w:val="00434A5C"/>
    <w:rsid w:val="004544D9"/>
    <w:rsid w:val="00472BAD"/>
    <w:rsid w:val="00474CAD"/>
    <w:rsid w:val="00484009"/>
    <w:rsid w:val="00490E72"/>
    <w:rsid w:val="00491157"/>
    <w:rsid w:val="004921C8"/>
    <w:rsid w:val="00495B0B"/>
    <w:rsid w:val="004A1B8B"/>
    <w:rsid w:val="004D1851"/>
    <w:rsid w:val="004D599D"/>
    <w:rsid w:val="004E2EA5"/>
    <w:rsid w:val="004E3AEB"/>
    <w:rsid w:val="0050223C"/>
    <w:rsid w:val="005217BD"/>
    <w:rsid w:val="005243FF"/>
    <w:rsid w:val="005567BC"/>
    <w:rsid w:val="00564FBC"/>
    <w:rsid w:val="005800BC"/>
    <w:rsid w:val="00582442"/>
    <w:rsid w:val="005A335D"/>
    <w:rsid w:val="005E2BD5"/>
    <w:rsid w:val="005F3269"/>
    <w:rsid w:val="00610DC7"/>
    <w:rsid w:val="00623AE3"/>
    <w:rsid w:val="006273F5"/>
    <w:rsid w:val="0064737F"/>
    <w:rsid w:val="006535F1"/>
    <w:rsid w:val="0065557D"/>
    <w:rsid w:val="00660D50"/>
    <w:rsid w:val="00662984"/>
    <w:rsid w:val="006716BB"/>
    <w:rsid w:val="006B1859"/>
    <w:rsid w:val="006B6680"/>
    <w:rsid w:val="006B6DCC"/>
    <w:rsid w:val="006F5369"/>
    <w:rsid w:val="00702DEF"/>
    <w:rsid w:val="00706861"/>
    <w:rsid w:val="00733385"/>
    <w:rsid w:val="0075051B"/>
    <w:rsid w:val="00775655"/>
    <w:rsid w:val="00793188"/>
    <w:rsid w:val="00794D34"/>
    <w:rsid w:val="00813E5E"/>
    <w:rsid w:val="0083581B"/>
    <w:rsid w:val="00854BE3"/>
    <w:rsid w:val="00863874"/>
    <w:rsid w:val="00864AFF"/>
    <w:rsid w:val="00865925"/>
    <w:rsid w:val="00866F4F"/>
    <w:rsid w:val="00891503"/>
    <w:rsid w:val="008964B4"/>
    <w:rsid w:val="008B4A6A"/>
    <w:rsid w:val="008C7E27"/>
    <w:rsid w:val="008F7448"/>
    <w:rsid w:val="0090147A"/>
    <w:rsid w:val="009173EF"/>
    <w:rsid w:val="00932906"/>
    <w:rsid w:val="00955751"/>
    <w:rsid w:val="00961B0B"/>
    <w:rsid w:val="00962D33"/>
    <w:rsid w:val="00971C6A"/>
    <w:rsid w:val="0099790D"/>
    <w:rsid w:val="009B38C3"/>
    <w:rsid w:val="009C253A"/>
    <w:rsid w:val="009E17BD"/>
    <w:rsid w:val="009E485A"/>
    <w:rsid w:val="00A04CEC"/>
    <w:rsid w:val="00A05885"/>
    <w:rsid w:val="00A27F92"/>
    <w:rsid w:val="00A32257"/>
    <w:rsid w:val="00A36D20"/>
    <w:rsid w:val="00A467DF"/>
    <w:rsid w:val="00A514A4"/>
    <w:rsid w:val="00A52C84"/>
    <w:rsid w:val="00A55622"/>
    <w:rsid w:val="00A83502"/>
    <w:rsid w:val="00AD15B3"/>
    <w:rsid w:val="00AD3606"/>
    <w:rsid w:val="00AD4A3D"/>
    <w:rsid w:val="00AF6E49"/>
    <w:rsid w:val="00B04A67"/>
    <w:rsid w:val="00B0583C"/>
    <w:rsid w:val="00B358B2"/>
    <w:rsid w:val="00B40A81"/>
    <w:rsid w:val="00B44910"/>
    <w:rsid w:val="00B45936"/>
    <w:rsid w:val="00B64669"/>
    <w:rsid w:val="00B72267"/>
    <w:rsid w:val="00B76EB6"/>
    <w:rsid w:val="00B7737B"/>
    <w:rsid w:val="00B824C8"/>
    <w:rsid w:val="00B84B9D"/>
    <w:rsid w:val="00BC251A"/>
    <w:rsid w:val="00BC3F65"/>
    <w:rsid w:val="00BC54CD"/>
    <w:rsid w:val="00BC6146"/>
    <w:rsid w:val="00BD032B"/>
    <w:rsid w:val="00BE2640"/>
    <w:rsid w:val="00C01189"/>
    <w:rsid w:val="00C10F2C"/>
    <w:rsid w:val="00C374DE"/>
    <w:rsid w:val="00C47AD4"/>
    <w:rsid w:val="00C52D81"/>
    <w:rsid w:val="00C55198"/>
    <w:rsid w:val="00CA293A"/>
    <w:rsid w:val="00CA6393"/>
    <w:rsid w:val="00CB18FF"/>
    <w:rsid w:val="00CD0C08"/>
    <w:rsid w:val="00CD76B2"/>
    <w:rsid w:val="00CE03FB"/>
    <w:rsid w:val="00CE433C"/>
    <w:rsid w:val="00CF0161"/>
    <w:rsid w:val="00CF33F3"/>
    <w:rsid w:val="00D06183"/>
    <w:rsid w:val="00D22C42"/>
    <w:rsid w:val="00D464CC"/>
    <w:rsid w:val="00D53C61"/>
    <w:rsid w:val="00D65041"/>
    <w:rsid w:val="00DB00D5"/>
    <w:rsid w:val="00DB1936"/>
    <w:rsid w:val="00DB384B"/>
    <w:rsid w:val="00DF0189"/>
    <w:rsid w:val="00E06FD5"/>
    <w:rsid w:val="00E10E80"/>
    <w:rsid w:val="00E124F0"/>
    <w:rsid w:val="00E227F3"/>
    <w:rsid w:val="00E545C6"/>
    <w:rsid w:val="00E60F04"/>
    <w:rsid w:val="00E65B24"/>
    <w:rsid w:val="00E854E4"/>
    <w:rsid w:val="00E86DBF"/>
    <w:rsid w:val="00EB0D6F"/>
    <w:rsid w:val="00EB2232"/>
    <w:rsid w:val="00EB5155"/>
    <w:rsid w:val="00EC5337"/>
    <w:rsid w:val="00ED454D"/>
    <w:rsid w:val="00EE49E8"/>
    <w:rsid w:val="00F0400D"/>
    <w:rsid w:val="00F16BAB"/>
    <w:rsid w:val="00F2150A"/>
    <w:rsid w:val="00F231D8"/>
    <w:rsid w:val="00F41345"/>
    <w:rsid w:val="00F44C00"/>
    <w:rsid w:val="00F45D2C"/>
    <w:rsid w:val="00F46C5F"/>
    <w:rsid w:val="00F632C0"/>
    <w:rsid w:val="00F74694"/>
    <w:rsid w:val="00F871BD"/>
    <w:rsid w:val="00F94A63"/>
    <w:rsid w:val="00FA1C28"/>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F0400D"/>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CD76B2"/>
    <w:rPr>
      <w:color w:val="605E5C"/>
      <w:shd w:val="clear" w:color="auto" w:fill="E1DFDD"/>
    </w:rPr>
  </w:style>
  <w:style w:type="character" w:styleId="PlaceholderText">
    <w:name w:val="Placeholder Text"/>
    <w:basedOn w:val="DefaultParagraphFont"/>
    <w:uiPriority w:val="99"/>
    <w:semiHidden/>
    <w:rsid w:val="00F871B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ivacy.gov.ph/wp-content/uploads/2024/12/Advisory-2024.12.17-Guidelines-on-Child-Oriented-Transparency-w-SGD.pdf" TargetMode="External"/><Relationship Id="rId13" Type="http://schemas.openxmlformats.org/officeDocument/2006/relationships/hyperlink" Target="https://www.youtube.com/watch?v=v4UYQhP11qA" TargetMode="External"/><Relationship Id="rId18" Type="http://schemas.openxmlformats.org/officeDocument/2006/relationships/hyperlink" Target="https://www.youtube.com/watch?v=kE8aD3thOq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youtube.com/watch?v=N0XFSOiklLU" TargetMode="External"/><Relationship Id="rId17" Type="http://schemas.openxmlformats.org/officeDocument/2006/relationships/hyperlink" Target="https://www.youtube.com/watch?v=pn6k88zr3_c"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watch?v=H2UYxcof6cg" TargetMode="External"/><Relationship Id="rId20" Type="http://schemas.openxmlformats.org/officeDocument/2006/relationships/hyperlink" Target="https://www.youtube.com/watch?v=ttgXYycUbW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tWp-mV1mjw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watch?v=GEeCnX1Wz8o" TargetMode="External"/><Relationship Id="rId23" Type="http://schemas.openxmlformats.org/officeDocument/2006/relationships/footer" Target="footer2.xml"/><Relationship Id="rId10" Type="http://schemas.openxmlformats.org/officeDocument/2006/relationships/hyperlink" Target="https://www.youtube.com/watch?v=5b7dVViSzRA" TargetMode="External"/><Relationship Id="rId19" Type="http://schemas.openxmlformats.org/officeDocument/2006/relationships/hyperlink" Target="https://www.youtube.com/watch?v=Gj2CD_7hSWc" TargetMode="External"/><Relationship Id="rId4" Type="http://schemas.openxmlformats.org/officeDocument/2006/relationships/settings" Target="settings.xml"/><Relationship Id="rId9" Type="http://schemas.openxmlformats.org/officeDocument/2006/relationships/hyperlink" Target="https://www.youtube.com/watch?v=RG6hZJb1SOw" TargetMode="External"/><Relationship Id="rId14" Type="http://schemas.openxmlformats.org/officeDocument/2006/relationships/hyperlink" Target="https://www.youtube.com/watch?v=g1K-4m8le60"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2245</Words>
  <Characters>15201</Characters>
  <Application>Microsoft Office Word</Application>
  <DocSecurity>0</DocSecurity>
  <Lines>249</Lines>
  <Paragraphs>281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17165</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ITU Council Working Group on child onlinie protection</dc:subject>
  <dc:creator/>
  <cp:keywords>CWG-COP; C26; Council-26</cp:keywords>
  <dc:description/>
  <cp:lastModifiedBy/>
  <cp:revision>1</cp:revision>
  <dcterms:created xsi:type="dcterms:W3CDTF">2026-01-19T14:10:00Z</dcterms:created>
  <dcterms:modified xsi:type="dcterms:W3CDTF">2026-01-19T14:10:00Z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68537e51-2890-49e6-83a1-9d0d2fc8e3bc</vt:lpwstr>
  </property>
</Properties>
</file>