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07198"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971303A"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6B001E">
              <w:rPr>
                <w:b/>
                <w:lang w:val="fr-FR"/>
              </w:rPr>
              <w:t>13</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5E203D39" w:rsidR="00AD3606" w:rsidRPr="00F871BD" w:rsidRDefault="006B001E" w:rsidP="00AD3606">
            <w:pPr>
              <w:tabs>
                <w:tab w:val="left" w:pos="851"/>
              </w:tabs>
              <w:spacing w:before="0"/>
              <w:jc w:val="right"/>
              <w:rPr>
                <w:b/>
              </w:rPr>
            </w:pPr>
            <w:r>
              <w:rPr>
                <w:b/>
              </w:rPr>
              <w:t>18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06195240" w:rsidR="00AD3606" w:rsidRPr="00F871BD" w:rsidRDefault="00EB5155" w:rsidP="00F0400D">
            <w:pPr>
              <w:pStyle w:val="Source"/>
              <w:framePr w:hSpace="0" w:wrap="auto" w:vAnchor="margin" w:hAnchor="text" w:xAlign="left" w:yAlign="inline"/>
            </w:pPr>
            <w:bookmarkStart w:id="8" w:name="dsource" w:colFirst="0" w:colLast="0"/>
            <w:bookmarkEnd w:id="7"/>
            <w:r w:rsidRPr="00F871BD">
              <w:t>Contribution by</w:t>
            </w:r>
            <w:r w:rsidR="001B2E99">
              <w:t xml:space="preserve"> SWGfL</w:t>
            </w:r>
          </w:p>
        </w:tc>
      </w:tr>
      <w:tr w:rsidR="00AD3606" w:rsidRPr="00F871BD" w14:paraId="2340750D" w14:textId="77777777" w:rsidTr="00AD3606">
        <w:trPr>
          <w:cantSplit/>
        </w:trPr>
        <w:tc>
          <w:tcPr>
            <w:tcW w:w="9214" w:type="dxa"/>
            <w:gridSpan w:val="2"/>
            <w:tcMar>
              <w:left w:w="0" w:type="dxa"/>
            </w:tcMar>
          </w:tcPr>
          <w:p w14:paraId="47B91AA8" w14:textId="5794467C" w:rsidR="00AD3606" w:rsidRPr="00F871BD" w:rsidRDefault="006B001E" w:rsidP="00F0400D">
            <w:pPr>
              <w:pStyle w:val="Subtitle"/>
              <w:framePr w:hSpace="0" w:wrap="auto" w:xAlign="left" w:yAlign="inline"/>
            </w:pPr>
            <w:bookmarkStart w:id="9" w:name="dtitle1" w:colFirst="0" w:colLast="0"/>
            <w:bookmarkEnd w:id="8"/>
            <w:r w:rsidRPr="001B2E99">
              <w:t>ADVANCING TECHNICAL STANDARDS FOR PARENTAL CONTROL INTEROPERABILITY (PARCEP)</w:t>
            </w:r>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2A968D79" w14:textId="77777777" w:rsidR="00A03120" w:rsidRPr="00A03120" w:rsidRDefault="00A03120" w:rsidP="006B001E">
            <w:pPr>
              <w:jc w:val="both"/>
            </w:pPr>
            <w:r w:rsidRPr="00A03120">
              <w:t xml:space="preserve">This information document provides the Council Working Group on Child Online Protection (CWG-COP) with an update on progress made since the September 2025 Council meeting in relation to the development of </w:t>
            </w:r>
            <w:r w:rsidRPr="00A03120">
              <w:rPr>
                <w:b/>
                <w:bCs/>
              </w:rPr>
              <w:t>PARCEP – Parental Control Interoperability Principles</w:t>
            </w:r>
            <w:r w:rsidRPr="00A03120">
              <w:t>, following its initial presentation to the Council and subsequent work within ITU-T Study Group 17 (SG17).</w:t>
            </w:r>
          </w:p>
          <w:p w14:paraId="6CBE1387" w14:textId="77777777" w:rsidR="00A03120" w:rsidRPr="00A03120" w:rsidRDefault="00A03120" w:rsidP="006B001E">
            <w:pPr>
              <w:jc w:val="both"/>
            </w:pPr>
            <w:r w:rsidRPr="00A03120">
              <w:t>The document outlines key milestones achieved, situates PARCEP within the existing Council and Development Sector mandates on child online protection, and highlights its relevance to ongoing ITU work on technical standards, trust, and safety.</w:t>
            </w:r>
          </w:p>
          <w:p w14:paraId="5076D5C4" w14:textId="28F00572"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F16BAB">
            <w:pPr>
              <w:spacing w:before="160"/>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5BBC35A7" w14:textId="77777777" w:rsidR="006F5369" w:rsidRDefault="006F5369">
            <w:r w:rsidRPr="00F871BD">
              <w:t>_______________</w:t>
            </w:r>
          </w:p>
          <w:p w14:paraId="00DEE14C" w14:textId="6E60E3DA" w:rsidR="00AD3606" w:rsidRPr="00F871BD" w:rsidRDefault="00EB5155" w:rsidP="00F16BAB">
            <w:pPr>
              <w:spacing w:before="160"/>
              <w:rPr>
                <w:sz w:val="26"/>
                <w:szCs w:val="26"/>
              </w:rPr>
            </w:pPr>
            <w:r w:rsidRPr="00F871BD">
              <w:rPr>
                <w:b/>
                <w:bCs/>
                <w:sz w:val="26"/>
                <w:szCs w:val="26"/>
              </w:rPr>
              <w:t>References</w:t>
            </w:r>
          </w:p>
          <w:p w14:paraId="3724BE85" w14:textId="74A6024F" w:rsidR="00BA13F4" w:rsidRPr="00BA13F4" w:rsidRDefault="00BA13F4" w:rsidP="00BA13F4">
            <w:pPr>
              <w:spacing w:after="160"/>
              <w:rPr>
                <w:i/>
                <w:iCs/>
                <w:sz w:val="22"/>
                <w:szCs w:val="22"/>
              </w:rPr>
            </w:pPr>
            <w:r w:rsidRPr="00BA13F4">
              <w:rPr>
                <w:i/>
                <w:iCs/>
                <w:sz w:val="22"/>
                <w:szCs w:val="22"/>
              </w:rPr>
              <w:t xml:space="preserve">ITU Council Resolution 179 (Child Online Protection): </w:t>
            </w:r>
            <w:hyperlink r:id="rId8" w:history="1">
              <w:r w:rsidRPr="00BA13F4">
                <w:rPr>
                  <w:rStyle w:val="Hyperlink"/>
                  <w:i/>
                  <w:iCs/>
                  <w:sz w:val="22"/>
                  <w:szCs w:val="22"/>
                </w:rPr>
                <w:t>https://www.itu.int/en/council/Documents/basic-texts-2023/RES-179-E.pdf</w:t>
              </w:r>
            </w:hyperlink>
            <w:r>
              <w:rPr>
                <w:i/>
                <w:iCs/>
                <w:sz w:val="22"/>
                <w:szCs w:val="22"/>
              </w:rPr>
              <w:t xml:space="preserve"> </w:t>
            </w:r>
          </w:p>
          <w:p w14:paraId="17ADB7FB" w14:textId="356C2DC2" w:rsidR="00BA13F4" w:rsidRPr="00BA13F4" w:rsidRDefault="00BA13F4" w:rsidP="00BA13F4">
            <w:pPr>
              <w:spacing w:after="160"/>
              <w:rPr>
                <w:i/>
                <w:iCs/>
                <w:sz w:val="22"/>
                <w:szCs w:val="22"/>
              </w:rPr>
            </w:pPr>
            <w:r w:rsidRPr="00BA13F4">
              <w:rPr>
                <w:i/>
                <w:iCs/>
                <w:sz w:val="22"/>
                <w:szCs w:val="22"/>
              </w:rPr>
              <w:t xml:space="preserve">ITU-D Resolution 67 on Child Online Protection (as revised at WTDC, Baku, November 2025): </w:t>
            </w:r>
            <w:hyperlink r:id="rId9" w:history="1">
              <w:r w:rsidRPr="00BA13F4">
                <w:rPr>
                  <w:rStyle w:val="Hyperlink"/>
                  <w:i/>
                  <w:iCs/>
                  <w:sz w:val="22"/>
                  <w:szCs w:val="22"/>
                </w:rPr>
                <w:t>https://www.itu.int/itu-d/meetings/wtdc25/wp-content/uploads/sites/29/2025/11/090-E.pdf</w:t>
              </w:r>
            </w:hyperlink>
            <w:r>
              <w:rPr>
                <w:i/>
                <w:iCs/>
                <w:sz w:val="22"/>
                <w:szCs w:val="22"/>
              </w:rPr>
              <w:t xml:space="preserve"> </w:t>
            </w:r>
          </w:p>
          <w:p w14:paraId="0175CD6C" w14:textId="1612161D" w:rsidR="00AD3606" w:rsidRPr="00F871BD" w:rsidRDefault="00AA3A65" w:rsidP="006B001E">
            <w:pPr>
              <w:spacing w:after="160"/>
              <w:rPr>
                <w:i/>
                <w:iCs/>
                <w:sz w:val="22"/>
                <w:szCs w:val="22"/>
              </w:rPr>
            </w:pPr>
            <w:r w:rsidRPr="00AA3A65">
              <w:rPr>
                <w:i/>
                <w:iCs/>
                <w:sz w:val="22"/>
                <w:szCs w:val="22"/>
              </w:rPr>
              <w:t>ITU-T SG17  (Study Period 2025)  Temporary Document  114-WP3</w:t>
            </w:r>
            <w:r>
              <w:rPr>
                <w:i/>
                <w:iCs/>
                <w:sz w:val="22"/>
                <w:szCs w:val="22"/>
              </w:rPr>
              <w:t xml:space="preserve">, </w:t>
            </w:r>
            <w:r w:rsidR="007B33E4" w:rsidRPr="007B33E4">
              <w:rPr>
                <w:i/>
                <w:iCs/>
                <w:sz w:val="22"/>
                <w:szCs w:val="22"/>
              </w:rPr>
              <w:t>Output - Proposal for new work item X.PARCEP: Interoperable Parental Control Enforcement Policies (PARCEP) for Child Online Protection</w:t>
            </w:r>
            <w:r w:rsidR="00BA13F4" w:rsidRPr="00BA13F4">
              <w:rPr>
                <w:i/>
                <w:iCs/>
                <w:sz w:val="22"/>
                <w:szCs w:val="22"/>
              </w:rPr>
              <w:t xml:space="preserve">: </w:t>
            </w:r>
            <w:hyperlink r:id="rId10" w:history="1">
              <w:r w:rsidR="00BA13F4" w:rsidRPr="00BA13F4">
                <w:rPr>
                  <w:rStyle w:val="Hyperlink"/>
                  <w:i/>
                  <w:iCs/>
                  <w:sz w:val="22"/>
                  <w:szCs w:val="22"/>
                </w:rPr>
                <w:t>https://www.itu.int/md/T25-SG17-251203-TD-WP3-0114</w:t>
              </w:r>
            </w:hyperlink>
            <w:r w:rsidR="00BA13F4">
              <w:rPr>
                <w:i/>
                <w:iCs/>
                <w:sz w:val="22"/>
                <w:szCs w:val="22"/>
              </w:rPr>
              <w:t xml:space="preserve"> </w:t>
            </w:r>
            <w:r w:rsidR="007B33E4">
              <w:rPr>
                <w:i/>
                <w:iCs/>
                <w:sz w:val="22"/>
                <w:szCs w:val="22"/>
              </w:rPr>
              <w:t>(</w:t>
            </w:r>
            <w:r w:rsidR="007B33E4" w:rsidRPr="007B33E4">
              <w:rPr>
                <w:i/>
                <w:iCs/>
                <w:sz w:val="22"/>
                <w:szCs w:val="22"/>
              </w:rPr>
              <w:t>Restricted to </w:t>
            </w:r>
            <w:hyperlink r:id="rId11" w:history="1">
              <w:r w:rsidR="007B33E4" w:rsidRPr="007B33E4">
                <w:rPr>
                  <w:rStyle w:val="Hyperlink"/>
                  <w:i/>
                  <w:iCs/>
                  <w:sz w:val="22"/>
                  <w:szCs w:val="22"/>
                </w:rPr>
                <w:t>TIES users</w:t>
              </w:r>
            </w:hyperlink>
            <w:r w:rsidR="007B33E4" w:rsidRPr="007B33E4">
              <w:rPr>
                <w:i/>
                <w:iCs/>
                <w:sz w:val="22"/>
                <w:szCs w:val="22"/>
              </w:rPr>
              <w:t> [ITU-T]</w:t>
            </w:r>
            <w:r w:rsidR="007B33E4">
              <w:rPr>
                <w:i/>
                <w:iCs/>
                <w:sz w:val="22"/>
                <w:szCs w:val="22"/>
              </w:rPr>
              <w:t>)</w:t>
            </w: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0"/>
    <w:p w14:paraId="2F74DFDD" w14:textId="1E1BA3A6" w:rsidR="00486610" w:rsidRPr="00A372F6" w:rsidRDefault="00486610" w:rsidP="006B001E">
      <w:pPr>
        <w:pStyle w:val="Headingb"/>
      </w:pPr>
      <w:r w:rsidRPr="00A372F6">
        <w:lastRenderedPageBreak/>
        <w:t>Background and context</w:t>
      </w:r>
    </w:p>
    <w:p w14:paraId="31BCEBC4" w14:textId="77777777" w:rsidR="00486610" w:rsidRPr="00E06430" w:rsidRDefault="00486610" w:rsidP="006B001E">
      <w:pPr>
        <w:jc w:val="both"/>
      </w:pPr>
      <w:r w:rsidRPr="00E06430">
        <w:t>At the September 2025 CWG-COP meeting, a contribution was presented highlighting the unintended child protection impacts arising from emerging internet technical standards, particularly the combination of increased end-to-end encryption and fragmented device and platform ecosystems. That intervention emphasised that, while essential for privacy and security, these developments have reduced the effectiveness of traditional safeguards and increased reliance on parental control tools that remain inconsistent and difficult to manage across devices.</w:t>
      </w:r>
    </w:p>
    <w:p w14:paraId="37AD86CF" w14:textId="77777777" w:rsidR="00486610" w:rsidRPr="00E06430" w:rsidRDefault="00486610" w:rsidP="006B001E">
      <w:pPr>
        <w:jc w:val="both"/>
      </w:pPr>
      <w:r w:rsidRPr="00E06430">
        <w:t xml:space="preserve">In that context, </w:t>
      </w:r>
      <w:r w:rsidRPr="00E06430">
        <w:rPr>
          <w:b/>
          <w:bCs/>
        </w:rPr>
        <w:t>PARCEP – Parental Control Interoperability Principles</w:t>
      </w:r>
      <w:r w:rsidRPr="00E06430">
        <w:t xml:space="preserve"> was introduced as a proposed standards-based approach to address this gap. PARCEP is intended to provide a common, privacy-preserving interoperability framework that enables parental control settings—such as screen-time limits, app permissions, and content access rules—to be applied consistently across devices, platforms, and services, without weakening encryption or introducing content inspection.</w:t>
      </w:r>
    </w:p>
    <w:p w14:paraId="17198D6A" w14:textId="77777777" w:rsidR="00486610" w:rsidRPr="00E06430" w:rsidRDefault="00486610" w:rsidP="006B001E">
      <w:pPr>
        <w:jc w:val="both"/>
      </w:pPr>
      <w:r w:rsidRPr="00E06430">
        <w:t>As noted at the September meeting, these issues have contributed in several countries to the emergence of so-called “smartphone-free childhood” movements, reflecting parental frustration with the complexity of managing connected devices rather than a rejection of technology per se. The September intervention proposed that improved interoperability of parental controls could form part of a constructive, privacy-respecting response.</w:t>
      </w:r>
    </w:p>
    <w:p w14:paraId="69DABD2D" w14:textId="77777777" w:rsidR="00486610" w:rsidRPr="00A372F6" w:rsidRDefault="00486610" w:rsidP="006B001E">
      <w:pPr>
        <w:pStyle w:val="Headingb"/>
      </w:pPr>
      <w:r w:rsidRPr="00A372F6">
        <w:t>Progress since September 2025</w:t>
      </w:r>
    </w:p>
    <w:p w14:paraId="07985DD0" w14:textId="77777777" w:rsidR="00486610" w:rsidRPr="00A372F6" w:rsidRDefault="00486610" w:rsidP="006B001E">
      <w:pPr>
        <w:jc w:val="both"/>
      </w:pPr>
      <w:r w:rsidRPr="00A372F6">
        <w:t>Since the September 2025 Council meeting, significant progress has been made:</w:t>
      </w:r>
    </w:p>
    <w:p w14:paraId="7B53AEB4" w14:textId="0429CEB3"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SG17 engagement:</w:t>
      </w:r>
      <w:r w:rsidR="00486610" w:rsidRPr="00A372F6">
        <w:t xml:space="preserve"> PARCEP was discussed during the ITU-T SG17 meeting held in Geneva from 3–11 December 2025, including a dedicated incubator session on 4 December. The concept was met with constructive support and informed discussion from Member States, industry, and technical experts.</w:t>
      </w:r>
    </w:p>
    <w:p w14:paraId="54622DCB" w14:textId="2BC37344"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Refinement through discussion:</w:t>
      </w:r>
      <w:r w:rsidR="00486610" w:rsidRPr="00A372F6">
        <w:t xml:space="preserve"> Feedback from the SG17 incubator session was used to refine the scope and framing of PARCEP, including clarification that the work focuses on application- and device-level interoperability rather than network-layer protocols, and that it does not seek to weaken encryption or introduce content inspection.</w:t>
      </w:r>
    </w:p>
    <w:p w14:paraId="5583AF11" w14:textId="6E78CFA9"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Formalisation of work:</w:t>
      </w:r>
      <w:r w:rsidR="00486610" w:rsidRPr="00A372F6">
        <w:t xml:space="preserve"> Following these discussions, a draft new work item proposal was finalised within SG17, setting out a phased approach to parental control interoperability, beginning with a narrowly scoped and demonstrable use case (such as screen-time management) before considering other aspects of parental controls.</w:t>
      </w:r>
    </w:p>
    <w:p w14:paraId="37E015B7" w14:textId="09932ED8"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Integration with COP gap analysis:</w:t>
      </w:r>
      <w:r w:rsidR="00486610" w:rsidRPr="00A372F6">
        <w:t xml:space="preserve"> References to parental control interoperability and PARCEP have now been incorporated into the draft SG17 COP Gap Analysis report produced by the Special Correspondence Group on Child Online Protection, reflecting recognition that this is a material gap in current technical standards.</w:t>
      </w:r>
    </w:p>
    <w:p w14:paraId="68DB7123" w14:textId="77777777" w:rsidR="00486610" w:rsidRPr="00A372F6" w:rsidRDefault="00486610" w:rsidP="006B001E">
      <w:pPr>
        <w:pStyle w:val="Headingb"/>
      </w:pPr>
      <w:r w:rsidRPr="00A372F6">
        <w:t>Alignment with ITU mandates on child online protection</w:t>
      </w:r>
    </w:p>
    <w:p w14:paraId="45903656" w14:textId="77777777" w:rsidR="00486610" w:rsidRPr="00A372F6" w:rsidRDefault="00486610" w:rsidP="006B001E">
      <w:pPr>
        <w:jc w:val="both"/>
      </w:pPr>
      <w:r w:rsidRPr="00A372F6">
        <w:t>The direction of travel described above aligns closely with the existing and evolving ITU mandate on child online protection:</w:t>
      </w:r>
    </w:p>
    <w:p w14:paraId="48816D4A" w14:textId="11ABDEE8"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Council Resolution 179</w:t>
      </w:r>
      <w:r w:rsidR="00486610" w:rsidRPr="00A372F6">
        <w:t xml:space="preserve"> calls on the Union to address child online protection through international cooperation, capacity building, and the development of relevant technical and policy frameworks. PARCEP responds directly to this by seeking to improve the </w:t>
      </w:r>
      <w:r w:rsidR="00486610" w:rsidRPr="00A372F6">
        <w:lastRenderedPageBreak/>
        <w:t>effectiveness and usability of safety tools relied upon by families, while respecting privacy and security.</w:t>
      </w:r>
    </w:p>
    <w:p w14:paraId="284A86E0" w14:textId="4A79C982" w:rsidR="00486610" w:rsidRPr="00A372F6" w:rsidRDefault="006B001E" w:rsidP="006B001E">
      <w:pPr>
        <w:pStyle w:val="enumlev1"/>
        <w:jc w:val="both"/>
      </w:pPr>
      <w:r w:rsidRPr="00A372F6">
        <w:rPr>
          <w:rFonts w:ascii="Symbol" w:hAnsi="Symbol"/>
          <w:sz w:val="20"/>
        </w:rPr>
        <w:t></w:t>
      </w:r>
      <w:r w:rsidRPr="00A372F6">
        <w:rPr>
          <w:rFonts w:ascii="Symbol" w:hAnsi="Symbol"/>
          <w:sz w:val="20"/>
        </w:rPr>
        <w:tab/>
      </w:r>
      <w:r w:rsidR="00486610" w:rsidRPr="00A372F6">
        <w:rPr>
          <w:b/>
          <w:bCs/>
        </w:rPr>
        <w:t xml:space="preserve">Resolution </w:t>
      </w:r>
      <w:r w:rsidRPr="00A372F6">
        <w:rPr>
          <w:b/>
          <w:bCs/>
        </w:rPr>
        <w:t xml:space="preserve">ITU-D </w:t>
      </w:r>
      <w:r w:rsidR="00486610" w:rsidRPr="00A372F6">
        <w:rPr>
          <w:b/>
          <w:bCs/>
        </w:rPr>
        <w:t>67</w:t>
      </w:r>
      <w:r w:rsidR="00486610" w:rsidRPr="00A372F6">
        <w:t>, which defines the Development Sector’s mandate on child online protection and was revised at WTDC in Baku in November 2025, reinforces the importance of practical, implementable measures to support children, parents and carers in the digital environment. The inclusion of references to standards-based and technical approaches within the revised resolution reflects the growing recognition that child online protection challenges cannot be addressed through policy and awareness alone.</w:t>
      </w:r>
    </w:p>
    <w:p w14:paraId="4E2514CB" w14:textId="77777777" w:rsidR="00486610" w:rsidRPr="00A372F6" w:rsidRDefault="00486610" w:rsidP="006B001E">
      <w:pPr>
        <w:jc w:val="both"/>
      </w:pPr>
      <w:r w:rsidRPr="00A372F6">
        <w:t>In this context, the SG17 work on parental control interoperability represents a concrete example of how technical standardisation can support the objectives set by both the Council and the Development Sector.</w:t>
      </w:r>
    </w:p>
    <w:p w14:paraId="0D618C83" w14:textId="77777777" w:rsidR="00486610" w:rsidRPr="00A372F6" w:rsidRDefault="00486610" w:rsidP="006B001E">
      <w:pPr>
        <w:pStyle w:val="Headingb"/>
      </w:pPr>
      <w:r w:rsidRPr="00A372F6">
        <w:t>Next steps</w:t>
      </w:r>
    </w:p>
    <w:p w14:paraId="725835DC" w14:textId="77777777" w:rsidR="00486610" w:rsidRPr="00A372F6" w:rsidRDefault="00486610" w:rsidP="006B001E">
      <w:pPr>
        <w:jc w:val="both"/>
      </w:pPr>
      <w:r w:rsidRPr="00A372F6">
        <w:t>Work within SG17 will continue in early 2026, including further expert engagement and coordination with other relevant standards communities where appropriate. The phased approach adopted allows progress to be made in a measured and transparent way, while maintaining openness to multi-stakeholder input and alignment with broader COP policy objectives.</w:t>
      </w:r>
    </w:p>
    <w:p w14:paraId="3D172292" w14:textId="77777777" w:rsidR="00486610" w:rsidRDefault="00486610" w:rsidP="006B001E">
      <w:pPr>
        <w:jc w:val="both"/>
      </w:pPr>
      <w:r w:rsidRPr="00A372F6">
        <w:t>The CWG-COP will be kept informed of further developments, and opportunities for continued linkage between Council, Study Group and Development Sector activities will be identified as the work progresses.</w:t>
      </w:r>
    </w:p>
    <w:p w14:paraId="746DD315" w14:textId="77777777" w:rsidR="006B001E" w:rsidRDefault="006B001E" w:rsidP="006B001E">
      <w:pPr>
        <w:jc w:val="both"/>
      </w:pPr>
    </w:p>
    <w:p w14:paraId="19E4DCFD" w14:textId="77777777" w:rsidR="006B001E" w:rsidRDefault="006B001E">
      <w:pPr>
        <w:jc w:val="center"/>
      </w:pPr>
      <w:r>
        <w:t>______________</w:t>
      </w:r>
    </w:p>
    <w:sectPr w:rsidR="006B001E"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9F63" w14:textId="77777777" w:rsidR="0059270B" w:rsidRDefault="0059270B">
      <w:r>
        <w:separator/>
      </w:r>
    </w:p>
  </w:endnote>
  <w:endnote w:type="continuationSeparator" w:id="0">
    <w:p w14:paraId="79064F92" w14:textId="77777777" w:rsidR="0059270B" w:rsidRDefault="0059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743DF5DD"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6B001E">
            <w:rPr>
              <w:bCs/>
            </w:rPr>
            <w:t>13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22651231"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6B001E">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14D8" w14:textId="77777777" w:rsidR="0059270B" w:rsidRDefault="0059270B">
      <w:r>
        <w:t>____________________</w:t>
      </w:r>
    </w:p>
  </w:footnote>
  <w:footnote w:type="continuationSeparator" w:id="0">
    <w:p w14:paraId="42E21CEC" w14:textId="77777777" w:rsidR="0059270B" w:rsidRDefault="0059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206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621F"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F161C9"/>
    <w:multiLevelType w:val="multilevel"/>
    <w:tmpl w:val="4FB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77EEF"/>
    <w:multiLevelType w:val="multilevel"/>
    <w:tmpl w:val="BAD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853883535">
    <w:abstractNumId w:val="2"/>
  </w:num>
  <w:num w:numId="3" w16cid:durableId="87608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63016"/>
    <w:rsid w:val="00066795"/>
    <w:rsid w:val="00076AF6"/>
    <w:rsid w:val="00085518"/>
    <w:rsid w:val="000859C4"/>
    <w:rsid w:val="00085CF2"/>
    <w:rsid w:val="000A12ED"/>
    <w:rsid w:val="000B1705"/>
    <w:rsid w:val="000D75B2"/>
    <w:rsid w:val="001121F5"/>
    <w:rsid w:val="00130599"/>
    <w:rsid w:val="001400DC"/>
    <w:rsid w:val="00140CE1"/>
    <w:rsid w:val="0017539C"/>
    <w:rsid w:val="00175AC2"/>
    <w:rsid w:val="0017609F"/>
    <w:rsid w:val="001A7D1D"/>
    <w:rsid w:val="001B2E99"/>
    <w:rsid w:val="001B51DD"/>
    <w:rsid w:val="001C628E"/>
    <w:rsid w:val="001E0F7B"/>
    <w:rsid w:val="001E0FBE"/>
    <w:rsid w:val="002119FD"/>
    <w:rsid w:val="002130E0"/>
    <w:rsid w:val="00225FA7"/>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091"/>
    <w:rsid w:val="003942D4"/>
    <w:rsid w:val="003958A8"/>
    <w:rsid w:val="003C2533"/>
    <w:rsid w:val="003D5A7F"/>
    <w:rsid w:val="004016E2"/>
    <w:rsid w:val="0040435A"/>
    <w:rsid w:val="00416A24"/>
    <w:rsid w:val="00431D9E"/>
    <w:rsid w:val="00433CE8"/>
    <w:rsid w:val="00434A5C"/>
    <w:rsid w:val="004544D9"/>
    <w:rsid w:val="00472BAD"/>
    <w:rsid w:val="00474CAD"/>
    <w:rsid w:val="00484009"/>
    <w:rsid w:val="00486610"/>
    <w:rsid w:val="00490E72"/>
    <w:rsid w:val="00491157"/>
    <w:rsid w:val="004921C8"/>
    <w:rsid w:val="00495B0B"/>
    <w:rsid w:val="004A1B8B"/>
    <w:rsid w:val="004D1851"/>
    <w:rsid w:val="004D599D"/>
    <w:rsid w:val="004E2EA5"/>
    <w:rsid w:val="004E3AEB"/>
    <w:rsid w:val="0050223C"/>
    <w:rsid w:val="005217BD"/>
    <w:rsid w:val="005243FF"/>
    <w:rsid w:val="005567BC"/>
    <w:rsid w:val="00564FBC"/>
    <w:rsid w:val="005800BC"/>
    <w:rsid w:val="00581774"/>
    <w:rsid w:val="00582442"/>
    <w:rsid w:val="0059270B"/>
    <w:rsid w:val="005A335D"/>
    <w:rsid w:val="005E2BD5"/>
    <w:rsid w:val="005F3269"/>
    <w:rsid w:val="00610DC7"/>
    <w:rsid w:val="00623AE3"/>
    <w:rsid w:val="006273F5"/>
    <w:rsid w:val="0064737F"/>
    <w:rsid w:val="006535F1"/>
    <w:rsid w:val="0065557D"/>
    <w:rsid w:val="00660D50"/>
    <w:rsid w:val="00662984"/>
    <w:rsid w:val="006716BB"/>
    <w:rsid w:val="006B001E"/>
    <w:rsid w:val="006B1859"/>
    <w:rsid w:val="006B6680"/>
    <w:rsid w:val="006B6DCC"/>
    <w:rsid w:val="006E3B50"/>
    <w:rsid w:val="006F5369"/>
    <w:rsid w:val="00702DEF"/>
    <w:rsid w:val="00706861"/>
    <w:rsid w:val="0075051B"/>
    <w:rsid w:val="00775655"/>
    <w:rsid w:val="00793188"/>
    <w:rsid w:val="00794D34"/>
    <w:rsid w:val="007B33E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178DD"/>
    <w:rsid w:val="00932906"/>
    <w:rsid w:val="00955751"/>
    <w:rsid w:val="00961B0B"/>
    <w:rsid w:val="00962D33"/>
    <w:rsid w:val="0099790D"/>
    <w:rsid w:val="009B38C3"/>
    <w:rsid w:val="009C253A"/>
    <w:rsid w:val="009E17BD"/>
    <w:rsid w:val="009E485A"/>
    <w:rsid w:val="00A03120"/>
    <w:rsid w:val="00A04CEC"/>
    <w:rsid w:val="00A05885"/>
    <w:rsid w:val="00A13BC7"/>
    <w:rsid w:val="00A27F92"/>
    <w:rsid w:val="00A32257"/>
    <w:rsid w:val="00A36D20"/>
    <w:rsid w:val="00A372F6"/>
    <w:rsid w:val="00A467DF"/>
    <w:rsid w:val="00A514A4"/>
    <w:rsid w:val="00A52C84"/>
    <w:rsid w:val="00A55622"/>
    <w:rsid w:val="00A83502"/>
    <w:rsid w:val="00AA3A65"/>
    <w:rsid w:val="00AD15B3"/>
    <w:rsid w:val="00AD3606"/>
    <w:rsid w:val="00AD4A3D"/>
    <w:rsid w:val="00AE074A"/>
    <w:rsid w:val="00AF6E49"/>
    <w:rsid w:val="00B04A67"/>
    <w:rsid w:val="00B0583C"/>
    <w:rsid w:val="00B358B2"/>
    <w:rsid w:val="00B40A81"/>
    <w:rsid w:val="00B44910"/>
    <w:rsid w:val="00B45936"/>
    <w:rsid w:val="00B64669"/>
    <w:rsid w:val="00B72267"/>
    <w:rsid w:val="00B76EB6"/>
    <w:rsid w:val="00B7737B"/>
    <w:rsid w:val="00B824C8"/>
    <w:rsid w:val="00B84B9D"/>
    <w:rsid w:val="00BA13F4"/>
    <w:rsid w:val="00BC251A"/>
    <w:rsid w:val="00BC3F65"/>
    <w:rsid w:val="00BC54CD"/>
    <w:rsid w:val="00BC6146"/>
    <w:rsid w:val="00BD032B"/>
    <w:rsid w:val="00BE2640"/>
    <w:rsid w:val="00C01189"/>
    <w:rsid w:val="00C10F2C"/>
    <w:rsid w:val="00C374DE"/>
    <w:rsid w:val="00C47AD4"/>
    <w:rsid w:val="00C52D81"/>
    <w:rsid w:val="00C55198"/>
    <w:rsid w:val="00CA293A"/>
    <w:rsid w:val="00CA6393"/>
    <w:rsid w:val="00CB18FF"/>
    <w:rsid w:val="00CD0C08"/>
    <w:rsid w:val="00CD76B2"/>
    <w:rsid w:val="00CE03FB"/>
    <w:rsid w:val="00CE433C"/>
    <w:rsid w:val="00CF0161"/>
    <w:rsid w:val="00CF33F3"/>
    <w:rsid w:val="00D06183"/>
    <w:rsid w:val="00D22C42"/>
    <w:rsid w:val="00D464CC"/>
    <w:rsid w:val="00D53C61"/>
    <w:rsid w:val="00D65041"/>
    <w:rsid w:val="00DB00D5"/>
    <w:rsid w:val="00DB1936"/>
    <w:rsid w:val="00DB384B"/>
    <w:rsid w:val="00DF0189"/>
    <w:rsid w:val="00E06430"/>
    <w:rsid w:val="00E06FD5"/>
    <w:rsid w:val="00E10E80"/>
    <w:rsid w:val="00E124F0"/>
    <w:rsid w:val="00E227F3"/>
    <w:rsid w:val="00E545C6"/>
    <w:rsid w:val="00E60F04"/>
    <w:rsid w:val="00E65B24"/>
    <w:rsid w:val="00E854E4"/>
    <w:rsid w:val="00E86DBF"/>
    <w:rsid w:val="00EB0D6F"/>
    <w:rsid w:val="00EB2232"/>
    <w:rsid w:val="00EB5155"/>
    <w:rsid w:val="00EC5337"/>
    <w:rsid w:val="00ED454D"/>
    <w:rsid w:val="00EE49E8"/>
    <w:rsid w:val="00F0400D"/>
    <w:rsid w:val="00F16BAB"/>
    <w:rsid w:val="00F2150A"/>
    <w:rsid w:val="00F231D8"/>
    <w:rsid w:val="00F41345"/>
    <w:rsid w:val="00F44C00"/>
    <w:rsid w:val="00F45D2C"/>
    <w:rsid w:val="00F46C5F"/>
    <w:rsid w:val="00F632C0"/>
    <w:rsid w:val="00F74694"/>
    <w:rsid w:val="00F871BD"/>
    <w:rsid w:val="00F94A63"/>
    <w:rsid w:val="00FA1C28"/>
    <w:rsid w:val="00FA2D8E"/>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2E63E59"/>
  <w15:docId w15:val="{1EB47040-2C1F-401B-9BC9-A6938B80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 w:type="paragraph" w:customStyle="1" w:styleId="Reasons">
    <w:name w:val="Reasons"/>
    <w:basedOn w:val="Normal"/>
    <w:qFormat/>
    <w:rsid w:val="006B001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79-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TIE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T25-SG17-251203-TD-WP3-0114" TargetMode="External"/><Relationship Id="rId4" Type="http://schemas.openxmlformats.org/officeDocument/2006/relationships/settings" Target="settings.xml"/><Relationship Id="rId9" Type="http://schemas.openxmlformats.org/officeDocument/2006/relationships/hyperlink" Target="https://www.itu.int/itu-d/meetings/wtdc25/wp-content/uploads/sites/29/2025/11/090-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5722</Characters>
  <Application>Microsoft Office Word</Application>
  <DocSecurity>0</DocSecurity>
  <Lines>112</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Technical Standards for Parental Control Interoperability (PARCEP)</dc:title>
  <dc:subject/>
  <dc:creator/>
  <cp:keywords>CWG-COP; C26; Council-26</cp:keywords>
  <dc:description/>
  <dcterms:created xsi:type="dcterms:W3CDTF">2026-01-19T07:20:00Z</dcterms:created>
  <dcterms:modified xsi:type="dcterms:W3CDTF">2026-01-19T07:24:00Z</dcterms:modified>
  <cp:category/>
</cp:coreProperties>
</file>