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AB616C" w14:paraId="0043AC80" w14:textId="77777777" w:rsidTr="00AD3606">
        <w:trPr>
          <w:cantSplit/>
          <w:trHeight w:val="23"/>
        </w:trPr>
        <w:tc>
          <w:tcPr>
            <w:tcW w:w="3969" w:type="dxa"/>
            <w:vMerge w:val="restart"/>
            <w:tcMar>
              <w:left w:w="0" w:type="dxa"/>
            </w:tcMar>
          </w:tcPr>
          <w:p w14:paraId="60A806D3" w14:textId="6316C87D" w:rsidR="00AD3606" w:rsidRPr="00F871BD"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3EF3CF4A" w:rsidR="00AD3606" w:rsidRPr="00007198" w:rsidRDefault="00AD3606" w:rsidP="00472BAD">
            <w:pPr>
              <w:tabs>
                <w:tab w:val="left" w:pos="851"/>
              </w:tabs>
              <w:spacing w:before="0" w:line="240" w:lineRule="atLeast"/>
              <w:jc w:val="right"/>
              <w:rPr>
                <w:b/>
                <w:lang w:val="fr-FR"/>
              </w:rPr>
            </w:pPr>
            <w:r w:rsidRPr="00007198">
              <w:rPr>
                <w:b/>
                <w:lang w:val="fr-FR"/>
              </w:rPr>
              <w:t>Document C</w:t>
            </w:r>
            <w:r w:rsidR="00A52C84" w:rsidRPr="00007198">
              <w:rPr>
                <w:b/>
                <w:lang w:val="fr-FR"/>
              </w:rPr>
              <w:t>WG-</w:t>
            </w:r>
            <w:r w:rsidR="00891503" w:rsidRPr="00007198">
              <w:rPr>
                <w:b/>
                <w:lang w:val="fr-FR"/>
              </w:rPr>
              <w:t>COP</w:t>
            </w:r>
            <w:r w:rsidR="00A52C84" w:rsidRPr="00007198">
              <w:rPr>
                <w:b/>
                <w:lang w:val="fr-FR"/>
              </w:rPr>
              <w:t>-</w:t>
            </w:r>
            <w:r w:rsidR="00BC54CD" w:rsidRPr="00007198">
              <w:rPr>
                <w:b/>
                <w:lang w:val="fr-FR"/>
              </w:rPr>
              <w:t>2</w:t>
            </w:r>
            <w:r w:rsidR="00CD76B2" w:rsidRPr="00007198">
              <w:rPr>
                <w:b/>
                <w:lang w:val="fr-FR"/>
              </w:rPr>
              <w:t>4</w:t>
            </w:r>
            <w:r w:rsidRPr="00007198">
              <w:rPr>
                <w:b/>
                <w:lang w:val="fr-FR"/>
              </w:rPr>
              <w:t>/</w:t>
            </w:r>
            <w:r w:rsidR="00866F4F" w:rsidRPr="00007198">
              <w:rPr>
                <w:b/>
                <w:lang w:val="fr-FR"/>
              </w:rPr>
              <w:t>INF/</w:t>
            </w:r>
            <w:r w:rsidR="00AB616C">
              <w:rPr>
                <w:b/>
                <w:lang w:val="fr-FR"/>
              </w:rPr>
              <w:t>11</w:t>
            </w:r>
          </w:p>
        </w:tc>
      </w:tr>
      <w:tr w:rsidR="00AD3606" w:rsidRPr="00F871BD" w14:paraId="789B45BA" w14:textId="77777777" w:rsidTr="00AD3606">
        <w:trPr>
          <w:cantSplit/>
        </w:trPr>
        <w:tc>
          <w:tcPr>
            <w:tcW w:w="3969" w:type="dxa"/>
            <w:vMerge/>
          </w:tcPr>
          <w:p w14:paraId="3F3D4E17" w14:textId="77777777" w:rsidR="00AD3606" w:rsidRPr="00007198"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2DE9ACEA" w14:textId="119303B4" w:rsidR="00AD3606" w:rsidRPr="00F871BD" w:rsidRDefault="00AB616C" w:rsidP="00AD3606">
            <w:pPr>
              <w:tabs>
                <w:tab w:val="left" w:pos="851"/>
              </w:tabs>
              <w:spacing w:before="0"/>
              <w:jc w:val="right"/>
              <w:rPr>
                <w:b/>
              </w:rPr>
            </w:pPr>
            <w:r>
              <w:rPr>
                <w:b/>
              </w:rPr>
              <w:t>9 January 2026</w:t>
            </w:r>
          </w:p>
        </w:tc>
      </w:tr>
      <w:tr w:rsidR="00AD3606" w:rsidRPr="00F871BD" w14:paraId="58A84C4A" w14:textId="77777777" w:rsidTr="00AD3606">
        <w:trPr>
          <w:cantSplit/>
          <w:trHeight w:val="23"/>
        </w:trPr>
        <w:tc>
          <w:tcPr>
            <w:tcW w:w="3969" w:type="dxa"/>
            <w:vMerge/>
          </w:tcPr>
          <w:p w14:paraId="77CEDDAA" w14:textId="77777777" w:rsidR="00AD3606" w:rsidRPr="00F871BD" w:rsidRDefault="00AD3606" w:rsidP="00AD3606">
            <w:pPr>
              <w:tabs>
                <w:tab w:val="left" w:pos="851"/>
              </w:tabs>
              <w:spacing w:line="240" w:lineRule="atLeast"/>
              <w:rPr>
                <w:b/>
              </w:rPr>
            </w:pPr>
            <w:bookmarkStart w:id="7" w:name="dorlang" w:colFirst="1" w:colLast="1"/>
            <w:bookmarkEnd w:id="6"/>
          </w:p>
        </w:tc>
        <w:tc>
          <w:tcPr>
            <w:tcW w:w="5245" w:type="dxa"/>
          </w:tcPr>
          <w:p w14:paraId="561AAE94" w14:textId="05CDF347" w:rsidR="00AD3606" w:rsidRPr="00F871BD" w:rsidRDefault="00891503" w:rsidP="00AD3606">
            <w:pPr>
              <w:tabs>
                <w:tab w:val="left" w:pos="851"/>
              </w:tabs>
              <w:spacing w:before="0" w:line="240" w:lineRule="atLeast"/>
              <w:jc w:val="right"/>
              <w:rPr>
                <w:b/>
              </w:rPr>
            </w:pPr>
            <w:r w:rsidRPr="00F871BD">
              <w:rPr>
                <w:b/>
              </w:rPr>
              <w:t>English only</w:t>
            </w:r>
          </w:p>
        </w:tc>
      </w:tr>
      <w:tr w:rsidR="00472BAD" w:rsidRPr="00F871BD" w14:paraId="12C5EF5F" w14:textId="77777777" w:rsidTr="00AD3606">
        <w:trPr>
          <w:cantSplit/>
          <w:trHeight w:val="23"/>
        </w:trPr>
        <w:tc>
          <w:tcPr>
            <w:tcW w:w="3969" w:type="dxa"/>
          </w:tcPr>
          <w:p w14:paraId="4B839BA2" w14:textId="77777777" w:rsidR="00472BAD" w:rsidRPr="00F871BD" w:rsidRDefault="00472BAD" w:rsidP="00AD3606">
            <w:pPr>
              <w:tabs>
                <w:tab w:val="left" w:pos="851"/>
              </w:tabs>
              <w:spacing w:line="240" w:lineRule="atLeast"/>
              <w:rPr>
                <w:b/>
              </w:rPr>
            </w:pPr>
          </w:p>
        </w:tc>
        <w:tc>
          <w:tcPr>
            <w:tcW w:w="5245" w:type="dxa"/>
          </w:tcPr>
          <w:p w14:paraId="12F66D25" w14:textId="77777777" w:rsidR="00472BAD" w:rsidRPr="00F871BD" w:rsidRDefault="00472BAD" w:rsidP="00AD3606">
            <w:pPr>
              <w:tabs>
                <w:tab w:val="left" w:pos="851"/>
              </w:tabs>
              <w:spacing w:before="0" w:line="240" w:lineRule="atLeast"/>
              <w:jc w:val="right"/>
              <w:rPr>
                <w:b/>
              </w:rPr>
            </w:pPr>
          </w:p>
        </w:tc>
      </w:tr>
      <w:tr w:rsidR="00AD3606" w:rsidRPr="00F871BD" w14:paraId="27000B2A" w14:textId="77777777" w:rsidTr="00AD3606">
        <w:trPr>
          <w:cantSplit/>
        </w:trPr>
        <w:tc>
          <w:tcPr>
            <w:tcW w:w="9214" w:type="dxa"/>
            <w:gridSpan w:val="2"/>
            <w:tcMar>
              <w:left w:w="0" w:type="dxa"/>
            </w:tcMar>
          </w:tcPr>
          <w:p w14:paraId="4E7CDB90" w14:textId="13D28B47" w:rsidR="00AD3606" w:rsidRPr="00F871BD" w:rsidRDefault="00EB5155" w:rsidP="006521FB">
            <w:pPr>
              <w:pStyle w:val="Source"/>
              <w:framePr w:hSpace="0" w:wrap="auto" w:vAnchor="margin" w:hAnchor="text" w:xAlign="left" w:yAlign="inline"/>
            </w:pPr>
            <w:bookmarkStart w:id="8" w:name="dsource" w:colFirst="0" w:colLast="0"/>
            <w:bookmarkEnd w:id="7"/>
            <w:r w:rsidRPr="00F871BD">
              <w:t xml:space="preserve">Contribution by </w:t>
            </w:r>
            <w:r w:rsidR="005B43C6">
              <w:t>Malaysia</w:t>
            </w:r>
          </w:p>
        </w:tc>
      </w:tr>
      <w:tr w:rsidR="00AD3606" w:rsidRPr="00F871BD" w14:paraId="2340750D" w14:textId="77777777" w:rsidTr="00AD3606">
        <w:trPr>
          <w:cantSplit/>
        </w:trPr>
        <w:tc>
          <w:tcPr>
            <w:tcW w:w="9214" w:type="dxa"/>
            <w:gridSpan w:val="2"/>
            <w:tcMar>
              <w:left w:w="0" w:type="dxa"/>
            </w:tcMar>
          </w:tcPr>
          <w:p w14:paraId="47B91AA8" w14:textId="26697719" w:rsidR="00AD3606" w:rsidRPr="00F871BD" w:rsidRDefault="00336436" w:rsidP="006521FB">
            <w:pPr>
              <w:pStyle w:val="Subtitle"/>
              <w:framePr w:hSpace="0" w:wrap="auto" w:xAlign="left" w:yAlign="inline"/>
            </w:pPr>
            <w:bookmarkStart w:id="9" w:name="dtitle1" w:colFirst="0" w:colLast="0"/>
            <w:bookmarkStart w:id="10" w:name="_Hlk219100900"/>
            <w:bookmarkEnd w:id="8"/>
            <w:r>
              <w:t>CONVERSATIONAL ARTIFICIAL INTELLIGENCE (AI) AND RISKS TO CHILD AND YOUTH ONLINE SAFETY</w:t>
            </w:r>
            <w:bookmarkEnd w:id="10"/>
          </w:p>
        </w:tc>
      </w:tr>
      <w:tr w:rsidR="00AD3606" w:rsidRPr="00F871BD"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871BD" w:rsidRDefault="00F16BAB" w:rsidP="006521FB">
            <w:pPr>
              <w:spacing w:before="160"/>
              <w:jc w:val="both"/>
              <w:rPr>
                <w:b/>
                <w:bCs/>
                <w:sz w:val="26"/>
                <w:szCs w:val="26"/>
              </w:rPr>
            </w:pPr>
            <w:r w:rsidRPr="00F871BD">
              <w:rPr>
                <w:b/>
                <w:bCs/>
                <w:sz w:val="26"/>
                <w:szCs w:val="26"/>
              </w:rPr>
              <w:t>Purpose</w:t>
            </w:r>
          </w:p>
          <w:p w14:paraId="2E09FE8B" w14:textId="7E7B3578" w:rsidR="00AD3606" w:rsidRPr="00F871BD" w:rsidRDefault="0054761D" w:rsidP="006521FB">
            <w:pPr>
              <w:jc w:val="both"/>
            </w:pPr>
            <w:r w:rsidRPr="0054761D">
              <w:t>This document provides information on emerging risks associated with conversational artificial intelligence</w:t>
            </w:r>
            <w:r w:rsidR="000F15CC">
              <w:t xml:space="preserve"> </w:t>
            </w:r>
            <w:r w:rsidRPr="0054761D">
              <w:t>(AI) systems in relation to child and youth online safety. It highlights recent academic research, published case-based evidence and relevant ITU resolutions concerning AI interactions.</w:t>
            </w:r>
          </w:p>
          <w:p w14:paraId="5076D5C4" w14:textId="28F00572" w:rsidR="00AD3606" w:rsidRPr="00F871BD" w:rsidRDefault="00AD3606" w:rsidP="006521FB">
            <w:pPr>
              <w:spacing w:before="160"/>
              <w:jc w:val="both"/>
              <w:rPr>
                <w:b/>
                <w:bCs/>
                <w:sz w:val="26"/>
                <w:szCs w:val="26"/>
              </w:rPr>
            </w:pPr>
            <w:r w:rsidRPr="00F871BD">
              <w:rPr>
                <w:b/>
                <w:bCs/>
                <w:sz w:val="26"/>
                <w:szCs w:val="26"/>
              </w:rPr>
              <w:t>Action required</w:t>
            </w:r>
          </w:p>
          <w:p w14:paraId="53A776F1" w14:textId="2CB80996" w:rsidR="00891503" w:rsidRPr="00F871BD" w:rsidRDefault="00866F4F" w:rsidP="006521FB">
            <w:pPr>
              <w:spacing w:before="160"/>
              <w:jc w:val="both"/>
            </w:pPr>
            <w:r w:rsidRPr="00F871BD">
              <w:t xml:space="preserve">This </w:t>
            </w:r>
            <w:r w:rsidR="00007198">
              <w:t xml:space="preserve">document </w:t>
            </w:r>
            <w:r w:rsidRPr="00F871BD">
              <w:t xml:space="preserve">is transmitted to the </w:t>
            </w:r>
            <w:r w:rsidR="00F41345" w:rsidRPr="00F871BD">
              <w:t xml:space="preserve">Council Working Group on </w:t>
            </w:r>
            <w:r w:rsidR="005567BC" w:rsidRPr="00F871BD">
              <w:t xml:space="preserve">child online protection </w:t>
            </w:r>
            <w:r w:rsidRPr="00F871BD">
              <w:rPr>
                <w:b/>
                <w:bCs/>
              </w:rPr>
              <w:t>for information</w:t>
            </w:r>
            <w:r w:rsidRPr="00F871BD">
              <w:t>.</w:t>
            </w:r>
          </w:p>
          <w:p w14:paraId="5BBC35A7" w14:textId="77777777" w:rsidR="006F5369" w:rsidRPr="00F871BD" w:rsidRDefault="006F5369" w:rsidP="006521FB">
            <w:pPr>
              <w:jc w:val="both"/>
            </w:pPr>
            <w:r w:rsidRPr="00F871BD">
              <w:t>_______________</w:t>
            </w:r>
          </w:p>
          <w:p w14:paraId="00DEE14C" w14:textId="0152F092" w:rsidR="00AD3606" w:rsidRPr="00F871BD" w:rsidRDefault="00EB5155" w:rsidP="006521FB">
            <w:pPr>
              <w:spacing w:before="160"/>
              <w:jc w:val="both"/>
              <w:rPr>
                <w:sz w:val="26"/>
                <w:szCs w:val="26"/>
              </w:rPr>
            </w:pPr>
            <w:r w:rsidRPr="00F871BD">
              <w:rPr>
                <w:b/>
                <w:bCs/>
                <w:sz w:val="26"/>
                <w:szCs w:val="26"/>
              </w:rPr>
              <w:t>References</w:t>
            </w:r>
          </w:p>
          <w:p w14:paraId="0175CD6C" w14:textId="1268A6C9" w:rsidR="004A511F" w:rsidRPr="00032C46" w:rsidRDefault="00F9020E" w:rsidP="006521FB">
            <w:pPr>
              <w:spacing w:after="160"/>
              <w:jc w:val="both"/>
              <w:rPr>
                <w:i/>
                <w:iCs/>
                <w:sz w:val="22"/>
                <w:szCs w:val="22"/>
                <w:lang w:val="en-US"/>
              </w:rPr>
            </w:pPr>
            <w:r w:rsidRPr="00246A4B">
              <w:rPr>
                <w:i/>
                <w:iCs/>
                <w:sz w:val="22"/>
                <w:szCs w:val="22"/>
                <w:lang w:val="en-US"/>
              </w:rPr>
              <w:t xml:space="preserve">Resolution </w:t>
            </w:r>
            <w:hyperlink r:id="rId11" w:history="1">
              <w:r>
                <w:rPr>
                  <w:rStyle w:val="Hyperlink"/>
                  <w:i/>
                  <w:iCs/>
                  <w:sz w:val="22"/>
                  <w:szCs w:val="22"/>
                  <w:lang w:val="en-US"/>
                </w:rPr>
                <w:t>214 (Rev. Bucharest, 2022)</w:t>
              </w:r>
            </w:hyperlink>
            <w:r w:rsidRPr="00246A4B">
              <w:rPr>
                <w:i/>
                <w:iCs/>
                <w:sz w:val="22"/>
                <w:szCs w:val="22"/>
                <w:lang w:val="en-US"/>
              </w:rPr>
              <w:t xml:space="preserve"> </w:t>
            </w:r>
            <w:r>
              <w:rPr>
                <w:i/>
                <w:iCs/>
                <w:sz w:val="22"/>
                <w:szCs w:val="22"/>
                <w:lang w:val="en-US"/>
              </w:rPr>
              <w:t>of the Plenipotentiary Conference on</w:t>
            </w:r>
            <w:r w:rsidRPr="00246A4B">
              <w:rPr>
                <w:i/>
                <w:iCs/>
                <w:sz w:val="22"/>
                <w:szCs w:val="22"/>
                <w:lang w:val="en-US"/>
              </w:rPr>
              <w:t xml:space="preserve"> </w:t>
            </w:r>
            <w:r>
              <w:rPr>
                <w:i/>
                <w:iCs/>
                <w:sz w:val="22"/>
                <w:szCs w:val="22"/>
                <w:lang w:val="en-US"/>
              </w:rPr>
              <w:t>Artificial intelligence technologies and telecommunications/information and communication technologies</w:t>
            </w:r>
          </w:p>
        </w:tc>
      </w:tr>
    </w:tbl>
    <w:p w14:paraId="4CDB8B60" w14:textId="77777777" w:rsidR="00E227F3" w:rsidRPr="00F871B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1" w:name="_Hlk133421428"/>
      <w:bookmarkEnd w:id="2"/>
      <w:bookmarkEnd w:id="9"/>
    </w:p>
    <w:bookmarkEnd w:id="3"/>
    <w:bookmarkEnd w:id="4"/>
    <w:p w14:paraId="1D7ED322" w14:textId="3B06A98A" w:rsidR="0090147A" w:rsidRPr="00F871B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F871BD">
        <w:br w:type="page"/>
      </w:r>
    </w:p>
    <w:bookmarkEnd w:id="5"/>
    <w:bookmarkEnd w:id="11"/>
    <w:p w14:paraId="5EF26D11" w14:textId="77777777" w:rsidR="00336436" w:rsidRPr="00A572BC" w:rsidRDefault="00336436" w:rsidP="00336436">
      <w:pPr>
        <w:pStyle w:val="ListParagraph"/>
        <w:numPr>
          <w:ilvl w:val="0"/>
          <w:numId w:val="2"/>
        </w:numPr>
        <w:tabs>
          <w:tab w:val="clear" w:pos="567"/>
          <w:tab w:val="clear" w:pos="1134"/>
          <w:tab w:val="clear" w:pos="1701"/>
          <w:tab w:val="clear" w:pos="2268"/>
          <w:tab w:val="clear" w:pos="2835"/>
        </w:tabs>
        <w:overflowPunct/>
        <w:autoSpaceDE/>
        <w:autoSpaceDN/>
        <w:adjustRightInd/>
        <w:spacing w:before="0"/>
        <w:ind w:left="720" w:hanging="720"/>
        <w:textAlignment w:val="auto"/>
        <w:rPr>
          <w:rFonts w:asciiTheme="minorHAnsi" w:hAnsiTheme="minorHAnsi" w:cstheme="minorHAnsi"/>
          <w:b/>
          <w:bCs/>
          <w:szCs w:val="24"/>
        </w:rPr>
      </w:pPr>
      <w:r w:rsidRPr="00A572BC">
        <w:rPr>
          <w:rFonts w:asciiTheme="minorHAnsi" w:hAnsiTheme="minorHAnsi" w:cstheme="minorHAnsi"/>
          <w:b/>
          <w:bCs/>
          <w:szCs w:val="24"/>
        </w:rPr>
        <w:lastRenderedPageBreak/>
        <w:t>Introduction</w:t>
      </w:r>
    </w:p>
    <w:p w14:paraId="4E06A049" w14:textId="77777777" w:rsidR="00336436" w:rsidRPr="00336436" w:rsidRDefault="00336436" w:rsidP="00336436">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288F4C6F" w14:textId="6E79FD50" w:rsidR="006036E5" w:rsidRDefault="00FA5AB1" w:rsidP="006036E5">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FA5AB1">
        <w:rPr>
          <w:rFonts w:asciiTheme="minorHAnsi" w:hAnsiTheme="minorHAnsi" w:cstheme="minorHAnsi"/>
          <w:szCs w:val="24"/>
        </w:rPr>
        <w:t>Artificial Intelligence (AI), as defined within the ITU framework, refers to</w:t>
      </w:r>
      <w:r w:rsidR="006036E5">
        <w:rPr>
          <w:rFonts w:asciiTheme="minorHAnsi" w:hAnsiTheme="minorHAnsi" w:cstheme="minorHAnsi"/>
          <w:szCs w:val="24"/>
        </w:rPr>
        <w:t xml:space="preserve"> s</w:t>
      </w:r>
      <w:r w:rsidR="006036E5" w:rsidRPr="006036E5">
        <w:rPr>
          <w:rFonts w:asciiTheme="minorHAnsi" w:hAnsiTheme="minorHAnsi" w:cstheme="minorHAnsi"/>
          <w:szCs w:val="24"/>
        </w:rPr>
        <w:t>et of methods or automated entities that</w:t>
      </w:r>
      <w:r w:rsidR="006036E5">
        <w:rPr>
          <w:rFonts w:asciiTheme="minorHAnsi" w:hAnsiTheme="minorHAnsi" w:cstheme="minorHAnsi"/>
          <w:szCs w:val="24"/>
        </w:rPr>
        <w:t xml:space="preserve"> </w:t>
      </w:r>
      <w:r w:rsidR="006036E5" w:rsidRPr="006036E5">
        <w:rPr>
          <w:rFonts w:asciiTheme="minorHAnsi" w:hAnsiTheme="minorHAnsi" w:cstheme="minorHAnsi"/>
          <w:szCs w:val="24"/>
        </w:rPr>
        <w:t>together build, optimize and apply a model so that the system can, for a given set</w:t>
      </w:r>
      <w:r w:rsidR="006036E5">
        <w:rPr>
          <w:rFonts w:asciiTheme="minorHAnsi" w:hAnsiTheme="minorHAnsi" w:cstheme="minorHAnsi"/>
          <w:szCs w:val="24"/>
        </w:rPr>
        <w:t xml:space="preserve"> </w:t>
      </w:r>
      <w:r w:rsidR="006036E5" w:rsidRPr="006036E5">
        <w:rPr>
          <w:rFonts w:asciiTheme="minorHAnsi" w:hAnsiTheme="minorHAnsi" w:cstheme="minorHAnsi"/>
          <w:szCs w:val="24"/>
        </w:rPr>
        <w:t>of predefined tasks, compute predictions, recommendations, or decisions</w:t>
      </w:r>
      <w:r w:rsidR="00D360C0">
        <w:rPr>
          <w:rStyle w:val="FootnoteReference"/>
          <w:rFonts w:cstheme="minorHAnsi"/>
          <w:szCs w:val="24"/>
        </w:rPr>
        <w:footnoteReference w:id="1"/>
      </w:r>
      <w:r w:rsidR="006036E5" w:rsidRPr="006036E5">
        <w:rPr>
          <w:rFonts w:asciiTheme="minorHAnsi" w:hAnsiTheme="minorHAnsi" w:cstheme="minorHAnsi"/>
          <w:szCs w:val="24"/>
        </w:rPr>
        <w:t>.</w:t>
      </w:r>
      <w:r w:rsidR="00D360C0">
        <w:rPr>
          <w:rFonts w:asciiTheme="minorHAnsi" w:hAnsiTheme="minorHAnsi" w:cstheme="minorHAnsi"/>
          <w:szCs w:val="24"/>
        </w:rPr>
        <w:t xml:space="preserve"> AI is also defined as a</w:t>
      </w:r>
      <w:r w:rsidR="00D360C0" w:rsidRPr="00D360C0">
        <w:rPr>
          <w:rFonts w:asciiTheme="minorHAnsi" w:hAnsiTheme="minorHAnsi" w:cstheme="minorHAnsi"/>
          <w:szCs w:val="24"/>
        </w:rPr>
        <w:t>n interdisciplinary field, usually regarded as a branch of computer science, dealing with models and systems for the performance of functions generally associated with human intelligence, such as reasoning and learning</w:t>
      </w:r>
      <w:r w:rsidR="000C35DA">
        <w:rPr>
          <w:rStyle w:val="FootnoteReference"/>
          <w:rFonts w:cstheme="minorHAnsi"/>
          <w:szCs w:val="24"/>
        </w:rPr>
        <w:footnoteReference w:id="2"/>
      </w:r>
      <w:r w:rsidR="00D360C0" w:rsidRPr="00D360C0">
        <w:rPr>
          <w:rFonts w:asciiTheme="minorHAnsi" w:hAnsiTheme="minorHAnsi" w:cstheme="minorHAnsi"/>
          <w:szCs w:val="24"/>
        </w:rPr>
        <w:t>.</w:t>
      </w:r>
    </w:p>
    <w:p w14:paraId="335B5100" w14:textId="77777777" w:rsidR="00B473EE" w:rsidRPr="00B473EE" w:rsidRDefault="00B473EE" w:rsidP="00B473EE">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135EBB76" w14:textId="2D07EAE1" w:rsidR="00F9020E" w:rsidRPr="00F9020E" w:rsidRDefault="00CC5CDB" w:rsidP="00B473EE">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CC5CDB">
        <w:rPr>
          <w:rFonts w:asciiTheme="minorHAnsi" w:hAnsiTheme="minorHAnsi" w:cstheme="minorHAnsi"/>
          <w:szCs w:val="24"/>
        </w:rPr>
        <w:t>Advances in computing power, data availability and machine learning have accelerated the integration of AI into digital platforms that interact directly with users. As a result, AI has evolved from primarily back-end analytical tools into front-facing technologies that increasingly mediate everyday digital interactions across sectors</w:t>
      </w:r>
      <w:r w:rsidR="00FA5AB1">
        <w:rPr>
          <w:rStyle w:val="FootnoteReference"/>
          <w:rFonts w:cstheme="minorHAnsi"/>
          <w:szCs w:val="24"/>
        </w:rPr>
        <w:footnoteReference w:id="3"/>
      </w:r>
      <w:r w:rsidR="00F9020E" w:rsidRPr="00F9020E">
        <w:rPr>
          <w:rFonts w:asciiTheme="minorHAnsi" w:hAnsiTheme="minorHAnsi" w:cstheme="minorHAnsi"/>
          <w:szCs w:val="24"/>
        </w:rPr>
        <w:t>.</w:t>
      </w:r>
    </w:p>
    <w:p w14:paraId="344A6307" w14:textId="77777777" w:rsidR="00F9020E" w:rsidRPr="00F9020E" w:rsidRDefault="00F9020E" w:rsidP="00F9020E">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6BC7F015" w14:textId="6F12FC78" w:rsidR="00FA5AB1" w:rsidRPr="00FA5AB1" w:rsidRDefault="00CC5CDB" w:rsidP="00FA5AB1">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CC5CDB">
        <w:rPr>
          <w:rFonts w:asciiTheme="minorHAnsi" w:hAnsiTheme="minorHAnsi" w:cstheme="minorHAnsi"/>
          <w:szCs w:val="24"/>
        </w:rPr>
        <w:t>Within this evolution, conversational AI has emerged as a prominent category of user-facing AI. Conversational AI refers to applications, such as text- and voice-based chatbots, that engage users through natural language interfaces and generate context-aware, human-like responses. These systems are now widely deployed in online environments that may also be accessed by children and young persons</w:t>
      </w:r>
      <w:r w:rsidR="00FA5AB1">
        <w:rPr>
          <w:rStyle w:val="FootnoteReference"/>
          <w:rFonts w:cstheme="minorHAnsi"/>
          <w:szCs w:val="24"/>
        </w:rPr>
        <w:footnoteReference w:id="4"/>
      </w:r>
      <w:r w:rsidR="00FA5AB1" w:rsidRPr="00FA5AB1">
        <w:rPr>
          <w:rFonts w:asciiTheme="minorHAnsi" w:hAnsiTheme="minorHAnsi" w:cstheme="minorHAnsi"/>
          <w:szCs w:val="24"/>
        </w:rPr>
        <w:t>.</w:t>
      </w:r>
    </w:p>
    <w:p w14:paraId="7052480B" w14:textId="77777777" w:rsidR="00FA5AB1" w:rsidRPr="00FA5AB1" w:rsidRDefault="00FA5AB1" w:rsidP="00FA5AB1">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36D9FBD0" w14:textId="0D69DF4A" w:rsidR="00EF53A0" w:rsidRDefault="00CC5CDB" w:rsidP="00FA5AB1">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CC5CDB">
        <w:rPr>
          <w:rFonts w:asciiTheme="minorHAnsi" w:hAnsiTheme="minorHAnsi" w:cstheme="minorHAnsi"/>
          <w:szCs w:val="24"/>
        </w:rPr>
        <w:t>The human-like and persistent characteristics of conversational AI distinguish it from earlier forms of automated interaction. While these features may enhance usability and accessibility, they also raise important considerations for child and youth online safety, particularly when such systems are used in contexts involving emotional vulnerability or psychological distress.</w:t>
      </w:r>
    </w:p>
    <w:p w14:paraId="684C1D35" w14:textId="77777777" w:rsidR="002A0071" w:rsidRDefault="002A0071" w:rsidP="00336436">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5DF210BC" w14:textId="4FF7EBF7" w:rsidR="006521FB" w:rsidRDefault="00CC5CDB" w:rsidP="006521FB">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CC5CDB">
        <w:rPr>
          <w:rFonts w:asciiTheme="minorHAnsi" w:hAnsiTheme="minorHAnsi" w:cstheme="minorHAnsi"/>
          <w:szCs w:val="24"/>
        </w:rPr>
        <w:t>Malaysia recognises that child online protection frameworks must continue to evolve in response to emerging digital technologies. The increasing use of conversational AI systems raises questions regarding safety-by-design, age-appropriate safeguards and developer responsibilities when such systems interact directly with children and youth. These issues fall within the scope of Resolution 214 (Rev. Bucharest, 2022), which encourages ITU and its Member States to examine opportunities and challenges associated with AI technologies deployed through telecommunications and information and communication technology (ICT) ecosystems.</w:t>
      </w:r>
    </w:p>
    <w:p w14:paraId="260E6B86" w14:textId="65D269BA" w:rsidR="003F75DD" w:rsidRPr="00F871BD" w:rsidRDefault="003F75DD" w:rsidP="003F75DD">
      <w:pPr>
        <w:tabs>
          <w:tab w:val="clear" w:pos="567"/>
          <w:tab w:val="clear" w:pos="1134"/>
          <w:tab w:val="clear" w:pos="1701"/>
          <w:tab w:val="clear" w:pos="2268"/>
          <w:tab w:val="clear" w:pos="2835"/>
        </w:tabs>
        <w:overflowPunct/>
        <w:autoSpaceDE/>
        <w:autoSpaceDN/>
        <w:adjustRightInd/>
        <w:spacing w:before="0"/>
        <w:textAlignment w:val="auto"/>
        <w:rPr>
          <w:b/>
        </w:rPr>
      </w:pPr>
    </w:p>
    <w:p w14:paraId="123FCAD1" w14:textId="7E45A00F" w:rsidR="003F75DD" w:rsidRPr="00A572BC" w:rsidRDefault="003F75DD" w:rsidP="003F75DD">
      <w:pPr>
        <w:pStyle w:val="ListParagraph"/>
        <w:numPr>
          <w:ilvl w:val="0"/>
          <w:numId w:val="2"/>
        </w:numPr>
        <w:tabs>
          <w:tab w:val="clear" w:pos="567"/>
          <w:tab w:val="clear" w:pos="1134"/>
          <w:tab w:val="clear" w:pos="1701"/>
          <w:tab w:val="clear" w:pos="2268"/>
          <w:tab w:val="clear" w:pos="2835"/>
        </w:tabs>
        <w:overflowPunct/>
        <w:autoSpaceDE/>
        <w:autoSpaceDN/>
        <w:adjustRightInd/>
        <w:spacing w:before="0"/>
        <w:ind w:left="720" w:hanging="720"/>
        <w:textAlignment w:val="auto"/>
        <w:rPr>
          <w:rFonts w:asciiTheme="minorHAnsi" w:hAnsiTheme="minorHAnsi" w:cstheme="minorHAnsi"/>
          <w:b/>
          <w:bCs/>
          <w:szCs w:val="24"/>
        </w:rPr>
      </w:pPr>
      <w:bookmarkStart w:id="12" w:name="_Hlk216688877"/>
      <w:r>
        <w:rPr>
          <w:rFonts w:asciiTheme="minorHAnsi" w:hAnsiTheme="minorHAnsi" w:cstheme="minorHAnsi"/>
          <w:b/>
          <w:bCs/>
          <w:szCs w:val="24"/>
        </w:rPr>
        <w:t>Background</w:t>
      </w:r>
      <w:bookmarkEnd w:id="12"/>
    </w:p>
    <w:p w14:paraId="345461AC" w14:textId="77777777" w:rsidR="003F75DD" w:rsidRPr="00336436" w:rsidRDefault="003F75DD" w:rsidP="003F75DD">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255D604E" w14:textId="31810752" w:rsidR="00336436" w:rsidRDefault="0028021C" w:rsidP="00336436">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28021C">
        <w:rPr>
          <w:rFonts w:asciiTheme="minorHAnsi" w:hAnsiTheme="minorHAnsi" w:cstheme="minorHAnsi"/>
          <w:szCs w:val="24"/>
        </w:rPr>
        <w:t>Generative AI systems, including LLM-based chatbots, are designed to generate human-like responses by learning statistical patterns from large-scale datasets. Technical descriptions of contemporary LLM systems commonly highlight transformer-based architectures and large-</w:t>
      </w:r>
      <w:r w:rsidRPr="0028021C">
        <w:rPr>
          <w:rFonts w:asciiTheme="minorHAnsi" w:hAnsiTheme="minorHAnsi" w:cstheme="minorHAnsi"/>
          <w:szCs w:val="24"/>
        </w:rPr>
        <w:lastRenderedPageBreak/>
        <w:t>scale training, with subsequent alignment techniques used to shape outputs</w:t>
      </w:r>
      <w:r w:rsidR="007A60B0">
        <w:rPr>
          <w:rStyle w:val="FootnoteReference"/>
          <w:rFonts w:cstheme="minorHAnsi"/>
          <w:szCs w:val="24"/>
        </w:rPr>
        <w:footnoteReference w:id="5"/>
      </w:r>
      <w:r w:rsidR="007A60B0" w:rsidRPr="007A60B0">
        <w:rPr>
          <w:rFonts w:asciiTheme="minorHAnsi" w:hAnsiTheme="minorHAnsi" w:cstheme="minorHAnsi"/>
          <w:szCs w:val="24"/>
        </w:rPr>
        <w:t xml:space="preserve">. </w:t>
      </w:r>
      <w:r w:rsidRPr="0028021C">
        <w:rPr>
          <w:rFonts w:asciiTheme="minorHAnsi" w:hAnsiTheme="minorHAnsi" w:cstheme="minorHAnsi"/>
          <w:szCs w:val="24"/>
        </w:rPr>
        <w:t>One widely known example is ChatGPT, developed by OpenAI, which has demonstrated the ability to produce coherent, context-aware and conversational responses across diverse topics through large-scale language modelling and related training approaches</w:t>
      </w:r>
      <w:r w:rsidR="007A60B0">
        <w:rPr>
          <w:rStyle w:val="FootnoteReference"/>
          <w:rFonts w:cstheme="minorHAnsi"/>
          <w:szCs w:val="24"/>
        </w:rPr>
        <w:footnoteReference w:id="6"/>
      </w:r>
      <w:r w:rsidR="007A60B0">
        <w:rPr>
          <w:rFonts w:asciiTheme="minorHAnsi" w:hAnsiTheme="minorHAnsi" w:cstheme="minorHAnsi"/>
          <w:szCs w:val="24"/>
        </w:rPr>
        <w:t>.</w:t>
      </w:r>
    </w:p>
    <w:p w14:paraId="5F3B4CDA" w14:textId="77777777" w:rsidR="006521FB" w:rsidRDefault="006521FB" w:rsidP="00336436">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63C7ACB2" w14:textId="7FEAFD5C" w:rsidR="006521FB" w:rsidRDefault="0028021C" w:rsidP="006521FB">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28021C">
        <w:rPr>
          <w:rFonts w:asciiTheme="minorHAnsi" w:hAnsiTheme="minorHAnsi" w:cstheme="minorHAnsi"/>
          <w:szCs w:val="24"/>
        </w:rPr>
        <w:t>The rapid adoption of conversational AI systems has been driven by their ease of access, versatility and perceived usefulness across applications such as information retrieval, education and digital assistance. At the same time, child-centred policy guidance highlights that AI systems are increasingly integrated into digital environments used by children and adolescents, and that emerging risks</w:t>
      </w:r>
      <w:r>
        <w:rPr>
          <w:rFonts w:asciiTheme="minorHAnsi" w:hAnsiTheme="minorHAnsi" w:cstheme="minorHAnsi"/>
          <w:szCs w:val="24"/>
        </w:rPr>
        <w:t xml:space="preserve"> </w:t>
      </w:r>
      <w:r w:rsidRPr="0028021C">
        <w:rPr>
          <w:rFonts w:asciiTheme="minorHAnsi" w:hAnsiTheme="minorHAnsi" w:cstheme="minorHAnsi"/>
          <w:szCs w:val="24"/>
        </w:rPr>
        <w:t>including emotional dependency on companion chatbots and other AI-enabled harms</w:t>
      </w:r>
      <w:r>
        <w:rPr>
          <w:rFonts w:asciiTheme="minorHAnsi" w:hAnsiTheme="minorHAnsi" w:cstheme="minorHAnsi"/>
          <w:szCs w:val="24"/>
        </w:rPr>
        <w:t xml:space="preserve"> </w:t>
      </w:r>
      <w:r w:rsidRPr="0028021C">
        <w:rPr>
          <w:rFonts w:asciiTheme="minorHAnsi" w:hAnsiTheme="minorHAnsi" w:cstheme="minorHAnsi"/>
          <w:szCs w:val="24"/>
        </w:rPr>
        <w:t>require robust governance and safeguards</w:t>
      </w:r>
      <w:r w:rsidR="00D873FD">
        <w:rPr>
          <w:rStyle w:val="FootnoteReference"/>
          <w:rFonts w:cstheme="minorHAnsi"/>
          <w:szCs w:val="24"/>
        </w:rPr>
        <w:footnoteReference w:id="7"/>
      </w:r>
      <w:r w:rsidR="00D873FD" w:rsidRPr="00CA414A">
        <w:rPr>
          <w:rFonts w:asciiTheme="minorHAnsi" w:hAnsiTheme="minorHAnsi" w:cstheme="minorHAnsi"/>
          <w:szCs w:val="24"/>
        </w:rPr>
        <w:t>.</w:t>
      </w:r>
    </w:p>
    <w:p w14:paraId="33B360AD" w14:textId="77777777" w:rsidR="00D873FD" w:rsidRDefault="00D873FD" w:rsidP="006521FB">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5CF61B06" w14:textId="118CA1D8" w:rsidR="00D873FD" w:rsidRDefault="00D873FD" w:rsidP="006521FB">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D873FD">
        <w:rPr>
          <w:rFonts w:asciiTheme="minorHAnsi" w:hAnsiTheme="minorHAnsi" w:cstheme="minorHAnsi"/>
          <w:szCs w:val="24"/>
        </w:rPr>
        <w:t>In December 2025, UNICEF released</w:t>
      </w:r>
      <w:r w:rsidR="002E5BBC">
        <w:rPr>
          <w:rFonts w:asciiTheme="minorHAnsi" w:hAnsiTheme="minorHAnsi" w:cstheme="minorHAnsi"/>
          <w:szCs w:val="24"/>
        </w:rPr>
        <w:t xml:space="preserve"> </w:t>
      </w:r>
      <w:r w:rsidRPr="00D873FD">
        <w:rPr>
          <w:rFonts w:asciiTheme="minorHAnsi" w:hAnsiTheme="minorHAnsi" w:cstheme="minorHAnsi"/>
          <w:szCs w:val="24"/>
        </w:rPr>
        <w:t>Guidance on AI and Children 3.0</w:t>
      </w:r>
      <w:r>
        <w:rPr>
          <w:rStyle w:val="FootnoteReference"/>
          <w:rFonts w:cstheme="minorHAnsi"/>
          <w:szCs w:val="24"/>
        </w:rPr>
        <w:footnoteReference w:id="8"/>
      </w:r>
      <w:r w:rsidRPr="00D873FD">
        <w:rPr>
          <w:rFonts w:asciiTheme="minorHAnsi" w:hAnsiTheme="minorHAnsi" w:cstheme="minorHAnsi"/>
          <w:szCs w:val="24"/>
        </w:rPr>
        <w:t xml:space="preserve">, </w:t>
      </w:r>
      <w:r w:rsidR="002E5BBC" w:rsidRPr="002E5BBC">
        <w:rPr>
          <w:rFonts w:asciiTheme="minorHAnsi" w:hAnsiTheme="minorHAnsi" w:cstheme="minorHAnsi"/>
          <w:szCs w:val="24"/>
        </w:rPr>
        <w:t>reflecting updated evidence on children’s exposure to AI technologies and associated opportunities and risks. The guidance notes that novel risks include, among others, emotional dependency on companion chatbots and AI-generated harms, and it outlines child-centred requirements such as safety, transparency, accountability and alignment with child rights frameworks.</w:t>
      </w:r>
    </w:p>
    <w:p w14:paraId="717D02D8" w14:textId="77777777" w:rsidR="006521FB" w:rsidRPr="00336436" w:rsidRDefault="006521FB" w:rsidP="00336436">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71D3A976" w14:textId="16DB90D6" w:rsidR="003F75DD" w:rsidRPr="00A572BC" w:rsidRDefault="00D873FD" w:rsidP="003F75DD">
      <w:pPr>
        <w:pStyle w:val="ListParagraph"/>
        <w:numPr>
          <w:ilvl w:val="0"/>
          <w:numId w:val="2"/>
        </w:numPr>
        <w:tabs>
          <w:tab w:val="clear" w:pos="567"/>
          <w:tab w:val="clear" w:pos="1134"/>
          <w:tab w:val="clear" w:pos="1701"/>
          <w:tab w:val="clear" w:pos="2268"/>
          <w:tab w:val="clear" w:pos="2835"/>
        </w:tabs>
        <w:overflowPunct/>
        <w:autoSpaceDE/>
        <w:autoSpaceDN/>
        <w:adjustRightInd/>
        <w:spacing w:before="0"/>
        <w:ind w:left="720" w:hanging="720"/>
        <w:textAlignment w:val="auto"/>
        <w:rPr>
          <w:rFonts w:asciiTheme="minorHAnsi" w:hAnsiTheme="minorHAnsi" w:cstheme="minorHAnsi"/>
          <w:b/>
          <w:bCs/>
          <w:szCs w:val="24"/>
        </w:rPr>
      </w:pPr>
      <w:r w:rsidRPr="00D873FD">
        <w:rPr>
          <w:rFonts w:asciiTheme="minorHAnsi" w:hAnsiTheme="minorHAnsi" w:cstheme="minorHAnsi"/>
          <w:b/>
          <w:bCs/>
          <w:szCs w:val="24"/>
        </w:rPr>
        <w:t xml:space="preserve">Case Study: </w:t>
      </w:r>
      <w:r w:rsidR="006976DA" w:rsidRPr="006976DA">
        <w:rPr>
          <w:rFonts w:asciiTheme="minorHAnsi" w:hAnsiTheme="minorHAnsi" w:cstheme="minorHAnsi"/>
          <w:b/>
          <w:bCs/>
          <w:szCs w:val="24"/>
        </w:rPr>
        <w:t>Conversational AI, Child Users and Suicide Risk</w:t>
      </w:r>
    </w:p>
    <w:p w14:paraId="7904078F" w14:textId="77777777" w:rsidR="00336436" w:rsidRPr="00336436" w:rsidRDefault="00336436" w:rsidP="00336436">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2DB82CA1" w14:textId="439E4A6D" w:rsidR="006976DA" w:rsidRDefault="00A4274F" w:rsidP="00CB29C6">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A4274F">
        <w:rPr>
          <w:rFonts w:asciiTheme="minorHAnsi" w:hAnsiTheme="minorHAnsi" w:cstheme="minorHAnsi"/>
          <w:szCs w:val="24"/>
        </w:rPr>
        <w:t>Recent investigative reporting has drawn international attention to potential risks associated with prolonged interactions between vulnerable individuals and conversational AI systems, particularly where such systems are accessed by children and adolescents. In November 2025, BBC News reported on multiple cases involving minors who developed intensive and emotionally dependent relationships with AI chatbot characters, including a widely publicised case concerning a 14-year-old boy in the United States who died by suicide following prolonged interactions with a chatbot hosted on the Character.ai platform</w:t>
      </w:r>
      <w:r w:rsidR="006976DA">
        <w:rPr>
          <w:rStyle w:val="FootnoteReference"/>
          <w:rFonts w:cstheme="minorHAnsi"/>
          <w:szCs w:val="24"/>
        </w:rPr>
        <w:footnoteReference w:id="9"/>
      </w:r>
      <w:r w:rsidR="006976DA" w:rsidRPr="006976DA">
        <w:rPr>
          <w:rFonts w:asciiTheme="minorHAnsi" w:hAnsiTheme="minorHAnsi" w:cstheme="minorHAnsi"/>
          <w:szCs w:val="24"/>
        </w:rPr>
        <w:t>.</w:t>
      </w:r>
    </w:p>
    <w:p w14:paraId="289B5ECB" w14:textId="77777777" w:rsidR="006976DA" w:rsidRDefault="006976DA" w:rsidP="00CB29C6">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19FE5EE6" w14:textId="7776CD08" w:rsidR="006976DA" w:rsidRDefault="00A4274F" w:rsidP="00CB29C6">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A4274F">
        <w:rPr>
          <w:rFonts w:asciiTheme="minorHAnsi" w:hAnsiTheme="minorHAnsi" w:cstheme="minorHAnsi"/>
          <w:szCs w:val="24"/>
        </w:rPr>
        <w:t>According to the report, the child engaged in extensive private conversations with an AI chatbot modelled on a fictional character. Following his death, the child’s family discovered a large volume of chatbot messages that were emotionally intimate and, in some instances, explicit in nature. The family alleged that the chatbot encouraged emotional reliance, undermined parental authority and included statements interpreted as romanticised references to death and reunion in an afterlife. Legal proceedings were subsequently initiated against the platform operator, alleging that the chatbot’s design and responses contributed to psychological harm.</w:t>
      </w:r>
    </w:p>
    <w:p w14:paraId="1F837EDD" w14:textId="77777777" w:rsidR="006976DA" w:rsidRDefault="006976DA" w:rsidP="00CB29C6">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05184F10" w14:textId="77777777" w:rsidR="00A4274F" w:rsidRDefault="00A4274F" w:rsidP="00CB29C6">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A4274F">
        <w:rPr>
          <w:rFonts w:asciiTheme="minorHAnsi" w:hAnsiTheme="minorHAnsi" w:cstheme="minorHAnsi"/>
          <w:szCs w:val="24"/>
        </w:rPr>
        <w:t xml:space="preserve">Although the specific circumstances of each case differ, the reported findings have significant implications for child and youth online protection. The cases illustrate how conversational AI </w:t>
      </w:r>
      <w:r w:rsidRPr="00A4274F">
        <w:rPr>
          <w:rFonts w:asciiTheme="minorHAnsi" w:hAnsiTheme="minorHAnsi" w:cstheme="minorHAnsi"/>
          <w:szCs w:val="24"/>
        </w:rPr>
        <w:lastRenderedPageBreak/>
        <w:t>systems may be perceived by young users as trusted or supportive interlocutors during periods of emotional vulnerability, potentially deepening isolation from family members or delaying engagement with professional support services. For children and adolescents, who may have limited capacity to critically assess the nature, intent and limitations of AI systems, such interaction patterns may pose heightened psychological and emotional risks.</w:t>
      </w:r>
    </w:p>
    <w:p w14:paraId="1295EED5" w14:textId="77777777" w:rsidR="00A4274F" w:rsidRDefault="00A4274F" w:rsidP="00CB29C6">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1F8E3DAE" w14:textId="262E2171" w:rsidR="006976DA" w:rsidRDefault="00A4274F" w:rsidP="00CB29C6">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A4274F">
        <w:rPr>
          <w:rFonts w:asciiTheme="minorHAnsi" w:hAnsiTheme="minorHAnsi" w:cstheme="minorHAnsi"/>
          <w:szCs w:val="24"/>
        </w:rPr>
        <w:t>Broader concerns regarding conversational AI systems acting as perceived “AI companions” for young users have also been raised. The BBC investigation documented additional cases involving minors in different jurisdictions, including a 13-year-old child in the United Kingdom who reportedly formed an emotionally dependent relationship with an AI chatbot while experiencing bullying and social isolation. Child protection advocates and parents expressed concern that some chatbot interactions exhibited characteristics resembling grooming behaviour, including progressive emotional intimacy, discouragement of parental involvement and escalation to harmful or inappropriate content</w:t>
      </w:r>
      <w:r w:rsidR="006976DA">
        <w:rPr>
          <w:rStyle w:val="FootnoteReference"/>
          <w:rFonts w:cstheme="minorHAnsi"/>
          <w:szCs w:val="24"/>
        </w:rPr>
        <w:footnoteReference w:id="10"/>
      </w:r>
      <w:r w:rsidR="006976DA" w:rsidRPr="006976DA">
        <w:rPr>
          <w:rFonts w:asciiTheme="minorHAnsi" w:hAnsiTheme="minorHAnsi" w:cstheme="minorHAnsi"/>
          <w:szCs w:val="24"/>
        </w:rPr>
        <w:t>.</w:t>
      </w:r>
    </w:p>
    <w:p w14:paraId="60892215" w14:textId="77777777" w:rsidR="00CB29C6" w:rsidRPr="00CB29C6" w:rsidRDefault="00CB29C6" w:rsidP="00CB29C6">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07ED6982" w14:textId="459A0ACF" w:rsidR="00CB29C6" w:rsidRPr="00CB29C6" w:rsidRDefault="00D94DFA" w:rsidP="00CB29C6">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D94DFA">
        <w:rPr>
          <w:rFonts w:asciiTheme="minorHAnsi" w:hAnsiTheme="minorHAnsi" w:cstheme="minorHAnsi"/>
          <w:szCs w:val="24"/>
        </w:rPr>
        <w:t>Taken together, these reported cases underscore the importance of examining the design and deployment of conversational AI safety mechanisms, particularly in contexts involving mental health vulnerability among children and adolescents. They have contributed to wider international discussion on issues such as sustained personalised interaction, the consistency and timing of crisis-response measures, and the need for timely escalation to human support when high-risk indicators are present. These considerations are directly relevant to child online protection objectives and warrant continued attention within the Council Working Group on Child Online Protection.</w:t>
      </w:r>
    </w:p>
    <w:p w14:paraId="18D9BD74" w14:textId="77777777" w:rsidR="003F75DD" w:rsidRPr="00336436" w:rsidRDefault="003F75DD" w:rsidP="003F75DD">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2CA05172" w14:textId="208C263F" w:rsidR="00FF4A99" w:rsidRDefault="00FF4A99" w:rsidP="00FF4A99">
      <w:pPr>
        <w:pStyle w:val="ListParagraph"/>
        <w:numPr>
          <w:ilvl w:val="0"/>
          <w:numId w:val="2"/>
        </w:numPr>
        <w:tabs>
          <w:tab w:val="clear" w:pos="567"/>
          <w:tab w:val="clear" w:pos="1134"/>
          <w:tab w:val="clear" w:pos="1701"/>
          <w:tab w:val="clear" w:pos="2268"/>
          <w:tab w:val="clear" w:pos="2835"/>
        </w:tabs>
        <w:overflowPunct/>
        <w:autoSpaceDE/>
        <w:autoSpaceDN/>
        <w:adjustRightInd/>
        <w:spacing w:before="0"/>
        <w:ind w:left="720" w:hanging="720"/>
        <w:textAlignment w:val="auto"/>
        <w:rPr>
          <w:rFonts w:asciiTheme="minorHAnsi" w:hAnsiTheme="minorHAnsi" w:cstheme="minorHAnsi"/>
          <w:b/>
          <w:bCs/>
          <w:szCs w:val="24"/>
        </w:rPr>
      </w:pPr>
      <w:r w:rsidRPr="00FF4A99">
        <w:rPr>
          <w:rFonts w:asciiTheme="minorHAnsi" w:hAnsiTheme="minorHAnsi" w:cstheme="minorHAnsi"/>
          <w:b/>
          <w:bCs/>
          <w:szCs w:val="24"/>
        </w:rPr>
        <w:t>Global Best Practices and Alignment with ITU Frameworks</w:t>
      </w:r>
    </w:p>
    <w:p w14:paraId="501AD5DB" w14:textId="77777777" w:rsidR="00FF4A99" w:rsidRDefault="00FF4A99" w:rsidP="00FF4A99">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bCs/>
          <w:szCs w:val="24"/>
        </w:rPr>
      </w:pPr>
    </w:p>
    <w:p w14:paraId="75E8F3C6" w14:textId="3AB13C95" w:rsidR="00FF4A99" w:rsidRPr="00FF4A99" w:rsidRDefault="00244DA8" w:rsidP="00FF4A99">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244DA8">
        <w:rPr>
          <w:rFonts w:asciiTheme="minorHAnsi" w:hAnsiTheme="minorHAnsi" w:cstheme="minorHAnsi"/>
          <w:szCs w:val="24"/>
        </w:rPr>
        <w:t>Global experience increasingly demonstrates that managing risks associated with conversational AI systems, particularly those accessed by children and youth, requires a combination of safety-by-design principles, regulatory oversight and multi-stakeholder cooperation. International organisations, academic research communities and ITU Member States have begun to articulate and implement approaches that address characteristics of conversational AI that may be especially relevant in child contexts, including human-like interaction and sustained engagement over time.</w:t>
      </w:r>
    </w:p>
    <w:p w14:paraId="04DCF755" w14:textId="77777777" w:rsidR="00FF4A99" w:rsidRPr="00FF4A99" w:rsidRDefault="00FF4A99" w:rsidP="00FF4A99">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7DB670F5" w14:textId="50918BA8" w:rsidR="005175D9" w:rsidRDefault="00244DA8" w:rsidP="00244DA8">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244DA8">
        <w:rPr>
          <w:rFonts w:asciiTheme="minorHAnsi" w:hAnsiTheme="minorHAnsi" w:cstheme="minorHAnsi"/>
          <w:szCs w:val="24"/>
        </w:rPr>
        <w:t>At the international level, UNICEF has provided comprehensive policy guidance through its updated Guidance on AI and Children 3.0, which discusses both opportunities and risks for children, including risks associated with emotional dependency on companion chatbots and other AI-enabled harms.</w:t>
      </w:r>
      <w:r>
        <w:rPr>
          <w:rFonts w:asciiTheme="minorHAnsi" w:hAnsiTheme="minorHAnsi" w:cstheme="minorHAnsi"/>
          <w:szCs w:val="24"/>
        </w:rPr>
        <w:t xml:space="preserve"> </w:t>
      </w:r>
      <w:r w:rsidRPr="00244DA8">
        <w:rPr>
          <w:rFonts w:asciiTheme="minorHAnsi" w:hAnsiTheme="minorHAnsi" w:cstheme="minorHAnsi"/>
          <w:szCs w:val="24"/>
        </w:rPr>
        <w:t>The guidance emphasises that AI systems used by, or accessible to, children should incorporate age-appropriate design, transparency about system capabilities and limitations, and safeguards to prevent emotional over-reliance or psychological harm, including safeguards applied across the AI lifecycle (design, deployment and ongoing monitoring).</w:t>
      </w:r>
      <w:r w:rsidR="00FF4A99">
        <w:rPr>
          <w:rFonts w:asciiTheme="minorHAnsi" w:hAnsiTheme="minorHAnsi" w:cstheme="minorHAnsi"/>
          <w:szCs w:val="24"/>
        </w:rPr>
        <w:t xml:space="preserve"> </w:t>
      </w:r>
      <w:r w:rsidRPr="00244DA8">
        <w:rPr>
          <w:rFonts w:asciiTheme="minorHAnsi" w:hAnsiTheme="minorHAnsi" w:cstheme="minorHAnsi"/>
          <w:szCs w:val="24"/>
        </w:rPr>
        <w:t>UNICEF has also developed practical implementation resources, including the Safer Chatbots materials and Implementation Guide</w:t>
      </w:r>
      <w:r w:rsidR="00FF4A99">
        <w:rPr>
          <w:rStyle w:val="FootnoteReference"/>
          <w:rFonts w:cstheme="minorHAnsi"/>
          <w:szCs w:val="24"/>
        </w:rPr>
        <w:footnoteReference w:id="11"/>
      </w:r>
      <w:r w:rsidR="00FF4A99" w:rsidRPr="00FF4A99">
        <w:rPr>
          <w:rFonts w:asciiTheme="minorHAnsi" w:hAnsiTheme="minorHAnsi" w:cstheme="minorHAnsi"/>
          <w:szCs w:val="24"/>
        </w:rPr>
        <w:t xml:space="preserve">, </w:t>
      </w:r>
      <w:r w:rsidRPr="00244DA8">
        <w:rPr>
          <w:rFonts w:asciiTheme="minorHAnsi" w:hAnsiTheme="minorHAnsi" w:cstheme="minorHAnsi"/>
          <w:szCs w:val="24"/>
        </w:rPr>
        <w:t xml:space="preserve">which provide technical and </w:t>
      </w:r>
      <w:r w:rsidRPr="00244DA8">
        <w:rPr>
          <w:rFonts w:asciiTheme="minorHAnsi" w:hAnsiTheme="minorHAnsi" w:cstheme="minorHAnsi"/>
          <w:szCs w:val="24"/>
        </w:rPr>
        <w:lastRenderedPageBreak/>
        <w:t>operational measures for making chatbot interactions safer for users who may be at risk, including children and young people</w:t>
      </w:r>
      <w:r w:rsidR="00FF4A99" w:rsidRPr="00FF4A99">
        <w:rPr>
          <w:rFonts w:asciiTheme="minorHAnsi" w:hAnsiTheme="minorHAnsi" w:cstheme="minorHAnsi"/>
          <w:szCs w:val="24"/>
        </w:rPr>
        <w:t>.</w:t>
      </w:r>
    </w:p>
    <w:p w14:paraId="51FCF0D8" w14:textId="77777777" w:rsidR="005175D9" w:rsidRDefault="005175D9" w:rsidP="00FF4A99">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306E8083" w14:textId="0E438D16" w:rsidR="00FF4A99" w:rsidRPr="00FF4A99" w:rsidRDefault="00244DA8" w:rsidP="00244DA8">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244DA8">
        <w:rPr>
          <w:rFonts w:asciiTheme="minorHAnsi" w:hAnsiTheme="minorHAnsi" w:cstheme="minorHAnsi"/>
          <w:szCs w:val="24"/>
        </w:rPr>
        <w:t xml:space="preserve">In parallel, several ITU Member States have begun implementing national initiatives that reflect emerging global practices. Australia provides a notable example of a proactive regulatory approach. In October 2025, Australia’s </w:t>
      </w:r>
      <w:proofErr w:type="spellStart"/>
      <w:r w:rsidRPr="00244DA8">
        <w:rPr>
          <w:rFonts w:asciiTheme="minorHAnsi" w:hAnsiTheme="minorHAnsi" w:cstheme="minorHAnsi"/>
          <w:szCs w:val="24"/>
        </w:rPr>
        <w:t>eSafety</w:t>
      </w:r>
      <w:proofErr w:type="spellEnd"/>
      <w:r w:rsidRPr="00244DA8">
        <w:rPr>
          <w:rFonts w:asciiTheme="minorHAnsi" w:hAnsiTheme="minorHAnsi" w:cstheme="minorHAnsi"/>
          <w:szCs w:val="24"/>
        </w:rPr>
        <w:t xml:space="preserve"> Commissioner issued legal notices to four AI companion chatbot providers requiring them to explain how they are protecting children from exposure to a range of harms, including sexually explicit content and suicidal ideation and self-harm. </w:t>
      </w:r>
      <w:r w:rsidR="00283250" w:rsidRPr="008354D2">
        <w:rPr>
          <w:rFonts w:asciiTheme="minorHAnsi" w:hAnsiTheme="minorHAnsi" w:cstheme="minorHAnsi"/>
          <w:szCs w:val="24"/>
        </w:rPr>
        <w:t>Australia has also issued safety advisories warning that unrestricted access to conversational and companion chatbots may pose risks to child development</w:t>
      </w:r>
      <w:r w:rsidR="005175D9" w:rsidRPr="008354D2">
        <w:rPr>
          <w:rStyle w:val="FootnoteReference"/>
          <w:rFonts w:cstheme="minorHAnsi"/>
          <w:szCs w:val="24"/>
        </w:rPr>
        <w:footnoteReference w:id="12"/>
      </w:r>
      <w:r w:rsidR="005175D9" w:rsidRPr="008354D2">
        <w:rPr>
          <w:rFonts w:asciiTheme="minorHAnsi" w:hAnsiTheme="minorHAnsi" w:cstheme="minorHAnsi"/>
          <w:szCs w:val="24"/>
        </w:rPr>
        <w:t>.</w:t>
      </w:r>
      <w:r w:rsidR="00215A46" w:rsidRPr="008354D2">
        <w:rPr>
          <w:rFonts w:asciiTheme="minorHAnsi" w:hAnsiTheme="minorHAnsi" w:cstheme="minorHAnsi"/>
          <w:szCs w:val="24"/>
        </w:rPr>
        <w:t xml:space="preserve"> </w:t>
      </w:r>
      <w:r w:rsidR="00283250" w:rsidRPr="008354D2">
        <w:rPr>
          <w:rFonts w:asciiTheme="minorHAnsi" w:hAnsiTheme="minorHAnsi" w:cstheme="minorHAnsi"/>
          <w:szCs w:val="24"/>
        </w:rPr>
        <w:t>These measures are complemented by the introduction of mandatory age-based safeguards under Australia’s online safety framework, which, from December 2025, require age-restricted social media platforms to take reasonable steps to prevent users under 16 years of age from creating or maintaining accounts, supported by proportionate age assurance measures and regulatory oversight</w:t>
      </w:r>
      <w:r w:rsidR="00283250" w:rsidRPr="008354D2">
        <w:rPr>
          <w:rStyle w:val="FootnoteReference"/>
          <w:rFonts w:cstheme="minorHAnsi"/>
          <w:szCs w:val="24"/>
        </w:rPr>
        <w:footnoteReference w:id="13"/>
      </w:r>
      <w:r w:rsidR="00283250" w:rsidRPr="008354D2">
        <w:rPr>
          <w:rFonts w:asciiTheme="minorHAnsi" w:hAnsiTheme="minorHAnsi" w:cstheme="minorHAnsi"/>
          <w:szCs w:val="24"/>
        </w:rPr>
        <w:t>.</w:t>
      </w:r>
    </w:p>
    <w:p w14:paraId="60945D7B" w14:textId="77777777" w:rsidR="00FF4A99" w:rsidRPr="00FF4A99" w:rsidRDefault="00FF4A99" w:rsidP="00FF4A99">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297FC995" w14:textId="52D16F53" w:rsidR="00A621FD" w:rsidRDefault="00244DA8" w:rsidP="00FF4A99">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244DA8">
        <w:rPr>
          <w:rFonts w:asciiTheme="minorHAnsi" w:hAnsiTheme="minorHAnsi" w:cstheme="minorHAnsi"/>
          <w:szCs w:val="24"/>
        </w:rPr>
        <w:t>Multiple national and regional policy actions further reflect global concern about the safe use of AI by children and youth. In the United States, the Federal Trade Commission (FTC) launched an inquiry into AI chatbots acting as companions to understand how firms evaluate and mitigate risks, including steps taken to limit potential negative effects on children and teens and to inform users and parents about associated risks</w:t>
      </w:r>
      <w:r w:rsidR="00FF4A99">
        <w:rPr>
          <w:rStyle w:val="FootnoteReference"/>
          <w:rFonts w:cstheme="minorHAnsi"/>
          <w:szCs w:val="24"/>
        </w:rPr>
        <w:footnoteReference w:id="14"/>
      </w:r>
      <w:r w:rsidR="00FF4A99" w:rsidRPr="00FF4A99">
        <w:rPr>
          <w:rFonts w:asciiTheme="minorHAnsi" w:hAnsiTheme="minorHAnsi" w:cstheme="minorHAnsi"/>
          <w:szCs w:val="24"/>
        </w:rPr>
        <w:t>.</w:t>
      </w:r>
      <w:r w:rsidR="00FF4A99">
        <w:rPr>
          <w:rFonts w:asciiTheme="minorHAnsi" w:hAnsiTheme="minorHAnsi" w:cstheme="minorHAnsi"/>
          <w:szCs w:val="24"/>
        </w:rPr>
        <w:t xml:space="preserve"> </w:t>
      </w:r>
      <w:r w:rsidRPr="00244DA8">
        <w:rPr>
          <w:rFonts w:asciiTheme="minorHAnsi" w:hAnsiTheme="minorHAnsi" w:cstheme="minorHAnsi"/>
          <w:szCs w:val="24"/>
        </w:rPr>
        <w:t>In Europe, the European Parliament adopted a non-binding resolution proposing a harmonised EU digital minimum age of 16 for access to social media, video-sharing platforms and AI companions, while allowing access for 13–16-year-olds with parental consent, reflecting evolving approaches to age-appropriate online engagemen</w:t>
      </w:r>
      <w:r>
        <w:rPr>
          <w:rFonts w:asciiTheme="minorHAnsi" w:hAnsiTheme="minorHAnsi" w:cstheme="minorHAnsi"/>
          <w:szCs w:val="24"/>
        </w:rPr>
        <w:t>t</w:t>
      </w:r>
      <w:r w:rsidR="00A621FD">
        <w:rPr>
          <w:rStyle w:val="FootnoteReference"/>
          <w:rFonts w:cstheme="minorHAnsi"/>
          <w:szCs w:val="24"/>
        </w:rPr>
        <w:footnoteReference w:id="15"/>
      </w:r>
      <w:r w:rsidR="00FF4A99" w:rsidRPr="00FF4A99">
        <w:rPr>
          <w:rFonts w:asciiTheme="minorHAnsi" w:hAnsiTheme="minorHAnsi" w:cstheme="minorHAnsi"/>
          <w:szCs w:val="24"/>
        </w:rPr>
        <w:t>.</w:t>
      </w:r>
    </w:p>
    <w:p w14:paraId="11393E99" w14:textId="77777777" w:rsidR="00A621FD" w:rsidRDefault="00A621FD" w:rsidP="00FF4A99">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20A5D663" w14:textId="1F69BD45" w:rsidR="00FF4A99" w:rsidRPr="00FF4A99" w:rsidRDefault="00FF4A99" w:rsidP="00FF4A99">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FF4A99">
        <w:rPr>
          <w:rFonts w:asciiTheme="minorHAnsi" w:hAnsiTheme="minorHAnsi" w:cstheme="minorHAnsi"/>
          <w:szCs w:val="24"/>
        </w:rPr>
        <w:t xml:space="preserve">At the state level in the United States, </w:t>
      </w:r>
      <w:r w:rsidR="00244DA8" w:rsidRPr="00244DA8">
        <w:rPr>
          <w:rFonts w:asciiTheme="minorHAnsi" w:hAnsiTheme="minorHAnsi" w:cstheme="minorHAnsi"/>
          <w:szCs w:val="24"/>
        </w:rPr>
        <w:t>California enacted legislation in October 2025 requiring companion chatbot platforms to provide repeated disclosures to minors that they are interacting with a chatbot rather than a human, and to implement safety protocols associated with risks such as self-harm and suicidal language, reflecting a transparency-and-safeguards approach to youth protection</w:t>
      </w:r>
      <w:r w:rsidR="00A621FD">
        <w:rPr>
          <w:rStyle w:val="FootnoteReference"/>
          <w:rFonts w:cstheme="minorHAnsi"/>
          <w:szCs w:val="24"/>
        </w:rPr>
        <w:footnoteReference w:id="16"/>
      </w:r>
      <w:r w:rsidRPr="00FF4A99">
        <w:rPr>
          <w:rFonts w:asciiTheme="minorHAnsi" w:hAnsiTheme="minorHAnsi" w:cstheme="minorHAnsi"/>
          <w:szCs w:val="24"/>
        </w:rPr>
        <w:t>.</w:t>
      </w:r>
      <w:r w:rsidR="00244DA8">
        <w:rPr>
          <w:rFonts w:asciiTheme="minorHAnsi" w:hAnsiTheme="minorHAnsi" w:cstheme="minorHAnsi"/>
          <w:szCs w:val="24"/>
        </w:rPr>
        <w:t xml:space="preserve"> </w:t>
      </w:r>
      <w:r w:rsidR="00244DA8" w:rsidRPr="00244DA8">
        <w:rPr>
          <w:rFonts w:asciiTheme="minorHAnsi" w:hAnsiTheme="minorHAnsi" w:cstheme="minorHAnsi"/>
          <w:szCs w:val="24"/>
        </w:rPr>
        <w:t>Italy adopted a comprehensive national AI law in September 2025 which, among other measures, includes a requirement that access to AI tools by users under 14 is subject to parental consent, alongside broader provisions on oversight and safeguards across multiple sectors</w:t>
      </w:r>
      <w:r w:rsidR="000F15CC">
        <w:rPr>
          <w:rStyle w:val="FootnoteReference"/>
          <w:rFonts w:cstheme="minorHAnsi"/>
          <w:szCs w:val="24"/>
        </w:rPr>
        <w:footnoteReference w:id="17"/>
      </w:r>
      <w:r w:rsidRPr="00FF4A99">
        <w:rPr>
          <w:rFonts w:asciiTheme="minorHAnsi" w:hAnsiTheme="minorHAnsi" w:cstheme="minorHAnsi"/>
          <w:szCs w:val="24"/>
        </w:rPr>
        <w:t xml:space="preserve">. </w:t>
      </w:r>
    </w:p>
    <w:p w14:paraId="64D89391" w14:textId="77777777" w:rsidR="00FF4A99" w:rsidRPr="00FF4A99" w:rsidRDefault="00FF4A99" w:rsidP="00FF4A99">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1762DE1F" w14:textId="784CF0E1" w:rsidR="00165589" w:rsidRDefault="00032C46" w:rsidP="00165589">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032C46">
        <w:rPr>
          <w:rFonts w:asciiTheme="minorHAnsi" w:hAnsiTheme="minorHAnsi" w:cstheme="minorHAnsi"/>
          <w:szCs w:val="24"/>
        </w:rPr>
        <w:t>These emerging practices align closely with Resolution 214</w:t>
      </w:r>
      <w:r w:rsidR="00CC5CDB">
        <w:rPr>
          <w:rFonts w:asciiTheme="minorHAnsi" w:hAnsiTheme="minorHAnsi" w:cstheme="minorHAnsi"/>
          <w:szCs w:val="24"/>
        </w:rPr>
        <w:t>,</w:t>
      </w:r>
      <w:r w:rsidRPr="00032C46">
        <w:rPr>
          <w:rFonts w:asciiTheme="minorHAnsi" w:hAnsiTheme="minorHAnsi" w:cstheme="minorHAnsi"/>
          <w:szCs w:val="24"/>
        </w:rPr>
        <w:t xml:space="preserve"> which calls on Member States, the private sector and relevant international organisations to strengthen child online protection measures in response to evolving digital technologies. In this context, conversational AI </w:t>
      </w:r>
      <w:r w:rsidRPr="00032C46">
        <w:rPr>
          <w:rFonts w:asciiTheme="minorHAnsi" w:hAnsiTheme="minorHAnsi" w:cstheme="minorHAnsi"/>
          <w:szCs w:val="24"/>
        </w:rPr>
        <w:lastRenderedPageBreak/>
        <w:t>represents an area where lessons from national initiatives, international guidance and research-based evidence can inform collective approaches within ITU frameworks, including through information sharing and capacity-building.</w:t>
      </w:r>
    </w:p>
    <w:p w14:paraId="2054B9E0" w14:textId="77777777" w:rsidR="00165589" w:rsidRPr="00336436" w:rsidRDefault="00165589" w:rsidP="00165589">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46F00076" w14:textId="257D04C0" w:rsidR="00165589" w:rsidRPr="008354D2" w:rsidRDefault="00BD1B78" w:rsidP="00165589">
      <w:pPr>
        <w:pStyle w:val="ListParagraph"/>
        <w:numPr>
          <w:ilvl w:val="0"/>
          <w:numId w:val="2"/>
        </w:numPr>
        <w:tabs>
          <w:tab w:val="clear" w:pos="567"/>
          <w:tab w:val="clear" w:pos="1134"/>
          <w:tab w:val="clear" w:pos="1701"/>
          <w:tab w:val="clear" w:pos="2268"/>
          <w:tab w:val="clear" w:pos="2835"/>
        </w:tabs>
        <w:overflowPunct/>
        <w:autoSpaceDE/>
        <w:autoSpaceDN/>
        <w:adjustRightInd/>
        <w:spacing w:before="0"/>
        <w:ind w:left="720" w:hanging="720"/>
        <w:textAlignment w:val="auto"/>
        <w:rPr>
          <w:rFonts w:asciiTheme="minorHAnsi" w:hAnsiTheme="minorHAnsi" w:cstheme="minorHAnsi"/>
          <w:b/>
          <w:bCs/>
          <w:szCs w:val="24"/>
        </w:rPr>
      </w:pPr>
      <w:r w:rsidRPr="008354D2">
        <w:rPr>
          <w:rFonts w:asciiTheme="minorHAnsi" w:hAnsiTheme="minorHAnsi" w:cstheme="minorHAnsi"/>
          <w:b/>
          <w:bCs/>
          <w:szCs w:val="24"/>
        </w:rPr>
        <w:t>Malaysia’s Approach to Child Online Protection in the Age of AI</w:t>
      </w:r>
    </w:p>
    <w:p w14:paraId="004E875D" w14:textId="77777777" w:rsidR="00165589" w:rsidRPr="008354D2" w:rsidRDefault="00165589" w:rsidP="00165589">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5AF4BBF3" w14:textId="15F27B5D" w:rsidR="00030961" w:rsidRPr="008354D2" w:rsidRDefault="00F57FB3" w:rsidP="00030961">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8354D2">
        <w:rPr>
          <w:rFonts w:asciiTheme="minorHAnsi" w:hAnsiTheme="minorHAnsi" w:cstheme="minorHAnsi"/>
          <w:szCs w:val="24"/>
        </w:rPr>
        <w:t>Malaysia’s approach to child online protection has evolved in response to longstanding online harms affecting children, including exposure to harmful content, online exploitation, cyberbullying and unsafe digital interactions. Prior to the widespread deployment of conversational and generative AI technologies, regulatory efforts led by the Malaysian Communications and Multimedia Commission (MCMC) focused on addressing risks such as child sexual abuse material (CSAM) and other forms of online harm across digital platforms and services. These efforts are grounded in Malaysia’s domestic legal framework and reinforced by its participation in regional and international initiatives on child online protection.</w:t>
      </w:r>
    </w:p>
    <w:p w14:paraId="02C7EBDE" w14:textId="77777777" w:rsidR="002E0479" w:rsidRPr="008354D2" w:rsidRDefault="002E0479" w:rsidP="00030961">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74BBA45E" w14:textId="38865055" w:rsidR="00E442B9" w:rsidRDefault="00F57FB3" w:rsidP="00030961">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8354D2">
        <w:rPr>
          <w:rFonts w:asciiTheme="minorHAnsi" w:hAnsiTheme="minorHAnsi" w:cstheme="minorHAnsi"/>
          <w:szCs w:val="24"/>
        </w:rPr>
        <w:t xml:space="preserve">Building on this foundation, Malaysia recognises that risks arising from conversational AI, generative AI and chatbot technologies largely extend existing online safety concerns, rather than constituting entirely new categories of harm. AI-enabled services may intensify risks through persistent interaction, personalised engagement and automated content generation, particularly when accessed by children and adolescents. </w:t>
      </w:r>
      <w:r w:rsidR="008354D2" w:rsidRPr="008354D2">
        <w:rPr>
          <w:rFonts w:asciiTheme="minorHAnsi" w:hAnsiTheme="minorHAnsi" w:cstheme="minorHAnsi"/>
          <w:szCs w:val="24"/>
        </w:rPr>
        <w:t>Malaysia therefore addresses AI-related risks through its existing child online protection, platform governance and content regulation frameworks, applied in a manner that remains adaptable to evolving technologies, rather than through technology-specific regulation.</w:t>
      </w:r>
    </w:p>
    <w:p w14:paraId="7776B275" w14:textId="77777777" w:rsidR="008354D2" w:rsidRDefault="008354D2" w:rsidP="00030961">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572A887A" w14:textId="77777777" w:rsidR="008354D2" w:rsidRPr="008354D2" w:rsidRDefault="008354D2" w:rsidP="008354D2">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8354D2">
        <w:rPr>
          <w:rFonts w:asciiTheme="minorHAnsi" w:hAnsiTheme="minorHAnsi" w:cstheme="minorHAnsi"/>
          <w:szCs w:val="24"/>
        </w:rPr>
        <w:t>Within this technology-neutral approach, Malaysia strongly encouraged online platforms to adopt transparency and risk-mitigation measures for AI-enabled features. These include the labelling of AI-generated or manipulated content on social media platforms, particularly where such content may affect children and youth. While such labelling is not currently mandated by law, major platforms operating in Malaysia have implemented these measures following regulatory engagement in line with public safety expectations, supporting user awareness and harm prevention within existing regulatory frameworks.</w:t>
      </w:r>
    </w:p>
    <w:p w14:paraId="15C29088" w14:textId="77777777" w:rsidR="008354D2" w:rsidRPr="008354D2" w:rsidRDefault="008354D2" w:rsidP="008354D2">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364ADB43" w14:textId="642F6D92" w:rsidR="008354D2" w:rsidRPr="008354D2" w:rsidRDefault="008354D2" w:rsidP="008354D2">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8354D2">
        <w:rPr>
          <w:rFonts w:asciiTheme="minorHAnsi" w:hAnsiTheme="minorHAnsi" w:cstheme="minorHAnsi"/>
          <w:szCs w:val="24"/>
        </w:rPr>
        <w:t>This approach is consistent with Resolution 214 (Rev. Bucharest, 2022), which encourages Member States to examine both the opportunities and challenges associated with AI technologies deployed through telecommunications and ICT ecosystems, including through information-sharing and capacity-building.</w:t>
      </w:r>
    </w:p>
    <w:p w14:paraId="230B97A3" w14:textId="77777777" w:rsidR="008354D2" w:rsidRPr="008354D2" w:rsidRDefault="008354D2" w:rsidP="0014378E">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16F56E8C" w14:textId="0C776294" w:rsidR="0014378E" w:rsidRPr="008354D2" w:rsidRDefault="0014378E" w:rsidP="0014378E">
      <w:pPr>
        <w:pStyle w:val="ListParagraph"/>
        <w:numPr>
          <w:ilvl w:val="1"/>
          <w:numId w:val="2"/>
        </w:numPr>
        <w:tabs>
          <w:tab w:val="clear" w:pos="567"/>
          <w:tab w:val="clear" w:pos="1134"/>
          <w:tab w:val="clear" w:pos="1701"/>
          <w:tab w:val="clear" w:pos="2268"/>
          <w:tab w:val="clear" w:pos="2835"/>
        </w:tabs>
        <w:overflowPunct/>
        <w:autoSpaceDE/>
        <w:autoSpaceDN/>
        <w:adjustRightInd/>
        <w:spacing w:before="0"/>
        <w:ind w:left="720" w:hanging="720"/>
        <w:textAlignment w:val="auto"/>
        <w:rPr>
          <w:rFonts w:asciiTheme="minorHAnsi" w:hAnsiTheme="minorHAnsi" w:cstheme="minorHAnsi"/>
          <w:b/>
          <w:bCs/>
          <w:szCs w:val="24"/>
        </w:rPr>
      </w:pPr>
      <w:r w:rsidRPr="008354D2">
        <w:rPr>
          <w:rFonts w:asciiTheme="minorHAnsi" w:hAnsiTheme="minorHAnsi" w:cstheme="minorHAnsi"/>
          <w:b/>
          <w:bCs/>
          <w:szCs w:val="24"/>
        </w:rPr>
        <w:t>Regulatory</w:t>
      </w:r>
    </w:p>
    <w:p w14:paraId="609EAB87" w14:textId="77777777" w:rsidR="0014378E" w:rsidRPr="008354D2" w:rsidRDefault="0014378E" w:rsidP="0014378E">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7ABBEBFC" w14:textId="4DF2A7FD" w:rsidR="007F68CA" w:rsidRDefault="008354D2" w:rsidP="007F68C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8354D2">
        <w:rPr>
          <w:rFonts w:asciiTheme="minorHAnsi" w:hAnsiTheme="minorHAnsi" w:cstheme="minorHAnsi"/>
          <w:szCs w:val="24"/>
        </w:rPr>
        <w:t>Malaysia’s online safety framework is anchored in the Online Safety Act 2025 (ONSA), which establishes a comprehensive legal framework to enhance user safety in the digital environment by strengthening accountability and regulatory oversight of licensed online service providers. ONSA introduces clear and enforceable responsibilities for applications service providers (“ASPs”), content applications service providers (“CASPs”) and network service providers (“NSPs”), with a strong focus on protecting children, families and other vulnerable users.</w:t>
      </w:r>
    </w:p>
    <w:p w14:paraId="77904B17" w14:textId="77777777" w:rsidR="008354D2" w:rsidRDefault="008354D2" w:rsidP="007F68C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3E020913" w14:textId="71AA7A23" w:rsidR="008354D2" w:rsidRDefault="008354D2" w:rsidP="007F68C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8354D2">
        <w:rPr>
          <w:rFonts w:asciiTheme="minorHAnsi" w:hAnsiTheme="minorHAnsi" w:cstheme="minorHAnsi"/>
          <w:szCs w:val="24"/>
        </w:rPr>
        <w:t>ONSA is regulated</w:t>
      </w:r>
      <w:r>
        <w:rPr>
          <w:rFonts w:asciiTheme="minorHAnsi" w:hAnsiTheme="minorHAnsi" w:cstheme="minorHAnsi"/>
          <w:szCs w:val="24"/>
        </w:rPr>
        <w:t xml:space="preserve"> </w:t>
      </w:r>
      <w:r w:rsidRPr="008354D2">
        <w:rPr>
          <w:rFonts w:asciiTheme="minorHAnsi" w:hAnsiTheme="minorHAnsi" w:cstheme="minorHAnsi"/>
          <w:szCs w:val="24"/>
        </w:rPr>
        <w:t>by the MCMC and came into force on 1st January 2026. The Act was enacted in response to the growing scale and complexity of online harms, including child sexual abuse material, online scams, cyberbullying and other forms of harmful content, which have intensified as digital platforms and algorithmic systems, including AI-enabled services, become central to everyday communication and interaction.</w:t>
      </w:r>
    </w:p>
    <w:p w14:paraId="1B5F51F4" w14:textId="77777777" w:rsidR="008354D2" w:rsidRDefault="008354D2" w:rsidP="007F68C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1AAC5B4D" w14:textId="5B0E92B2" w:rsidR="008354D2" w:rsidRPr="008354D2" w:rsidRDefault="008354D2" w:rsidP="007F68C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8354D2">
        <w:rPr>
          <w:rFonts w:asciiTheme="minorHAnsi" w:hAnsiTheme="minorHAnsi" w:cstheme="minorHAnsi"/>
          <w:szCs w:val="24"/>
        </w:rPr>
        <w:t>ONSA adopts an outcomes-based and technology-neutral regulatory approach, allowing obligations to remain adaptable to evolving technologies, such as conversational and generative AI systems. Section 15 of ONSA establishes a general duty for ASPs and CASPs to enable users to manage their online safety. This includes providing tools and settings to limit unwanted contact, identification or communication. These obligations are relevant to AI-enabled services that facilitate direct, persistent or personalised interactions, including conversational AI systems.</w:t>
      </w:r>
    </w:p>
    <w:p w14:paraId="16592886" w14:textId="77777777" w:rsidR="007F68CA" w:rsidRPr="008354D2" w:rsidRDefault="007F68CA" w:rsidP="007F68C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3DB484EB" w14:textId="051B4F1C" w:rsidR="00267942" w:rsidRDefault="008354D2" w:rsidP="007F68C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8354D2">
        <w:rPr>
          <w:rFonts w:asciiTheme="minorHAnsi" w:hAnsiTheme="minorHAnsi" w:cstheme="minorHAnsi"/>
          <w:szCs w:val="24"/>
        </w:rPr>
        <w:t>Additional child-specific protections are set out under Section 18 of ONSA. Service providers are required to implement safety-by-design measures to ensure the safe use of their services by child users. These measures include restricting access to content suspected to be harmful, limiting adult-to-child interactions, managing features that may increase or prolong engagement by children, and controlling personalised recommendation systems appropriate for child users. Although AI technologies are not explicitly referenced, these obligations apply where AI-enabled functionalities are present.</w:t>
      </w:r>
    </w:p>
    <w:p w14:paraId="0200B043" w14:textId="77777777" w:rsidR="008354D2" w:rsidRDefault="008354D2" w:rsidP="007F68C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352271AE" w14:textId="1DD1BA9F" w:rsidR="008354D2" w:rsidRPr="008354D2" w:rsidRDefault="008354D2" w:rsidP="007F68C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8354D2">
        <w:rPr>
          <w:rFonts w:asciiTheme="minorHAnsi" w:hAnsiTheme="minorHAnsi" w:cstheme="minorHAnsi"/>
          <w:szCs w:val="24"/>
        </w:rPr>
        <w:t>Several subsidiary instruments, including regulations and codes, will be issued under ONSA to support duties under Part III of the Act. These instruments include requirements for licensed service providers to prepare an Online Safety Plan, setting out the measures adopted to mitigate risks of exposure to harmful content and to protect child users. Such instruments provide a mechanism to address rising concerns over manipulative design features or harmful AI-generated content.</w:t>
      </w:r>
    </w:p>
    <w:p w14:paraId="0B45091E" w14:textId="77777777" w:rsidR="007F68CA" w:rsidRPr="008354D2" w:rsidRDefault="007F68CA" w:rsidP="007F68C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0D621857" w14:textId="02A4355E" w:rsidR="007F68CA" w:rsidRDefault="008354D2" w:rsidP="007F68C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8354D2">
        <w:rPr>
          <w:rFonts w:asciiTheme="minorHAnsi" w:hAnsiTheme="minorHAnsi" w:cstheme="minorHAnsi"/>
          <w:szCs w:val="24"/>
        </w:rPr>
        <w:t>Accountability of major online platforms is further reinforced through Malaysia’s licensing regime under the Communications and Multimedia Act 1998 (CMA 1998) and its subsidiary legislation. Amendments effective from 1 January 2025 require Internet messaging service providers and social media service providers with eight (8) million or more users in Malaysia to operate under an Application Service Provider (Class) [ASP(C)] licence and be subject to applicable regulatory obligations.</w:t>
      </w:r>
    </w:p>
    <w:p w14:paraId="33D44327" w14:textId="77777777" w:rsidR="008354D2" w:rsidRDefault="008354D2" w:rsidP="007F68C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1A131288" w14:textId="38D33FB6" w:rsidR="008354D2" w:rsidRPr="008354D2" w:rsidRDefault="008354D2" w:rsidP="007F68C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8354D2">
        <w:rPr>
          <w:rFonts w:asciiTheme="minorHAnsi" w:hAnsiTheme="minorHAnsi" w:cstheme="minorHAnsi"/>
          <w:szCs w:val="24"/>
        </w:rPr>
        <w:t>Beginning 1 January 2026, Internet messaging service providers and social media service providers with eight (8) million or more users in Malaysia are deemed licensed under the CMA 1998. These include Internet messaging platforms such as WhatsApp and Telegram, as well as social media platforms such as Facebook, Instagram, TikTok and YouTube. This ensures that major platforms operating in Malaysia, many of which deploy or integrate AI-enabled features, are subject to Malaysia’s online safety, child protection and enforcement obligations.</w:t>
      </w:r>
    </w:p>
    <w:p w14:paraId="074C7B87" w14:textId="77777777" w:rsidR="007F68CA" w:rsidRPr="008354D2" w:rsidRDefault="007F68CA" w:rsidP="007F68C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6837E4A1" w14:textId="638EB603" w:rsidR="00030961" w:rsidRPr="008354D2" w:rsidRDefault="008354D2" w:rsidP="008354D2">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8354D2">
        <w:rPr>
          <w:rFonts w:asciiTheme="minorHAnsi" w:hAnsiTheme="minorHAnsi" w:cstheme="minorHAnsi"/>
          <w:szCs w:val="24"/>
        </w:rPr>
        <w:t xml:space="preserve">The Code of Conduct (Best Practice) was published on 20 December 2024 for Internet Messaging Service Providers and Social Media Service Providers. The Code provides </w:t>
      </w:r>
      <w:r w:rsidRPr="008354D2">
        <w:rPr>
          <w:rFonts w:asciiTheme="minorHAnsi" w:hAnsiTheme="minorHAnsi" w:cstheme="minorHAnsi"/>
          <w:szCs w:val="24"/>
        </w:rPr>
        <w:lastRenderedPageBreak/>
        <w:t>operational guidance on content moderation, risk mitigation and user protection, complementing statutory obligations of the CMA 1998 particularly the regulatory framework for Internet messaging and social media service providers,</w:t>
      </w:r>
      <w:r>
        <w:rPr>
          <w:rFonts w:asciiTheme="minorHAnsi" w:hAnsiTheme="minorHAnsi" w:cstheme="minorHAnsi"/>
          <w:szCs w:val="24"/>
        </w:rPr>
        <w:t xml:space="preserve"> </w:t>
      </w:r>
      <w:r w:rsidRPr="008354D2">
        <w:rPr>
          <w:rFonts w:asciiTheme="minorHAnsi" w:hAnsiTheme="minorHAnsi" w:cstheme="minorHAnsi"/>
          <w:szCs w:val="24"/>
        </w:rPr>
        <w:t>translating them into practical platform-level measures applicable to AI-enabled services.</w:t>
      </w:r>
    </w:p>
    <w:p w14:paraId="39C202D4" w14:textId="77777777" w:rsidR="00267942" w:rsidRPr="008354D2" w:rsidRDefault="00267942" w:rsidP="00267942">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204A23D2" w14:textId="0695DB70" w:rsidR="007F68CA" w:rsidRPr="008354D2" w:rsidRDefault="007F68CA" w:rsidP="00267942">
      <w:pPr>
        <w:pStyle w:val="ListParagraph"/>
        <w:numPr>
          <w:ilvl w:val="1"/>
          <w:numId w:val="2"/>
        </w:numPr>
        <w:tabs>
          <w:tab w:val="clear" w:pos="567"/>
          <w:tab w:val="clear" w:pos="1134"/>
          <w:tab w:val="clear" w:pos="1701"/>
          <w:tab w:val="clear" w:pos="2268"/>
          <w:tab w:val="clear" w:pos="2835"/>
        </w:tabs>
        <w:overflowPunct/>
        <w:autoSpaceDE/>
        <w:autoSpaceDN/>
        <w:adjustRightInd/>
        <w:spacing w:before="0"/>
        <w:ind w:left="720" w:hanging="720"/>
        <w:textAlignment w:val="auto"/>
        <w:rPr>
          <w:rFonts w:asciiTheme="minorHAnsi" w:hAnsiTheme="minorHAnsi" w:cstheme="minorHAnsi"/>
          <w:b/>
          <w:bCs/>
          <w:szCs w:val="24"/>
        </w:rPr>
      </w:pPr>
      <w:r w:rsidRPr="008354D2">
        <w:rPr>
          <w:rFonts w:asciiTheme="minorHAnsi" w:hAnsiTheme="minorHAnsi" w:cstheme="minorHAnsi"/>
          <w:b/>
          <w:bCs/>
          <w:szCs w:val="24"/>
        </w:rPr>
        <w:t>Enforcement Action and AI-Relevant Child Safety Measures</w:t>
      </w:r>
    </w:p>
    <w:p w14:paraId="3B575AF0" w14:textId="77777777" w:rsidR="007F68CA" w:rsidRPr="008354D2" w:rsidRDefault="007F68CA" w:rsidP="007F68CA">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bCs/>
          <w:szCs w:val="24"/>
        </w:rPr>
      </w:pPr>
    </w:p>
    <w:p w14:paraId="60E7B5C1" w14:textId="44BAEBB9" w:rsidR="008354D2" w:rsidRPr="008354D2" w:rsidRDefault="008354D2" w:rsidP="008354D2">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8354D2">
        <w:rPr>
          <w:rFonts w:asciiTheme="minorHAnsi" w:hAnsiTheme="minorHAnsi" w:cstheme="minorHAnsi"/>
          <w:szCs w:val="24"/>
        </w:rPr>
        <w:t>Malaysia’s regulatory framework is supported by active enforcement to address online harms, including those arising from the misuse of AI-enabled technologies. In late 2025, MCMC initiated investigations following public complaints concerning the generation and dissemination of</w:t>
      </w:r>
      <w:r>
        <w:rPr>
          <w:rFonts w:asciiTheme="minorHAnsi" w:hAnsiTheme="minorHAnsi" w:cstheme="minorHAnsi"/>
          <w:szCs w:val="24"/>
        </w:rPr>
        <w:t xml:space="preserve"> </w:t>
      </w:r>
      <w:r w:rsidRPr="008354D2">
        <w:rPr>
          <w:rFonts w:asciiTheme="minorHAnsi" w:hAnsiTheme="minorHAnsi" w:cstheme="minorHAnsi"/>
          <w:szCs w:val="24"/>
        </w:rPr>
        <w:t>harmful content through AI tools, including manipulated images involving women and children</w:t>
      </w:r>
      <w:r w:rsidRPr="00AF586B">
        <w:rPr>
          <w:rStyle w:val="FootnoteReference"/>
          <w:rFonts w:cstheme="minorHAnsi"/>
          <w:szCs w:val="24"/>
        </w:rPr>
        <w:footnoteReference w:id="18"/>
      </w:r>
      <w:r w:rsidR="007F68CA" w:rsidRPr="008354D2">
        <w:rPr>
          <w:rFonts w:asciiTheme="minorHAnsi" w:hAnsiTheme="minorHAnsi" w:cstheme="minorHAnsi"/>
          <w:szCs w:val="24"/>
        </w:rPr>
        <w:t xml:space="preserve">. </w:t>
      </w:r>
      <w:r w:rsidRPr="008354D2">
        <w:rPr>
          <w:rFonts w:asciiTheme="minorHAnsi" w:hAnsiTheme="minorHAnsi" w:cstheme="minorHAnsi"/>
          <w:szCs w:val="24"/>
        </w:rPr>
        <w:t>Under Malaysia’s existing legal framework, the creation or dissemination of such content constitutes an offence under Section 233 of the CMA 1998, which prohibits the misuse of network services to transmit obscene, indecent or grossly offensive material.</w:t>
      </w:r>
    </w:p>
    <w:p w14:paraId="34348694" w14:textId="77777777" w:rsidR="008354D2" w:rsidRPr="008354D2" w:rsidRDefault="008354D2" w:rsidP="008354D2">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5E1BB0F5" w14:textId="77777777" w:rsidR="008354D2" w:rsidRPr="008354D2" w:rsidRDefault="008354D2" w:rsidP="008354D2">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8354D2">
        <w:rPr>
          <w:rFonts w:asciiTheme="minorHAnsi" w:hAnsiTheme="minorHAnsi" w:cstheme="minorHAnsi"/>
          <w:szCs w:val="24"/>
        </w:rPr>
        <w:t>In addressing such incidents, MCMC emphasised that online platforms accessible in Malaysia are expected to comply with national online safety standards and to take reasonable measures to prevent the dissemination of harmful content within the Malaysian jurisdiction. This demonstrates how existing legal provisions are applied to AI-generated harms affecting children and youth, including where such harms arise from emerging or evolving technologies.</w:t>
      </w:r>
    </w:p>
    <w:p w14:paraId="676094FF" w14:textId="77777777" w:rsidR="008354D2" w:rsidRPr="008354D2" w:rsidRDefault="008354D2" w:rsidP="008354D2">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7F55F778" w14:textId="0D2AF9B9" w:rsidR="007F68CA" w:rsidRPr="008354D2" w:rsidRDefault="008354D2" w:rsidP="008354D2">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8354D2">
        <w:rPr>
          <w:rFonts w:asciiTheme="minorHAnsi" w:hAnsiTheme="minorHAnsi" w:cstheme="minorHAnsi"/>
          <w:szCs w:val="24"/>
        </w:rPr>
        <w:t>Malaysia is also examining broader policy considerations aimed at reducing children’s exposure to online harms, including risks amplified by AI-driven systems. Public discourse has intensified around a proposal to introduce a minimum age of 16 for holding or maintaining social media accounts, with supporting mechanism such as age verification</w:t>
      </w:r>
      <w:r w:rsidR="00F57FB3" w:rsidRPr="008354D2">
        <w:rPr>
          <w:rStyle w:val="FootnoteReference"/>
          <w:rFonts w:cstheme="minorHAnsi"/>
          <w:szCs w:val="24"/>
        </w:rPr>
        <w:footnoteReference w:id="19"/>
      </w:r>
      <w:r w:rsidR="007F68CA" w:rsidRPr="008354D2">
        <w:rPr>
          <w:rFonts w:asciiTheme="minorHAnsi" w:hAnsiTheme="minorHAnsi" w:cstheme="minorHAnsi"/>
          <w:szCs w:val="24"/>
        </w:rPr>
        <w:t xml:space="preserve">. </w:t>
      </w:r>
      <w:r w:rsidRPr="008354D2">
        <w:rPr>
          <w:rFonts w:asciiTheme="minorHAnsi" w:hAnsiTheme="minorHAnsi" w:cstheme="minorHAnsi"/>
          <w:szCs w:val="24"/>
        </w:rPr>
        <w:t>These discussions reflect growing concern about children’s exposure to harmful content, algorithmic influence and online exploitation, while recognising the need to balance protection, access to information, privacy and freedom of expression.</w:t>
      </w:r>
    </w:p>
    <w:p w14:paraId="108B7D3F" w14:textId="77777777" w:rsidR="007F68CA" w:rsidRPr="008354D2" w:rsidRDefault="007F68CA" w:rsidP="007F68CA">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bCs/>
          <w:szCs w:val="24"/>
        </w:rPr>
      </w:pPr>
    </w:p>
    <w:p w14:paraId="146C28D0" w14:textId="68765FE8" w:rsidR="00267942" w:rsidRPr="008354D2" w:rsidRDefault="00E9298D" w:rsidP="00267942">
      <w:pPr>
        <w:pStyle w:val="ListParagraph"/>
        <w:numPr>
          <w:ilvl w:val="1"/>
          <w:numId w:val="2"/>
        </w:numPr>
        <w:tabs>
          <w:tab w:val="clear" w:pos="567"/>
          <w:tab w:val="clear" w:pos="1134"/>
          <w:tab w:val="clear" w:pos="1701"/>
          <w:tab w:val="clear" w:pos="2268"/>
          <w:tab w:val="clear" w:pos="2835"/>
        </w:tabs>
        <w:overflowPunct/>
        <w:autoSpaceDE/>
        <w:autoSpaceDN/>
        <w:adjustRightInd/>
        <w:spacing w:before="0"/>
        <w:ind w:left="720" w:hanging="720"/>
        <w:textAlignment w:val="auto"/>
        <w:rPr>
          <w:rFonts w:asciiTheme="minorHAnsi" w:hAnsiTheme="minorHAnsi" w:cstheme="minorHAnsi"/>
          <w:b/>
          <w:bCs/>
          <w:szCs w:val="24"/>
        </w:rPr>
      </w:pPr>
      <w:r w:rsidRPr="008354D2">
        <w:rPr>
          <w:rFonts w:asciiTheme="minorHAnsi" w:hAnsiTheme="minorHAnsi" w:cstheme="minorHAnsi"/>
          <w:b/>
          <w:bCs/>
          <w:szCs w:val="24"/>
        </w:rPr>
        <w:t>Awareness and Cooperative Engagement</w:t>
      </w:r>
    </w:p>
    <w:p w14:paraId="434AF42B" w14:textId="77777777" w:rsidR="00030961" w:rsidRPr="008354D2" w:rsidRDefault="00030961" w:rsidP="00030961">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63E42108" w14:textId="77777777" w:rsidR="00114792" w:rsidRPr="008354D2" w:rsidRDefault="00114792" w:rsidP="00114792">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8354D2">
        <w:rPr>
          <w:rFonts w:asciiTheme="minorHAnsi" w:hAnsiTheme="minorHAnsi" w:cstheme="minorHAnsi"/>
          <w:szCs w:val="24"/>
        </w:rPr>
        <w:t xml:space="preserve">The regulatory and enforcement measures outlined above are complemented by sustained industry engagement and public awareness initiatives led by MCMC. National campaigns such as </w:t>
      </w:r>
      <w:r w:rsidRPr="008354D2">
        <w:rPr>
          <w:rFonts w:asciiTheme="minorHAnsi" w:hAnsiTheme="minorHAnsi" w:cstheme="minorHAnsi"/>
          <w:i/>
          <w:iCs/>
          <w:szCs w:val="24"/>
        </w:rPr>
        <w:t>Kempen Internet Selamat</w:t>
      </w:r>
      <w:r w:rsidRPr="008354D2">
        <w:rPr>
          <w:rFonts w:asciiTheme="minorHAnsi" w:hAnsiTheme="minorHAnsi" w:cstheme="minorHAnsi"/>
          <w:szCs w:val="24"/>
        </w:rPr>
        <w:t xml:space="preserve"> actively involve parents, schools and educators in promoting safer online practices and digital literacy, including awareness of emerging risks associated with AI-generated content, deepfakes and automated interactions.</w:t>
      </w:r>
    </w:p>
    <w:p w14:paraId="41D410A4" w14:textId="77777777" w:rsidR="00114792" w:rsidRPr="008354D2" w:rsidRDefault="00114792" w:rsidP="00114792">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7F8F2A28" w14:textId="77777777" w:rsidR="00114792" w:rsidRPr="008354D2" w:rsidRDefault="00114792" w:rsidP="00114792">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8354D2">
        <w:rPr>
          <w:rFonts w:asciiTheme="minorHAnsi" w:hAnsiTheme="minorHAnsi" w:cstheme="minorHAnsi"/>
          <w:szCs w:val="24"/>
        </w:rPr>
        <w:t xml:space="preserve">MCMC maintains close working relationships with online platform providers through regulatory engagement, compliance monitoring and cooperative enforcement. At the same time, service providers are encouraged to strengthen collaboration with the regulator specifically on child protection safety, reporting mechanisms and risk mitigation, particularly where AI features are deployed. Malaysia further anticipates that subsidiary instruments and </w:t>
      </w:r>
      <w:r w:rsidRPr="008354D2">
        <w:rPr>
          <w:rFonts w:asciiTheme="minorHAnsi" w:hAnsiTheme="minorHAnsi" w:cstheme="minorHAnsi"/>
          <w:szCs w:val="24"/>
        </w:rPr>
        <w:lastRenderedPageBreak/>
        <w:t>codes of practice may, where appropriate, specify additional operational requirements, such as default safety settings and enhanced age-appropriate safeguards for child users.</w:t>
      </w:r>
    </w:p>
    <w:p w14:paraId="325144C8" w14:textId="77777777" w:rsidR="00114792" w:rsidRPr="008354D2" w:rsidRDefault="00114792" w:rsidP="00114792">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2AC8F4CA" w14:textId="0C0C789F" w:rsidR="00114792" w:rsidRPr="008354D2" w:rsidRDefault="00114792" w:rsidP="00114792">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8354D2">
        <w:rPr>
          <w:rFonts w:asciiTheme="minorHAnsi" w:hAnsiTheme="minorHAnsi" w:cstheme="minorHAnsi"/>
          <w:szCs w:val="24"/>
        </w:rPr>
        <w:t>Malaysia’s domestic framework is complemented by its engagement in international and regional child online protection initiatives, including its role within the ITU Council Working Group on Child Online Protection, participation in ASEAN mechanisms and its status as a signatory to the United Nations Convention against Cybercrime adopted by the United Nations General Assembly in December 2024</w:t>
      </w:r>
      <w:r w:rsidR="00E9298D" w:rsidRPr="008354D2">
        <w:rPr>
          <w:rStyle w:val="FootnoteReference"/>
          <w:rFonts w:cstheme="minorHAnsi"/>
          <w:szCs w:val="24"/>
        </w:rPr>
        <w:footnoteReference w:id="20"/>
      </w:r>
      <w:r w:rsidR="00E9298D" w:rsidRPr="008354D2">
        <w:rPr>
          <w:rFonts w:asciiTheme="minorHAnsi" w:hAnsiTheme="minorHAnsi" w:cstheme="minorHAnsi"/>
          <w:szCs w:val="24"/>
        </w:rPr>
        <w:t xml:space="preserve">. </w:t>
      </w:r>
      <w:r w:rsidRPr="008354D2">
        <w:rPr>
          <w:rFonts w:asciiTheme="minorHAnsi" w:hAnsiTheme="minorHAnsi" w:cstheme="minorHAnsi"/>
          <w:szCs w:val="24"/>
        </w:rPr>
        <w:t>This established foundation informs Malaysia’s approach to addressing emerging digital risks, including those arising from AI-enabled services.</w:t>
      </w:r>
    </w:p>
    <w:p w14:paraId="7A63A28D" w14:textId="77777777" w:rsidR="00114792" w:rsidRPr="008354D2" w:rsidRDefault="00114792" w:rsidP="00114792">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58E1CE7D" w14:textId="1D0574F7" w:rsidR="0054761D" w:rsidRDefault="00114792" w:rsidP="00114792">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8354D2">
        <w:rPr>
          <w:rFonts w:asciiTheme="minorHAnsi" w:hAnsiTheme="minorHAnsi" w:cstheme="minorHAnsi"/>
          <w:szCs w:val="24"/>
        </w:rPr>
        <w:t>Through this integrated approach, combining regulation, licensing-based accountability, operational guidance, enforcement, awareness and cooperation, Malaysia adopts a flexible, technology-neutral framework that supports effective and sustainable child online protection as digital services, including AI-driven systems, continue to evolve.</w:t>
      </w:r>
    </w:p>
    <w:p w14:paraId="53BEAA7A" w14:textId="77777777" w:rsidR="00CC5CDB" w:rsidRPr="00336436" w:rsidRDefault="00CC5CDB" w:rsidP="0054761D">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69BB75D0" w14:textId="325C1D56" w:rsidR="0054761D" w:rsidRPr="00A572BC" w:rsidRDefault="0054761D" w:rsidP="0054761D">
      <w:pPr>
        <w:pStyle w:val="ListParagraph"/>
        <w:numPr>
          <w:ilvl w:val="0"/>
          <w:numId w:val="2"/>
        </w:numPr>
        <w:tabs>
          <w:tab w:val="clear" w:pos="567"/>
          <w:tab w:val="clear" w:pos="1134"/>
          <w:tab w:val="clear" w:pos="1701"/>
          <w:tab w:val="clear" w:pos="2268"/>
          <w:tab w:val="clear" w:pos="2835"/>
        </w:tabs>
        <w:overflowPunct/>
        <w:autoSpaceDE/>
        <w:autoSpaceDN/>
        <w:adjustRightInd/>
        <w:spacing w:before="0"/>
        <w:ind w:left="720" w:hanging="720"/>
        <w:textAlignment w:val="auto"/>
        <w:rPr>
          <w:rFonts w:asciiTheme="minorHAnsi" w:hAnsiTheme="minorHAnsi" w:cstheme="minorHAnsi"/>
          <w:b/>
          <w:bCs/>
          <w:szCs w:val="24"/>
        </w:rPr>
      </w:pPr>
      <w:r>
        <w:rPr>
          <w:rFonts w:asciiTheme="minorHAnsi" w:hAnsiTheme="minorHAnsi" w:cstheme="minorHAnsi"/>
          <w:b/>
          <w:bCs/>
          <w:szCs w:val="24"/>
        </w:rPr>
        <w:t>Conclusion</w:t>
      </w:r>
    </w:p>
    <w:p w14:paraId="2C60F02D" w14:textId="77777777" w:rsidR="00336436" w:rsidRDefault="00336436" w:rsidP="00336436">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47929615" w14:textId="77777777" w:rsidR="000053E4" w:rsidRPr="000053E4" w:rsidRDefault="000053E4" w:rsidP="000053E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0053E4">
        <w:rPr>
          <w:rFonts w:asciiTheme="minorHAnsi" w:hAnsiTheme="minorHAnsi" w:cstheme="minorHAnsi"/>
          <w:szCs w:val="24"/>
        </w:rPr>
        <w:t>This contribution has outlined emerging considerations associated with the increasing use of conversational AI systems in online environments accessed by children and youth. Drawing on international research, published case-based evidence, global policy guidance and selected national initiatives, the document highlights how the human-like, persistent and interactive characteristics of conversational AI may amplify existing online safety risks, particularly in contexts involving emotional vulnerability.</w:t>
      </w:r>
    </w:p>
    <w:p w14:paraId="5D947885" w14:textId="77777777" w:rsidR="000053E4" w:rsidRPr="000053E4" w:rsidRDefault="000053E4" w:rsidP="000053E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23E07ECE" w14:textId="77777777" w:rsidR="000053E4" w:rsidRPr="000053E4" w:rsidRDefault="000053E4" w:rsidP="000053E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0053E4">
        <w:rPr>
          <w:rFonts w:asciiTheme="minorHAnsi" w:hAnsiTheme="minorHAnsi" w:cstheme="minorHAnsi"/>
          <w:szCs w:val="24"/>
        </w:rPr>
        <w:t xml:space="preserve">The analysis demonstrates that while conversational AI technologies offer potential benefits across education, information access and service delivery, effective safeguards are necessary to mitigate unintended harms. Reported cases and regulatory responses underscore the importance of safety-by-design, timely risk detection, transparency and appropriate escalation to human support, especially where child users are concerned. </w:t>
      </w:r>
    </w:p>
    <w:p w14:paraId="766D5B4E" w14:textId="77777777" w:rsidR="000053E4" w:rsidRPr="000053E4" w:rsidRDefault="000053E4" w:rsidP="000053E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5C54C18F" w14:textId="77777777" w:rsidR="000053E4" w:rsidRPr="000053E4" w:rsidRDefault="000053E4" w:rsidP="000053E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0053E4">
        <w:rPr>
          <w:rFonts w:asciiTheme="minorHAnsi" w:hAnsiTheme="minorHAnsi" w:cstheme="minorHAnsi"/>
          <w:szCs w:val="24"/>
        </w:rPr>
        <w:t>Malaysia’s approach, as outlined in Section 5.0, situates risks associated with conversational and generative AI within existing child online protection, platform governance and content regulation frameworks, rather than through technology-specific regulation. Through the ONSA, the CMA 1998, a strengthened licensing regime for major messaging and social media platforms, and the Code of Conduct (Best Practice), Malaysia applies outcome-based obligations, safety-by-design principles and platform accountability measures that are directly relevant to AI-enabled services, including conversational AI systems.</w:t>
      </w:r>
    </w:p>
    <w:p w14:paraId="3A927F77" w14:textId="77777777" w:rsidR="000053E4" w:rsidRPr="000053E4" w:rsidRDefault="000053E4" w:rsidP="000053E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2130BD04" w14:textId="77777777" w:rsidR="000053E4" w:rsidRPr="000053E4" w:rsidRDefault="000053E4" w:rsidP="000053E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0053E4">
        <w:rPr>
          <w:rFonts w:asciiTheme="minorHAnsi" w:hAnsiTheme="minorHAnsi" w:cstheme="minorHAnsi"/>
          <w:szCs w:val="24"/>
        </w:rPr>
        <w:t xml:space="preserve">Malaysia’s experience further demonstrates how licensing-based accountability, operational guidance and enforcement mechanisms can be applied to address AI-generated harms affecting children, including where platforms deploy automated content generation, personalised interaction or image manipulation features. Active enforcement actions, combined with sustained engagement with service providers and public awareness initiatives, </w:t>
      </w:r>
      <w:r w:rsidRPr="000053E4">
        <w:rPr>
          <w:rFonts w:asciiTheme="minorHAnsi" w:hAnsiTheme="minorHAnsi" w:cstheme="minorHAnsi"/>
          <w:szCs w:val="24"/>
        </w:rPr>
        <w:lastRenderedPageBreak/>
        <w:t>reinforce a cooperative and preventive approach to child online protection in AI-enabled digital environments.</w:t>
      </w:r>
    </w:p>
    <w:p w14:paraId="65D0128D" w14:textId="77777777" w:rsidR="000053E4" w:rsidRPr="000053E4" w:rsidRDefault="000053E4" w:rsidP="000053E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209F192D" w14:textId="7A648BBA" w:rsidR="00032C46" w:rsidRPr="00336436" w:rsidRDefault="000053E4" w:rsidP="000053E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0053E4">
        <w:rPr>
          <w:rFonts w:asciiTheme="minorHAnsi" w:hAnsiTheme="minorHAnsi" w:cstheme="minorHAnsi"/>
          <w:szCs w:val="24"/>
        </w:rPr>
        <w:t>Malaysia submits this information document to support ongoing discussions within the Council Working Group on Child Online Protection. The experiences, practices and regulatory approaches outlined may serve as useful reference points for collective dialogue within ITU, as Member States and stakeholders continue to address the implications of conversational AI for child and youth online safety in evolving digital environments.</w:t>
      </w:r>
    </w:p>
    <w:p w14:paraId="257674B4" w14:textId="2E5CD242" w:rsidR="00A514A4" w:rsidRPr="00AB616C" w:rsidRDefault="00AB616C" w:rsidP="00AB616C">
      <w:pPr>
        <w:tabs>
          <w:tab w:val="clear" w:pos="567"/>
          <w:tab w:val="clear" w:pos="1134"/>
          <w:tab w:val="clear" w:pos="1701"/>
          <w:tab w:val="clear" w:pos="2268"/>
          <w:tab w:val="clear" w:pos="2835"/>
        </w:tabs>
        <w:overflowPunct/>
        <w:autoSpaceDE/>
        <w:autoSpaceDN/>
        <w:adjustRightInd/>
        <w:spacing w:before="600"/>
        <w:jc w:val="center"/>
        <w:textAlignment w:val="auto"/>
      </w:pPr>
      <w:r w:rsidRPr="00AB616C">
        <w:t>________________</w:t>
      </w:r>
    </w:p>
    <w:sectPr w:rsidR="00A514A4" w:rsidRPr="00AB616C" w:rsidSect="00AD3606">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06267" w14:textId="77777777" w:rsidR="00750541" w:rsidRDefault="00750541">
      <w:r>
        <w:separator/>
      </w:r>
    </w:p>
  </w:endnote>
  <w:endnote w:type="continuationSeparator" w:id="0">
    <w:p w14:paraId="469D9533" w14:textId="77777777" w:rsidR="00750541" w:rsidRDefault="00750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BC54CD">
      <w:trPr>
        <w:trHeight w:val="142"/>
        <w:jc w:val="center"/>
      </w:trPr>
      <w:tc>
        <w:tcPr>
          <w:tcW w:w="1803" w:type="dxa"/>
          <w:vAlign w:val="center"/>
        </w:tcPr>
        <w:p w14:paraId="727FD637" w14:textId="696C90B6" w:rsidR="00EE49E8" w:rsidRDefault="00EE49E8" w:rsidP="00EE49E8">
          <w:pPr>
            <w:pStyle w:val="Header"/>
            <w:jc w:val="left"/>
            <w:rPr>
              <w:noProof/>
            </w:rPr>
          </w:pPr>
        </w:p>
      </w:tc>
      <w:tc>
        <w:tcPr>
          <w:tcW w:w="8261" w:type="dxa"/>
        </w:tcPr>
        <w:p w14:paraId="2D49E76E" w14:textId="596DCD1D"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891503">
            <w:rPr>
              <w:bCs/>
            </w:rPr>
            <w:t>COP</w:t>
          </w:r>
          <w:r w:rsidR="00A52C84">
            <w:rPr>
              <w:bCs/>
            </w:rPr>
            <w:t>-</w:t>
          </w:r>
          <w:r w:rsidR="00BC54CD">
            <w:rPr>
              <w:bCs/>
            </w:rPr>
            <w:t>2</w:t>
          </w:r>
          <w:r w:rsidR="00CD76B2">
            <w:rPr>
              <w:bCs/>
            </w:rPr>
            <w:t>4</w:t>
          </w:r>
          <w:r w:rsidR="00A52C84" w:rsidRPr="00623AE3">
            <w:rPr>
              <w:bCs/>
            </w:rPr>
            <w:t>/</w:t>
          </w:r>
          <w:r w:rsidR="00866F4F">
            <w:rPr>
              <w:bCs/>
            </w:rPr>
            <w:t>INF/</w:t>
          </w:r>
          <w:r w:rsidR="00AB616C">
            <w:rPr>
              <w:bCs/>
            </w:rPr>
            <w:t>11</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76BC3574" w:rsidR="00EE49E8" w:rsidRDefault="00A52C84" w:rsidP="00EE49E8">
          <w:pPr>
            <w:pStyle w:val="Header"/>
            <w:jc w:val="left"/>
            <w:rPr>
              <w:noProof/>
            </w:rPr>
          </w:pPr>
          <w:hyperlink r:id="rId1" w:history="1">
            <w:r w:rsidRPr="00CD76B2">
              <w:rPr>
                <w:rStyle w:val="Hyperlink"/>
              </w:rPr>
              <w:t>council.itu.int/working-groups</w:t>
            </w:r>
          </w:hyperlink>
        </w:p>
      </w:tc>
      <w:tc>
        <w:tcPr>
          <w:tcW w:w="6957" w:type="dxa"/>
        </w:tcPr>
        <w:p w14:paraId="3F62E0D8" w14:textId="713E1CE3"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891503">
            <w:rPr>
              <w:bCs/>
            </w:rPr>
            <w:t>COP</w:t>
          </w:r>
          <w:r w:rsidR="00A52C84">
            <w:rPr>
              <w:bCs/>
            </w:rPr>
            <w:t>-</w:t>
          </w:r>
          <w:r w:rsidR="00BC54CD">
            <w:rPr>
              <w:bCs/>
            </w:rPr>
            <w:t>2</w:t>
          </w:r>
          <w:r w:rsidR="00CD76B2">
            <w:rPr>
              <w:bCs/>
            </w:rPr>
            <w:t>4</w:t>
          </w:r>
          <w:r w:rsidRPr="00623AE3">
            <w:rPr>
              <w:bCs/>
            </w:rPr>
            <w:t>/</w:t>
          </w:r>
          <w:r w:rsidR="00866F4F">
            <w:rPr>
              <w:bCs/>
            </w:rPr>
            <w:t>INF/</w:t>
          </w:r>
          <w:r w:rsidR="00AB616C">
            <w:rPr>
              <w:bCs/>
            </w:rPr>
            <w:t>11</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949D4" w14:textId="77777777" w:rsidR="00750541" w:rsidRDefault="00750541">
      <w:r>
        <w:t>____________________</w:t>
      </w:r>
    </w:p>
  </w:footnote>
  <w:footnote w:type="continuationSeparator" w:id="0">
    <w:p w14:paraId="6C74074A" w14:textId="77777777" w:rsidR="00750541" w:rsidRDefault="00750541">
      <w:r>
        <w:continuationSeparator/>
      </w:r>
    </w:p>
  </w:footnote>
  <w:footnote w:id="1">
    <w:p w14:paraId="74FDA9FE" w14:textId="0866E28E" w:rsidR="00D360C0" w:rsidRPr="00D360C0" w:rsidRDefault="00D360C0" w:rsidP="000C35DA">
      <w:pPr>
        <w:pStyle w:val="FootnoteText"/>
        <w:tabs>
          <w:tab w:val="clear" w:pos="256"/>
          <w:tab w:val="left" w:pos="90"/>
        </w:tabs>
        <w:ind w:hanging="166"/>
        <w:rPr>
          <w:lang w:val="en-US"/>
        </w:rPr>
      </w:pPr>
      <w:r>
        <w:rPr>
          <w:rStyle w:val="FootnoteReference"/>
        </w:rPr>
        <w:footnoteRef/>
      </w:r>
      <w:r>
        <w:t xml:space="preserve"> </w:t>
      </w:r>
      <w:hyperlink r:id="rId1" w:history="1">
        <w:r w:rsidR="000C35DA" w:rsidRPr="00AB616C">
          <w:rPr>
            <w:rStyle w:val="Hyperlink"/>
            <w:sz w:val="20"/>
          </w:rPr>
          <w:t>ITU-T Rec. Technical Report (05/2022) XSTR-SEC-AI Guidelines for security management of using artificial intelligence technology</w:t>
        </w:r>
      </w:hyperlink>
    </w:p>
  </w:footnote>
  <w:footnote w:id="2">
    <w:p w14:paraId="7D3202AC" w14:textId="6B15DFA5" w:rsidR="000C35DA" w:rsidRPr="000C35DA" w:rsidRDefault="000C35DA" w:rsidP="000C35DA">
      <w:pPr>
        <w:pStyle w:val="FootnoteText"/>
        <w:tabs>
          <w:tab w:val="clear" w:pos="256"/>
          <w:tab w:val="left" w:pos="270"/>
        </w:tabs>
        <w:ind w:hanging="166"/>
        <w:rPr>
          <w:lang w:val="en-US"/>
        </w:rPr>
      </w:pPr>
      <w:r>
        <w:rPr>
          <w:rStyle w:val="FootnoteReference"/>
        </w:rPr>
        <w:footnoteRef/>
      </w:r>
      <w:r>
        <w:t xml:space="preserve"> </w:t>
      </w:r>
      <w:hyperlink r:id="rId2" w:history="1">
        <w:r w:rsidRPr="00AB616C">
          <w:rPr>
            <w:rStyle w:val="Hyperlink"/>
            <w:sz w:val="20"/>
          </w:rPr>
          <w:t>Recommendation ITU-T F.748.25 (09/2023) - Requirements for speech interaction of intelligent customer services</w:t>
        </w:r>
      </w:hyperlink>
    </w:p>
  </w:footnote>
  <w:footnote w:id="3">
    <w:p w14:paraId="7FAF8935" w14:textId="1197A3E9" w:rsidR="00FA5AB1" w:rsidRPr="00FA5AB1" w:rsidRDefault="00FA5AB1" w:rsidP="00FA5AB1">
      <w:pPr>
        <w:pStyle w:val="FootnoteText"/>
        <w:ind w:hanging="166"/>
        <w:rPr>
          <w:lang w:val="en-US"/>
        </w:rPr>
      </w:pPr>
      <w:r>
        <w:rPr>
          <w:rStyle w:val="FootnoteReference"/>
        </w:rPr>
        <w:footnoteRef/>
      </w:r>
      <w:r>
        <w:t xml:space="preserve"> </w:t>
      </w:r>
      <w:hyperlink r:id="rId3" w:history="1">
        <w:r w:rsidRPr="00AB616C">
          <w:rPr>
            <w:rStyle w:val="Hyperlink"/>
            <w:sz w:val="20"/>
          </w:rPr>
          <w:t>Artificial intelligence for good</w:t>
        </w:r>
      </w:hyperlink>
    </w:p>
  </w:footnote>
  <w:footnote w:id="4">
    <w:p w14:paraId="4ACA1877" w14:textId="77777777" w:rsidR="00FA5AB1" w:rsidRPr="007F0625" w:rsidRDefault="00FA5AB1" w:rsidP="00FA5AB1">
      <w:pPr>
        <w:pStyle w:val="FootnoteText"/>
        <w:ind w:hanging="166"/>
        <w:rPr>
          <w:lang w:val="en-US"/>
        </w:rPr>
      </w:pPr>
      <w:r>
        <w:rPr>
          <w:rStyle w:val="FootnoteReference"/>
        </w:rPr>
        <w:footnoteRef/>
      </w:r>
      <w:r>
        <w:t xml:space="preserve"> </w:t>
      </w:r>
      <w:r w:rsidRPr="00AB616C">
        <w:rPr>
          <w:sz w:val="20"/>
        </w:rPr>
        <w:t xml:space="preserve">Andrew R. Freed, </w:t>
      </w:r>
      <w:r w:rsidRPr="00AB616C">
        <w:rPr>
          <w:i/>
          <w:iCs/>
          <w:sz w:val="20"/>
        </w:rPr>
        <w:t>Conversational AI</w:t>
      </w:r>
      <w:r w:rsidRPr="00AB616C">
        <w:rPr>
          <w:sz w:val="20"/>
        </w:rPr>
        <w:t>, Manning Publications, New York, 2021, p 7-8.</w:t>
      </w:r>
    </w:p>
  </w:footnote>
  <w:footnote w:id="5">
    <w:p w14:paraId="58266562" w14:textId="2F34D659" w:rsidR="007A60B0" w:rsidRPr="007A60B0" w:rsidRDefault="007A60B0" w:rsidP="007A60B0">
      <w:pPr>
        <w:pStyle w:val="FootnoteText"/>
        <w:ind w:hanging="76"/>
        <w:rPr>
          <w:lang w:val="en-US"/>
        </w:rPr>
      </w:pPr>
      <w:r>
        <w:rPr>
          <w:rStyle w:val="FootnoteReference"/>
        </w:rPr>
        <w:footnoteRef/>
      </w:r>
      <w:r>
        <w:t xml:space="preserve"> </w:t>
      </w:r>
      <w:hyperlink r:id="rId4" w:history="1">
        <w:r w:rsidRPr="00AB616C">
          <w:rPr>
            <w:rStyle w:val="Hyperlink"/>
            <w:sz w:val="20"/>
          </w:rPr>
          <w:t>Language Models are Few-Shot Learners</w:t>
        </w:r>
      </w:hyperlink>
    </w:p>
  </w:footnote>
  <w:footnote w:id="6">
    <w:p w14:paraId="40CC73D1" w14:textId="62F59904" w:rsidR="007A60B0" w:rsidRPr="007A60B0" w:rsidRDefault="007A60B0" w:rsidP="007A60B0">
      <w:pPr>
        <w:pStyle w:val="FootnoteText"/>
        <w:ind w:hanging="76"/>
        <w:rPr>
          <w:lang w:val="en-US"/>
        </w:rPr>
      </w:pPr>
      <w:r>
        <w:rPr>
          <w:rStyle w:val="FootnoteReference"/>
        </w:rPr>
        <w:footnoteRef/>
      </w:r>
      <w:r>
        <w:t xml:space="preserve"> </w:t>
      </w:r>
      <w:hyperlink r:id="rId5" w:history="1">
        <w:r w:rsidRPr="00AB616C">
          <w:rPr>
            <w:rStyle w:val="Hyperlink"/>
            <w:sz w:val="20"/>
          </w:rPr>
          <w:t>GPT-4 Technical Report</w:t>
        </w:r>
      </w:hyperlink>
    </w:p>
  </w:footnote>
  <w:footnote w:id="7">
    <w:p w14:paraId="3D1C0CF4" w14:textId="77777777" w:rsidR="00D873FD" w:rsidRPr="00CA414A" w:rsidRDefault="00D873FD" w:rsidP="00D873FD">
      <w:pPr>
        <w:pStyle w:val="FootnoteText"/>
        <w:ind w:hanging="76"/>
        <w:rPr>
          <w:lang w:val="en-US"/>
        </w:rPr>
      </w:pPr>
      <w:r>
        <w:rPr>
          <w:rStyle w:val="FootnoteReference"/>
        </w:rPr>
        <w:footnoteRef/>
      </w:r>
      <w:r>
        <w:t xml:space="preserve"> </w:t>
      </w:r>
      <w:hyperlink r:id="rId6" w:history="1">
        <w:r w:rsidRPr="00AB616C">
          <w:rPr>
            <w:rStyle w:val="Hyperlink"/>
            <w:sz w:val="20"/>
          </w:rPr>
          <w:t>Chatbots and mental health: a scoping review of reviews</w:t>
        </w:r>
      </w:hyperlink>
    </w:p>
  </w:footnote>
  <w:footnote w:id="8">
    <w:p w14:paraId="703DA6B3" w14:textId="040584DB" w:rsidR="00D873FD" w:rsidRPr="00D873FD" w:rsidRDefault="00D873FD" w:rsidP="00D873FD">
      <w:pPr>
        <w:pStyle w:val="FootnoteText"/>
        <w:ind w:hanging="76"/>
        <w:rPr>
          <w:lang w:val="en-US"/>
        </w:rPr>
      </w:pPr>
      <w:r>
        <w:rPr>
          <w:rStyle w:val="FootnoteReference"/>
        </w:rPr>
        <w:footnoteRef/>
      </w:r>
      <w:r>
        <w:t xml:space="preserve"> </w:t>
      </w:r>
      <w:hyperlink r:id="rId7" w:history="1">
        <w:r w:rsidRPr="00AB616C">
          <w:rPr>
            <w:rStyle w:val="Hyperlink"/>
            <w:sz w:val="20"/>
          </w:rPr>
          <w:t>Guidance on AI and Children</w:t>
        </w:r>
      </w:hyperlink>
      <w:r>
        <w:t xml:space="preserve"> </w:t>
      </w:r>
    </w:p>
  </w:footnote>
  <w:footnote w:id="9">
    <w:p w14:paraId="24C69CB1" w14:textId="239042E8" w:rsidR="006976DA" w:rsidRPr="006976DA" w:rsidRDefault="006976DA" w:rsidP="006976DA">
      <w:pPr>
        <w:pStyle w:val="FootnoteText"/>
        <w:ind w:hanging="76"/>
        <w:rPr>
          <w:lang w:val="en-US"/>
        </w:rPr>
      </w:pPr>
      <w:r>
        <w:rPr>
          <w:rStyle w:val="FootnoteReference"/>
        </w:rPr>
        <w:footnoteRef/>
      </w:r>
      <w:r>
        <w:t xml:space="preserve"> </w:t>
      </w:r>
      <w:hyperlink r:id="rId8" w:history="1">
        <w:r w:rsidRPr="00AB616C">
          <w:rPr>
            <w:rStyle w:val="Hyperlink"/>
            <w:sz w:val="20"/>
          </w:rPr>
          <w:t>'A predator in your home': Mothers say chatbots encouraged their sons to kill themselves</w:t>
        </w:r>
      </w:hyperlink>
    </w:p>
  </w:footnote>
  <w:footnote w:id="10">
    <w:p w14:paraId="2ACFA9D4" w14:textId="77777777" w:rsidR="006976DA" w:rsidRPr="00CB29C6" w:rsidRDefault="006976DA" w:rsidP="00AB616C">
      <w:pPr>
        <w:pStyle w:val="FootnoteText"/>
        <w:tabs>
          <w:tab w:val="clear" w:pos="256"/>
        </w:tabs>
        <w:ind w:left="142" w:firstLine="0"/>
        <w:rPr>
          <w:lang w:val="en-US"/>
        </w:rPr>
      </w:pPr>
      <w:r>
        <w:rPr>
          <w:rStyle w:val="FootnoteReference"/>
        </w:rPr>
        <w:footnoteRef/>
      </w:r>
      <w:r>
        <w:t xml:space="preserve"> </w:t>
      </w:r>
      <w:hyperlink r:id="rId9" w:history="1">
        <w:r w:rsidRPr="00AB616C">
          <w:rPr>
            <w:rStyle w:val="Hyperlink"/>
            <w:sz w:val="20"/>
          </w:rPr>
          <w:t>AI 'friend' chatbots probed over child protection</w:t>
        </w:r>
      </w:hyperlink>
    </w:p>
  </w:footnote>
  <w:footnote w:id="11">
    <w:p w14:paraId="2A67807A" w14:textId="345132F8" w:rsidR="00FF4A99" w:rsidRPr="00FF4A99" w:rsidRDefault="00FF4A99" w:rsidP="00AB616C">
      <w:pPr>
        <w:pStyle w:val="FootnoteText"/>
        <w:tabs>
          <w:tab w:val="clear" w:pos="256"/>
        </w:tabs>
        <w:ind w:left="0" w:firstLine="142"/>
        <w:rPr>
          <w:lang w:val="en-US"/>
        </w:rPr>
      </w:pPr>
      <w:r>
        <w:rPr>
          <w:rStyle w:val="FootnoteReference"/>
        </w:rPr>
        <w:footnoteRef/>
      </w:r>
      <w:r>
        <w:t xml:space="preserve"> </w:t>
      </w:r>
      <w:hyperlink r:id="rId10" w:history="1">
        <w:r w:rsidRPr="00AB616C">
          <w:rPr>
            <w:rStyle w:val="Hyperlink"/>
            <w:sz w:val="20"/>
          </w:rPr>
          <w:t>Safer Chatbots</w:t>
        </w:r>
      </w:hyperlink>
    </w:p>
  </w:footnote>
  <w:footnote w:id="12">
    <w:p w14:paraId="7ED041CF" w14:textId="355BB650" w:rsidR="005175D9" w:rsidRPr="005175D9" w:rsidRDefault="005175D9" w:rsidP="005175D9">
      <w:pPr>
        <w:pStyle w:val="FootnoteText"/>
        <w:tabs>
          <w:tab w:val="clear" w:pos="256"/>
          <w:tab w:val="clear" w:pos="567"/>
          <w:tab w:val="left" w:pos="630"/>
        </w:tabs>
        <w:ind w:left="540" w:hanging="180"/>
        <w:rPr>
          <w:lang w:val="en-US"/>
        </w:rPr>
      </w:pPr>
      <w:r>
        <w:rPr>
          <w:rStyle w:val="FootnoteReference"/>
        </w:rPr>
        <w:footnoteRef/>
      </w:r>
      <w:r>
        <w:t xml:space="preserve"> </w:t>
      </w:r>
      <w:hyperlink r:id="rId11" w:history="1">
        <w:r w:rsidRPr="00AB616C">
          <w:rPr>
            <w:rStyle w:val="Hyperlink"/>
            <w:sz w:val="20"/>
          </w:rPr>
          <w:t>eSafety requires providers of AI companion chatbots to explain how they are keeping Aussie kids safe</w:t>
        </w:r>
      </w:hyperlink>
    </w:p>
  </w:footnote>
  <w:footnote w:id="13">
    <w:p w14:paraId="50883625" w14:textId="7202246B" w:rsidR="00283250" w:rsidRPr="00AB616C" w:rsidRDefault="00283250" w:rsidP="00283250">
      <w:pPr>
        <w:pStyle w:val="FootnoteText"/>
        <w:ind w:firstLine="104"/>
        <w:rPr>
          <w:sz w:val="20"/>
          <w:lang w:val="en-US"/>
        </w:rPr>
      </w:pPr>
      <w:r>
        <w:rPr>
          <w:rStyle w:val="FootnoteReference"/>
        </w:rPr>
        <w:footnoteRef/>
      </w:r>
      <w:r>
        <w:t xml:space="preserve"> </w:t>
      </w:r>
      <w:hyperlink r:id="rId12" w:history="1">
        <w:r w:rsidRPr="00AB616C">
          <w:rPr>
            <w:rStyle w:val="Hyperlink"/>
            <w:sz w:val="20"/>
          </w:rPr>
          <w:t>Social media age restrictions</w:t>
        </w:r>
      </w:hyperlink>
    </w:p>
  </w:footnote>
  <w:footnote w:id="14">
    <w:p w14:paraId="4B92B753" w14:textId="2F21B85E" w:rsidR="00FF4A99" w:rsidRPr="00AB616C" w:rsidRDefault="00FF4A99" w:rsidP="00FF4A99">
      <w:pPr>
        <w:pStyle w:val="FootnoteText"/>
        <w:ind w:firstLine="104"/>
        <w:rPr>
          <w:sz w:val="20"/>
          <w:lang w:val="en-US"/>
        </w:rPr>
      </w:pPr>
      <w:r>
        <w:rPr>
          <w:rStyle w:val="FootnoteReference"/>
        </w:rPr>
        <w:footnoteRef/>
      </w:r>
      <w:r>
        <w:t xml:space="preserve"> </w:t>
      </w:r>
      <w:hyperlink r:id="rId13" w:history="1">
        <w:r w:rsidRPr="00AB616C">
          <w:rPr>
            <w:rStyle w:val="Hyperlink"/>
            <w:sz w:val="20"/>
          </w:rPr>
          <w:t>FTC Launches Inquiry into AI Chatbots Acting as Companions</w:t>
        </w:r>
      </w:hyperlink>
    </w:p>
  </w:footnote>
  <w:footnote w:id="15">
    <w:p w14:paraId="535A5D5A" w14:textId="22C053ED" w:rsidR="00A621FD" w:rsidRPr="00AB616C" w:rsidRDefault="00A621FD" w:rsidP="00A621FD">
      <w:pPr>
        <w:pStyle w:val="FootnoteText"/>
        <w:ind w:firstLine="104"/>
        <w:rPr>
          <w:sz w:val="20"/>
          <w:lang w:val="en-US"/>
        </w:rPr>
      </w:pPr>
      <w:r>
        <w:rPr>
          <w:rStyle w:val="FootnoteReference"/>
        </w:rPr>
        <w:footnoteRef/>
      </w:r>
      <w:r>
        <w:t xml:space="preserve"> </w:t>
      </w:r>
      <w:hyperlink r:id="rId14" w:history="1">
        <w:r w:rsidRPr="00AB616C">
          <w:rPr>
            <w:rStyle w:val="Hyperlink"/>
            <w:sz w:val="20"/>
          </w:rPr>
          <w:t>European lawmakers seek EU-wide minimum age to access AI chatbots, social media</w:t>
        </w:r>
      </w:hyperlink>
    </w:p>
  </w:footnote>
  <w:footnote w:id="16">
    <w:p w14:paraId="209AF28E" w14:textId="40F24474" w:rsidR="00A621FD" w:rsidRPr="00A621FD" w:rsidRDefault="00A621FD" w:rsidP="00A621FD">
      <w:pPr>
        <w:pStyle w:val="FootnoteText"/>
        <w:tabs>
          <w:tab w:val="clear" w:pos="256"/>
          <w:tab w:val="left" w:pos="540"/>
        </w:tabs>
        <w:ind w:left="540" w:hanging="180"/>
        <w:rPr>
          <w:lang w:val="en-US"/>
        </w:rPr>
      </w:pPr>
      <w:r>
        <w:rPr>
          <w:rStyle w:val="FootnoteReference"/>
        </w:rPr>
        <w:footnoteRef/>
      </w:r>
      <w:r>
        <w:t xml:space="preserve"> </w:t>
      </w:r>
      <w:hyperlink r:id="rId15" w:history="1">
        <w:r w:rsidRPr="00AB616C">
          <w:rPr>
            <w:rStyle w:val="Hyperlink"/>
            <w:sz w:val="20"/>
          </w:rPr>
          <w:t>California plans on protecting minors and preventing self-destructive content by regulating AI</w:t>
        </w:r>
      </w:hyperlink>
    </w:p>
  </w:footnote>
  <w:footnote w:id="17">
    <w:p w14:paraId="709F5B1B" w14:textId="42AE750C" w:rsidR="000F15CC" w:rsidRPr="000F15CC" w:rsidRDefault="000F15CC" w:rsidP="000F15CC">
      <w:pPr>
        <w:pStyle w:val="FootnoteText"/>
        <w:ind w:firstLine="104"/>
        <w:rPr>
          <w:lang w:val="en-US"/>
        </w:rPr>
      </w:pPr>
      <w:r>
        <w:rPr>
          <w:rStyle w:val="FootnoteReference"/>
        </w:rPr>
        <w:footnoteRef/>
      </w:r>
      <w:r>
        <w:t xml:space="preserve"> </w:t>
      </w:r>
      <w:hyperlink r:id="rId16" w:history="1">
        <w:r w:rsidRPr="00AB616C">
          <w:rPr>
            <w:rStyle w:val="Hyperlink"/>
            <w:sz w:val="20"/>
          </w:rPr>
          <w:t>Italy takes bold step with strict new AI laws and protections! | Windows Central</w:t>
        </w:r>
      </w:hyperlink>
    </w:p>
  </w:footnote>
  <w:footnote w:id="18">
    <w:p w14:paraId="43C1FC5D" w14:textId="77777777" w:rsidR="008354D2" w:rsidRPr="00F57FB3" w:rsidRDefault="008354D2" w:rsidP="008354D2">
      <w:pPr>
        <w:pStyle w:val="FootnoteText"/>
        <w:ind w:firstLine="104"/>
        <w:rPr>
          <w:lang w:val="en-US"/>
        </w:rPr>
      </w:pPr>
      <w:r>
        <w:rPr>
          <w:rStyle w:val="FootnoteReference"/>
        </w:rPr>
        <w:footnoteRef/>
      </w:r>
      <w:r>
        <w:t xml:space="preserve"> </w:t>
      </w:r>
      <w:hyperlink r:id="rId17" w:history="1">
        <w:r w:rsidRPr="00AB616C">
          <w:rPr>
            <w:rStyle w:val="Hyperlink"/>
            <w:sz w:val="20"/>
          </w:rPr>
          <w:t>MISUSE OF AI TO GENERATE HARMFUL CONTENT IS AN OFFENCE – MCMC</w:t>
        </w:r>
      </w:hyperlink>
    </w:p>
  </w:footnote>
  <w:footnote w:id="19">
    <w:p w14:paraId="62E8F7C9" w14:textId="6D446C39" w:rsidR="00F57FB3" w:rsidRPr="00F57FB3" w:rsidRDefault="00F57FB3" w:rsidP="00F57FB3">
      <w:pPr>
        <w:pStyle w:val="FootnoteText"/>
        <w:tabs>
          <w:tab w:val="clear" w:pos="256"/>
          <w:tab w:val="clear" w:pos="567"/>
          <w:tab w:val="left" w:pos="630"/>
        </w:tabs>
        <w:ind w:left="630" w:hanging="270"/>
        <w:rPr>
          <w:lang w:val="en-US"/>
        </w:rPr>
      </w:pPr>
      <w:r>
        <w:rPr>
          <w:rStyle w:val="FootnoteReference"/>
        </w:rPr>
        <w:footnoteRef/>
      </w:r>
      <w:r>
        <w:t xml:space="preserve"> </w:t>
      </w:r>
      <w:hyperlink r:id="rId18" w:history="1">
        <w:r w:rsidRPr="00AB616C">
          <w:rPr>
            <w:rStyle w:val="Hyperlink"/>
            <w:sz w:val="20"/>
          </w:rPr>
          <w:t>Social media at 16: Protection or digital necessity?</w:t>
        </w:r>
      </w:hyperlink>
    </w:p>
  </w:footnote>
  <w:footnote w:id="20">
    <w:p w14:paraId="54D6CC24" w14:textId="77777777" w:rsidR="00E9298D" w:rsidRPr="00E442B9" w:rsidRDefault="00E9298D" w:rsidP="00E9298D">
      <w:pPr>
        <w:pStyle w:val="FootnoteText"/>
        <w:ind w:firstLine="104"/>
        <w:rPr>
          <w:lang w:val="en-US"/>
        </w:rPr>
      </w:pPr>
      <w:r>
        <w:rPr>
          <w:rStyle w:val="FootnoteReference"/>
        </w:rPr>
        <w:footnoteRef/>
      </w:r>
      <w:r>
        <w:t xml:space="preserve"> </w:t>
      </w:r>
      <w:hyperlink r:id="rId19" w:history="1">
        <w:r w:rsidRPr="00AB616C">
          <w:rPr>
            <w:rStyle w:val="Hyperlink"/>
            <w:sz w:val="20"/>
          </w:rPr>
          <w:t>UNTC</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3"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AAFC3"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243329910" name="Picture 1243329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3"/>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11999"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78C64C6C"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5567BC">
                            <w:rPr>
                              <w:b/>
                              <w:bCs/>
                              <w:szCs w:val="24"/>
                            </w:rPr>
                            <w:t>child online protection</w:t>
                          </w:r>
                          <w:r>
                            <w:br/>
                          </w:r>
                          <w:r w:rsidR="00BC54CD">
                            <w:rPr>
                              <w:sz w:val="20"/>
                            </w:rPr>
                            <w:t>Twent</w:t>
                          </w:r>
                          <w:r w:rsidR="00225FA7">
                            <w:rPr>
                              <w:sz w:val="20"/>
                            </w:rPr>
                            <w:t>y-</w:t>
                          </w:r>
                          <w:r w:rsidR="00CD76B2">
                            <w:rPr>
                              <w:sz w:val="20"/>
                            </w:rPr>
                            <w:t>fourth</w:t>
                          </w:r>
                          <w:r w:rsidRPr="00130599">
                            <w:rPr>
                              <w:sz w:val="20"/>
                            </w:rPr>
                            <w:t xml:space="preserve"> meeting </w:t>
                          </w:r>
                          <w:r w:rsidR="00225FA7">
                            <w:rPr>
                              <w:sz w:val="20"/>
                            </w:rPr>
                            <w:t>–</w:t>
                          </w:r>
                          <w:r w:rsidR="00B358B2">
                            <w:rPr>
                              <w:sz w:val="20"/>
                            </w:rPr>
                            <w:t xml:space="preserve"> </w:t>
                          </w:r>
                          <w:r w:rsidR="0099790D">
                            <w:rPr>
                              <w:sz w:val="20"/>
                            </w:rPr>
                            <w:t>19</w:t>
                          </w:r>
                          <w:r w:rsidR="00225FA7">
                            <w:rPr>
                              <w:sz w:val="20"/>
                            </w:rPr>
                            <w:t xml:space="preserve"> </w:t>
                          </w:r>
                          <w:r w:rsidR="00CD76B2">
                            <w:rPr>
                              <w:sz w:val="20"/>
                            </w:rPr>
                            <w:t xml:space="preserve">January </w:t>
                          </w:r>
                          <w:r w:rsidR="00225FA7">
                            <w:rPr>
                              <w:sz w:val="20"/>
                            </w:rPr>
                            <w:t>202</w:t>
                          </w:r>
                          <w:r w:rsidR="00CD76B2">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78C64C6C"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5567BC">
                      <w:rPr>
                        <w:b/>
                        <w:bCs/>
                        <w:szCs w:val="24"/>
                      </w:rPr>
                      <w:t>child online protection</w:t>
                    </w:r>
                    <w:r>
                      <w:br/>
                    </w:r>
                    <w:r w:rsidR="00BC54CD">
                      <w:rPr>
                        <w:sz w:val="20"/>
                      </w:rPr>
                      <w:t>Twent</w:t>
                    </w:r>
                    <w:r w:rsidR="00225FA7">
                      <w:rPr>
                        <w:sz w:val="20"/>
                      </w:rPr>
                      <w:t>y-</w:t>
                    </w:r>
                    <w:r w:rsidR="00CD76B2">
                      <w:rPr>
                        <w:sz w:val="20"/>
                      </w:rPr>
                      <w:t>fourth</w:t>
                    </w:r>
                    <w:r w:rsidRPr="00130599">
                      <w:rPr>
                        <w:sz w:val="20"/>
                      </w:rPr>
                      <w:t xml:space="preserve"> meeting </w:t>
                    </w:r>
                    <w:r w:rsidR="00225FA7">
                      <w:rPr>
                        <w:sz w:val="20"/>
                      </w:rPr>
                      <w:t>–</w:t>
                    </w:r>
                    <w:r w:rsidR="00B358B2">
                      <w:rPr>
                        <w:sz w:val="20"/>
                      </w:rPr>
                      <w:t xml:space="preserve"> </w:t>
                    </w:r>
                    <w:r w:rsidR="0099790D">
                      <w:rPr>
                        <w:sz w:val="20"/>
                      </w:rPr>
                      <w:t>19</w:t>
                    </w:r>
                    <w:r w:rsidR="00225FA7">
                      <w:rPr>
                        <w:sz w:val="20"/>
                      </w:rPr>
                      <w:t xml:space="preserve"> </w:t>
                    </w:r>
                    <w:r w:rsidR="00CD76B2">
                      <w:rPr>
                        <w:sz w:val="20"/>
                      </w:rPr>
                      <w:t xml:space="preserve">January </w:t>
                    </w:r>
                    <w:r w:rsidR="00225FA7">
                      <w:rPr>
                        <w:sz w:val="20"/>
                      </w:rPr>
                      <w:t>202</w:t>
                    </w:r>
                    <w:r w:rsidR="00CD76B2">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8D27B2"/>
    <w:multiLevelType w:val="multilevel"/>
    <w:tmpl w:val="26CA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7575E0"/>
    <w:multiLevelType w:val="multilevel"/>
    <w:tmpl w:val="2E4A1A64"/>
    <w:lvl w:ilvl="0">
      <w:start w:val="1"/>
      <w:numFmt w:val="decimal"/>
      <w:lvlText w:val="%1.0"/>
      <w:lvlJc w:val="left"/>
      <w:pPr>
        <w:ind w:left="540" w:hanging="360"/>
      </w:pPr>
      <w:rPr>
        <w:rFonts w:hint="default"/>
        <w:b/>
        <w:bCs w:val="0"/>
      </w:rPr>
    </w:lvl>
    <w:lvl w:ilvl="1">
      <w:start w:val="1"/>
      <w:numFmt w:val="decimal"/>
      <w:lvlText w:val="%1.%2"/>
      <w:lvlJc w:val="left"/>
      <w:pPr>
        <w:ind w:left="1800" w:hanging="360"/>
      </w:pPr>
      <w:rPr>
        <w:rFonts w:hint="default"/>
        <w:b/>
        <w:bCs w:val="0"/>
      </w:rPr>
    </w:lvl>
    <w:lvl w:ilvl="2">
      <w:start w:val="1"/>
      <w:numFmt w:val="decimal"/>
      <w:lvlText w:val="%1.%2.%3"/>
      <w:lvlJc w:val="left"/>
      <w:pPr>
        <w:ind w:left="2880" w:hanging="720"/>
      </w:pPr>
      <w:rPr>
        <w:rFonts w:hint="default"/>
        <w:b w:val="0"/>
      </w:rPr>
    </w:lvl>
    <w:lvl w:ilvl="3">
      <w:start w:val="1"/>
      <w:numFmt w:val="decimal"/>
      <w:lvlText w:val="%1.%2.%3.%4"/>
      <w:lvlJc w:val="left"/>
      <w:pPr>
        <w:ind w:left="3600" w:hanging="720"/>
      </w:pPr>
      <w:rPr>
        <w:rFonts w:hint="default"/>
        <w:b w:val="0"/>
      </w:rPr>
    </w:lvl>
    <w:lvl w:ilvl="4">
      <w:start w:val="1"/>
      <w:numFmt w:val="decimal"/>
      <w:lvlText w:val="%1.%2.%3.%4.%5"/>
      <w:lvlJc w:val="left"/>
      <w:pPr>
        <w:ind w:left="4680" w:hanging="1080"/>
      </w:pPr>
      <w:rPr>
        <w:rFonts w:hint="default"/>
        <w:b w:val="0"/>
      </w:rPr>
    </w:lvl>
    <w:lvl w:ilvl="5">
      <w:start w:val="1"/>
      <w:numFmt w:val="decimal"/>
      <w:lvlText w:val="%1.%2.%3.%4.%5.%6"/>
      <w:lvlJc w:val="left"/>
      <w:pPr>
        <w:ind w:left="5400" w:hanging="1080"/>
      </w:pPr>
      <w:rPr>
        <w:rFonts w:hint="default"/>
        <w:b w:val="0"/>
      </w:rPr>
    </w:lvl>
    <w:lvl w:ilvl="6">
      <w:start w:val="1"/>
      <w:numFmt w:val="decimal"/>
      <w:lvlText w:val="%1.%2.%3.%4.%5.%6.%7"/>
      <w:lvlJc w:val="left"/>
      <w:pPr>
        <w:ind w:left="6480" w:hanging="1440"/>
      </w:pPr>
      <w:rPr>
        <w:rFonts w:hint="default"/>
        <w:b w:val="0"/>
      </w:rPr>
    </w:lvl>
    <w:lvl w:ilvl="7">
      <w:start w:val="1"/>
      <w:numFmt w:val="decimal"/>
      <w:lvlText w:val="%1.%2.%3.%4.%5.%6.%7.%8"/>
      <w:lvlJc w:val="left"/>
      <w:pPr>
        <w:ind w:left="7200" w:hanging="1440"/>
      </w:pPr>
      <w:rPr>
        <w:rFonts w:hint="default"/>
        <w:b w:val="0"/>
      </w:rPr>
    </w:lvl>
    <w:lvl w:ilvl="8">
      <w:start w:val="1"/>
      <w:numFmt w:val="decimal"/>
      <w:lvlText w:val="%1.%2.%3.%4.%5.%6.%7.%8.%9"/>
      <w:lvlJc w:val="left"/>
      <w:pPr>
        <w:ind w:left="8280" w:hanging="1800"/>
      </w:pPr>
      <w:rPr>
        <w:rFonts w:hint="default"/>
        <w:b w:val="0"/>
      </w:rPr>
    </w:lvl>
  </w:abstractNum>
  <w:abstractNum w:abstractNumId="3" w15:restartNumberingAfterBreak="0">
    <w:nsid w:val="42980B96"/>
    <w:multiLevelType w:val="hybridMultilevel"/>
    <w:tmpl w:val="475293E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65C03A18"/>
    <w:multiLevelType w:val="hybridMultilevel"/>
    <w:tmpl w:val="FA4A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1579972735">
    <w:abstractNumId w:val="2"/>
  </w:num>
  <w:num w:numId="3" w16cid:durableId="671176703">
    <w:abstractNumId w:val="1"/>
  </w:num>
  <w:num w:numId="4" w16cid:durableId="1707368316">
    <w:abstractNumId w:val="4"/>
  </w:num>
  <w:num w:numId="5" w16cid:durableId="556816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1A8F"/>
    <w:rsid w:val="000053E4"/>
    <w:rsid w:val="00007198"/>
    <w:rsid w:val="000210D4"/>
    <w:rsid w:val="00030961"/>
    <w:rsid w:val="00032C46"/>
    <w:rsid w:val="00063016"/>
    <w:rsid w:val="00066795"/>
    <w:rsid w:val="0007372D"/>
    <w:rsid w:val="00076AF6"/>
    <w:rsid w:val="00080F7F"/>
    <w:rsid w:val="00085518"/>
    <w:rsid w:val="000859C4"/>
    <w:rsid w:val="00085CF2"/>
    <w:rsid w:val="000A4498"/>
    <w:rsid w:val="000B1705"/>
    <w:rsid w:val="000C35DA"/>
    <w:rsid w:val="000D75B2"/>
    <w:rsid w:val="000F15CC"/>
    <w:rsid w:val="00104172"/>
    <w:rsid w:val="001121F5"/>
    <w:rsid w:val="00114792"/>
    <w:rsid w:val="00130599"/>
    <w:rsid w:val="00132352"/>
    <w:rsid w:val="001400DC"/>
    <w:rsid w:val="00140CE1"/>
    <w:rsid w:val="00143386"/>
    <w:rsid w:val="0014378E"/>
    <w:rsid w:val="00165589"/>
    <w:rsid w:val="0017539C"/>
    <w:rsid w:val="00175AC2"/>
    <w:rsid w:val="0017609F"/>
    <w:rsid w:val="001A7D1D"/>
    <w:rsid w:val="001B51DD"/>
    <w:rsid w:val="001C628E"/>
    <w:rsid w:val="001E0F7B"/>
    <w:rsid w:val="001E0FBE"/>
    <w:rsid w:val="001E2FA5"/>
    <w:rsid w:val="001F724D"/>
    <w:rsid w:val="0020536B"/>
    <w:rsid w:val="002119FD"/>
    <w:rsid w:val="002130E0"/>
    <w:rsid w:val="00215A46"/>
    <w:rsid w:val="002216FA"/>
    <w:rsid w:val="00225FA7"/>
    <w:rsid w:val="00230F93"/>
    <w:rsid w:val="00244DA8"/>
    <w:rsid w:val="00244F7F"/>
    <w:rsid w:val="00245C3B"/>
    <w:rsid w:val="00264425"/>
    <w:rsid w:val="00265875"/>
    <w:rsid w:val="00267942"/>
    <w:rsid w:val="0027303B"/>
    <w:rsid w:val="0028021C"/>
    <w:rsid w:val="0028109B"/>
    <w:rsid w:val="00283250"/>
    <w:rsid w:val="002A0071"/>
    <w:rsid w:val="002A2188"/>
    <w:rsid w:val="002B1F58"/>
    <w:rsid w:val="002C1C7A"/>
    <w:rsid w:val="002C54E2"/>
    <w:rsid w:val="002E0479"/>
    <w:rsid w:val="002E5BBC"/>
    <w:rsid w:val="0030160F"/>
    <w:rsid w:val="00301EF5"/>
    <w:rsid w:val="00320223"/>
    <w:rsid w:val="00322D0D"/>
    <w:rsid w:val="00336436"/>
    <w:rsid w:val="00361465"/>
    <w:rsid w:val="003877F5"/>
    <w:rsid w:val="00394091"/>
    <w:rsid w:val="003942D4"/>
    <w:rsid w:val="003958A8"/>
    <w:rsid w:val="003C2533"/>
    <w:rsid w:val="003D5A7F"/>
    <w:rsid w:val="003F75DD"/>
    <w:rsid w:val="004016E2"/>
    <w:rsid w:val="0040435A"/>
    <w:rsid w:val="0041422D"/>
    <w:rsid w:val="00416776"/>
    <w:rsid w:val="00416A24"/>
    <w:rsid w:val="00431D9E"/>
    <w:rsid w:val="00433CE8"/>
    <w:rsid w:val="00434A5C"/>
    <w:rsid w:val="004544D9"/>
    <w:rsid w:val="00472BAD"/>
    <w:rsid w:val="00474CAD"/>
    <w:rsid w:val="00484009"/>
    <w:rsid w:val="00490E72"/>
    <w:rsid w:val="00491157"/>
    <w:rsid w:val="004921C8"/>
    <w:rsid w:val="00495B0B"/>
    <w:rsid w:val="004A1B8B"/>
    <w:rsid w:val="004A511F"/>
    <w:rsid w:val="004B29DC"/>
    <w:rsid w:val="004C28FE"/>
    <w:rsid w:val="004C5EC8"/>
    <w:rsid w:val="004D1851"/>
    <w:rsid w:val="004D599D"/>
    <w:rsid w:val="004E2EA5"/>
    <w:rsid w:val="004E3AEB"/>
    <w:rsid w:val="0050223C"/>
    <w:rsid w:val="005175D9"/>
    <w:rsid w:val="005217BD"/>
    <w:rsid w:val="005243FF"/>
    <w:rsid w:val="00527DA8"/>
    <w:rsid w:val="0054761D"/>
    <w:rsid w:val="005567BC"/>
    <w:rsid w:val="00564FBC"/>
    <w:rsid w:val="005800BC"/>
    <w:rsid w:val="00582442"/>
    <w:rsid w:val="005A335D"/>
    <w:rsid w:val="005B43C6"/>
    <w:rsid w:val="005E2BD5"/>
    <w:rsid w:val="005F3269"/>
    <w:rsid w:val="006036E5"/>
    <w:rsid w:val="00610DC7"/>
    <w:rsid w:val="00623AE3"/>
    <w:rsid w:val="006273F5"/>
    <w:rsid w:val="0064737F"/>
    <w:rsid w:val="006521FB"/>
    <w:rsid w:val="006535F1"/>
    <w:rsid w:val="0065557D"/>
    <w:rsid w:val="00660D50"/>
    <w:rsid w:val="00662984"/>
    <w:rsid w:val="006716BB"/>
    <w:rsid w:val="006721C7"/>
    <w:rsid w:val="00696F6B"/>
    <w:rsid w:val="006976DA"/>
    <w:rsid w:val="006B1859"/>
    <w:rsid w:val="006B6680"/>
    <w:rsid w:val="006B6DCC"/>
    <w:rsid w:val="006F5369"/>
    <w:rsid w:val="00702DEF"/>
    <w:rsid w:val="00706861"/>
    <w:rsid w:val="00746E04"/>
    <w:rsid w:val="0075051B"/>
    <w:rsid w:val="00750541"/>
    <w:rsid w:val="00775655"/>
    <w:rsid w:val="0078242C"/>
    <w:rsid w:val="007874CE"/>
    <w:rsid w:val="00793188"/>
    <w:rsid w:val="0079321D"/>
    <w:rsid w:val="00794D34"/>
    <w:rsid w:val="007A2249"/>
    <w:rsid w:val="007A60B0"/>
    <w:rsid w:val="007B0D99"/>
    <w:rsid w:val="007F0625"/>
    <w:rsid w:val="007F68CA"/>
    <w:rsid w:val="0080077A"/>
    <w:rsid w:val="00813E5E"/>
    <w:rsid w:val="008354D2"/>
    <w:rsid w:val="0083581B"/>
    <w:rsid w:val="00854BE3"/>
    <w:rsid w:val="00863874"/>
    <w:rsid w:val="00864AFF"/>
    <w:rsid w:val="00865925"/>
    <w:rsid w:val="00866F4F"/>
    <w:rsid w:val="0087106F"/>
    <w:rsid w:val="00881B1F"/>
    <w:rsid w:val="00891503"/>
    <w:rsid w:val="008964B4"/>
    <w:rsid w:val="008B4A6A"/>
    <w:rsid w:val="008C7E27"/>
    <w:rsid w:val="008F3439"/>
    <w:rsid w:val="008F7448"/>
    <w:rsid w:val="0090147A"/>
    <w:rsid w:val="009173EF"/>
    <w:rsid w:val="00932906"/>
    <w:rsid w:val="00955751"/>
    <w:rsid w:val="00961B0B"/>
    <w:rsid w:val="00962D33"/>
    <w:rsid w:val="0099790D"/>
    <w:rsid w:val="009B38C3"/>
    <w:rsid w:val="009C253A"/>
    <w:rsid w:val="009E17BD"/>
    <w:rsid w:val="009E485A"/>
    <w:rsid w:val="009E6939"/>
    <w:rsid w:val="00A02C5C"/>
    <w:rsid w:val="00A04CEC"/>
    <w:rsid w:val="00A05885"/>
    <w:rsid w:val="00A27F92"/>
    <w:rsid w:val="00A32257"/>
    <w:rsid w:val="00A36D20"/>
    <w:rsid w:val="00A4274F"/>
    <w:rsid w:val="00A467DF"/>
    <w:rsid w:val="00A514A4"/>
    <w:rsid w:val="00A52C84"/>
    <w:rsid w:val="00A55622"/>
    <w:rsid w:val="00A621FD"/>
    <w:rsid w:val="00A83502"/>
    <w:rsid w:val="00A9719D"/>
    <w:rsid w:val="00AB616C"/>
    <w:rsid w:val="00AD15B3"/>
    <w:rsid w:val="00AD3606"/>
    <w:rsid w:val="00AD4A3D"/>
    <w:rsid w:val="00AF6E49"/>
    <w:rsid w:val="00B04A67"/>
    <w:rsid w:val="00B0583C"/>
    <w:rsid w:val="00B358B2"/>
    <w:rsid w:val="00B40A81"/>
    <w:rsid w:val="00B44910"/>
    <w:rsid w:val="00B45936"/>
    <w:rsid w:val="00B473EE"/>
    <w:rsid w:val="00B64669"/>
    <w:rsid w:val="00B72267"/>
    <w:rsid w:val="00B76EB6"/>
    <w:rsid w:val="00B7737B"/>
    <w:rsid w:val="00B817E1"/>
    <w:rsid w:val="00B824C8"/>
    <w:rsid w:val="00B84B9D"/>
    <w:rsid w:val="00BC251A"/>
    <w:rsid w:val="00BC3F65"/>
    <w:rsid w:val="00BC54CD"/>
    <w:rsid w:val="00BC6146"/>
    <w:rsid w:val="00BD032B"/>
    <w:rsid w:val="00BD1B78"/>
    <w:rsid w:val="00BE2640"/>
    <w:rsid w:val="00BF1E8A"/>
    <w:rsid w:val="00C01189"/>
    <w:rsid w:val="00C10F2C"/>
    <w:rsid w:val="00C1121C"/>
    <w:rsid w:val="00C14B68"/>
    <w:rsid w:val="00C374DE"/>
    <w:rsid w:val="00C47AD4"/>
    <w:rsid w:val="00C52D81"/>
    <w:rsid w:val="00C55198"/>
    <w:rsid w:val="00CA293A"/>
    <w:rsid w:val="00CA414A"/>
    <w:rsid w:val="00CA6393"/>
    <w:rsid w:val="00CB18FF"/>
    <w:rsid w:val="00CB29C6"/>
    <w:rsid w:val="00CC5CDB"/>
    <w:rsid w:val="00CD0C08"/>
    <w:rsid w:val="00CD76B2"/>
    <w:rsid w:val="00CE03FB"/>
    <w:rsid w:val="00CE433C"/>
    <w:rsid w:val="00CE5A94"/>
    <w:rsid w:val="00CF0161"/>
    <w:rsid w:val="00CF33F3"/>
    <w:rsid w:val="00CF6CBD"/>
    <w:rsid w:val="00D06183"/>
    <w:rsid w:val="00D22C42"/>
    <w:rsid w:val="00D360C0"/>
    <w:rsid w:val="00D464CC"/>
    <w:rsid w:val="00D53C61"/>
    <w:rsid w:val="00D65041"/>
    <w:rsid w:val="00D873FD"/>
    <w:rsid w:val="00D94DFA"/>
    <w:rsid w:val="00DB00D5"/>
    <w:rsid w:val="00DB1936"/>
    <w:rsid w:val="00DB384B"/>
    <w:rsid w:val="00DB5B4B"/>
    <w:rsid w:val="00DC499C"/>
    <w:rsid w:val="00DE46C8"/>
    <w:rsid w:val="00DF0189"/>
    <w:rsid w:val="00E06FD5"/>
    <w:rsid w:val="00E10E80"/>
    <w:rsid w:val="00E124F0"/>
    <w:rsid w:val="00E227F3"/>
    <w:rsid w:val="00E42A9F"/>
    <w:rsid w:val="00E442B9"/>
    <w:rsid w:val="00E545C6"/>
    <w:rsid w:val="00E559D5"/>
    <w:rsid w:val="00E60F04"/>
    <w:rsid w:val="00E65B24"/>
    <w:rsid w:val="00E854E4"/>
    <w:rsid w:val="00E86DBF"/>
    <w:rsid w:val="00E9298D"/>
    <w:rsid w:val="00EB0D6F"/>
    <w:rsid w:val="00EB2232"/>
    <w:rsid w:val="00EB5155"/>
    <w:rsid w:val="00EC5337"/>
    <w:rsid w:val="00ED454D"/>
    <w:rsid w:val="00EE49E8"/>
    <w:rsid w:val="00EF53A0"/>
    <w:rsid w:val="00F0400D"/>
    <w:rsid w:val="00F16BAB"/>
    <w:rsid w:val="00F2150A"/>
    <w:rsid w:val="00F231D8"/>
    <w:rsid w:val="00F41345"/>
    <w:rsid w:val="00F44C00"/>
    <w:rsid w:val="00F45D2C"/>
    <w:rsid w:val="00F46C5F"/>
    <w:rsid w:val="00F57FB3"/>
    <w:rsid w:val="00F632C0"/>
    <w:rsid w:val="00F74694"/>
    <w:rsid w:val="00F81C54"/>
    <w:rsid w:val="00F871BD"/>
    <w:rsid w:val="00F9020E"/>
    <w:rsid w:val="00F94A63"/>
    <w:rsid w:val="00FA1C28"/>
    <w:rsid w:val="00FA5AB1"/>
    <w:rsid w:val="00FB1279"/>
    <w:rsid w:val="00FB6B76"/>
    <w:rsid w:val="00FB7596"/>
    <w:rsid w:val="00FE4077"/>
    <w:rsid w:val="00FE500D"/>
    <w:rsid w:val="00FE77D2"/>
    <w:rsid w:val="00FF4A99"/>
    <w:rsid w:val="00FF4D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521FB"/>
    <w:pPr>
      <w:framePr w:hSpace="180" w:wrap="around" w:vAnchor="page" w:hAnchor="page" w:x="1821" w:y="2317"/>
      <w:spacing w:before="840"/>
      <w:jc w:val="both"/>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CD76B2"/>
    <w:rPr>
      <w:color w:val="605E5C"/>
      <w:shd w:val="clear" w:color="auto" w:fill="E1DFDD"/>
    </w:rPr>
  </w:style>
  <w:style w:type="character" w:styleId="PlaceholderText">
    <w:name w:val="Placeholder Text"/>
    <w:basedOn w:val="DefaultParagraphFont"/>
    <w:uiPriority w:val="99"/>
    <w:semiHidden/>
    <w:rsid w:val="00F871BD"/>
    <w:rPr>
      <w:color w:val="666666"/>
    </w:rPr>
  </w:style>
  <w:style w:type="paragraph" w:styleId="ListParagraph">
    <w:name w:val="List Paragraph"/>
    <w:basedOn w:val="Normal"/>
    <w:uiPriority w:val="34"/>
    <w:qFormat/>
    <w:rsid w:val="003364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Documents/basic-texts-2023/RES-214-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bbc.com/news/articles/ce3xgwyywe4o" TargetMode="External"/><Relationship Id="rId13" Type="http://schemas.openxmlformats.org/officeDocument/2006/relationships/hyperlink" Target="https://www.ftc.gov/news-events/news/press-releases/2025/09/ftc-launches-inquiry-ai-chatbots-acting-companions" TargetMode="External"/><Relationship Id="rId18" Type="http://schemas.openxmlformats.org/officeDocument/2006/relationships/hyperlink" Target="https://www.thestar.com.my/news/nation/2025/12/18/social-media-at-16-protection-or-digital-necessity" TargetMode="External"/><Relationship Id="rId3" Type="http://schemas.openxmlformats.org/officeDocument/2006/relationships/hyperlink" Target="https://www.itu.int/en/mediacentre/backgrounders/Pages/artificial-intelligence-for-good.aspx" TargetMode="External"/><Relationship Id="rId7" Type="http://schemas.openxmlformats.org/officeDocument/2006/relationships/hyperlink" Target="https://www.unicef.org/innocenti/media/11991/file/UNICEF-Innocenti-Guidance-on-AI-and-Children-3-2025.pdf" TargetMode="External"/><Relationship Id="rId12" Type="http://schemas.openxmlformats.org/officeDocument/2006/relationships/hyperlink" Target="https://www.esafety.gov.au/about-us/industry-regulation/social-media-age-restrictions" TargetMode="External"/><Relationship Id="rId17" Type="http://schemas.openxmlformats.org/officeDocument/2006/relationships/hyperlink" Target="https://www.mcmc.gov.my/skmmgovmy/media/General/pdf2/MEDIA_STATEMENT_-MISUSE_OF_AI_TO_GENERATE_HARMFUL_CONTENT_IS_AN_OFFENCE%e2%80%93MCMC.pdf" TargetMode="External"/><Relationship Id="rId2" Type="http://schemas.openxmlformats.org/officeDocument/2006/relationships/hyperlink" Target="https://www.itu.int/rec/dologin_pub.asp?lang=e&amp;id=T-REC-F.748.25-202309-I!!PDF-E&amp;type=items" TargetMode="External"/><Relationship Id="rId16" Type="http://schemas.openxmlformats.org/officeDocument/2006/relationships/hyperlink" Target="https://www.windowscentral.com/artificial-intelligence/italy-ai-legislation-deepfakes-youth" TargetMode="External"/><Relationship Id="rId1" Type="http://schemas.openxmlformats.org/officeDocument/2006/relationships/hyperlink" Target="https://www.itu.int/dms_pub/itu-t/opb/tut/T-TUT-ICTS-2022-PDF-E.pdf" TargetMode="External"/><Relationship Id="rId6" Type="http://schemas.openxmlformats.org/officeDocument/2006/relationships/hyperlink" Target="https://link.springer.com/article/10.1007/s12144-025-08094-2" TargetMode="External"/><Relationship Id="rId11" Type="http://schemas.openxmlformats.org/officeDocument/2006/relationships/hyperlink" Target="https://www.esafety.gov.au/newsroom/media-releases/esafety-requires-providers-of-ai-companion-chatbots-to-explain-how-they-are-keeping-aussie-kids-safe" TargetMode="External"/><Relationship Id="rId5" Type="http://schemas.openxmlformats.org/officeDocument/2006/relationships/hyperlink" Target="https://arxiv.org/pdf/2303.08774" TargetMode="External"/><Relationship Id="rId15" Type="http://schemas.openxmlformats.org/officeDocument/2006/relationships/hyperlink" Target="https://www.lemonde.fr/en/economy/article/2025/10/15/california-plans-on-protecting-minors-and-preventing-self-destructive-content-by-regulating-ai_6746443_19.html" TargetMode="External"/><Relationship Id="rId10" Type="http://schemas.openxmlformats.org/officeDocument/2006/relationships/hyperlink" Target="https://www.unicef.org/media/114671/file/6-Steps-to-make-your-chatbot-safer-children-young-people-2022.pdf" TargetMode="External"/><Relationship Id="rId19" Type="http://schemas.openxmlformats.org/officeDocument/2006/relationships/hyperlink" Target="https://treaties.un.org/Pages/ViewDetails.aspx?src=TREATY&amp;mtdsg_no=XVIII-16&amp;chapter=18&amp;clang=_en" TargetMode="External"/><Relationship Id="rId4" Type="http://schemas.openxmlformats.org/officeDocument/2006/relationships/hyperlink" Target="https://arxiv.org/pdf/2005.14165" TargetMode="External"/><Relationship Id="rId9" Type="http://schemas.openxmlformats.org/officeDocument/2006/relationships/hyperlink" Target="https://www.bbc.com/news/articles/c74933vzx2yo" TargetMode="External"/><Relationship Id="rId14" Type="http://schemas.openxmlformats.org/officeDocument/2006/relationships/hyperlink" Target="https://www.reuters.com/legal/litigation/european-lawmakers-seek-eu-wide-minimum-age-access-ai-chatbots-social-media-2025-11-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15D30-20CF-4EF6-BE67-8E8AB7BC8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C41CC9-85AC-4E50-8B5D-ECAB54222C3D}">
  <ds:schemaRefs>
    <ds:schemaRef ds:uri="http://schemas.microsoft.com/sharepoint/v3/contenttype/forms"/>
  </ds:schemaRefs>
</ds:datastoreItem>
</file>

<file path=customXml/itemProps3.xml><?xml version="1.0" encoding="utf-8"?>
<ds:datastoreItem xmlns:ds="http://schemas.openxmlformats.org/officeDocument/2006/customXml" ds:itemID="{578B109D-7C44-432F-AFC3-778460EF5A22}">
  <ds:schemaRefs>
    <ds:schemaRef ds:uri="http://purl.org/dc/elements/1.1/"/>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purl.org/dc/dcmitype/"/>
    <ds:schemaRef ds:uri="http://schemas.microsoft.com/sharepoint/v3"/>
    <ds:schemaRef ds:uri="http://schemas.microsoft.com/office/infopath/2007/PartnerControls"/>
    <ds:schemaRef ds:uri="1aaea1ea-72e4-4374-b05e-72e2f16fb7ae"/>
    <ds:schemaRef ds:uri="http://www.w3.org/XML/1998/namespace"/>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3496</Words>
  <Characters>21850</Characters>
  <Application>Microsoft Office Word</Application>
  <DocSecurity>4</DocSecurity>
  <Lines>291</Lines>
  <Paragraphs>333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25013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Malaysia - Conversational artificial intelligence (AI) and risks to child and youth online safety</dc:title>
  <dc:subject>ITU Council Working Group on child onlinie protection</dc:subject>
  <dc:creator/>
  <cp:keywords>CWG-COP; C26; Council-26</cp:keywords>
  <dc:description/>
  <cp:lastModifiedBy/>
  <cp:revision>1</cp:revision>
  <dcterms:created xsi:type="dcterms:W3CDTF">2026-01-12T08:15:00Z</dcterms:created>
  <dcterms:modified xsi:type="dcterms:W3CDTF">2026-01-12T08:15:00Z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68537e51-2890-49e6-83a1-9d0d2fc8e3bc</vt:lpwstr>
  </property>
  <property fmtid="{D5CDD505-2E9C-101B-9397-08002B2CF9AE}" pid="3" name="ContentTypeId">
    <vt:lpwstr>0x0101001E46BE2403204D4E844191C3480CD35B</vt:lpwstr>
  </property>
</Properties>
</file>