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F00E9E" w14:paraId="0043AC80" w14:textId="77777777" w:rsidTr="00AD3606">
        <w:trPr>
          <w:cantSplit/>
          <w:trHeight w:val="23"/>
        </w:trPr>
        <w:tc>
          <w:tcPr>
            <w:tcW w:w="3969" w:type="dxa"/>
            <w:vMerge w:val="restart"/>
            <w:tcMar>
              <w:left w:w="0" w:type="dxa"/>
            </w:tcMar>
          </w:tcPr>
          <w:p w14:paraId="60A806D3" w14:textId="6FEDC78E" w:rsidR="00AD3606" w:rsidRPr="00F871B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C51D219" w:rsidR="00AD3606" w:rsidRPr="00007198" w:rsidRDefault="00AD3606" w:rsidP="00472BAD">
            <w:pPr>
              <w:tabs>
                <w:tab w:val="left" w:pos="851"/>
              </w:tabs>
              <w:spacing w:before="0" w:line="240" w:lineRule="atLeast"/>
              <w:jc w:val="right"/>
              <w:rPr>
                <w:b/>
                <w:lang w:val="fr-FR"/>
              </w:rPr>
            </w:pPr>
            <w:r w:rsidRPr="00007198">
              <w:rPr>
                <w:b/>
                <w:lang w:val="fr-FR"/>
              </w:rPr>
              <w:t>Document C</w:t>
            </w:r>
            <w:r w:rsidR="00A52C84" w:rsidRPr="00007198">
              <w:rPr>
                <w:b/>
                <w:lang w:val="fr-FR"/>
              </w:rPr>
              <w:t>WG-</w:t>
            </w:r>
            <w:r w:rsidR="00891503" w:rsidRPr="00007198">
              <w:rPr>
                <w:b/>
                <w:lang w:val="fr-FR"/>
              </w:rPr>
              <w:t>COP</w:t>
            </w:r>
            <w:r w:rsidR="00A52C84" w:rsidRPr="00007198">
              <w:rPr>
                <w:b/>
                <w:lang w:val="fr-FR"/>
              </w:rPr>
              <w:t>-</w:t>
            </w:r>
            <w:r w:rsidR="00BC54CD" w:rsidRPr="00007198">
              <w:rPr>
                <w:b/>
                <w:lang w:val="fr-FR"/>
              </w:rPr>
              <w:t>2</w:t>
            </w:r>
            <w:r w:rsidR="00CD76B2" w:rsidRPr="00007198">
              <w:rPr>
                <w:b/>
                <w:lang w:val="fr-FR"/>
              </w:rPr>
              <w:t>4</w:t>
            </w:r>
            <w:r w:rsidRPr="00007198">
              <w:rPr>
                <w:b/>
                <w:lang w:val="fr-FR"/>
              </w:rPr>
              <w:t>/</w:t>
            </w:r>
            <w:r w:rsidR="00866F4F" w:rsidRPr="00007198">
              <w:rPr>
                <w:b/>
                <w:lang w:val="fr-FR"/>
              </w:rPr>
              <w:t>INF/</w:t>
            </w:r>
            <w:r w:rsidR="00F00E9E">
              <w:rPr>
                <w:b/>
                <w:lang w:val="fr-FR"/>
              </w:rPr>
              <w:t>7</w:t>
            </w:r>
          </w:p>
        </w:tc>
      </w:tr>
      <w:tr w:rsidR="00AD3606" w:rsidRPr="00F871BD" w14:paraId="789B45BA" w14:textId="77777777" w:rsidTr="00AD3606">
        <w:trPr>
          <w:cantSplit/>
        </w:trPr>
        <w:tc>
          <w:tcPr>
            <w:tcW w:w="3969" w:type="dxa"/>
            <w:vMerge/>
          </w:tcPr>
          <w:p w14:paraId="3F3D4E17" w14:textId="77777777" w:rsidR="00AD3606" w:rsidRPr="00007198"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11858ADF" w:rsidR="00AD3606" w:rsidRPr="00F871BD" w:rsidRDefault="00F00E9E" w:rsidP="00AD3606">
            <w:pPr>
              <w:tabs>
                <w:tab w:val="left" w:pos="851"/>
              </w:tabs>
              <w:spacing w:before="0"/>
              <w:jc w:val="right"/>
              <w:rPr>
                <w:b/>
              </w:rPr>
            </w:pPr>
            <w:r>
              <w:rPr>
                <w:b/>
              </w:rPr>
              <w:t xml:space="preserve">7 </w:t>
            </w:r>
            <w:r w:rsidR="002C049D">
              <w:rPr>
                <w:b/>
              </w:rPr>
              <w:t>January 2026</w:t>
            </w:r>
          </w:p>
        </w:tc>
      </w:tr>
      <w:tr w:rsidR="00AD3606" w:rsidRPr="00F871BD" w14:paraId="58A84C4A" w14:textId="77777777" w:rsidTr="00AD3606">
        <w:trPr>
          <w:cantSplit/>
          <w:trHeight w:val="23"/>
        </w:trPr>
        <w:tc>
          <w:tcPr>
            <w:tcW w:w="3969" w:type="dxa"/>
            <w:vMerge/>
          </w:tcPr>
          <w:p w14:paraId="77CEDDAA" w14:textId="77777777" w:rsidR="00AD3606" w:rsidRPr="00F871BD"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871BD" w:rsidRDefault="00891503" w:rsidP="00AD3606">
            <w:pPr>
              <w:tabs>
                <w:tab w:val="left" w:pos="851"/>
              </w:tabs>
              <w:spacing w:before="0" w:line="240" w:lineRule="atLeast"/>
              <w:jc w:val="right"/>
              <w:rPr>
                <w:b/>
              </w:rPr>
            </w:pPr>
            <w:r w:rsidRPr="00F871BD">
              <w:rPr>
                <w:b/>
              </w:rPr>
              <w:t>English only</w:t>
            </w:r>
          </w:p>
        </w:tc>
      </w:tr>
      <w:tr w:rsidR="00472BAD" w:rsidRPr="00F871BD" w14:paraId="12C5EF5F" w14:textId="77777777" w:rsidTr="00AD3606">
        <w:trPr>
          <w:cantSplit/>
          <w:trHeight w:val="23"/>
        </w:trPr>
        <w:tc>
          <w:tcPr>
            <w:tcW w:w="3969" w:type="dxa"/>
          </w:tcPr>
          <w:p w14:paraId="4B839BA2" w14:textId="77777777" w:rsidR="00472BAD" w:rsidRPr="00F871BD" w:rsidRDefault="00472BAD" w:rsidP="00AD3606">
            <w:pPr>
              <w:tabs>
                <w:tab w:val="left" w:pos="851"/>
              </w:tabs>
              <w:spacing w:line="240" w:lineRule="atLeast"/>
              <w:rPr>
                <w:b/>
              </w:rPr>
            </w:pPr>
          </w:p>
        </w:tc>
        <w:tc>
          <w:tcPr>
            <w:tcW w:w="5245" w:type="dxa"/>
          </w:tcPr>
          <w:p w14:paraId="12F66D25" w14:textId="77777777" w:rsidR="00472BAD" w:rsidRPr="00F871BD" w:rsidRDefault="00472BAD" w:rsidP="00AD3606">
            <w:pPr>
              <w:tabs>
                <w:tab w:val="left" w:pos="851"/>
              </w:tabs>
              <w:spacing w:before="0" w:line="240" w:lineRule="atLeast"/>
              <w:jc w:val="right"/>
              <w:rPr>
                <w:b/>
              </w:rPr>
            </w:pPr>
          </w:p>
        </w:tc>
      </w:tr>
      <w:tr w:rsidR="00AD3606" w:rsidRPr="00F871BD" w14:paraId="27000B2A" w14:textId="77777777" w:rsidTr="00AD3606">
        <w:trPr>
          <w:cantSplit/>
        </w:trPr>
        <w:tc>
          <w:tcPr>
            <w:tcW w:w="9214" w:type="dxa"/>
            <w:gridSpan w:val="2"/>
            <w:tcMar>
              <w:left w:w="0" w:type="dxa"/>
            </w:tcMar>
          </w:tcPr>
          <w:p w14:paraId="4E7CDB90" w14:textId="237CD521" w:rsidR="00AD3606" w:rsidRPr="00F871BD" w:rsidRDefault="00EB5155" w:rsidP="00F0400D">
            <w:pPr>
              <w:pStyle w:val="Source"/>
              <w:framePr w:hSpace="0" w:wrap="auto" w:vAnchor="margin" w:hAnchor="text" w:xAlign="left" w:yAlign="inline"/>
            </w:pPr>
            <w:bookmarkStart w:id="8" w:name="dsource" w:colFirst="0" w:colLast="0"/>
            <w:bookmarkEnd w:id="7"/>
            <w:r w:rsidRPr="00F871BD">
              <w:t xml:space="preserve">Contribution by </w:t>
            </w:r>
            <w:r w:rsidR="002C049D">
              <w:t>Cyber Institute</w:t>
            </w:r>
          </w:p>
        </w:tc>
      </w:tr>
      <w:tr w:rsidR="00AD3606" w:rsidRPr="00F871BD" w14:paraId="2340750D" w14:textId="77777777" w:rsidTr="00AD3606">
        <w:trPr>
          <w:cantSplit/>
        </w:trPr>
        <w:tc>
          <w:tcPr>
            <w:tcW w:w="9214" w:type="dxa"/>
            <w:gridSpan w:val="2"/>
            <w:tcMar>
              <w:left w:w="0" w:type="dxa"/>
            </w:tcMar>
          </w:tcPr>
          <w:p w14:paraId="47B91AA8" w14:textId="51161D3B" w:rsidR="00AD3606" w:rsidRPr="00F871BD" w:rsidRDefault="00F00E9E" w:rsidP="00F0400D">
            <w:pPr>
              <w:pStyle w:val="Subtitle"/>
              <w:framePr w:hSpace="0" w:wrap="auto" w:xAlign="left" w:yAlign="inline"/>
            </w:pPr>
            <w:bookmarkStart w:id="9" w:name="dtitle1" w:colFirst="0" w:colLast="0"/>
            <w:bookmarkEnd w:id="8"/>
            <w:r w:rsidRPr="002C049D">
              <w:t>CHILD ONLINE PROTECTION RISKS AND CAPACITY BUILDING FOR AN AI-ENABLED DIGITAL ENVIRONMENT</w:t>
            </w:r>
          </w:p>
        </w:tc>
      </w:tr>
      <w:tr w:rsidR="00AD3606" w:rsidRPr="00F871B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871BD" w:rsidRDefault="00F16BAB" w:rsidP="00F16BAB">
            <w:pPr>
              <w:spacing w:before="160"/>
              <w:rPr>
                <w:b/>
                <w:bCs/>
                <w:sz w:val="26"/>
                <w:szCs w:val="26"/>
              </w:rPr>
            </w:pPr>
            <w:r w:rsidRPr="00F871BD">
              <w:rPr>
                <w:b/>
                <w:bCs/>
                <w:sz w:val="26"/>
                <w:szCs w:val="26"/>
              </w:rPr>
              <w:t>Purpose</w:t>
            </w:r>
          </w:p>
          <w:p w14:paraId="54B3D52C" w14:textId="77777777" w:rsidR="002C049D" w:rsidRDefault="002C049D" w:rsidP="00EA6A52">
            <w:pPr>
              <w:jc w:val="both"/>
            </w:pPr>
            <w:r w:rsidRPr="002C049D">
              <w:t>This information document is submitted to the Council Working Group on Child Online Protection (CWG-COP) to share civil-society research and public-interest initiatives developed by Cyber Institute, a nonprofit organization with UN ECOSOC Special Consultative Status and full membership in the ITU Development Sector (ITU-D). It provides information on Cyber Institute’s work related to child online protection, including policy research, capacity building, and a free, non-commercial, publicly accessible governance and risk analysis capability aligned with United Nations frameworks.</w:t>
            </w:r>
          </w:p>
          <w:p w14:paraId="5076D5C4" w14:textId="66F15E19" w:rsidR="00AD3606" w:rsidRPr="00F871BD" w:rsidRDefault="00AD3606" w:rsidP="00F16BAB">
            <w:pPr>
              <w:spacing w:before="160"/>
              <w:rPr>
                <w:b/>
                <w:bCs/>
                <w:sz w:val="26"/>
                <w:szCs w:val="26"/>
              </w:rPr>
            </w:pPr>
            <w:r w:rsidRPr="00F871BD">
              <w:rPr>
                <w:b/>
                <w:bCs/>
                <w:sz w:val="26"/>
                <w:szCs w:val="26"/>
              </w:rPr>
              <w:t>Action required</w:t>
            </w:r>
          </w:p>
          <w:p w14:paraId="53A776F1" w14:textId="2CB80996" w:rsidR="00891503" w:rsidRPr="00F871BD" w:rsidRDefault="00866F4F" w:rsidP="00EA6A52">
            <w:pPr>
              <w:spacing w:before="160"/>
              <w:jc w:val="both"/>
            </w:pPr>
            <w:r w:rsidRPr="00F871BD">
              <w:t xml:space="preserve">This </w:t>
            </w:r>
            <w:r w:rsidR="00007198">
              <w:t xml:space="preserve">document </w:t>
            </w:r>
            <w:r w:rsidRPr="00F871BD">
              <w:t xml:space="preserve">is transmitted to the </w:t>
            </w:r>
            <w:r w:rsidR="00F41345" w:rsidRPr="00F871BD">
              <w:t xml:space="preserve">Council Working Group on </w:t>
            </w:r>
            <w:r w:rsidR="005567BC" w:rsidRPr="00F871BD">
              <w:t xml:space="preserve">child online protection </w:t>
            </w:r>
            <w:r w:rsidRPr="00F871BD">
              <w:rPr>
                <w:b/>
                <w:bCs/>
              </w:rPr>
              <w:t>for information</w:t>
            </w:r>
            <w:r w:rsidRPr="00F871BD">
              <w:t>.</w:t>
            </w:r>
          </w:p>
          <w:p w14:paraId="5BBC35A7" w14:textId="77777777" w:rsidR="006F5369" w:rsidRPr="00F871BD" w:rsidRDefault="006F5369">
            <w:r w:rsidRPr="00F871BD">
              <w:t>_______________</w:t>
            </w:r>
          </w:p>
          <w:p w14:paraId="00DEE14C" w14:textId="6A044A79" w:rsidR="00AD3606" w:rsidRPr="00F871BD" w:rsidRDefault="00EB5155" w:rsidP="00F16BAB">
            <w:pPr>
              <w:spacing w:before="160"/>
              <w:rPr>
                <w:sz w:val="26"/>
                <w:szCs w:val="26"/>
              </w:rPr>
            </w:pPr>
            <w:r w:rsidRPr="00F871BD">
              <w:rPr>
                <w:b/>
                <w:bCs/>
                <w:sz w:val="26"/>
                <w:szCs w:val="26"/>
              </w:rPr>
              <w:t>References</w:t>
            </w:r>
          </w:p>
          <w:p w14:paraId="0175CD6C" w14:textId="7704A4B3" w:rsidR="00AD3606" w:rsidRPr="002C049D" w:rsidRDefault="002C049D" w:rsidP="00F16BAB">
            <w:pPr>
              <w:spacing w:after="160"/>
              <w:rPr>
                <w:sz w:val="22"/>
                <w:szCs w:val="22"/>
              </w:rPr>
            </w:pPr>
            <w:r w:rsidRPr="002C049D">
              <w:rPr>
                <w:sz w:val="22"/>
                <w:szCs w:val="22"/>
              </w:rPr>
              <w:t>None</w:t>
            </w:r>
          </w:p>
        </w:tc>
      </w:tr>
    </w:tbl>
    <w:p w14:paraId="4CDB8B60" w14:textId="77777777" w:rsidR="00E227F3" w:rsidRPr="00F871B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F871B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871BD">
        <w:br w:type="page"/>
      </w:r>
    </w:p>
    <w:bookmarkEnd w:id="5"/>
    <w:bookmarkEnd w:id="10"/>
    <w:p w14:paraId="53B08DA7" w14:textId="22560634" w:rsidR="002C049D" w:rsidRDefault="002C049D" w:rsidP="002D024D">
      <w:pPr>
        <w:pStyle w:val="Headingb"/>
      </w:pPr>
      <w:r w:rsidRPr="002C049D">
        <w:lastRenderedPageBreak/>
        <w:t xml:space="preserve">Child </w:t>
      </w:r>
      <w:r w:rsidR="00EA6A52" w:rsidRPr="002C049D">
        <w:t xml:space="preserve">online protection risks in the </w:t>
      </w:r>
      <w:r w:rsidRPr="002C049D">
        <w:t>AI and Quantum Era</w:t>
      </w:r>
    </w:p>
    <w:p w14:paraId="51F5A33A" w14:textId="77777777" w:rsidR="002C049D" w:rsidRDefault="002C049D" w:rsidP="002D024D">
      <w:pPr>
        <w:jc w:val="both"/>
        <w:rPr>
          <w:lang w:val="en-US"/>
        </w:rPr>
      </w:pPr>
      <w:r w:rsidRPr="002C049D">
        <w:rPr>
          <w:lang w:val="en-US"/>
        </w:rPr>
        <w:t>The rapid deployment of AI-driven systems, algorithmic content delivery, generative media, immersive platforms, and early-stage quantum-enabled technologies introduces well-documented and compounding risks to children, extending beyond immediate online safety concerns to include long-term educational, developmental, and socioeconomic impacts.</w:t>
      </w:r>
    </w:p>
    <w:p w14:paraId="52D5AEC8" w14:textId="7F3CA807" w:rsidR="004954B4" w:rsidRPr="004954B4" w:rsidRDefault="004954B4" w:rsidP="002D024D">
      <w:pPr>
        <w:jc w:val="both"/>
        <w:rPr>
          <w:lang w:val="en-US"/>
        </w:rPr>
      </w:pPr>
      <w:r w:rsidRPr="004954B4">
        <w:t xml:space="preserve">In particular, the increasing deployment of generative and autonomous AI systems, including AI agents capable of operating, adapting, and interacting with users at scale, raises significant child protection concerns when such systems function without adequate human oversight, accountability mechanisms, or child-centered safeguards. The speed, autonomy, and opacity of these systems may amplify exposure to harmful content, manipulation, misinformation, and exploitative </w:t>
      </w:r>
      <w:r w:rsidR="00683FA6" w:rsidRPr="004954B4">
        <w:t>behaviours</w:t>
      </w:r>
      <w:r w:rsidRPr="004954B4">
        <w:t>, while limiting the ability of children, caregivers, and institutions to understand or contest outcomes. In the absence of robust and adaptive governance frameworks, these technologies risk exacerbating existing vulnerabilities and creating new forms of harm for children and other vulnerable populations.</w:t>
      </w:r>
    </w:p>
    <w:p w14:paraId="5783BD1D" w14:textId="0527798C" w:rsidR="002C049D" w:rsidRPr="002C049D" w:rsidRDefault="002C049D" w:rsidP="002D024D">
      <w:pPr>
        <w:rPr>
          <w:lang w:val="en-US"/>
        </w:rPr>
      </w:pPr>
      <w:r w:rsidRPr="002C049D">
        <w:rPr>
          <w:lang w:val="en-US"/>
        </w:rPr>
        <w:t>Direct risks of harm to children in digital environments include:</w:t>
      </w:r>
    </w:p>
    <w:p w14:paraId="73FAE197" w14:textId="238DB897" w:rsidR="002C049D" w:rsidRPr="002C049D" w:rsidRDefault="002D024D" w:rsidP="002D024D">
      <w:pPr>
        <w:pStyle w:val="enumlev1"/>
        <w:jc w:val="both"/>
        <w:rPr>
          <w:lang w:val="en-US"/>
        </w:rPr>
      </w:pPr>
      <w:r>
        <w:rPr>
          <w:lang w:val="en-US"/>
        </w:rPr>
        <w:t>–</w:t>
      </w:r>
      <w:r>
        <w:rPr>
          <w:lang w:val="en-US"/>
        </w:rPr>
        <w:tab/>
      </w:r>
      <w:r w:rsidR="002C049D" w:rsidRPr="002C049D">
        <w:rPr>
          <w:lang w:val="en-US"/>
        </w:rPr>
        <w:t>Exposure to harmful, exploitative, or age-inappropriate content amplified by algorithmic recommendation and engagement systems</w:t>
      </w:r>
    </w:p>
    <w:p w14:paraId="7AAD58CF" w14:textId="7A267048" w:rsidR="002C049D" w:rsidRPr="002C049D" w:rsidRDefault="002D024D" w:rsidP="002D024D">
      <w:pPr>
        <w:pStyle w:val="enumlev1"/>
        <w:jc w:val="both"/>
        <w:rPr>
          <w:lang w:val="en-US"/>
        </w:rPr>
      </w:pPr>
      <w:r>
        <w:rPr>
          <w:lang w:val="en-US"/>
        </w:rPr>
        <w:t>–</w:t>
      </w:r>
      <w:r>
        <w:rPr>
          <w:lang w:val="en-US"/>
        </w:rPr>
        <w:tab/>
      </w:r>
      <w:r w:rsidR="002C049D" w:rsidRPr="002C049D">
        <w:rPr>
          <w:lang w:val="en-US"/>
        </w:rPr>
        <w:t>Increased vulnerability to grooming, coercion, and exploitation enabled by AI-driven impersonation, deepfakes, and synthetic media</w:t>
      </w:r>
    </w:p>
    <w:p w14:paraId="6735003F" w14:textId="48C3442E" w:rsidR="002C049D" w:rsidRPr="002C049D" w:rsidRDefault="002D024D" w:rsidP="002D024D">
      <w:pPr>
        <w:pStyle w:val="enumlev1"/>
        <w:jc w:val="both"/>
        <w:rPr>
          <w:lang w:val="en-US"/>
        </w:rPr>
      </w:pPr>
      <w:r>
        <w:rPr>
          <w:lang w:val="en-US"/>
        </w:rPr>
        <w:t>–</w:t>
      </w:r>
      <w:r>
        <w:rPr>
          <w:lang w:val="en-US"/>
        </w:rPr>
        <w:tab/>
      </w:r>
      <w:r w:rsidR="002C049D" w:rsidRPr="002C049D">
        <w:rPr>
          <w:lang w:val="en-US"/>
        </w:rPr>
        <w:t>Erosion of privacy and autonomy through pervasive data collection, profiling, and behavioral surveillance of minors</w:t>
      </w:r>
    </w:p>
    <w:p w14:paraId="7757653F" w14:textId="0D35B022" w:rsidR="002C049D" w:rsidRPr="002C049D" w:rsidRDefault="002D024D" w:rsidP="002D024D">
      <w:pPr>
        <w:pStyle w:val="enumlev1"/>
        <w:jc w:val="both"/>
        <w:rPr>
          <w:lang w:val="en-US"/>
        </w:rPr>
      </w:pPr>
      <w:r>
        <w:rPr>
          <w:lang w:val="en-US"/>
        </w:rPr>
        <w:t>–</w:t>
      </w:r>
      <w:r>
        <w:rPr>
          <w:lang w:val="en-US"/>
        </w:rPr>
        <w:tab/>
      </w:r>
      <w:r w:rsidR="002C049D" w:rsidRPr="002C049D">
        <w:rPr>
          <w:lang w:val="en-US"/>
        </w:rPr>
        <w:t>Psychological and developmental harm linked to cyberbullying, manipulation, misinformation, and algorithmic bias</w:t>
      </w:r>
    </w:p>
    <w:p w14:paraId="6ED42575" w14:textId="355B5488" w:rsidR="002C049D" w:rsidRPr="002C049D" w:rsidRDefault="002C049D" w:rsidP="002D024D">
      <w:pPr>
        <w:jc w:val="both"/>
        <w:rPr>
          <w:lang w:val="en-US"/>
        </w:rPr>
      </w:pPr>
      <w:r w:rsidRPr="002C049D">
        <w:rPr>
          <w:lang w:val="en-US"/>
        </w:rPr>
        <w:t>These risks are increasingly recognized by international organizations and regulators as systemic rather than isolated, and are often exacerbated by opaque AI systems, cross-border data flows, and uneven governance capacity.</w:t>
      </w:r>
    </w:p>
    <w:p w14:paraId="5BADF835" w14:textId="624A8991" w:rsidR="002C049D" w:rsidRPr="002C049D" w:rsidRDefault="002C049D" w:rsidP="002D024D">
      <w:pPr>
        <w:jc w:val="both"/>
        <w:rPr>
          <w:lang w:val="en-US"/>
        </w:rPr>
      </w:pPr>
      <w:r w:rsidRPr="002C049D">
        <w:rPr>
          <w:lang w:val="en-US"/>
        </w:rPr>
        <w:t>Equally significant, though often underemphasized, are the indirect and long-term harms associated with loss of education and opportunity due to skills lag. As digital technologies become central to education, workforce readiness, and civic participation, children who lack access to safe, trustworthy digital environments and foundational technology skills face:</w:t>
      </w:r>
    </w:p>
    <w:p w14:paraId="3C17E916" w14:textId="33ABCFEF" w:rsidR="002C049D" w:rsidRPr="002C049D" w:rsidRDefault="00286DBF" w:rsidP="00286DBF">
      <w:pPr>
        <w:pStyle w:val="enumlev1"/>
        <w:jc w:val="both"/>
        <w:rPr>
          <w:lang w:val="en-US"/>
        </w:rPr>
      </w:pPr>
      <w:r>
        <w:rPr>
          <w:lang w:val="en-US"/>
        </w:rPr>
        <w:t>–</w:t>
      </w:r>
      <w:r>
        <w:rPr>
          <w:lang w:val="en-US"/>
        </w:rPr>
        <w:tab/>
      </w:r>
      <w:r w:rsidR="002C049D" w:rsidRPr="002C049D">
        <w:rPr>
          <w:lang w:val="en-US"/>
        </w:rPr>
        <w:t>Reduced educational outcomes linked to unsafe or poorly governed digital learning platforms</w:t>
      </w:r>
    </w:p>
    <w:p w14:paraId="7C55D70B" w14:textId="46B6834C" w:rsidR="002C049D" w:rsidRPr="002C049D" w:rsidRDefault="00286DBF" w:rsidP="00286DBF">
      <w:pPr>
        <w:pStyle w:val="enumlev1"/>
        <w:jc w:val="both"/>
        <w:rPr>
          <w:lang w:val="en-US"/>
        </w:rPr>
      </w:pPr>
      <w:r>
        <w:rPr>
          <w:lang w:val="en-US"/>
        </w:rPr>
        <w:t>–</w:t>
      </w:r>
      <w:r>
        <w:rPr>
          <w:lang w:val="en-US"/>
        </w:rPr>
        <w:tab/>
      </w:r>
      <w:r w:rsidR="002C049D" w:rsidRPr="002C049D">
        <w:rPr>
          <w:lang w:val="en-US"/>
        </w:rPr>
        <w:t>Widening inequalities between children with access to secure, high-quality digital education and those without</w:t>
      </w:r>
    </w:p>
    <w:p w14:paraId="0427A9FA" w14:textId="2FC6C6E1" w:rsidR="002C049D" w:rsidRPr="002C049D" w:rsidRDefault="00286DBF" w:rsidP="00286DBF">
      <w:pPr>
        <w:pStyle w:val="enumlev1"/>
        <w:jc w:val="both"/>
        <w:rPr>
          <w:lang w:val="en-US"/>
        </w:rPr>
      </w:pPr>
      <w:r>
        <w:rPr>
          <w:lang w:val="en-US"/>
        </w:rPr>
        <w:t>–</w:t>
      </w:r>
      <w:r>
        <w:rPr>
          <w:lang w:val="en-US"/>
        </w:rPr>
        <w:tab/>
      </w:r>
      <w:r w:rsidR="002C049D" w:rsidRPr="002C049D">
        <w:rPr>
          <w:lang w:val="en-US"/>
        </w:rPr>
        <w:t>Skills gaps that limit participation in AI- and technology-driven economies</w:t>
      </w:r>
    </w:p>
    <w:p w14:paraId="00B07B5F" w14:textId="1ABE3D62" w:rsidR="002C049D" w:rsidRPr="002C049D" w:rsidRDefault="00286DBF" w:rsidP="00286DBF">
      <w:pPr>
        <w:pStyle w:val="enumlev1"/>
        <w:jc w:val="both"/>
        <w:rPr>
          <w:lang w:val="en-US"/>
        </w:rPr>
      </w:pPr>
      <w:r>
        <w:rPr>
          <w:lang w:val="en-US"/>
        </w:rPr>
        <w:t>–</w:t>
      </w:r>
      <w:r>
        <w:rPr>
          <w:lang w:val="en-US"/>
        </w:rPr>
        <w:tab/>
      </w:r>
      <w:r w:rsidR="002C049D" w:rsidRPr="002C049D">
        <w:rPr>
          <w:lang w:val="en-US"/>
        </w:rPr>
        <w:t>Long-term exclusion from STEM and digital career pathways, particularly for girls and marginalized communities</w:t>
      </w:r>
    </w:p>
    <w:p w14:paraId="0D798AAF" w14:textId="160BC3AE" w:rsidR="002C049D" w:rsidRDefault="002C049D" w:rsidP="00286DBF">
      <w:pPr>
        <w:jc w:val="both"/>
        <w:rPr>
          <w:lang w:val="en-US"/>
        </w:rPr>
      </w:pPr>
      <w:r w:rsidRPr="002C049D">
        <w:rPr>
          <w:lang w:val="en-US"/>
        </w:rPr>
        <w:t>In this context, child online protection must be understood not only as protection from harm, but also as protection against exclusion. Failure to address governance, safety, and skills development together risks creating a generation of children who are simultaneously exposed to digital threats and unprepared for future opportunities.</w:t>
      </w:r>
    </w:p>
    <w:p w14:paraId="4D9B11C2" w14:textId="76676C5B" w:rsidR="004954B4" w:rsidRPr="002C049D" w:rsidRDefault="004954B4" w:rsidP="00286DBF">
      <w:pPr>
        <w:jc w:val="both"/>
        <w:rPr>
          <w:lang w:val="en-US"/>
        </w:rPr>
      </w:pPr>
      <w:r w:rsidRPr="004954B4">
        <w:lastRenderedPageBreak/>
        <w:t>This underscores the importance of governance approaches that keep pace with emerging AI capabilities and prioritize child safety, transparency, and accountability by design.</w:t>
      </w:r>
    </w:p>
    <w:p w14:paraId="061DEBA0" w14:textId="57ACD944" w:rsidR="003A3267" w:rsidRPr="003A3267" w:rsidRDefault="003A3267" w:rsidP="00286DBF">
      <w:pPr>
        <w:pStyle w:val="Headingb"/>
        <w:rPr>
          <w:lang w:val="en-US"/>
        </w:rPr>
      </w:pPr>
      <w:r w:rsidRPr="003A3267">
        <w:t xml:space="preserve">Core </w:t>
      </w:r>
      <w:r w:rsidR="00EA6A52" w:rsidRPr="003A3267">
        <w:t xml:space="preserve">protective priorities for children in an </w:t>
      </w:r>
      <w:r w:rsidRPr="003A3267">
        <w:t>AI-</w:t>
      </w:r>
      <w:r w:rsidR="00EA6A52" w:rsidRPr="003A3267">
        <w:t>enabled digital environment</w:t>
      </w:r>
    </w:p>
    <w:p w14:paraId="44E51033" w14:textId="1719F87E" w:rsidR="003A3267" w:rsidRPr="003A3267" w:rsidRDefault="003A3267" w:rsidP="00286DBF">
      <w:pPr>
        <w:jc w:val="both"/>
        <w:rPr>
          <w:lang w:val="en-US"/>
        </w:rPr>
      </w:pPr>
      <w:r w:rsidRPr="003A3267">
        <w:rPr>
          <w:lang w:val="en-US"/>
        </w:rPr>
        <w:t>Addressing the risks facing children in increasingly AI-mediated digital environments requires a holistic approach that combines governance, technical safeguards, education, and capacity building. Effective child online protection must extend beyond reactive harm mitigation to include proactive measures that enable safe participation, digital literacy, and equitable access to future opportunities.</w:t>
      </w:r>
    </w:p>
    <w:p w14:paraId="22AB3B69" w14:textId="71D37BA9" w:rsidR="003A3267" w:rsidRPr="003A3267" w:rsidRDefault="004954B4" w:rsidP="00286DBF">
      <w:pPr>
        <w:rPr>
          <w:lang w:val="en-US"/>
        </w:rPr>
      </w:pPr>
      <w:r>
        <w:rPr>
          <w:lang w:val="en-US"/>
        </w:rPr>
        <w:t xml:space="preserve">Core </w:t>
      </w:r>
      <w:r w:rsidR="003A3267">
        <w:rPr>
          <w:lang w:val="en-US"/>
        </w:rPr>
        <w:t>priorities</w:t>
      </w:r>
      <w:r w:rsidR="003A3267" w:rsidRPr="003A3267">
        <w:rPr>
          <w:lang w:val="en-US"/>
        </w:rPr>
        <w:t xml:space="preserve"> for protecting children include:</w:t>
      </w:r>
    </w:p>
    <w:p w14:paraId="5E6A1B7E" w14:textId="16CB2FA4" w:rsidR="004954B4" w:rsidRPr="004954B4" w:rsidRDefault="00286DBF" w:rsidP="00286DBF">
      <w:pPr>
        <w:pStyle w:val="enumlev1"/>
        <w:jc w:val="both"/>
        <w:rPr>
          <w:lang w:val="en-US"/>
        </w:rPr>
      </w:pPr>
      <w:r>
        <w:rPr>
          <w:lang w:val="en-US"/>
        </w:rPr>
        <w:t>–</w:t>
      </w:r>
      <w:r>
        <w:rPr>
          <w:lang w:val="en-US"/>
        </w:rPr>
        <w:tab/>
      </w:r>
      <w:r w:rsidR="004954B4" w:rsidRPr="004954B4">
        <w:t>Strengthening governance and accountability frameworks to ensure that AI-enabled systems, platforms, and services incorporate child safety, privacy, and rights considerations by design, including through multi-stakeholder collaboration across governments, industry, civil society, and international organizations.</w:t>
      </w:r>
    </w:p>
    <w:p w14:paraId="59BBD457" w14:textId="62785ED2" w:rsidR="003A3267" w:rsidRPr="003A3267" w:rsidRDefault="00286DBF" w:rsidP="00286DBF">
      <w:pPr>
        <w:pStyle w:val="enumlev1"/>
        <w:jc w:val="both"/>
        <w:rPr>
          <w:lang w:val="en-US"/>
        </w:rPr>
      </w:pPr>
      <w:r>
        <w:rPr>
          <w:lang w:val="en-US"/>
        </w:rPr>
        <w:t>–</w:t>
      </w:r>
      <w:r>
        <w:rPr>
          <w:lang w:val="en-US"/>
        </w:rPr>
        <w:tab/>
      </w:r>
      <w:r w:rsidR="003A3267" w:rsidRPr="003A3267">
        <w:rPr>
          <w:lang w:val="en-US"/>
        </w:rPr>
        <w:t>Promoting transparency and oversight of algorithmic systems that shape children’s online experiences, including recommendation, personalization, and content moderation mechanisms.</w:t>
      </w:r>
    </w:p>
    <w:p w14:paraId="15CDF024" w14:textId="607DD54C" w:rsidR="003A3267" w:rsidRPr="003A3267" w:rsidRDefault="00286DBF" w:rsidP="00286DBF">
      <w:pPr>
        <w:pStyle w:val="enumlev1"/>
        <w:jc w:val="both"/>
        <w:rPr>
          <w:lang w:val="en-US"/>
        </w:rPr>
      </w:pPr>
      <w:r>
        <w:rPr>
          <w:lang w:val="en-US"/>
        </w:rPr>
        <w:t>–</w:t>
      </w:r>
      <w:r>
        <w:rPr>
          <w:lang w:val="en-US"/>
        </w:rPr>
        <w:tab/>
      </w:r>
      <w:r w:rsidR="003A3267" w:rsidRPr="003A3267">
        <w:rPr>
          <w:lang w:val="en-US"/>
        </w:rPr>
        <w:t>Enhancing digital literacy and skills development for children, caregivers, and educators, enabling safe navigation of digital environments while preparing young people for participation in technology-driven economies.</w:t>
      </w:r>
    </w:p>
    <w:p w14:paraId="18824316" w14:textId="11DF66A0" w:rsidR="003A3267" w:rsidRPr="003A3267" w:rsidRDefault="00286DBF" w:rsidP="00286DBF">
      <w:pPr>
        <w:pStyle w:val="enumlev1"/>
        <w:jc w:val="both"/>
        <w:rPr>
          <w:lang w:val="en-US"/>
        </w:rPr>
      </w:pPr>
      <w:r>
        <w:rPr>
          <w:lang w:val="en-US"/>
        </w:rPr>
        <w:t>–</w:t>
      </w:r>
      <w:r>
        <w:rPr>
          <w:lang w:val="en-US"/>
        </w:rPr>
        <w:tab/>
      </w:r>
      <w:r w:rsidR="003A3267" w:rsidRPr="003A3267">
        <w:rPr>
          <w:lang w:val="en-US"/>
        </w:rPr>
        <w:t>Supporting age-appropriate and inclusive digital access, recognizing that overly restrictive approaches may unintentionally limit educational opportunity, skills acquisition, and social participation.</w:t>
      </w:r>
    </w:p>
    <w:p w14:paraId="2BF6C7B7" w14:textId="0D012204" w:rsidR="003A3267" w:rsidRDefault="00286DBF" w:rsidP="00286DBF">
      <w:pPr>
        <w:pStyle w:val="enumlev1"/>
        <w:jc w:val="both"/>
        <w:rPr>
          <w:lang w:val="en-US"/>
        </w:rPr>
      </w:pPr>
      <w:r>
        <w:rPr>
          <w:lang w:val="en-US"/>
        </w:rPr>
        <w:t>–</w:t>
      </w:r>
      <w:r>
        <w:rPr>
          <w:lang w:val="en-US"/>
        </w:rPr>
        <w:tab/>
      </w:r>
      <w:r w:rsidR="003A3267" w:rsidRPr="003A3267">
        <w:rPr>
          <w:lang w:val="en-US"/>
        </w:rPr>
        <w:t>Reducing inequalities in capacity and access, particularly for children in underserved and resource-constrained contexts, through inclusive digital development and international cooperation.</w:t>
      </w:r>
    </w:p>
    <w:p w14:paraId="52E97B53" w14:textId="0B81C899" w:rsidR="003A3267" w:rsidRDefault="004954B4" w:rsidP="00286DBF">
      <w:pPr>
        <w:jc w:val="both"/>
        <w:rPr>
          <w:b/>
          <w:bCs/>
          <w:lang w:val="en-US"/>
        </w:rPr>
      </w:pPr>
      <w:r w:rsidRPr="004954B4">
        <w:t>Taken together, these priorities reflect the need to protect children not only from immediate digital harms but also from long-term exclusion resulting from skills gaps, unsafe learning environments, and uneven access to trustworthy digital systems.</w:t>
      </w:r>
    </w:p>
    <w:p w14:paraId="19690412" w14:textId="3ED5532B" w:rsidR="004954B4" w:rsidRPr="002C049D" w:rsidRDefault="004954B4" w:rsidP="00286DBF">
      <w:pPr>
        <w:pStyle w:val="Headingb"/>
        <w:rPr>
          <w:lang w:val="en-US"/>
        </w:rPr>
      </w:pPr>
      <w:r w:rsidRPr="002C049D">
        <w:rPr>
          <w:lang w:val="en-US"/>
        </w:rPr>
        <w:t>Civil-</w:t>
      </w:r>
      <w:r w:rsidR="00EA6A52" w:rsidRPr="002C049D">
        <w:rPr>
          <w:lang w:val="en-US"/>
        </w:rPr>
        <w:t>society governance and risk analysis capability</w:t>
      </w:r>
    </w:p>
    <w:p w14:paraId="3198ECF6" w14:textId="77777777" w:rsidR="004954B4" w:rsidRPr="002D1BA3" w:rsidRDefault="004954B4" w:rsidP="00286DBF">
      <w:pPr>
        <w:jc w:val="both"/>
        <w:rPr>
          <w:lang w:val="en-US"/>
        </w:rPr>
      </w:pPr>
      <w:r w:rsidRPr="002D1BA3">
        <w:rPr>
          <w:lang w:val="en-US"/>
        </w:rPr>
        <w:t>As part of its public-interest mission, Cyber Institute has developed and maintains a free, non-commercial, publicly accessible civil-society governance and risk analysis platform (GUARDIAN), designed to support transparency, comparative policy analysis, and capacity building. This capability is provided without licensing, subscription, or proprietary access requirements and is intended solely to support governments, educators, researchers, and civil-society organizations.</w:t>
      </w:r>
    </w:p>
    <w:p w14:paraId="4617A6E5" w14:textId="77777777" w:rsidR="004954B4" w:rsidRPr="002D1BA3" w:rsidRDefault="004954B4" w:rsidP="00286DBF">
      <w:pPr>
        <w:jc w:val="both"/>
        <w:rPr>
          <w:lang w:val="en-US"/>
        </w:rPr>
      </w:pPr>
      <w:r w:rsidRPr="002D1BA3">
        <w:rPr>
          <w:lang w:val="en-US"/>
        </w:rPr>
        <w:t>The platform applies AI-assisted analysis to publicly available laws, policies, standards, and frameworks to assess governance maturity, ethical alignment, and risk posture across domains including child online protection, responsible AI, cybersecurity preparedness, and emerging technology risks.</w:t>
      </w:r>
    </w:p>
    <w:p w14:paraId="53FCB637" w14:textId="77777777" w:rsidR="004954B4" w:rsidRPr="002D1BA3" w:rsidRDefault="004954B4" w:rsidP="00286DBF">
      <w:pPr>
        <w:jc w:val="both"/>
        <w:rPr>
          <w:lang w:val="en-US"/>
        </w:rPr>
      </w:pPr>
      <w:r w:rsidRPr="002D1BA3">
        <w:rPr>
          <w:lang w:val="en-US"/>
        </w:rPr>
        <w:t>By remaining non-commercial and publicly accessible, this work seeks to complement, rather than compete with, governmental and intergovernmental initiatives.</w:t>
      </w:r>
    </w:p>
    <w:p w14:paraId="6227FE07" w14:textId="506C537A" w:rsidR="004954B4" w:rsidRDefault="004954B4" w:rsidP="00286DBF">
      <w:pPr>
        <w:pStyle w:val="Headingb"/>
      </w:pPr>
      <w:r w:rsidRPr="002C049D">
        <w:lastRenderedPageBreak/>
        <w:t xml:space="preserve">Capacity </w:t>
      </w:r>
      <w:r w:rsidR="00EA6A52" w:rsidRPr="002C049D">
        <w:t>building, child safety, and skills development</w:t>
      </w:r>
    </w:p>
    <w:p w14:paraId="1AA2ACFB" w14:textId="77777777" w:rsidR="004954B4" w:rsidRPr="002C049D" w:rsidRDefault="004954B4" w:rsidP="00EA6A52">
      <w:pPr>
        <w:jc w:val="both"/>
        <w:rPr>
          <w:lang w:val="en-US"/>
        </w:rPr>
      </w:pPr>
      <w:r w:rsidRPr="002C049D">
        <w:rPr>
          <w:lang w:val="en-US"/>
        </w:rPr>
        <w:t>Cyber Institute complements its policy and analytical work with capacity-building and educational initiatives focused on child online safety, digital literacy, and responsible technology use. These initiatives include cybersecurity awareness, online safety education, and introductory skills development for youth, educators, and underserved communities.</w:t>
      </w:r>
    </w:p>
    <w:p w14:paraId="4D9D2310" w14:textId="77777777" w:rsidR="004954B4" w:rsidRDefault="004954B4" w:rsidP="00EA6A52">
      <w:pPr>
        <w:jc w:val="both"/>
        <w:rPr>
          <w:lang w:val="en-US"/>
        </w:rPr>
      </w:pPr>
      <w:r w:rsidRPr="002C049D">
        <w:rPr>
          <w:lang w:val="en-US"/>
        </w:rPr>
        <w:t>Rather than focusing solely on risk mitigation, Cyber Institute emphasizes positive digital empowerment, supporting children and young people in developing the knowledge and skills needed to navigate digital environments safely while preparing for future education and employment pathways in emerging technology fields.</w:t>
      </w:r>
    </w:p>
    <w:p w14:paraId="43A8B1AF" w14:textId="77777777" w:rsidR="004954B4" w:rsidRDefault="004954B4" w:rsidP="00286DBF">
      <w:pPr>
        <w:pStyle w:val="Headingb"/>
        <w:rPr>
          <w:lang w:val="en-US"/>
        </w:rPr>
      </w:pPr>
      <w:r w:rsidRPr="002C049D">
        <w:rPr>
          <w:lang w:val="en-US"/>
        </w:rPr>
        <w:t>Alignment with the Sustainable Development Goals (SDGs)</w:t>
      </w:r>
    </w:p>
    <w:p w14:paraId="7EF2CC28" w14:textId="77777777" w:rsidR="004954B4" w:rsidRDefault="004954B4" w:rsidP="00EA6A52">
      <w:pPr>
        <w:jc w:val="both"/>
      </w:pPr>
      <w:r w:rsidRPr="002D1BA3">
        <w:t>Cyber Institute’s work supports multiple UN Sustainable Development Goals, including SDG 4 (Quality Education), SDG 9 (Industry, Innovation, and Infrastructure), SDG 10 (Reduced Inequalities), SDG 16 (Peace, Justice, and Strong Institutions), and SDG 17 (Partnerships for the Goals), through integrated approaches to digital safety, governance, and inclusive capacity building.</w:t>
      </w:r>
    </w:p>
    <w:p w14:paraId="65E45A51" w14:textId="77777777" w:rsidR="004954B4" w:rsidRDefault="004954B4" w:rsidP="00286DBF">
      <w:pPr>
        <w:pStyle w:val="Headingb"/>
        <w:rPr>
          <w:lang w:val="en-US"/>
        </w:rPr>
      </w:pPr>
      <w:r w:rsidRPr="002C049D">
        <w:rPr>
          <w:lang w:val="en-US"/>
        </w:rPr>
        <w:t>Relevance to CWG-COP and ITU-D</w:t>
      </w:r>
    </w:p>
    <w:p w14:paraId="0DF8B5F4" w14:textId="4AA567AA" w:rsidR="004954B4" w:rsidRDefault="004954B4" w:rsidP="00EA6A52">
      <w:pPr>
        <w:jc w:val="both"/>
        <w:rPr>
          <w:b/>
          <w:bCs/>
          <w:lang w:val="en-US"/>
        </w:rPr>
      </w:pPr>
      <w:r w:rsidRPr="004954B4">
        <w:t xml:space="preserve">As an ITU-D Sector Member, Cyber Institute values the role of CWG-COP as a key forum for advancing international cooperation on child online protection and is </w:t>
      </w:r>
      <w:r w:rsidR="00683FA6" w:rsidRPr="004954B4">
        <w:t>honoured</w:t>
      </w:r>
      <w:r w:rsidRPr="004954B4">
        <w:t xml:space="preserve"> to submit this document in support of its ongoing work in advancing shared understanding and practical guidance on child online safety.</w:t>
      </w:r>
    </w:p>
    <w:p w14:paraId="43C5FE45" w14:textId="6D5A4AF6" w:rsidR="002D1BA3" w:rsidRPr="002D1BA3" w:rsidRDefault="002D1BA3" w:rsidP="00286DBF">
      <w:pPr>
        <w:pStyle w:val="Headingb"/>
        <w:rPr>
          <w:lang w:val="en-US"/>
        </w:rPr>
      </w:pPr>
      <w:r w:rsidRPr="002D1BA3">
        <w:rPr>
          <w:lang w:val="en-US"/>
        </w:rPr>
        <w:t xml:space="preserve">Organizational </w:t>
      </w:r>
      <w:r w:rsidR="00EA6A52" w:rsidRPr="002D1BA3">
        <w:rPr>
          <w:lang w:val="en-US"/>
        </w:rPr>
        <w:t xml:space="preserve">context </w:t>
      </w:r>
      <w:r w:rsidRPr="002D1BA3">
        <w:rPr>
          <w:lang w:val="en-US"/>
        </w:rPr>
        <w:t xml:space="preserve">and UN </w:t>
      </w:r>
      <w:r w:rsidR="00EA6A52" w:rsidRPr="002D1BA3">
        <w:rPr>
          <w:lang w:val="en-US"/>
        </w:rPr>
        <w:t>system engagement</w:t>
      </w:r>
    </w:p>
    <w:p w14:paraId="06289145" w14:textId="774830F2" w:rsidR="002D1BA3" w:rsidRDefault="00683FA6" w:rsidP="00EA6A52">
      <w:pPr>
        <w:jc w:val="both"/>
      </w:pPr>
      <w:r w:rsidRPr="00683FA6">
        <w:t>Cyber Institute is a United States-based 501(c)(3) nonprofit research organization with Special Consultative Status with the United Nations Economic and Social Council (ECOSOC) and full membership in the ITU Development Sector (ITU-D), contributing to international dialogue on digital development, cybersecurity, emerging technologies, and inclusive capacity building. The organization operates at the intersection of technology, policy, and ethics, with a mission to advance safe, resilient, and inclusive deployment of emerging technologies, particularly for children and other vulnerable populations.</w:t>
      </w:r>
    </w:p>
    <w:p w14:paraId="36CF3232" w14:textId="77777777" w:rsidR="00EA6A52" w:rsidRDefault="00EA6A52" w:rsidP="00683FA6">
      <w:pPr>
        <w:tabs>
          <w:tab w:val="clear" w:pos="567"/>
          <w:tab w:val="clear" w:pos="1134"/>
          <w:tab w:val="clear" w:pos="1701"/>
          <w:tab w:val="clear" w:pos="2268"/>
          <w:tab w:val="clear" w:pos="2835"/>
        </w:tabs>
        <w:overflowPunct/>
        <w:autoSpaceDE/>
        <w:autoSpaceDN/>
        <w:adjustRightInd/>
        <w:spacing w:before="0" w:line="276" w:lineRule="auto"/>
        <w:textAlignment w:val="auto"/>
      </w:pPr>
    </w:p>
    <w:p w14:paraId="44BD362C" w14:textId="77777777" w:rsidR="00EA6A52" w:rsidRDefault="00EA6A52" w:rsidP="00683FA6">
      <w:pPr>
        <w:tabs>
          <w:tab w:val="clear" w:pos="567"/>
          <w:tab w:val="clear" w:pos="1134"/>
          <w:tab w:val="clear" w:pos="1701"/>
          <w:tab w:val="clear" w:pos="2268"/>
          <w:tab w:val="clear" w:pos="2835"/>
        </w:tabs>
        <w:overflowPunct/>
        <w:autoSpaceDE/>
        <w:autoSpaceDN/>
        <w:adjustRightInd/>
        <w:spacing w:before="0" w:line="276" w:lineRule="auto"/>
        <w:textAlignment w:val="auto"/>
      </w:pPr>
    </w:p>
    <w:p w14:paraId="49E28722" w14:textId="73137356" w:rsidR="00EA6A52" w:rsidRPr="00EA6A52" w:rsidRDefault="00EA6A52" w:rsidP="00EA6A52">
      <w:pPr>
        <w:jc w:val="center"/>
      </w:pPr>
      <w:r>
        <w:t>______________</w:t>
      </w:r>
    </w:p>
    <w:sectPr w:rsidR="00EA6A52" w:rsidRPr="00EA6A52"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074C" w14:textId="77777777" w:rsidR="00A64225" w:rsidRDefault="00A64225">
      <w:r>
        <w:separator/>
      </w:r>
    </w:p>
  </w:endnote>
  <w:endnote w:type="continuationSeparator" w:id="0">
    <w:p w14:paraId="48E38390" w14:textId="77777777" w:rsidR="00A64225" w:rsidRDefault="00A6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3E0651F8"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D76B2">
            <w:rPr>
              <w:bCs/>
            </w:rPr>
            <w:t>4</w:t>
          </w:r>
          <w:r w:rsidR="00A52C84" w:rsidRPr="00623AE3">
            <w:rPr>
              <w:bCs/>
            </w:rPr>
            <w:t>/</w:t>
          </w:r>
          <w:r w:rsidR="00866F4F">
            <w:rPr>
              <w:bCs/>
            </w:rPr>
            <w:t>INF/</w:t>
          </w:r>
          <w:r w:rsidR="00EA6A52">
            <w:rPr>
              <w:bCs/>
            </w:rPr>
            <w:t>7</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6BC3574" w:rsidR="00EE49E8" w:rsidRDefault="00A52C84" w:rsidP="00EE49E8">
          <w:pPr>
            <w:pStyle w:val="Header"/>
            <w:jc w:val="left"/>
            <w:rPr>
              <w:noProof/>
            </w:rPr>
          </w:pPr>
          <w:hyperlink r:id="rId1" w:history="1">
            <w:r w:rsidRPr="00CD76B2">
              <w:rPr>
                <w:rStyle w:val="Hyperlink"/>
              </w:rPr>
              <w:t>council.itu.int/working-groups</w:t>
            </w:r>
          </w:hyperlink>
        </w:p>
      </w:tc>
      <w:tc>
        <w:tcPr>
          <w:tcW w:w="6957" w:type="dxa"/>
        </w:tcPr>
        <w:p w14:paraId="3F62E0D8" w14:textId="0C0B4CF1"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D76B2">
            <w:rPr>
              <w:bCs/>
            </w:rPr>
            <w:t>4</w:t>
          </w:r>
          <w:r w:rsidRPr="00623AE3">
            <w:rPr>
              <w:bCs/>
            </w:rPr>
            <w:t>/</w:t>
          </w:r>
          <w:r w:rsidR="00866F4F">
            <w:rPr>
              <w:bCs/>
            </w:rPr>
            <w:t>INF/</w:t>
          </w:r>
          <w:r w:rsidR="00EA6A52">
            <w:rPr>
              <w:bCs/>
            </w:rPr>
            <w:t>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05AE" w14:textId="77777777" w:rsidR="00A64225" w:rsidRDefault="00A64225">
      <w:r>
        <w:t>____________________</w:t>
      </w:r>
    </w:p>
  </w:footnote>
  <w:footnote w:type="continuationSeparator" w:id="0">
    <w:p w14:paraId="6612C335" w14:textId="77777777" w:rsidR="00A64225" w:rsidRDefault="00A6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C15C38"/>
    <w:multiLevelType w:val="multilevel"/>
    <w:tmpl w:val="26D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E1BB7"/>
    <w:multiLevelType w:val="multilevel"/>
    <w:tmpl w:val="EDBC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15E16"/>
    <w:multiLevelType w:val="multilevel"/>
    <w:tmpl w:val="7A06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6861C9"/>
    <w:multiLevelType w:val="multilevel"/>
    <w:tmpl w:val="62E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663CC"/>
    <w:multiLevelType w:val="multilevel"/>
    <w:tmpl w:val="88C0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1724256129">
    <w:abstractNumId w:val="5"/>
  </w:num>
  <w:num w:numId="3" w16cid:durableId="389307291">
    <w:abstractNumId w:val="3"/>
  </w:num>
  <w:num w:numId="4" w16cid:durableId="503010329">
    <w:abstractNumId w:val="1"/>
  </w:num>
  <w:num w:numId="5" w16cid:durableId="199898169">
    <w:abstractNumId w:val="2"/>
  </w:num>
  <w:num w:numId="6" w16cid:durableId="141728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7198"/>
    <w:rsid w:val="000210D4"/>
    <w:rsid w:val="00063016"/>
    <w:rsid w:val="00066795"/>
    <w:rsid w:val="00076AF6"/>
    <w:rsid w:val="00085518"/>
    <w:rsid w:val="000859C4"/>
    <w:rsid w:val="00085CF2"/>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05872"/>
    <w:rsid w:val="002119FD"/>
    <w:rsid w:val="002130E0"/>
    <w:rsid w:val="00225FA7"/>
    <w:rsid w:val="00244F7F"/>
    <w:rsid w:val="00264425"/>
    <w:rsid w:val="00265875"/>
    <w:rsid w:val="0027303B"/>
    <w:rsid w:val="0028109B"/>
    <w:rsid w:val="00286DBF"/>
    <w:rsid w:val="002A2188"/>
    <w:rsid w:val="002B1F58"/>
    <w:rsid w:val="002C049D"/>
    <w:rsid w:val="002C1C7A"/>
    <w:rsid w:val="002C54E2"/>
    <w:rsid w:val="002D024D"/>
    <w:rsid w:val="002D1473"/>
    <w:rsid w:val="002D1BA3"/>
    <w:rsid w:val="002F0394"/>
    <w:rsid w:val="0030160F"/>
    <w:rsid w:val="00320223"/>
    <w:rsid w:val="00322D0D"/>
    <w:rsid w:val="00361465"/>
    <w:rsid w:val="003877F5"/>
    <w:rsid w:val="00394091"/>
    <w:rsid w:val="003942D4"/>
    <w:rsid w:val="003958A8"/>
    <w:rsid w:val="003A3267"/>
    <w:rsid w:val="003C2533"/>
    <w:rsid w:val="003D3562"/>
    <w:rsid w:val="003D5A7F"/>
    <w:rsid w:val="004016E2"/>
    <w:rsid w:val="0040435A"/>
    <w:rsid w:val="00416A24"/>
    <w:rsid w:val="0042528F"/>
    <w:rsid w:val="00431D9E"/>
    <w:rsid w:val="00433CE8"/>
    <w:rsid w:val="00434A5C"/>
    <w:rsid w:val="004544D9"/>
    <w:rsid w:val="00472BAD"/>
    <w:rsid w:val="00474CAD"/>
    <w:rsid w:val="00484009"/>
    <w:rsid w:val="00490E72"/>
    <w:rsid w:val="00491157"/>
    <w:rsid w:val="004921C8"/>
    <w:rsid w:val="004954B4"/>
    <w:rsid w:val="00495B0B"/>
    <w:rsid w:val="004A1B8B"/>
    <w:rsid w:val="004D1851"/>
    <w:rsid w:val="004D599D"/>
    <w:rsid w:val="004E2EA5"/>
    <w:rsid w:val="004E3AEB"/>
    <w:rsid w:val="0050223C"/>
    <w:rsid w:val="005217BD"/>
    <w:rsid w:val="005243FF"/>
    <w:rsid w:val="005567BC"/>
    <w:rsid w:val="00564FBC"/>
    <w:rsid w:val="005800BC"/>
    <w:rsid w:val="00582442"/>
    <w:rsid w:val="005A335D"/>
    <w:rsid w:val="005E2BD5"/>
    <w:rsid w:val="005F3269"/>
    <w:rsid w:val="00610DC7"/>
    <w:rsid w:val="00623AE3"/>
    <w:rsid w:val="006273F5"/>
    <w:rsid w:val="0064737F"/>
    <w:rsid w:val="006535F1"/>
    <w:rsid w:val="0065557D"/>
    <w:rsid w:val="00660D50"/>
    <w:rsid w:val="00662984"/>
    <w:rsid w:val="006716BB"/>
    <w:rsid w:val="00683FA6"/>
    <w:rsid w:val="006A163E"/>
    <w:rsid w:val="006B1859"/>
    <w:rsid w:val="006B6680"/>
    <w:rsid w:val="006B6DCC"/>
    <w:rsid w:val="006F5369"/>
    <w:rsid w:val="00702DEF"/>
    <w:rsid w:val="00706861"/>
    <w:rsid w:val="007306DF"/>
    <w:rsid w:val="0075051B"/>
    <w:rsid w:val="00775655"/>
    <w:rsid w:val="00793188"/>
    <w:rsid w:val="00794D34"/>
    <w:rsid w:val="00813E5E"/>
    <w:rsid w:val="0083581B"/>
    <w:rsid w:val="00854BE3"/>
    <w:rsid w:val="00863874"/>
    <w:rsid w:val="00864AFF"/>
    <w:rsid w:val="00865925"/>
    <w:rsid w:val="00866F4F"/>
    <w:rsid w:val="00891503"/>
    <w:rsid w:val="008964B4"/>
    <w:rsid w:val="008B4A6A"/>
    <w:rsid w:val="008C7E27"/>
    <w:rsid w:val="008F7448"/>
    <w:rsid w:val="0090147A"/>
    <w:rsid w:val="009173EF"/>
    <w:rsid w:val="00932906"/>
    <w:rsid w:val="00955751"/>
    <w:rsid w:val="00961B0B"/>
    <w:rsid w:val="00962D33"/>
    <w:rsid w:val="00984EFA"/>
    <w:rsid w:val="0099790D"/>
    <w:rsid w:val="009B38C3"/>
    <w:rsid w:val="009C253A"/>
    <w:rsid w:val="009E17BD"/>
    <w:rsid w:val="009E485A"/>
    <w:rsid w:val="00A04CEC"/>
    <w:rsid w:val="00A05885"/>
    <w:rsid w:val="00A27F92"/>
    <w:rsid w:val="00A32257"/>
    <w:rsid w:val="00A36D20"/>
    <w:rsid w:val="00A467DF"/>
    <w:rsid w:val="00A514A4"/>
    <w:rsid w:val="00A52C84"/>
    <w:rsid w:val="00A55622"/>
    <w:rsid w:val="00A64225"/>
    <w:rsid w:val="00A83502"/>
    <w:rsid w:val="00AB6447"/>
    <w:rsid w:val="00AD15B3"/>
    <w:rsid w:val="00AD3606"/>
    <w:rsid w:val="00AD4A3D"/>
    <w:rsid w:val="00AF6E49"/>
    <w:rsid w:val="00B04A67"/>
    <w:rsid w:val="00B0583C"/>
    <w:rsid w:val="00B358B2"/>
    <w:rsid w:val="00B40A81"/>
    <w:rsid w:val="00B44910"/>
    <w:rsid w:val="00B45936"/>
    <w:rsid w:val="00B64669"/>
    <w:rsid w:val="00B72267"/>
    <w:rsid w:val="00B76EB6"/>
    <w:rsid w:val="00B7737B"/>
    <w:rsid w:val="00B824C8"/>
    <w:rsid w:val="00B84B9D"/>
    <w:rsid w:val="00BC251A"/>
    <w:rsid w:val="00BC3F65"/>
    <w:rsid w:val="00BC54CD"/>
    <w:rsid w:val="00BC6146"/>
    <w:rsid w:val="00BD032B"/>
    <w:rsid w:val="00BE2640"/>
    <w:rsid w:val="00C01189"/>
    <w:rsid w:val="00C10F2C"/>
    <w:rsid w:val="00C374DE"/>
    <w:rsid w:val="00C47AD4"/>
    <w:rsid w:val="00C52D81"/>
    <w:rsid w:val="00C55198"/>
    <w:rsid w:val="00C778F7"/>
    <w:rsid w:val="00CA293A"/>
    <w:rsid w:val="00CA6393"/>
    <w:rsid w:val="00CB18FF"/>
    <w:rsid w:val="00CD0C08"/>
    <w:rsid w:val="00CD76B2"/>
    <w:rsid w:val="00CE03FB"/>
    <w:rsid w:val="00CE433C"/>
    <w:rsid w:val="00CF0161"/>
    <w:rsid w:val="00CF33F3"/>
    <w:rsid w:val="00D06183"/>
    <w:rsid w:val="00D22C42"/>
    <w:rsid w:val="00D464CC"/>
    <w:rsid w:val="00D53C61"/>
    <w:rsid w:val="00D65041"/>
    <w:rsid w:val="00DB00D5"/>
    <w:rsid w:val="00DB1936"/>
    <w:rsid w:val="00DB384B"/>
    <w:rsid w:val="00DF0189"/>
    <w:rsid w:val="00E06FD5"/>
    <w:rsid w:val="00E10DD0"/>
    <w:rsid w:val="00E10E80"/>
    <w:rsid w:val="00E124F0"/>
    <w:rsid w:val="00E227F3"/>
    <w:rsid w:val="00E545C6"/>
    <w:rsid w:val="00E60F04"/>
    <w:rsid w:val="00E65B24"/>
    <w:rsid w:val="00E72225"/>
    <w:rsid w:val="00E854E4"/>
    <w:rsid w:val="00E86DBF"/>
    <w:rsid w:val="00EA6A52"/>
    <w:rsid w:val="00EB0D6F"/>
    <w:rsid w:val="00EB2232"/>
    <w:rsid w:val="00EB5155"/>
    <w:rsid w:val="00EC5337"/>
    <w:rsid w:val="00ED454D"/>
    <w:rsid w:val="00EE49E8"/>
    <w:rsid w:val="00F00E9E"/>
    <w:rsid w:val="00F0400D"/>
    <w:rsid w:val="00F16BAB"/>
    <w:rsid w:val="00F2150A"/>
    <w:rsid w:val="00F231D8"/>
    <w:rsid w:val="00F41345"/>
    <w:rsid w:val="00F44C00"/>
    <w:rsid w:val="00F45D2C"/>
    <w:rsid w:val="00F46C5F"/>
    <w:rsid w:val="00F571AC"/>
    <w:rsid w:val="00F632C0"/>
    <w:rsid w:val="00F74694"/>
    <w:rsid w:val="00F871BD"/>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8635FEF9-1D23-4D2F-9928-CFD1EFDC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D76B2"/>
    <w:rPr>
      <w:color w:val="605E5C"/>
      <w:shd w:val="clear" w:color="auto" w:fill="E1DFDD"/>
    </w:rPr>
  </w:style>
  <w:style w:type="character" w:styleId="PlaceholderText">
    <w:name w:val="Placeholder Text"/>
    <w:basedOn w:val="DefaultParagraphFont"/>
    <w:uiPriority w:val="99"/>
    <w:semiHidden/>
    <w:rsid w:val="00F871BD"/>
    <w:rPr>
      <w:color w:val="666666"/>
    </w:rPr>
  </w:style>
  <w:style w:type="paragraph" w:customStyle="1" w:styleId="Reasons">
    <w:name w:val="Reasons"/>
    <w:basedOn w:val="Normal"/>
    <w:qFormat/>
    <w:rsid w:val="00EA6A52"/>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4979">
      <w:bodyDiv w:val="1"/>
      <w:marLeft w:val="0"/>
      <w:marRight w:val="0"/>
      <w:marTop w:val="0"/>
      <w:marBottom w:val="0"/>
      <w:divBdr>
        <w:top w:val="none" w:sz="0" w:space="0" w:color="auto"/>
        <w:left w:val="none" w:sz="0" w:space="0" w:color="auto"/>
        <w:bottom w:val="none" w:sz="0" w:space="0" w:color="auto"/>
        <w:right w:val="none" w:sz="0" w:space="0" w:color="auto"/>
      </w:divBdr>
    </w:div>
    <w:div w:id="344326398">
      <w:bodyDiv w:val="1"/>
      <w:marLeft w:val="0"/>
      <w:marRight w:val="0"/>
      <w:marTop w:val="0"/>
      <w:marBottom w:val="0"/>
      <w:divBdr>
        <w:top w:val="none" w:sz="0" w:space="0" w:color="auto"/>
        <w:left w:val="none" w:sz="0" w:space="0" w:color="auto"/>
        <w:bottom w:val="none" w:sz="0" w:space="0" w:color="auto"/>
        <w:right w:val="none" w:sz="0" w:space="0" w:color="auto"/>
      </w:divBdr>
    </w:div>
    <w:div w:id="470367157">
      <w:bodyDiv w:val="1"/>
      <w:marLeft w:val="0"/>
      <w:marRight w:val="0"/>
      <w:marTop w:val="0"/>
      <w:marBottom w:val="0"/>
      <w:divBdr>
        <w:top w:val="none" w:sz="0" w:space="0" w:color="auto"/>
        <w:left w:val="none" w:sz="0" w:space="0" w:color="auto"/>
        <w:bottom w:val="none" w:sz="0" w:space="0" w:color="auto"/>
        <w:right w:val="none" w:sz="0" w:space="0" w:color="auto"/>
      </w:divBdr>
    </w:div>
    <w:div w:id="636490972">
      <w:bodyDiv w:val="1"/>
      <w:marLeft w:val="0"/>
      <w:marRight w:val="0"/>
      <w:marTop w:val="0"/>
      <w:marBottom w:val="0"/>
      <w:divBdr>
        <w:top w:val="none" w:sz="0" w:space="0" w:color="auto"/>
        <w:left w:val="none" w:sz="0" w:space="0" w:color="auto"/>
        <w:bottom w:val="none" w:sz="0" w:space="0" w:color="auto"/>
        <w:right w:val="none" w:sz="0" w:space="0" w:color="auto"/>
      </w:divBdr>
    </w:div>
    <w:div w:id="711539373">
      <w:bodyDiv w:val="1"/>
      <w:marLeft w:val="0"/>
      <w:marRight w:val="0"/>
      <w:marTop w:val="0"/>
      <w:marBottom w:val="0"/>
      <w:divBdr>
        <w:top w:val="none" w:sz="0" w:space="0" w:color="auto"/>
        <w:left w:val="none" w:sz="0" w:space="0" w:color="auto"/>
        <w:bottom w:val="none" w:sz="0" w:space="0" w:color="auto"/>
        <w:right w:val="none" w:sz="0" w:space="0" w:color="auto"/>
      </w:divBdr>
    </w:div>
    <w:div w:id="748237829">
      <w:bodyDiv w:val="1"/>
      <w:marLeft w:val="0"/>
      <w:marRight w:val="0"/>
      <w:marTop w:val="0"/>
      <w:marBottom w:val="0"/>
      <w:divBdr>
        <w:top w:val="none" w:sz="0" w:space="0" w:color="auto"/>
        <w:left w:val="none" w:sz="0" w:space="0" w:color="auto"/>
        <w:bottom w:val="none" w:sz="0" w:space="0" w:color="auto"/>
        <w:right w:val="none" w:sz="0" w:space="0" w:color="auto"/>
      </w:divBdr>
    </w:div>
    <w:div w:id="913584473">
      <w:bodyDiv w:val="1"/>
      <w:marLeft w:val="0"/>
      <w:marRight w:val="0"/>
      <w:marTop w:val="0"/>
      <w:marBottom w:val="0"/>
      <w:divBdr>
        <w:top w:val="none" w:sz="0" w:space="0" w:color="auto"/>
        <w:left w:val="none" w:sz="0" w:space="0" w:color="auto"/>
        <w:bottom w:val="none" w:sz="0" w:space="0" w:color="auto"/>
        <w:right w:val="none" w:sz="0" w:space="0" w:color="auto"/>
      </w:divBdr>
    </w:div>
    <w:div w:id="970985953">
      <w:bodyDiv w:val="1"/>
      <w:marLeft w:val="0"/>
      <w:marRight w:val="0"/>
      <w:marTop w:val="0"/>
      <w:marBottom w:val="0"/>
      <w:divBdr>
        <w:top w:val="none" w:sz="0" w:space="0" w:color="auto"/>
        <w:left w:val="none" w:sz="0" w:space="0" w:color="auto"/>
        <w:bottom w:val="none" w:sz="0" w:space="0" w:color="auto"/>
        <w:right w:val="none" w:sz="0" w:space="0" w:color="auto"/>
      </w:divBdr>
    </w:div>
    <w:div w:id="1215047598">
      <w:bodyDiv w:val="1"/>
      <w:marLeft w:val="0"/>
      <w:marRight w:val="0"/>
      <w:marTop w:val="0"/>
      <w:marBottom w:val="0"/>
      <w:divBdr>
        <w:top w:val="none" w:sz="0" w:space="0" w:color="auto"/>
        <w:left w:val="none" w:sz="0" w:space="0" w:color="auto"/>
        <w:bottom w:val="none" w:sz="0" w:space="0" w:color="auto"/>
        <w:right w:val="none" w:sz="0" w:space="0" w:color="auto"/>
      </w:divBdr>
    </w:div>
    <w:div w:id="1363360689">
      <w:bodyDiv w:val="1"/>
      <w:marLeft w:val="0"/>
      <w:marRight w:val="0"/>
      <w:marTop w:val="0"/>
      <w:marBottom w:val="0"/>
      <w:divBdr>
        <w:top w:val="none" w:sz="0" w:space="0" w:color="auto"/>
        <w:left w:val="none" w:sz="0" w:space="0" w:color="auto"/>
        <w:bottom w:val="none" w:sz="0" w:space="0" w:color="auto"/>
        <w:right w:val="none" w:sz="0" w:space="0" w:color="auto"/>
      </w:divBdr>
    </w:div>
    <w:div w:id="1420326607">
      <w:bodyDiv w:val="1"/>
      <w:marLeft w:val="0"/>
      <w:marRight w:val="0"/>
      <w:marTop w:val="0"/>
      <w:marBottom w:val="0"/>
      <w:divBdr>
        <w:top w:val="none" w:sz="0" w:space="0" w:color="auto"/>
        <w:left w:val="none" w:sz="0" w:space="0" w:color="auto"/>
        <w:bottom w:val="none" w:sz="0" w:space="0" w:color="auto"/>
        <w:right w:val="none" w:sz="0" w:space="0" w:color="auto"/>
      </w:divBdr>
    </w:div>
    <w:div w:id="1465848665">
      <w:bodyDiv w:val="1"/>
      <w:marLeft w:val="0"/>
      <w:marRight w:val="0"/>
      <w:marTop w:val="0"/>
      <w:marBottom w:val="0"/>
      <w:divBdr>
        <w:top w:val="none" w:sz="0" w:space="0" w:color="auto"/>
        <w:left w:val="none" w:sz="0" w:space="0" w:color="auto"/>
        <w:bottom w:val="none" w:sz="0" w:space="0" w:color="auto"/>
        <w:right w:val="none" w:sz="0" w:space="0" w:color="auto"/>
      </w:divBdr>
    </w:div>
    <w:div w:id="1805543116">
      <w:bodyDiv w:val="1"/>
      <w:marLeft w:val="0"/>
      <w:marRight w:val="0"/>
      <w:marTop w:val="0"/>
      <w:marBottom w:val="0"/>
      <w:divBdr>
        <w:top w:val="none" w:sz="0" w:space="0" w:color="auto"/>
        <w:left w:val="none" w:sz="0" w:space="0" w:color="auto"/>
        <w:bottom w:val="none" w:sz="0" w:space="0" w:color="auto"/>
        <w:right w:val="none" w:sz="0" w:space="0" w:color="auto"/>
      </w:divBdr>
    </w:div>
    <w:div w:id="18120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B109D-7C44-432F-AFC3-778460EF5A22}">
  <ds:schemaRefs>
    <ds:schemaRef ds:uri="http://schemas.microsoft.com/office/2006/metadata/properties"/>
    <ds:schemaRef ds:uri="http://www.w3.org/XML/1998/namespace"/>
    <ds:schemaRef ds:uri="http://purl.org/dc/terms/"/>
    <ds:schemaRef ds:uri="http://schemas.microsoft.com/sharepoint/v3"/>
    <ds:schemaRef ds:uri="http://schemas.microsoft.com/office/2006/documentManagement/types"/>
    <ds:schemaRef ds:uri="1aaea1ea-72e4-4374-b05e-72e2f16fb7ae"/>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54E15D30-20CF-4EF6-BE67-8E8AB7BC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41CC9-85AC-4E50-8B5D-ECAB54222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1159</Words>
  <Characters>8077</Characters>
  <Application>Microsoft Office Word</Application>
  <DocSecurity>0</DocSecurity>
  <Lines>164</Lines>
  <Paragraphs>57</Paragraphs>
  <ScaleCrop>false</ScaleCrop>
  <HeadingPairs>
    <vt:vector size="2" baseType="variant">
      <vt:variant>
        <vt:lpstr>Title</vt:lpstr>
      </vt:variant>
      <vt:variant>
        <vt:i4>1</vt:i4>
      </vt:variant>
    </vt:vector>
  </HeadingPairs>
  <TitlesOfParts>
    <vt:vector size="1" baseType="lpstr">
      <vt:lpstr>Child online protection risks and capacity building for an AI-enabled digital environment</vt:lpstr>
    </vt:vector>
  </TitlesOfParts>
  <Manager/>
  <Company/>
  <LinksUpToDate>false</LinksUpToDate>
  <CharactersWithSpaces>9179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online protection risks and capacity building for an AI-enabled digital environment</dc:title>
  <dc:subject>ITU Council Working Group on child onlinie protection</dc:subject>
  <dc:creator/>
  <cp:keywords>CWG-COP; C26; Council-26</cp:keywords>
  <dc:description/>
  <dcterms:created xsi:type="dcterms:W3CDTF">2026-01-07T15:42:00Z</dcterms:created>
  <dcterms:modified xsi:type="dcterms:W3CDTF">2026-01-07T17:17:00Z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68537e51-2890-49e6-83a1-9d0d2fc8e3bc</vt:lpwstr>
  </property>
  <property fmtid="{D5CDD505-2E9C-101B-9397-08002B2CF9AE}" pid="3" name="ContentTypeId">
    <vt:lpwstr>0x0101001E46BE2403204D4E844191C3480CD35B</vt:lpwstr>
  </property>
</Properties>
</file>