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955751"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1E91973C" w:rsidR="00AD3606" w:rsidRPr="00A52C84" w:rsidRDefault="00AD3606" w:rsidP="00472BAD">
            <w:pPr>
              <w:tabs>
                <w:tab w:val="left" w:pos="851"/>
              </w:tabs>
              <w:spacing w:before="0" w:line="240" w:lineRule="atLeast"/>
              <w:jc w:val="right"/>
              <w:rPr>
                <w:b/>
                <w:lang w:val="fr-CH"/>
              </w:rPr>
            </w:pPr>
            <w:r w:rsidRPr="00A52C84">
              <w:rPr>
                <w:b/>
                <w:lang w:val="fr-CH"/>
              </w:rPr>
              <w:t xml:space="preserve">Document </w:t>
            </w:r>
            <w:proofErr w:type="spellStart"/>
            <w:r w:rsidRPr="00A52C84">
              <w:rPr>
                <w:b/>
                <w:lang w:val="fr-CH"/>
              </w:rPr>
              <w:t>C</w:t>
            </w:r>
            <w:r w:rsidR="00A52C84" w:rsidRPr="00A52C84">
              <w:rPr>
                <w:b/>
                <w:lang w:val="fr-CH"/>
              </w:rPr>
              <w:t>WG</w:t>
            </w:r>
            <w:proofErr w:type="spellEnd"/>
            <w:r w:rsidR="00A52C84" w:rsidRPr="00A52C84">
              <w:rPr>
                <w:b/>
                <w:lang w:val="fr-CH"/>
              </w:rPr>
              <w:t>-</w:t>
            </w:r>
            <w:proofErr w:type="spellStart"/>
            <w:r w:rsidR="00891503">
              <w:rPr>
                <w:b/>
                <w:lang w:val="fr-CH"/>
              </w:rPr>
              <w:t>COP</w:t>
            </w:r>
            <w:r w:rsidR="00A52C84" w:rsidRPr="00A52C84">
              <w:rPr>
                <w:b/>
                <w:lang w:val="fr-CH"/>
              </w:rPr>
              <w:t>-</w:t>
            </w:r>
            <w:r w:rsidR="00BC54CD">
              <w:rPr>
                <w:b/>
                <w:lang w:val="fr-CH"/>
              </w:rPr>
              <w:t>2</w:t>
            </w:r>
            <w:r w:rsidR="000F2FAF">
              <w:rPr>
                <w:b/>
                <w:lang w:val="fr-CH"/>
              </w:rPr>
              <w:t>4</w:t>
            </w:r>
            <w:proofErr w:type="spellEnd"/>
            <w:r w:rsidRPr="00A52C84">
              <w:rPr>
                <w:b/>
                <w:lang w:val="fr-CH"/>
              </w:rPr>
              <w:t>/</w:t>
            </w:r>
            <w:r w:rsidR="0061580C">
              <w:rPr>
                <w:b/>
                <w:lang w:val="fr-CH"/>
              </w:rPr>
              <w:t>4</w:t>
            </w:r>
          </w:p>
        </w:tc>
      </w:tr>
      <w:tr w:rsidR="00AD3606" w:rsidRPr="00813E5E" w14:paraId="789B45BA" w14:textId="77777777" w:rsidTr="00AD3606">
        <w:trPr>
          <w:cantSplit/>
        </w:trPr>
        <w:tc>
          <w:tcPr>
            <w:tcW w:w="3969" w:type="dxa"/>
            <w:vMerge/>
          </w:tcPr>
          <w:p w14:paraId="3F3D4E17" w14:textId="77777777" w:rsidR="00AD3606" w:rsidRPr="00A52C84" w:rsidRDefault="00AD3606" w:rsidP="00AD3606">
            <w:pPr>
              <w:tabs>
                <w:tab w:val="left" w:pos="851"/>
              </w:tabs>
              <w:spacing w:line="240" w:lineRule="atLeast"/>
              <w:rPr>
                <w:b/>
                <w:lang w:val="fr-CH"/>
              </w:rPr>
            </w:pPr>
            <w:bookmarkStart w:id="6" w:name="ddate" w:colFirst="1" w:colLast="1"/>
            <w:bookmarkEnd w:id="0"/>
            <w:bookmarkEnd w:id="1"/>
          </w:p>
        </w:tc>
        <w:tc>
          <w:tcPr>
            <w:tcW w:w="5245" w:type="dxa"/>
          </w:tcPr>
          <w:p w14:paraId="2DE9ACEA" w14:textId="58FBAABD" w:rsidR="00AD3606" w:rsidRPr="00E85629" w:rsidRDefault="008F5982" w:rsidP="00AD3606">
            <w:pPr>
              <w:tabs>
                <w:tab w:val="left" w:pos="851"/>
              </w:tabs>
              <w:spacing w:before="0"/>
              <w:jc w:val="right"/>
              <w:rPr>
                <w:b/>
              </w:rPr>
            </w:pPr>
            <w:r>
              <w:rPr>
                <w:b/>
              </w:rPr>
              <w:t>6 February 2026</w:t>
            </w:r>
          </w:p>
        </w:tc>
      </w:tr>
      <w:tr w:rsidR="00AD3606" w:rsidRPr="00813E5E"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05CDF347" w:rsidR="00AD3606" w:rsidRPr="00E85629" w:rsidRDefault="00891503" w:rsidP="00AD3606">
            <w:pPr>
              <w:tabs>
                <w:tab w:val="left" w:pos="851"/>
              </w:tabs>
              <w:spacing w:before="0" w:line="240" w:lineRule="atLeast"/>
              <w:jc w:val="right"/>
              <w:rPr>
                <w:b/>
              </w:rPr>
            </w:pPr>
            <w:r>
              <w:rPr>
                <w:b/>
              </w:rPr>
              <w:t>English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3688393D" w:rsidR="00AD3606" w:rsidRPr="004405AB" w:rsidRDefault="008F5982" w:rsidP="008F5982">
            <w:pPr>
              <w:pStyle w:val="Source"/>
              <w:framePr w:hSpace="0" w:wrap="auto" w:vAnchor="margin" w:hAnchor="text" w:xAlign="left" w:yAlign="inline"/>
            </w:pPr>
            <w:bookmarkStart w:id="8" w:name="dsource" w:colFirst="0" w:colLast="0"/>
            <w:bookmarkEnd w:id="7"/>
            <w:r>
              <w:t>Chair, Council Working Group on child online protection</w:t>
            </w:r>
          </w:p>
        </w:tc>
      </w:tr>
      <w:tr w:rsidR="00AD3606" w:rsidRPr="00813E5E" w14:paraId="2340750D" w14:textId="77777777" w:rsidTr="00AD3606">
        <w:trPr>
          <w:cantSplit/>
        </w:trPr>
        <w:tc>
          <w:tcPr>
            <w:tcW w:w="9214" w:type="dxa"/>
            <w:gridSpan w:val="2"/>
            <w:tcMar>
              <w:left w:w="0" w:type="dxa"/>
            </w:tcMar>
          </w:tcPr>
          <w:p w14:paraId="47B91AA8" w14:textId="6DAC98E3" w:rsidR="00AD3606" w:rsidRPr="004405AB" w:rsidRDefault="00A05D82" w:rsidP="004405AB">
            <w:pPr>
              <w:pStyle w:val="Subtitle"/>
              <w:framePr w:hSpace="0" w:wrap="auto" w:xAlign="left" w:yAlign="inline"/>
            </w:pPr>
            <w:bookmarkStart w:id="9" w:name="dtitle1" w:colFirst="0" w:colLast="0"/>
            <w:bookmarkStart w:id="10" w:name="_Hlk195023125"/>
            <w:bookmarkEnd w:id="8"/>
            <w:r w:rsidRPr="00404C9A">
              <w:t>OUTCOME OF THE TWENTY-FOURTH MEETING OF THE COUNCIL WORKING GROUP ON CHILD ONLINE PROTECTION</w:t>
            </w:r>
            <w:bookmarkEnd w:id="10"/>
          </w:p>
        </w:tc>
      </w:tr>
      <w:tr w:rsidR="00AD3606" w:rsidRPr="00813E5E"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F16BAB" w:rsidRDefault="00F16BAB" w:rsidP="00F16BAB">
            <w:pPr>
              <w:spacing w:before="160"/>
              <w:rPr>
                <w:b/>
                <w:bCs/>
                <w:sz w:val="26"/>
                <w:szCs w:val="26"/>
              </w:rPr>
            </w:pPr>
            <w:r w:rsidRPr="00F16BAB">
              <w:rPr>
                <w:b/>
                <w:bCs/>
                <w:sz w:val="26"/>
                <w:szCs w:val="26"/>
              </w:rPr>
              <w:t>Purpose</w:t>
            </w:r>
          </w:p>
          <w:p w14:paraId="1CFC503B" w14:textId="58E25020" w:rsidR="00A62F3C" w:rsidRPr="00404C9A" w:rsidRDefault="00A62F3C" w:rsidP="00A62F3C">
            <w:pPr>
              <w:jc w:val="both"/>
            </w:pPr>
            <w:r w:rsidRPr="00404C9A">
              <w:t>This Report summarizes the main results of the twenty-fourth meeting of the Council</w:t>
            </w:r>
            <w:r w:rsidR="00024496">
              <w:t> </w:t>
            </w:r>
            <w:r w:rsidRPr="00404C9A">
              <w:t xml:space="preserve">Working Group on child online protection (CWG-COP), held on </w:t>
            </w:r>
            <w:bookmarkStart w:id="11" w:name="_Hlk179446320"/>
            <w:r w:rsidRPr="00404C9A">
              <w:t>19 January 202</w:t>
            </w:r>
            <w:bookmarkEnd w:id="11"/>
            <w:r w:rsidRPr="00404C9A">
              <w:t>6, in</w:t>
            </w:r>
            <w:r w:rsidR="00024496">
              <w:t> </w:t>
            </w:r>
            <w:r w:rsidRPr="00404C9A">
              <w:t>accordance with ITU 2010 Council Resolution 1306 and ITU Plenipotentiary Resolution 179 (Rev. Bucharest, 2022).</w:t>
            </w:r>
          </w:p>
          <w:p w14:paraId="5076D5C4" w14:textId="28F00572" w:rsidR="00AD3606" w:rsidRPr="00F16BAB" w:rsidRDefault="00AD3606" w:rsidP="00F16BAB">
            <w:pPr>
              <w:spacing w:before="160"/>
              <w:rPr>
                <w:b/>
                <w:bCs/>
                <w:sz w:val="26"/>
                <w:szCs w:val="26"/>
              </w:rPr>
            </w:pPr>
            <w:r w:rsidRPr="00F16BAB">
              <w:rPr>
                <w:b/>
                <w:bCs/>
                <w:sz w:val="26"/>
                <w:szCs w:val="26"/>
              </w:rPr>
              <w:t>Action required</w:t>
            </w:r>
          </w:p>
          <w:p w14:paraId="037D4C46" w14:textId="77777777" w:rsidR="00A62F3C" w:rsidRPr="00404C9A" w:rsidRDefault="00A62F3C" w:rsidP="00A62F3C">
            <w:pPr>
              <w:spacing w:before="160"/>
            </w:pPr>
            <w:r w:rsidRPr="00404C9A">
              <w:t xml:space="preserve">The Council Working Group on child online protection is invited to </w:t>
            </w:r>
            <w:r w:rsidRPr="00404C9A">
              <w:rPr>
                <w:b/>
                <w:bCs/>
              </w:rPr>
              <w:t xml:space="preserve">note </w:t>
            </w:r>
            <w:r w:rsidRPr="00404C9A">
              <w:t>the report.</w:t>
            </w:r>
          </w:p>
          <w:p w14:paraId="39D8C9AA" w14:textId="77777777" w:rsidR="001F4774" w:rsidRDefault="001F4774">
            <w:r>
              <w:t>_______________</w:t>
            </w:r>
          </w:p>
          <w:p w14:paraId="00DEE14C" w14:textId="77777777" w:rsidR="00AD3606" w:rsidRDefault="00AD3606" w:rsidP="00F16BAB">
            <w:pPr>
              <w:spacing w:before="160"/>
              <w:rPr>
                <w:b/>
                <w:bCs/>
                <w:sz w:val="26"/>
                <w:szCs w:val="26"/>
              </w:rPr>
            </w:pPr>
            <w:r w:rsidRPr="00F16BAB">
              <w:rPr>
                <w:b/>
                <w:bCs/>
                <w:sz w:val="26"/>
                <w:szCs w:val="26"/>
              </w:rPr>
              <w:t>References</w:t>
            </w:r>
          </w:p>
          <w:p w14:paraId="0175CD6C" w14:textId="139EC4B8" w:rsidR="00AD3606" w:rsidRPr="00AB31DE" w:rsidRDefault="004405AB" w:rsidP="00F16BAB">
            <w:pPr>
              <w:spacing w:after="160"/>
              <w:rPr>
                <w:i/>
                <w:iCs/>
                <w:sz w:val="22"/>
                <w:szCs w:val="22"/>
              </w:rPr>
            </w:pPr>
            <w:hyperlink r:id="rId8" w:history="1">
              <w:r w:rsidRPr="00AB31DE">
                <w:rPr>
                  <w:rStyle w:val="Hyperlink"/>
                  <w:i/>
                  <w:iCs/>
                  <w:sz w:val="22"/>
                  <w:szCs w:val="22"/>
                </w:rPr>
                <w:t>CWG-COP website</w:t>
              </w:r>
            </w:hyperlink>
          </w:p>
        </w:tc>
      </w:tr>
    </w:tbl>
    <w:p w14:paraId="4CDB8B60" w14:textId="77777777" w:rsidR="00E227F3" w:rsidRPr="00A62F3C"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2" w:name="_Hlk133421428"/>
      <w:bookmarkEnd w:id="2"/>
      <w:bookmarkEnd w:id="9"/>
    </w:p>
    <w:bookmarkEnd w:id="3"/>
    <w:bookmarkEnd w:id="4"/>
    <w:p w14:paraId="1D7ED322" w14:textId="77777777" w:rsidR="0090147A" w:rsidRPr="00A62F3C"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A62F3C">
        <w:br w:type="page"/>
      </w:r>
    </w:p>
    <w:bookmarkEnd w:id="5"/>
    <w:bookmarkEnd w:id="12"/>
    <w:p w14:paraId="077BD7D7" w14:textId="77777777" w:rsidR="000E48A8" w:rsidRPr="00404C9A" w:rsidRDefault="000E48A8" w:rsidP="00024496">
      <w:pPr>
        <w:pStyle w:val="Heading1"/>
      </w:pPr>
      <w:r w:rsidRPr="00404C9A">
        <w:lastRenderedPageBreak/>
        <w:t>1</w:t>
      </w:r>
      <w:r w:rsidRPr="00404C9A">
        <w:tab/>
        <w:t>Introduction</w:t>
      </w:r>
    </w:p>
    <w:p w14:paraId="3514162B" w14:textId="1E7C0E15" w:rsidR="000E48A8" w:rsidRPr="00404C9A" w:rsidRDefault="000E48A8" w:rsidP="000E48A8">
      <w:pPr>
        <w:jc w:val="both"/>
      </w:pPr>
      <w:r w:rsidRPr="00404C9A">
        <w:t>1.1</w:t>
      </w:r>
      <w:r w:rsidRPr="00404C9A">
        <w:tab/>
        <w:t>The twenty-fourth meeting of CWG-COP convened stakeholders from Member States, Sector Members, academia, civil society, and international organizations. The meeting was chaired by the Vice</w:t>
      </w:r>
      <w:r>
        <w:t>-</w:t>
      </w:r>
      <w:r w:rsidRPr="00404C9A">
        <w:t xml:space="preserve">Chair Ms </w:t>
      </w:r>
      <w:r w:rsidRPr="00404C9A">
        <w:rPr>
          <w:rFonts w:eastAsia="Calibri"/>
        </w:rPr>
        <w:t>Stella C. Erebor (Nigeria)</w:t>
      </w:r>
      <w:r w:rsidRPr="00404C9A">
        <w:t>.</w:t>
      </w:r>
    </w:p>
    <w:p w14:paraId="5EA338E6" w14:textId="77777777" w:rsidR="000E48A8" w:rsidRPr="00404C9A" w:rsidRDefault="000E48A8" w:rsidP="00024496">
      <w:pPr>
        <w:pStyle w:val="Heading1"/>
      </w:pPr>
      <w:r w:rsidRPr="00404C9A">
        <w:t>2</w:t>
      </w:r>
      <w:r w:rsidRPr="00404C9A">
        <w:tab/>
        <w:t>Opening remarks</w:t>
      </w:r>
    </w:p>
    <w:p w14:paraId="36CAC21F" w14:textId="13B1ECFB" w:rsidR="000E48A8" w:rsidRPr="00404C9A" w:rsidRDefault="000E48A8" w:rsidP="000E48A8">
      <w:pPr>
        <w:jc w:val="both"/>
        <w:rPr>
          <w:rFonts w:asciiTheme="minorHAnsi" w:hAnsiTheme="minorHAnsi" w:cstheme="minorBidi"/>
        </w:rPr>
      </w:pPr>
      <w:r w:rsidRPr="00404C9A">
        <w:rPr>
          <w:rFonts w:asciiTheme="minorHAnsi" w:hAnsiTheme="minorHAnsi" w:cstheme="minorBidi"/>
        </w:rPr>
        <w:t>2.1</w:t>
      </w:r>
      <w:r w:rsidRPr="00404C9A">
        <w:rPr>
          <w:rFonts w:asciiTheme="minorHAnsi" w:hAnsiTheme="minorHAnsi" w:cstheme="minorBidi"/>
        </w:rPr>
        <w:tab/>
        <w:t xml:space="preserve">Dr Cosmas Luckyson Zavazava, Director of the ITU Development Bureau, welcomed delegates to the 24th CWG-COP meeting, emphasizing this as the final gathering before the Plenipotentiary </w:t>
      </w:r>
      <w:r w:rsidRPr="000E48A8">
        <w:t>Conference</w:t>
      </w:r>
      <w:r w:rsidRPr="00404C9A">
        <w:rPr>
          <w:rFonts w:asciiTheme="minorHAnsi" w:hAnsiTheme="minorHAnsi" w:cstheme="minorBidi"/>
        </w:rPr>
        <w:t xml:space="preserve"> of 2026 (PP-26), where Member States will review the Working Group’s future. He highlighted recent momentum, notably the </w:t>
      </w:r>
      <w:proofErr w:type="spellStart"/>
      <w:r w:rsidRPr="00404C9A">
        <w:rPr>
          <w:rFonts w:asciiTheme="minorHAnsi" w:hAnsiTheme="minorHAnsi" w:cstheme="minorBidi"/>
        </w:rPr>
        <w:t>WTDC</w:t>
      </w:r>
      <w:proofErr w:type="spellEnd"/>
      <w:r w:rsidRPr="00404C9A">
        <w:rPr>
          <w:rFonts w:asciiTheme="minorHAnsi" w:hAnsiTheme="minorHAnsi" w:cstheme="minorBidi"/>
        </w:rPr>
        <w:t xml:space="preserve"> in Baku, which strengthened COP’s integration within cybersecurity, digital inclusion, and AI for development. </w:t>
      </w:r>
    </w:p>
    <w:p w14:paraId="1B85EEB0" w14:textId="55237C69" w:rsidR="000E48A8" w:rsidRPr="00404C9A" w:rsidRDefault="000E48A8" w:rsidP="000E48A8">
      <w:pPr>
        <w:jc w:val="both"/>
        <w:rPr>
          <w:rFonts w:asciiTheme="minorHAnsi" w:hAnsiTheme="minorHAnsi" w:cstheme="minorBidi"/>
        </w:rPr>
      </w:pPr>
      <w:r w:rsidRPr="00404C9A">
        <w:rPr>
          <w:rFonts w:asciiTheme="minorHAnsi" w:hAnsiTheme="minorHAnsi" w:cstheme="minorBidi"/>
        </w:rPr>
        <w:t>He noted that since the last CWG meeting, COP has scaled capacity-building globally, from the Maldives to Morocco, Switzerland, and Brazil, supporting national frameworks and engaging children’s perspectives. He announced and clarified the launch of the landmark Joint Statement on AI and Child Rights on the same day, reinforcing ITU’s leadership in safeguarding children’s digital futures as the Council reflects on the 2022</w:t>
      </w:r>
      <w:r w:rsidR="00323222">
        <w:rPr>
          <w:rFonts w:asciiTheme="minorHAnsi" w:hAnsiTheme="minorHAnsi" w:cstheme="minorBidi"/>
        </w:rPr>
        <w:t>-</w:t>
      </w:r>
      <w:r w:rsidRPr="00404C9A">
        <w:rPr>
          <w:rFonts w:asciiTheme="minorHAnsi" w:hAnsiTheme="minorHAnsi" w:cstheme="minorBidi"/>
        </w:rPr>
        <w:t>2026 reporting cycle ahead of PP</w:t>
      </w:r>
      <w:r w:rsidR="00323222">
        <w:rPr>
          <w:rFonts w:asciiTheme="minorHAnsi" w:hAnsiTheme="minorHAnsi" w:cstheme="minorBidi"/>
        </w:rPr>
        <w:noBreakHyphen/>
      </w:r>
      <w:r w:rsidRPr="00404C9A">
        <w:rPr>
          <w:rFonts w:asciiTheme="minorHAnsi" w:hAnsiTheme="minorHAnsi" w:cstheme="minorBidi"/>
        </w:rPr>
        <w:t>26.</w:t>
      </w:r>
    </w:p>
    <w:p w14:paraId="7C229E17" w14:textId="77777777" w:rsidR="000E48A8" w:rsidRPr="00404C9A" w:rsidRDefault="000E48A8" w:rsidP="00024496">
      <w:pPr>
        <w:pStyle w:val="Heading1"/>
      </w:pPr>
      <w:r w:rsidRPr="00404C9A">
        <w:t>3</w:t>
      </w:r>
      <w:r w:rsidRPr="00404C9A">
        <w:tab/>
        <w:t>Adoption of the agenda</w:t>
      </w:r>
    </w:p>
    <w:p w14:paraId="5717D57C" w14:textId="77777777" w:rsidR="000E48A8" w:rsidRPr="00404C9A" w:rsidRDefault="000E48A8" w:rsidP="000E48A8">
      <w:pPr>
        <w:jc w:val="both"/>
        <w:rPr>
          <w:rFonts w:asciiTheme="minorHAnsi" w:hAnsiTheme="minorHAnsi" w:cstheme="minorBidi"/>
        </w:rPr>
      </w:pPr>
      <w:r w:rsidRPr="00404C9A">
        <w:rPr>
          <w:rFonts w:asciiTheme="minorHAnsi" w:hAnsiTheme="minorHAnsi" w:cstheme="minorBidi"/>
        </w:rPr>
        <w:t>3.1</w:t>
      </w:r>
      <w:r w:rsidRPr="00404C9A">
        <w:rPr>
          <w:rFonts w:asciiTheme="minorHAnsi" w:hAnsiTheme="minorHAnsi" w:cstheme="minorBidi"/>
        </w:rPr>
        <w:tab/>
        <w:t xml:space="preserve">The </w:t>
      </w:r>
      <w:hyperlink r:id="rId9" w:history="1">
        <w:r w:rsidRPr="00404C9A">
          <w:rPr>
            <w:rStyle w:val="Hyperlink"/>
            <w:rFonts w:asciiTheme="minorHAnsi" w:hAnsiTheme="minorHAnsi" w:cstheme="minorBidi"/>
          </w:rPr>
          <w:t>Agenda</w:t>
        </w:r>
      </w:hyperlink>
      <w:r w:rsidRPr="00404C9A">
        <w:rPr>
          <w:rFonts w:asciiTheme="minorHAnsi" w:hAnsiTheme="minorHAnsi" w:cstheme="minorBidi"/>
        </w:rPr>
        <w:t xml:space="preserve"> was adopted with modifications proposed by the Chair. To optimize thematic flow and time </w:t>
      </w:r>
      <w:r w:rsidRPr="00404C9A">
        <w:t>management</w:t>
      </w:r>
      <w:r w:rsidRPr="00404C9A">
        <w:rPr>
          <w:rFonts w:asciiTheme="minorHAnsi" w:hAnsiTheme="minorHAnsi" w:cstheme="minorBidi"/>
        </w:rPr>
        <w:t xml:space="preserve">, and </w:t>
      </w:r>
      <w:proofErr w:type="gramStart"/>
      <w:r w:rsidRPr="00404C9A">
        <w:rPr>
          <w:rFonts w:asciiTheme="minorHAnsi" w:hAnsiTheme="minorHAnsi" w:cstheme="minorBidi"/>
        </w:rPr>
        <w:t>in light of</w:t>
      </w:r>
      <w:proofErr w:type="gramEnd"/>
      <w:r w:rsidRPr="00404C9A">
        <w:rPr>
          <w:rFonts w:asciiTheme="minorHAnsi" w:hAnsiTheme="minorHAnsi" w:cstheme="minorBidi"/>
        </w:rPr>
        <w:t xml:space="preserve"> several late contributions, the group agreed to:</w:t>
      </w:r>
    </w:p>
    <w:p w14:paraId="4865DD13" w14:textId="3C30FE86" w:rsidR="000E48A8" w:rsidRPr="00404C9A" w:rsidRDefault="000E48A8" w:rsidP="00EE7079">
      <w:pPr>
        <w:pStyle w:val="enumlev1"/>
        <w:jc w:val="both"/>
      </w:pPr>
      <w:r w:rsidRPr="00404C9A">
        <w:t>–</w:t>
      </w:r>
      <w:r w:rsidRPr="00404C9A">
        <w:tab/>
        <w:t>Accept hearing four contributions handed in after the official deadline — Philippines (</w:t>
      </w:r>
      <w:r w:rsidR="00EE7079">
        <w:t>Document </w:t>
      </w:r>
      <w:hyperlink r:id="rId10" w:history="1">
        <w:r w:rsidR="00EE7079" w:rsidRPr="00EE7079">
          <w:rPr>
            <w:rStyle w:val="Hyperlink"/>
          </w:rPr>
          <w:t>CWG-COP-24/</w:t>
        </w:r>
        <w:r w:rsidRPr="00EE7079">
          <w:rPr>
            <w:rStyle w:val="Hyperlink"/>
            <w:rFonts w:asciiTheme="minorHAnsi" w:hAnsiTheme="minorHAnsi" w:cstheme="minorBidi"/>
          </w:rPr>
          <w:t>INF/15</w:t>
        </w:r>
      </w:hyperlink>
      <w:r w:rsidRPr="00404C9A">
        <w:t xml:space="preserve">) in the morning session (Member states’ contributions) — and Digital Futures for Children, LSE, </w:t>
      </w:r>
      <w:proofErr w:type="spellStart"/>
      <w:r w:rsidRPr="00404C9A">
        <w:t>5Rights</w:t>
      </w:r>
      <w:proofErr w:type="spellEnd"/>
      <w:r w:rsidRPr="00404C9A">
        <w:t xml:space="preserve"> Foundation, </w:t>
      </w:r>
      <w:proofErr w:type="spellStart"/>
      <w:r w:rsidRPr="00404C9A">
        <w:t>Mtoto</w:t>
      </w:r>
      <w:proofErr w:type="spellEnd"/>
      <w:r w:rsidRPr="00404C9A">
        <w:t xml:space="preserve"> News (</w:t>
      </w:r>
      <w:r w:rsidR="00EE7079">
        <w:t>Document </w:t>
      </w:r>
      <w:hyperlink r:id="rId11" w:history="1">
        <w:r w:rsidR="00EE7079">
          <w:rPr>
            <w:rStyle w:val="Hyperlink"/>
            <w:rFonts w:asciiTheme="minorHAnsi" w:hAnsiTheme="minorHAnsi" w:cstheme="minorBidi"/>
          </w:rPr>
          <w:t>CWG-COP-24/INF/12</w:t>
        </w:r>
      </w:hyperlink>
      <w:r w:rsidRPr="00404C9A">
        <w:t xml:space="preserve">), </w:t>
      </w:r>
      <w:proofErr w:type="spellStart"/>
      <w:r w:rsidRPr="00404C9A">
        <w:t>SWGfL</w:t>
      </w:r>
      <w:proofErr w:type="spellEnd"/>
      <w:r w:rsidR="00EE7079">
        <w:t xml:space="preserve"> </w:t>
      </w:r>
      <w:r w:rsidRPr="00404C9A">
        <w:t>(</w:t>
      </w:r>
      <w:r w:rsidR="00EE7079">
        <w:t>Document </w:t>
      </w:r>
      <w:hyperlink r:id="rId12" w:history="1">
        <w:r w:rsidR="00EE7079">
          <w:rPr>
            <w:rStyle w:val="Hyperlink"/>
            <w:rFonts w:asciiTheme="minorHAnsi" w:hAnsiTheme="minorHAnsi" w:cstheme="minorBidi"/>
          </w:rPr>
          <w:t>CWG-COP-24/INF/13</w:t>
        </w:r>
      </w:hyperlink>
      <w:r w:rsidRPr="00404C9A">
        <w:t>), Council of Europe (</w:t>
      </w:r>
      <w:r w:rsidR="00EE7079">
        <w:t>Document </w:t>
      </w:r>
      <w:hyperlink r:id="rId13" w:history="1">
        <w:r w:rsidR="00EE7079">
          <w:rPr>
            <w:rStyle w:val="Hyperlink"/>
            <w:rFonts w:asciiTheme="minorHAnsi" w:hAnsiTheme="minorHAnsi" w:cstheme="minorBidi"/>
          </w:rPr>
          <w:t>CWG-COP-24/INF/14</w:t>
        </w:r>
      </w:hyperlink>
      <w:r w:rsidRPr="00404C9A">
        <w:t>) in the afternoon session (Any Other Business)</w:t>
      </w:r>
      <w:r w:rsidR="00EE7079">
        <w:t>.</w:t>
      </w:r>
    </w:p>
    <w:p w14:paraId="06DEF261" w14:textId="22950415" w:rsidR="000E48A8" w:rsidRPr="00404C9A" w:rsidRDefault="000E48A8" w:rsidP="000E48A8">
      <w:pPr>
        <w:pStyle w:val="enumlev1"/>
        <w:jc w:val="both"/>
        <w:rPr>
          <w:rFonts w:asciiTheme="minorHAnsi" w:hAnsiTheme="minorHAnsi" w:cstheme="minorBidi"/>
        </w:rPr>
      </w:pPr>
      <w:r w:rsidRPr="00404C9A">
        <w:rPr>
          <w:rFonts w:asciiTheme="minorHAnsi" w:hAnsiTheme="minorHAnsi" w:cstheme="minorBidi"/>
        </w:rPr>
        <w:t>–</w:t>
      </w:r>
      <w:r w:rsidRPr="00404C9A">
        <w:rPr>
          <w:rFonts w:ascii="Symbol" w:hAnsi="Symbol" w:cstheme="minorBidi"/>
          <w:sz w:val="20"/>
        </w:rPr>
        <w:tab/>
      </w:r>
      <w:r w:rsidRPr="00404C9A">
        <w:rPr>
          <w:rFonts w:asciiTheme="minorHAnsi" w:hAnsiTheme="minorHAnsi" w:cstheme="minorBidi"/>
        </w:rPr>
        <w:t>Prioritize the liaison statement from ITU-T SG17 (</w:t>
      </w:r>
      <w:r w:rsidR="00EE7079">
        <w:t>Document </w:t>
      </w:r>
      <w:hyperlink r:id="rId14" w:history="1">
        <w:r w:rsidR="00EE7079">
          <w:rPr>
            <w:rStyle w:val="Hyperlink"/>
            <w:rFonts w:asciiTheme="minorHAnsi" w:hAnsiTheme="minorHAnsi" w:cstheme="minorBidi"/>
          </w:rPr>
          <w:t>CWG-COP-24/INF/16</w:t>
        </w:r>
      </w:hyperlink>
      <w:r w:rsidRPr="00404C9A">
        <w:rPr>
          <w:rFonts w:asciiTheme="minorHAnsi" w:hAnsiTheme="minorHAnsi" w:cstheme="minorBidi"/>
        </w:rPr>
        <w:t>)</w:t>
      </w:r>
      <w:r w:rsidR="00524E5C">
        <w:rPr>
          <w:rFonts w:asciiTheme="minorHAnsi" w:hAnsiTheme="minorHAnsi" w:cstheme="minorBidi"/>
        </w:rPr>
        <w:t>.</w:t>
      </w:r>
    </w:p>
    <w:p w14:paraId="320529DD" w14:textId="4AF7897E" w:rsidR="000E48A8" w:rsidRPr="00404C9A" w:rsidRDefault="000E48A8" w:rsidP="000E48A8">
      <w:pPr>
        <w:pStyle w:val="enumlev1"/>
        <w:jc w:val="both"/>
        <w:rPr>
          <w:rFonts w:asciiTheme="minorHAnsi" w:eastAsiaTheme="majorEastAsia" w:hAnsiTheme="minorHAnsi" w:cstheme="minorHAnsi"/>
          <w:szCs w:val="24"/>
        </w:rPr>
      </w:pPr>
      <w:r w:rsidRPr="00404C9A">
        <w:rPr>
          <w:rFonts w:asciiTheme="minorHAnsi" w:hAnsiTheme="minorHAnsi" w:cstheme="minorBidi"/>
        </w:rPr>
        <w:t>–</w:t>
      </w:r>
      <w:r w:rsidRPr="00404C9A">
        <w:rPr>
          <w:rFonts w:asciiTheme="minorHAnsi" w:hAnsiTheme="minorHAnsi" w:cstheme="minorHAnsi"/>
          <w:sz w:val="20"/>
        </w:rPr>
        <w:tab/>
      </w:r>
      <w:r w:rsidRPr="00404C9A">
        <w:rPr>
          <w:rFonts w:asciiTheme="minorHAnsi" w:eastAsiaTheme="majorEastAsia" w:hAnsiTheme="minorHAnsi" w:cstheme="minorHAnsi"/>
          <w:szCs w:val="24"/>
        </w:rPr>
        <w:t xml:space="preserve">Post the late contributions and the </w:t>
      </w:r>
      <w:r w:rsidRPr="00404C9A">
        <w:rPr>
          <w:rFonts w:asciiTheme="minorHAnsi" w:hAnsiTheme="minorHAnsi" w:cstheme="minorHAnsi"/>
        </w:rPr>
        <w:t>Joint Statement on Artificial Intelligence and the Rights of the Child as information documents on the CWG website for the groups’ review.</w:t>
      </w:r>
    </w:p>
    <w:p w14:paraId="0B23C6B9" w14:textId="77777777" w:rsidR="000E48A8" w:rsidRPr="00404C9A" w:rsidRDefault="000E48A8" w:rsidP="00024496">
      <w:pPr>
        <w:pStyle w:val="Heading1"/>
      </w:pPr>
      <w:r w:rsidRPr="00404C9A">
        <w:t>4</w:t>
      </w:r>
      <w:r w:rsidRPr="00404C9A">
        <w:tab/>
        <w:t>Contributions and information documents</w:t>
      </w:r>
    </w:p>
    <w:p w14:paraId="768B6CF6" w14:textId="77777777" w:rsidR="000E48A8" w:rsidRPr="00404C9A" w:rsidRDefault="000E48A8" w:rsidP="000E48A8">
      <w:pPr>
        <w:jc w:val="both"/>
      </w:pPr>
      <w:r w:rsidRPr="00404C9A">
        <w:t>4.1</w:t>
      </w:r>
      <w:r w:rsidRPr="00404C9A">
        <w:tab/>
        <w:t>The following documents were presented by membership and partners (in order of appearance):</w:t>
      </w:r>
    </w:p>
    <w:p w14:paraId="5DE01DB0" w14:textId="77777777" w:rsidR="000E48A8" w:rsidRPr="00404C9A" w:rsidRDefault="000E48A8" w:rsidP="000E48A8">
      <w:pPr>
        <w:pStyle w:val="enumlev1"/>
        <w:jc w:val="both"/>
        <w:rPr>
          <w:rFonts w:eastAsia="Calibri" w:cs="Calibri"/>
        </w:rPr>
      </w:pPr>
      <w:r w:rsidRPr="00404C9A">
        <w:rPr>
          <w:rFonts w:asciiTheme="minorHAnsi" w:hAnsiTheme="minorHAnsi" w:cstheme="minorBidi"/>
        </w:rPr>
        <w:t>–</w:t>
      </w:r>
      <w:r w:rsidRPr="00404C9A">
        <w:rPr>
          <w:rFonts w:asciiTheme="minorHAnsi" w:hAnsiTheme="minorHAnsi" w:cstheme="minorBidi"/>
        </w:rPr>
        <w:tab/>
      </w:r>
      <w:r w:rsidRPr="00404C9A">
        <w:rPr>
          <w:rFonts w:eastAsia="Calibri" w:cs="Calibri"/>
        </w:rPr>
        <w:t xml:space="preserve">Contribution </w:t>
      </w:r>
      <w:r w:rsidRPr="00024496">
        <w:rPr>
          <w:rFonts w:asciiTheme="minorHAnsi" w:hAnsiTheme="minorHAnsi" w:cstheme="minorHAnsi"/>
        </w:rPr>
        <w:t>and</w:t>
      </w:r>
      <w:r w:rsidRPr="00404C9A">
        <w:rPr>
          <w:rFonts w:eastAsia="Calibri" w:cs="Calibri"/>
        </w:rPr>
        <w:t xml:space="preserve"> Information document by the Secretariat: </w:t>
      </w:r>
      <w:bookmarkStart w:id="13" w:name="_Hlk210725570"/>
    </w:p>
    <w:p w14:paraId="79DFE0BF" w14:textId="247EB0B9" w:rsidR="000E48A8" w:rsidRPr="00524E5C" w:rsidRDefault="00024496" w:rsidP="00524E5C">
      <w:pPr>
        <w:pStyle w:val="enumlev2"/>
        <w:jc w:val="both"/>
        <w:rPr>
          <w:bdr w:val="none" w:sz="0" w:space="0" w:color="auto" w:frame="1"/>
          <w:shd w:val="clear" w:color="auto" w:fill="FFFFFF"/>
        </w:rPr>
      </w:pPr>
      <w:r>
        <w:t>•</w:t>
      </w:r>
      <w:r>
        <w:tab/>
      </w:r>
      <w:hyperlink r:id="rId15" w:history="1">
        <w:r w:rsidR="000E48A8" w:rsidRPr="00404C9A">
          <w:rPr>
            <w:rStyle w:val="Hyperlink"/>
            <w:szCs w:val="24"/>
          </w:rPr>
          <w:t>Contribution</w:t>
        </w:r>
      </w:hyperlink>
      <w:r w:rsidR="000E48A8" w:rsidRPr="00404C9A">
        <w:t xml:space="preserve"> by the Secretariat: Update on the ITU Child Online Protection initiative and the COP global program </w:t>
      </w:r>
      <w:r w:rsidR="000E48A8" w:rsidRPr="00404C9A">
        <w:rPr>
          <w:i/>
          <w:iCs/>
        </w:rPr>
        <w:t>(including updates from ITU Regional Offices)</w:t>
      </w:r>
      <w:r w:rsidR="00524E5C">
        <w:t>.</w:t>
      </w:r>
    </w:p>
    <w:bookmarkEnd w:id="13"/>
    <w:p w14:paraId="1CBDEA3D" w14:textId="77777777" w:rsidR="000E48A8" w:rsidRPr="00404C9A" w:rsidRDefault="000E48A8" w:rsidP="00524E5C">
      <w:pPr>
        <w:pStyle w:val="enumlev1"/>
        <w:keepNext/>
        <w:jc w:val="both"/>
        <w:rPr>
          <w:rFonts w:eastAsia="Calibri" w:cs="Calibri"/>
          <w:szCs w:val="24"/>
        </w:rPr>
      </w:pPr>
      <w:r w:rsidRPr="00404C9A">
        <w:rPr>
          <w:rFonts w:asciiTheme="minorHAnsi" w:hAnsiTheme="minorHAnsi" w:cstheme="minorBidi"/>
          <w:szCs w:val="24"/>
        </w:rPr>
        <w:lastRenderedPageBreak/>
        <w:t>–</w:t>
      </w:r>
      <w:r w:rsidRPr="00404C9A">
        <w:rPr>
          <w:rFonts w:asciiTheme="minorHAnsi" w:hAnsiTheme="minorHAnsi" w:cstheme="minorBidi"/>
          <w:szCs w:val="24"/>
        </w:rPr>
        <w:tab/>
      </w:r>
      <w:r w:rsidRPr="00024496">
        <w:rPr>
          <w:rFonts w:asciiTheme="minorHAnsi" w:hAnsiTheme="minorHAnsi" w:cstheme="minorHAnsi"/>
        </w:rPr>
        <w:t>Contributions</w:t>
      </w:r>
      <w:r w:rsidRPr="00404C9A">
        <w:rPr>
          <w:rFonts w:eastAsia="Calibri" w:cs="Calibri"/>
          <w:szCs w:val="24"/>
        </w:rPr>
        <w:t xml:space="preserve"> by ITU Member States: </w:t>
      </w:r>
    </w:p>
    <w:p w14:paraId="0CFF9257" w14:textId="2FD549D8" w:rsidR="000E48A8" w:rsidRPr="00404C9A" w:rsidRDefault="00024496" w:rsidP="00024496">
      <w:pPr>
        <w:pStyle w:val="enumlev2"/>
        <w:rPr>
          <w:i/>
          <w:iCs/>
          <w:szCs w:val="24"/>
        </w:rPr>
      </w:pPr>
      <w:r>
        <w:t>•</w:t>
      </w:r>
      <w:r>
        <w:tab/>
      </w:r>
      <w:hyperlink r:id="rId16" w:history="1">
        <w:r w:rsidR="000E48A8" w:rsidRPr="00404C9A">
          <w:rPr>
            <w:rStyle w:val="Hyperlink"/>
            <w:szCs w:val="24"/>
          </w:rPr>
          <w:t>Contribution</w:t>
        </w:r>
      </w:hyperlink>
      <w:r w:rsidR="000E48A8" w:rsidRPr="00404C9A">
        <w:rPr>
          <w:szCs w:val="24"/>
        </w:rPr>
        <w:t xml:space="preserve"> by the United States </w:t>
      </w:r>
      <w:r w:rsidR="00524E5C">
        <w:rPr>
          <w:rFonts w:asciiTheme="minorHAnsi" w:hAnsiTheme="minorHAnsi" w:cstheme="minorBidi"/>
          <w:szCs w:val="24"/>
        </w:rPr>
        <w:t>–</w:t>
      </w:r>
      <w:r w:rsidR="000E48A8" w:rsidRPr="00404C9A">
        <w:rPr>
          <w:szCs w:val="24"/>
        </w:rPr>
        <w:t xml:space="preserve"> </w:t>
      </w:r>
      <w:r w:rsidR="000E48A8" w:rsidRPr="00404C9A">
        <w:rPr>
          <w:i/>
          <w:iCs/>
          <w:szCs w:val="24"/>
        </w:rPr>
        <w:t xml:space="preserve">Considerations when addressing children’s excessive screen time </w:t>
      </w:r>
    </w:p>
    <w:p w14:paraId="439DBB8B" w14:textId="5C4C34C0" w:rsidR="000E48A8" w:rsidRPr="00404C9A" w:rsidRDefault="00024496" w:rsidP="00024496">
      <w:pPr>
        <w:pStyle w:val="enumlev2"/>
        <w:rPr>
          <w:i/>
          <w:iCs/>
          <w:szCs w:val="24"/>
        </w:rPr>
      </w:pPr>
      <w:r>
        <w:t>•</w:t>
      </w:r>
      <w:r>
        <w:tab/>
      </w:r>
      <w:hyperlink r:id="rId17" w:history="1">
        <w:r w:rsidR="000E48A8" w:rsidRPr="00404C9A">
          <w:rPr>
            <w:rStyle w:val="Hyperlink"/>
            <w:szCs w:val="24"/>
          </w:rPr>
          <w:t>Contribution</w:t>
        </w:r>
      </w:hyperlink>
      <w:r w:rsidR="000E48A8" w:rsidRPr="00404C9A">
        <w:rPr>
          <w:szCs w:val="24"/>
        </w:rPr>
        <w:t xml:space="preserve"> by Poland (</w:t>
      </w:r>
      <w:r w:rsidR="000E48A8" w:rsidRPr="00024496">
        <w:t>Republic</w:t>
      </w:r>
      <w:r w:rsidR="000E48A8" w:rsidRPr="00404C9A">
        <w:rPr>
          <w:szCs w:val="24"/>
        </w:rPr>
        <w:t xml:space="preserve"> of) </w:t>
      </w:r>
      <w:r w:rsidR="00524E5C">
        <w:rPr>
          <w:rFonts w:asciiTheme="minorHAnsi" w:hAnsiTheme="minorHAnsi" w:cstheme="minorBidi"/>
          <w:szCs w:val="24"/>
        </w:rPr>
        <w:t>–</w:t>
      </w:r>
      <w:r w:rsidR="000E48A8" w:rsidRPr="00404C9A">
        <w:rPr>
          <w:szCs w:val="24"/>
        </w:rPr>
        <w:t xml:space="preserve"> </w:t>
      </w:r>
      <w:proofErr w:type="spellStart"/>
      <w:r w:rsidR="000E48A8" w:rsidRPr="00404C9A">
        <w:rPr>
          <w:i/>
          <w:iCs/>
          <w:szCs w:val="24"/>
        </w:rPr>
        <w:t>dyzurnet.pl</w:t>
      </w:r>
      <w:proofErr w:type="spellEnd"/>
      <w:r w:rsidR="000E48A8" w:rsidRPr="00404C9A">
        <w:rPr>
          <w:i/>
          <w:iCs/>
          <w:szCs w:val="24"/>
        </w:rPr>
        <w:t xml:space="preserve"> activities as good practices in the field of child protection on the internet</w:t>
      </w:r>
    </w:p>
    <w:p w14:paraId="15309638" w14:textId="259DE19F" w:rsidR="000E48A8" w:rsidRPr="00404C9A" w:rsidRDefault="00024496" w:rsidP="00024496">
      <w:pPr>
        <w:pStyle w:val="enumlev2"/>
        <w:rPr>
          <w:i/>
          <w:iCs/>
          <w:szCs w:val="24"/>
        </w:rPr>
      </w:pPr>
      <w:r>
        <w:t>•</w:t>
      </w:r>
      <w:r>
        <w:tab/>
      </w:r>
      <w:hyperlink r:id="rId18" w:history="1">
        <w:r w:rsidR="000E48A8" w:rsidRPr="00404C9A">
          <w:rPr>
            <w:rStyle w:val="Hyperlink"/>
            <w:szCs w:val="24"/>
          </w:rPr>
          <w:t>Contribution</w:t>
        </w:r>
      </w:hyperlink>
      <w:r w:rsidR="000E48A8" w:rsidRPr="00404C9A">
        <w:rPr>
          <w:szCs w:val="24"/>
        </w:rPr>
        <w:t xml:space="preserve"> by Malaysia </w:t>
      </w:r>
      <w:r w:rsidR="00524E5C">
        <w:rPr>
          <w:rFonts w:asciiTheme="minorHAnsi" w:hAnsiTheme="minorHAnsi" w:cstheme="minorBidi"/>
          <w:szCs w:val="24"/>
        </w:rPr>
        <w:t>–</w:t>
      </w:r>
      <w:r w:rsidR="000E48A8" w:rsidRPr="00404C9A">
        <w:rPr>
          <w:i/>
          <w:iCs/>
          <w:szCs w:val="24"/>
        </w:rPr>
        <w:t xml:space="preserve"> Conversational Artificial Intelligence (AI) and risks to child and youth online safety</w:t>
      </w:r>
    </w:p>
    <w:p w14:paraId="03FFAA34" w14:textId="693DEEAC" w:rsidR="000E48A8" w:rsidRPr="00404C9A" w:rsidRDefault="00024496" w:rsidP="00024496">
      <w:pPr>
        <w:pStyle w:val="enumlev2"/>
        <w:rPr>
          <w:szCs w:val="24"/>
        </w:rPr>
      </w:pPr>
      <w:r>
        <w:t>•</w:t>
      </w:r>
      <w:r>
        <w:tab/>
      </w:r>
      <w:hyperlink r:id="rId19" w:history="1">
        <w:r w:rsidR="000E48A8" w:rsidRPr="00404C9A">
          <w:rPr>
            <w:rStyle w:val="Hyperlink"/>
            <w:szCs w:val="24"/>
          </w:rPr>
          <w:t>Contribution</w:t>
        </w:r>
      </w:hyperlink>
      <w:r w:rsidR="000E48A8" w:rsidRPr="00404C9A">
        <w:rPr>
          <w:szCs w:val="24"/>
        </w:rPr>
        <w:t xml:space="preserve"> by </w:t>
      </w:r>
      <w:r w:rsidR="000E48A8" w:rsidRPr="00024496">
        <w:t>Jordan</w:t>
      </w:r>
      <w:r w:rsidR="000E48A8" w:rsidRPr="00404C9A">
        <w:rPr>
          <w:szCs w:val="24"/>
        </w:rPr>
        <w:t xml:space="preserve"> (Hashemite Kingdom of) </w:t>
      </w:r>
      <w:r w:rsidR="00524E5C">
        <w:rPr>
          <w:rFonts w:asciiTheme="minorHAnsi" w:hAnsiTheme="minorHAnsi" w:cstheme="minorBidi"/>
          <w:szCs w:val="24"/>
        </w:rPr>
        <w:t>–</w:t>
      </w:r>
      <w:r w:rsidR="000E48A8" w:rsidRPr="00404C9A">
        <w:rPr>
          <w:szCs w:val="24"/>
        </w:rPr>
        <w:t xml:space="preserve"> </w:t>
      </w:r>
      <w:r w:rsidR="000E48A8" w:rsidRPr="00404C9A">
        <w:rPr>
          <w:i/>
          <w:iCs/>
          <w:szCs w:val="24"/>
        </w:rPr>
        <w:t>Jordan's national awareness campaigns and initiatives for child online protection in 2025</w:t>
      </w:r>
    </w:p>
    <w:p w14:paraId="023147CA" w14:textId="68F1BC56" w:rsidR="000E48A8" w:rsidRPr="00404C9A" w:rsidRDefault="00024496" w:rsidP="00024496">
      <w:pPr>
        <w:pStyle w:val="enumlev2"/>
        <w:rPr>
          <w:szCs w:val="24"/>
        </w:rPr>
      </w:pPr>
      <w:r>
        <w:t>•</w:t>
      </w:r>
      <w:r>
        <w:tab/>
      </w:r>
      <w:hyperlink r:id="rId20" w:history="1">
        <w:r w:rsidR="000E48A8" w:rsidRPr="00404C9A">
          <w:rPr>
            <w:rStyle w:val="Hyperlink"/>
            <w:szCs w:val="24"/>
          </w:rPr>
          <w:t>Contribution</w:t>
        </w:r>
      </w:hyperlink>
      <w:r w:rsidR="000E48A8" w:rsidRPr="00404C9A">
        <w:rPr>
          <w:szCs w:val="24"/>
        </w:rPr>
        <w:t xml:space="preserve"> by </w:t>
      </w:r>
      <w:proofErr w:type="spellStart"/>
      <w:r w:rsidR="000E48A8" w:rsidRPr="00404C9A">
        <w:rPr>
          <w:szCs w:val="24"/>
        </w:rPr>
        <w:t>CNIL</w:t>
      </w:r>
      <w:proofErr w:type="spellEnd"/>
      <w:r w:rsidR="000E48A8" w:rsidRPr="00404C9A">
        <w:rPr>
          <w:szCs w:val="24"/>
        </w:rPr>
        <w:t xml:space="preserve"> </w:t>
      </w:r>
      <w:r w:rsidR="00524E5C">
        <w:rPr>
          <w:rFonts w:asciiTheme="minorHAnsi" w:hAnsiTheme="minorHAnsi" w:cstheme="minorBidi"/>
          <w:szCs w:val="24"/>
        </w:rPr>
        <w:t>–</w:t>
      </w:r>
      <w:r w:rsidR="000E48A8" w:rsidRPr="00404C9A">
        <w:rPr>
          <w:szCs w:val="24"/>
        </w:rPr>
        <w:t xml:space="preserve"> </w:t>
      </w:r>
      <w:r w:rsidR="000E48A8" w:rsidRPr="00404C9A">
        <w:rPr>
          <w:i/>
          <w:iCs/>
          <w:szCs w:val="24"/>
        </w:rPr>
        <w:t xml:space="preserve">Presentation of </w:t>
      </w:r>
      <w:proofErr w:type="spellStart"/>
      <w:r w:rsidR="000E48A8" w:rsidRPr="00404C9A">
        <w:rPr>
          <w:i/>
          <w:iCs/>
          <w:szCs w:val="24"/>
        </w:rPr>
        <w:t>FantomApp</w:t>
      </w:r>
      <w:proofErr w:type="spellEnd"/>
    </w:p>
    <w:p w14:paraId="379BBB05" w14:textId="235DF111" w:rsidR="000E48A8" w:rsidRPr="00524E5C" w:rsidRDefault="00024496" w:rsidP="00024496">
      <w:pPr>
        <w:pStyle w:val="enumlev2"/>
        <w:rPr>
          <w:szCs w:val="24"/>
        </w:rPr>
      </w:pPr>
      <w:r>
        <w:t>•</w:t>
      </w:r>
      <w:r>
        <w:tab/>
      </w:r>
      <w:hyperlink r:id="rId21" w:history="1">
        <w:r w:rsidR="000E48A8" w:rsidRPr="00404C9A">
          <w:rPr>
            <w:rStyle w:val="Hyperlink"/>
            <w:szCs w:val="24"/>
          </w:rPr>
          <w:t>Contribution</w:t>
        </w:r>
      </w:hyperlink>
      <w:r w:rsidR="000E48A8" w:rsidRPr="00404C9A">
        <w:rPr>
          <w:szCs w:val="24"/>
        </w:rPr>
        <w:t xml:space="preserve"> by the Philippines </w:t>
      </w:r>
      <w:r w:rsidR="00524E5C">
        <w:rPr>
          <w:rFonts w:asciiTheme="minorHAnsi" w:hAnsiTheme="minorHAnsi" w:cstheme="minorBidi"/>
          <w:szCs w:val="24"/>
        </w:rPr>
        <w:t>–</w:t>
      </w:r>
      <w:r w:rsidR="000E48A8" w:rsidRPr="00404C9A">
        <w:rPr>
          <w:szCs w:val="24"/>
        </w:rPr>
        <w:t xml:space="preserve"> </w:t>
      </w:r>
      <w:r w:rsidR="000E48A8" w:rsidRPr="00404C9A">
        <w:rPr>
          <w:i/>
          <w:iCs/>
          <w:szCs w:val="24"/>
        </w:rPr>
        <w:t>The Philippines' approach and initiatives for child online protection</w:t>
      </w:r>
      <w:r w:rsidR="00524E5C">
        <w:rPr>
          <w:szCs w:val="24"/>
        </w:rPr>
        <w:t>.</w:t>
      </w:r>
    </w:p>
    <w:p w14:paraId="176A0884" w14:textId="77777777" w:rsidR="000E48A8" w:rsidRPr="00404C9A" w:rsidRDefault="000E48A8" w:rsidP="000E48A8">
      <w:pPr>
        <w:pStyle w:val="enumlev1"/>
        <w:jc w:val="both"/>
        <w:rPr>
          <w:rFonts w:asciiTheme="minorHAnsi" w:hAnsiTheme="minorHAnsi" w:cstheme="minorBidi"/>
          <w:color w:val="000000" w:themeColor="text1"/>
        </w:rPr>
      </w:pPr>
      <w:r w:rsidRPr="00404C9A">
        <w:rPr>
          <w:rFonts w:asciiTheme="minorHAnsi" w:hAnsiTheme="minorHAnsi" w:cstheme="minorBidi"/>
        </w:rPr>
        <w:t>–</w:t>
      </w:r>
      <w:r w:rsidRPr="00404C9A">
        <w:rPr>
          <w:rFonts w:asciiTheme="minorHAnsi" w:hAnsiTheme="minorHAnsi" w:cstheme="minorBidi"/>
        </w:rPr>
        <w:tab/>
      </w:r>
      <w:r w:rsidRPr="00024496">
        <w:rPr>
          <w:rFonts w:asciiTheme="minorHAnsi" w:hAnsiTheme="minorHAnsi" w:cstheme="minorHAnsi"/>
        </w:rPr>
        <w:t>Information</w:t>
      </w:r>
      <w:r w:rsidRPr="00404C9A">
        <w:rPr>
          <w:rFonts w:eastAsia="Calibri" w:cs="Calibri"/>
        </w:rPr>
        <w:t xml:space="preserve"> documents</w:t>
      </w:r>
      <w:r w:rsidRPr="00404C9A">
        <w:rPr>
          <w:rFonts w:asciiTheme="minorHAnsi" w:hAnsiTheme="minorHAnsi" w:cstheme="minorBidi"/>
          <w:color w:val="000000" w:themeColor="text1"/>
        </w:rPr>
        <w:t xml:space="preserve"> from ITU Sector Members:</w:t>
      </w:r>
    </w:p>
    <w:p w14:paraId="6C202FF0" w14:textId="65F5D63E" w:rsidR="000E48A8" w:rsidRPr="00404C9A" w:rsidRDefault="00024496" w:rsidP="00524E5C">
      <w:pPr>
        <w:pStyle w:val="enumlev2"/>
        <w:jc w:val="both"/>
        <w:rPr>
          <w:i/>
          <w:iCs/>
          <w:szCs w:val="24"/>
        </w:rPr>
      </w:pPr>
      <w:r>
        <w:t>•</w:t>
      </w:r>
      <w:r>
        <w:tab/>
      </w:r>
      <w:hyperlink r:id="rId22" w:history="1">
        <w:r w:rsidR="000E48A8" w:rsidRPr="00404C9A">
          <w:rPr>
            <w:rStyle w:val="Hyperlink"/>
            <w:rFonts w:asciiTheme="minorHAnsi" w:hAnsiTheme="minorHAnsi" w:cstheme="minorBidi"/>
            <w:szCs w:val="24"/>
          </w:rPr>
          <w:t>Contribution</w:t>
        </w:r>
      </w:hyperlink>
      <w:r w:rsidR="000E48A8" w:rsidRPr="00404C9A">
        <w:rPr>
          <w:rFonts w:asciiTheme="minorHAnsi" w:hAnsiTheme="minorHAnsi" w:cstheme="minorBidi"/>
          <w:color w:val="000000" w:themeColor="text1"/>
          <w:szCs w:val="24"/>
        </w:rPr>
        <w:t xml:space="preserve"> by the </w:t>
      </w:r>
      <w:r w:rsidR="000E48A8" w:rsidRPr="00024496">
        <w:t>Centre</w:t>
      </w:r>
      <w:r w:rsidR="000E48A8" w:rsidRPr="00404C9A">
        <w:rPr>
          <w:rFonts w:asciiTheme="minorHAnsi" w:hAnsiTheme="minorHAnsi" w:cstheme="minorBidi"/>
          <w:color w:val="000000" w:themeColor="text1"/>
          <w:szCs w:val="24"/>
        </w:rPr>
        <w:t xml:space="preserve"> for Global IT-Cooperation </w:t>
      </w:r>
      <w:r w:rsidR="00524E5C">
        <w:rPr>
          <w:rFonts w:asciiTheme="minorHAnsi" w:hAnsiTheme="minorHAnsi" w:cstheme="minorBidi"/>
          <w:szCs w:val="24"/>
        </w:rPr>
        <w:t>–</w:t>
      </w:r>
      <w:r w:rsidR="000E48A8" w:rsidRPr="00404C9A">
        <w:rPr>
          <w:rFonts w:asciiTheme="minorHAnsi" w:hAnsiTheme="minorHAnsi" w:cstheme="minorBidi"/>
          <w:color w:val="000000" w:themeColor="text1"/>
          <w:szCs w:val="24"/>
        </w:rPr>
        <w:t> </w:t>
      </w:r>
      <w:r w:rsidR="000E48A8" w:rsidRPr="00404C9A">
        <w:rPr>
          <w:rFonts w:asciiTheme="minorHAnsi" w:hAnsiTheme="minorHAnsi" w:cstheme="minorBidi"/>
          <w:i/>
          <w:iCs/>
          <w:color w:val="000000" w:themeColor="text1"/>
          <w:szCs w:val="24"/>
        </w:rPr>
        <w:t>Best practices of the</w:t>
      </w:r>
      <w:r w:rsidR="00524E5C">
        <w:rPr>
          <w:rFonts w:asciiTheme="minorHAnsi" w:hAnsiTheme="minorHAnsi" w:cstheme="minorBidi"/>
          <w:i/>
          <w:iCs/>
          <w:color w:val="000000" w:themeColor="text1"/>
          <w:szCs w:val="24"/>
        </w:rPr>
        <w:t xml:space="preserve"> </w:t>
      </w:r>
      <w:r w:rsidR="000E48A8" w:rsidRPr="00404C9A">
        <w:rPr>
          <w:rFonts w:asciiTheme="minorHAnsi" w:hAnsiTheme="minorHAnsi" w:cstheme="minorBidi"/>
          <w:i/>
          <w:iCs/>
          <w:color w:val="000000" w:themeColor="text1"/>
          <w:szCs w:val="24"/>
        </w:rPr>
        <w:t>Alliance for the</w:t>
      </w:r>
      <w:r w:rsidR="00524E5C">
        <w:rPr>
          <w:rFonts w:asciiTheme="minorHAnsi" w:hAnsiTheme="minorHAnsi" w:cstheme="minorBidi"/>
          <w:i/>
          <w:iCs/>
          <w:color w:val="000000" w:themeColor="text1"/>
          <w:szCs w:val="24"/>
        </w:rPr>
        <w:t xml:space="preserve"> </w:t>
      </w:r>
      <w:r w:rsidR="000E48A8" w:rsidRPr="00404C9A">
        <w:rPr>
          <w:rFonts w:asciiTheme="minorHAnsi" w:hAnsiTheme="minorHAnsi" w:cstheme="minorBidi"/>
          <w:i/>
          <w:iCs/>
          <w:color w:val="000000" w:themeColor="text1"/>
          <w:szCs w:val="24"/>
        </w:rPr>
        <w:t>Protection of</w:t>
      </w:r>
      <w:r w:rsidR="00524E5C">
        <w:rPr>
          <w:rFonts w:asciiTheme="minorHAnsi" w:hAnsiTheme="minorHAnsi" w:cstheme="minorBidi"/>
          <w:i/>
          <w:iCs/>
          <w:color w:val="000000" w:themeColor="text1"/>
          <w:szCs w:val="24"/>
        </w:rPr>
        <w:t xml:space="preserve"> </w:t>
      </w:r>
      <w:r w:rsidR="000E48A8" w:rsidRPr="00404C9A">
        <w:rPr>
          <w:rFonts w:asciiTheme="minorHAnsi" w:hAnsiTheme="minorHAnsi" w:cstheme="minorBidi"/>
          <w:i/>
          <w:iCs/>
          <w:color w:val="000000" w:themeColor="text1"/>
          <w:szCs w:val="24"/>
        </w:rPr>
        <w:t>Children in the</w:t>
      </w:r>
      <w:r w:rsidR="00524E5C">
        <w:rPr>
          <w:rFonts w:asciiTheme="minorHAnsi" w:hAnsiTheme="minorHAnsi" w:cstheme="minorBidi"/>
          <w:i/>
          <w:iCs/>
          <w:color w:val="000000" w:themeColor="text1"/>
          <w:szCs w:val="24"/>
        </w:rPr>
        <w:t xml:space="preserve"> </w:t>
      </w:r>
      <w:r w:rsidR="000E48A8" w:rsidRPr="00404C9A">
        <w:rPr>
          <w:rFonts w:asciiTheme="minorHAnsi" w:hAnsiTheme="minorHAnsi" w:cstheme="minorBidi"/>
          <w:i/>
          <w:iCs/>
          <w:color w:val="000000" w:themeColor="text1"/>
          <w:szCs w:val="24"/>
        </w:rPr>
        <w:t>Digital</w:t>
      </w:r>
      <w:r w:rsidR="00524E5C">
        <w:rPr>
          <w:rFonts w:asciiTheme="minorHAnsi" w:hAnsiTheme="minorHAnsi" w:cstheme="minorBidi"/>
          <w:i/>
          <w:iCs/>
          <w:color w:val="000000" w:themeColor="text1"/>
          <w:szCs w:val="24"/>
        </w:rPr>
        <w:t xml:space="preserve"> </w:t>
      </w:r>
      <w:r w:rsidR="000E48A8" w:rsidRPr="00404C9A">
        <w:rPr>
          <w:rFonts w:asciiTheme="minorHAnsi" w:hAnsiTheme="minorHAnsi" w:cstheme="minorBidi"/>
          <w:i/>
          <w:iCs/>
          <w:color w:val="000000" w:themeColor="text1"/>
          <w:szCs w:val="24"/>
        </w:rPr>
        <w:t>Environment</w:t>
      </w:r>
    </w:p>
    <w:p w14:paraId="29DC02C0" w14:textId="77D883A2" w:rsidR="000E48A8" w:rsidRPr="00404C9A" w:rsidRDefault="00024496" w:rsidP="00524E5C">
      <w:pPr>
        <w:pStyle w:val="enumlev2"/>
        <w:jc w:val="both"/>
        <w:rPr>
          <w:i/>
          <w:iCs/>
          <w:szCs w:val="24"/>
        </w:rPr>
      </w:pPr>
      <w:r>
        <w:t>•</w:t>
      </w:r>
      <w:r>
        <w:tab/>
      </w:r>
      <w:hyperlink r:id="rId23" w:history="1">
        <w:r w:rsidR="000E48A8" w:rsidRPr="00404C9A">
          <w:rPr>
            <w:rStyle w:val="Hyperlink"/>
            <w:rFonts w:asciiTheme="minorHAnsi" w:hAnsiTheme="minorHAnsi" w:cstheme="minorBidi"/>
            <w:szCs w:val="24"/>
          </w:rPr>
          <w:t>Contribution</w:t>
        </w:r>
      </w:hyperlink>
      <w:r w:rsidR="000E48A8" w:rsidRPr="00404C9A">
        <w:rPr>
          <w:rFonts w:asciiTheme="minorHAnsi" w:hAnsiTheme="minorHAnsi" w:cstheme="minorBidi"/>
          <w:color w:val="000000" w:themeColor="text1"/>
          <w:szCs w:val="24"/>
        </w:rPr>
        <w:t xml:space="preserve"> by </w:t>
      </w:r>
      <w:r w:rsidR="000E48A8" w:rsidRPr="00024496">
        <w:t>Kaspersky</w:t>
      </w:r>
      <w:r w:rsidR="000E48A8" w:rsidRPr="00404C9A">
        <w:rPr>
          <w:rFonts w:asciiTheme="minorHAnsi" w:hAnsiTheme="minorHAnsi" w:cstheme="minorBidi"/>
          <w:color w:val="000000" w:themeColor="text1"/>
          <w:szCs w:val="24"/>
        </w:rPr>
        <w:t xml:space="preserve"> </w:t>
      </w:r>
      <w:r w:rsidR="00524E5C">
        <w:rPr>
          <w:rFonts w:asciiTheme="minorHAnsi" w:hAnsiTheme="minorHAnsi" w:cstheme="minorBidi"/>
          <w:szCs w:val="24"/>
        </w:rPr>
        <w:t>–</w:t>
      </w:r>
      <w:r w:rsidR="00524E5C">
        <w:rPr>
          <w:rFonts w:asciiTheme="minorHAnsi" w:hAnsiTheme="minorHAnsi" w:cstheme="minorBidi"/>
          <w:szCs w:val="24"/>
        </w:rPr>
        <w:t xml:space="preserve"> </w:t>
      </w:r>
      <w:r w:rsidR="000E48A8" w:rsidRPr="00404C9A">
        <w:rPr>
          <w:rFonts w:asciiTheme="minorHAnsi" w:hAnsiTheme="minorHAnsi" w:cstheme="minorBidi"/>
          <w:i/>
          <w:iCs/>
          <w:color w:val="000000" w:themeColor="text1"/>
          <w:szCs w:val="24"/>
        </w:rPr>
        <w:t>Progress in fostering child online protection</w:t>
      </w:r>
    </w:p>
    <w:p w14:paraId="78623D43" w14:textId="3C4010F6" w:rsidR="000E48A8" w:rsidRPr="00524E5C" w:rsidRDefault="00024496" w:rsidP="00524E5C">
      <w:pPr>
        <w:pStyle w:val="enumlev2"/>
        <w:jc w:val="both"/>
        <w:rPr>
          <w:i/>
          <w:iCs/>
          <w:szCs w:val="24"/>
        </w:rPr>
      </w:pPr>
      <w:r>
        <w:t>•</w:t>
      </w:r>
      <w:r>
        <w:tab/>
      </w:r>
      <w:hyperlink r:id="rId24" w:history="1">
        <w:r w:rsidR="000E48A8" w:rsidRPr="00404C9A">
          <w:rPr>
            <w:rStyle w:val="Hyperlink"/>
            <w:rFonts w:asciiTheme="minorHAnsi" w:hAnsiTheme="minorHAnsi" w:cstheme="minorBidi"/>
            <w:szCs w:val="24"/>
          </w:rPr>
          <w:t>Contribution</w:t>
        </w:r>
      </w:hyperlink>
      <w:r w:rsidR="000E48A8" w:rsidRPr="00404C9A">
        <w:rPr>
          <w:rFonts w:asciiTheme="minorHAnsi" w:hAnsiTheme="minorHAnsi" w:cstheme="minorBidi"/>
          <w:color w:val="000000" w:themeColor="text1"/>
          <w:szCs w:val="24"/>
        </w:rPr>
        <w:t xml:space="preserve"> by Cyber Institute</w:t>
      </w:r>
      <w:r w:rsidR="00524E5C">
        <w:rPr>
          <w:rFonts w:asciiTheme="minorHAnsi" w:hAnsiTheme="minorHAnsi" w:cstheme="minorBidi"/>
          <w:color w:val="000000" w:themeColor="text1"/>
          <w:szCs w:val="24"/>
        </w:rPr>
        <w:t xml:space="preserve"> </w:t>
      </w:r>
      <w:r w:rsidR="00524E5C">
        <w:rPr>
          <w:rFonts w:asciiTheme="minorHAnsi" w:hAnsiTheme="minorHAnsi" w:cstheme="minorBidi"/>
          <w:szCs w:val="24"/>
        </w:rPr>
        <w:t>–</w:t>
      </w:r>
      <w:r w:rsidR="000E48A8" w:rsidRPr="00404C9A">
        <w:rPr>
          <w:rFonts w:asciiTheme="minorHAnsi" w:hAnsiTheme="minorHAnsi" w:cstheme="minorBidi"/>
          <w:color w:val="000000" w:themeColor="text1"/>
          <w:szCs w:val="24"/>
        </w:rPr>
        <w:t xml:space="preserve"> </w:t>
      </w:r>
      <w:r w:rsidR="000E48A8" w:rsidRPr="00404C9A">
        <w:rPr>
          <w:rFonts w:asciiTheme="minorHAnsi" w:hAnsiTheme="minorHAnsi" w:cstheme="minorBidi"/>
          <w:i/>
          <w:color w:val="000000" w:themeColor="text1"/>
          <w:szCs w:val="24"/>
        </w:rPr>
        <w:t>Child online protection risks and capacity building for an AI-</w:t>
      </w:r>
      <w:r w:rsidR="000E48A8" w:rsidRPr="00024496">
        <w:t>enabled</w:t>
      </w:r>
      <w:r w:rsidR="000E48A8" w:rsidRPr="00404C9A">
        <w:rPr>
          <w:rFonts w:asciiTheme="minorHAnsi" w:hAnsiTheme="minorHAnsi" w:cstheme="minorBidi"/>
          <w:i/>
          <w:color w:val="000000" w:themeColor="text1"/>
          <w:szCs w:val="24"/>
        </w:rPr>
        <w:t xml:space="preserve"> digital environment</w:t>
      </w:r>
      <w:r w:rsidR="00524E5C">
        <w:rPr>
          <w:rFonts w:asciiTheme="minorHAnsi" w:hAnsiTheme="minorHAnsi" w:cstheme="minorBidi"/>
          <w:i/>
          <w:iCs/>
          <w:color w:val="000000" w:themeColor="text1"/>
          <w:szCs w:val="24"/>
        </w:rPr>
        <w:t>.</w:t>
      </w:r>
    </w:p>
    <w:p w14:paraId="6DE204C2" w14:textId="2F4CFC30" w:rsidR="000E48A8" w:rsidRPr="00404C9A" w:rsidRDefault="00024496" w:rsidP="00024496">
      <w:pPr>
        <w:pStyle w:val="enumlev1"/>
        <w:jc w:val="both"/>
        <w:rPr>
          <w:rFonts w:asciiTheme="minorHAnsi" w:hAnsiTheme="minorHAnsi" w:cstheme="minorBidi"/>
          <w:color w:val="000000" w:themeColor="text1"/>
        </w:rPr>
      </w:pPr>
      <w:r>
        <w:rPr>
          <w:rFonts w:asciiTheme="minorHAnsi" w:hAnsiTheme="minorHAnsi" w:cstheme="minorBidi"/>
          <w:color w:val="000000" w:themeColor="text1"/>
        </w:rPr>
        <w:t>–</w:t>
      </w:r>
      <w:r w:rsidR="000E48A8" w:rsidRPr="00404C9A">
        <w:rPr>
          <w:rFonts w:asciiTheme="minorHAnsi" w:hAnsiTheme="minorHAnsi" w:cstheme="minorBidi"/>
          <w:color w:val="000000" w:themeColor="text1"/>
        </w:rPr>
        <w:tab/>
      </w:r>
      <w:r w:rsidR="000E48A8" w:rsidRPr="00024496">
        <w:rPr>
          <w:rFonts w:asciiTheme="minorHAnsi" w:hAnsiTheme="minorHAnsi" w:cstheme="minorHAnsi"/>
        </w:rPr>
        <w:t>Information</w:t>
      </w:r>
      <w:r w:rsidR="000E48A8" w:rsidRPr="00404C9A">
        <w:rPr>
          <w:rFonts w:asciiTheme="minorHAnsi" w:hAnsiTheme="minorHAnsi" w:cstheme="minorBidi"/>
          <w:color w:val="000000" w:themeColor="text1"/>
        </w:rPr>
        <w:t xml:space="preserve"> documents from ITU partners and other relevant stakeholders: </w:t>
      </w:r>
    </w:p>
    <w:p w14:paraId="57901270" w14:textId="51C7CA7D" w:rsidR="000E48A8" w:rsidRPr="00404C9A" w:rsidRDefault="00024496" w:rsidP="00544D30">
      <w:pPr>
        <w:pStyle w:val="enumlev2"/>
        <w:jc w:val="both"/>
        <w:rPr>
          <w:i/>
          <w:iCs/>
          <w:szCs w:val="24"/>
        </w:rPr>
      </w:pPr>
      <w:r>
        <w:t>•</w:t>
      </w:r>
      <w:r>
        <w:tab/>
      </w:r>
      <w:hyperlink r:id="rId25" w:history="1">
        <w:r w:rsidR="000E48A8" w:rsidRPr="00404C9A">
          <w:rPr>
            <w:rStyle w:val="Hyperlink"/>
            <w:rFonts w:asciiTheme="minorHAnsi" w:hAnsiTheme="minorHAnsi" w:cstheme="minorBidi"/>
            <w:szCs w:val="24"/>
          </w:rPr>
          <w:t>Contribution</w:t>
        </w:r>
      </w:hyperlink>
      <w:r w:rsidR="00544D30">
        <w:rPr>
          <w:rFonts w:asciiTheme="minorHAnsi" w:hAnsiTheme="minorHAnsi" w:cstheme="minorBidi"/>
          <w:color w:val="000000" w:themeColor="text1"/>
          <w:szCs w:val="24"/>
        </w:rPr>
        <w:t xml:space="preserve"> </w:t>
      </w:r>
      <w:r w:rsidR="000E48A8" w:rsidRPr="00404C9A">
        <w:rPr>
          <w:rFonts w:asciiTheme="minorHAnsi" w:hAnsiTheme="minorHAnsi" w:cstheme="minorBidi"/>
          <w:color w:val="000000" w:themeColor="text1"/>
          <w:szCs w:val="24"/>
        </w:rPr>
        <w:t xml:space="preserve">by </w:t>
      </w:r>
      <w:r w:rsidR="000E48A8" w:rsidRPr="00024496">
        <w:t>Stiftung</w:t>
      </w:r>
      <w:r w:rsidR="00544D30">
        <w:rPr>
          <w:rFonts w:asciiTheme="minorHAnsi" w:hAnsiTheme="minorHAnsi" w:cstheme="minorBidi"/>
          <w:color w:val="000000" w:themeColor="text1"/>
          <w:szCs w:val="24"/>
        </w:rPr>
        <w:t xml:space="preserve"> </w:t>
      </w:r>
      <w:proofErr w:type="spellStart"/>
      <w:r w:rsidR="000E48A8" w:rsidRPr="00404C9A">
        <w:rPr>
          <w:rFonts w:asciiTheme="minorHAnsi" w:hAnsiTheme="minorHAnsi" w:cstheme="minorBidi"/>
          <w:color w:val="000000" w:themeColor="text1"/>
          <w:szCs w:val="24"/>
        </w:rPr>
        <w:t>Digitale</w:t>
      </w:r>
      <w:proofErr w:type="spellEnd"/>
      <w:r w:rsidR="00544D30">
        <w:rPr>
          <w:rFonts w:asciiTheme="minorHAnsi" w:hAnsiTheme="minorHAnsi" w:cstheme="minorBidi"/>
          <w:color w:val="000000" w:themeColor="text1"/>
          <w:szCs w:val="24"/>
        </w:rPr>
        <w:t xml:space="preserve"> </w:t>
      </w:r>
      <w:proofErr w:type="spellStart"/>
      <w:r w:rsidR="000E48A8" w:rsidRPr="00404C9A">
        <w:rPr>
          <w:rFonts w:asciiTheme="minorHAnsi" w:hAnsiTheme="minorHAnsi" w:cstheme="minorBidi"/>
          <w:color w:val="000000" w:themeColor="text1"/>
          <w:szCs w:val="24"/>
        </w:rPr>
        <w:t>Chancen</w:t>
      </w:r>
      <w:proofErr w:type="spellEnd"/>
      <w:r w:rsidR="00544D30">
        <w:rPr>
          <w:rFonts w:asciiTheme="minorHAnsi" w:hAnsiTheme="minorHAnsi" w:cstheme="minorBidi"/>
          <w:color w:val="000000" w:themeColor="text1"/>
          <w:szCs w:val="24"/>
        </w:rPr>
        <w:t xml:space="preserve"> </w:t>
      </w:r>
      <w:r w:rsidR="00544D30">
        <w:rPr>
          <w:rFonts w:asciiTheme="minorHAnsi" w:hAnsiTheme="minorHAnsi" w:cstheme="minorBidi"/>
          <w:szCs w:val="24"/>
        </w:rPr>
        <w:t>–</w:t>
      </w:r>
      <w:r w:rsidR="00544D30">
        <w:rPr>
          <w:rFonts w:asciiTheme="minorHAnsi" w:hAnsiTheme="minorHAnsi" w:cstheme="minorBidi"/>
          <w:szCs w:val="24"/>
        </w:rPr>
        <w:t xml:space="preserve"> </w:t>
      </w:r>
      <w:r w:rsidR="000E48A8" w:rsidRPr="00404C9A">
        <w:rPr>
          <w:rFonts w:asciiTheme="minorHAnsi" w:hAnsiTheme="minorHAnsi" w:cstheme="minorBidi"/>
          <w:i/>
          <w:iCs/>
          <w:color w:val="000000" w:themeColor="text1"/>
          <w:szCs w:val="24"/>
        </w:rPr>
        <w:t>Federal</w:t>
      </w:r>
      <w:r w:rsidR="00544D30">
        <w:rPr>
          <w:rFonts w:asciiTheme="minorHAnsi" w:hAnsiTheme="minorHAnsi" w:cstheme="minorBidi"/>
          <w:i/>
          <w:iCs/>
          <w:color w:val="000000" w:themeColor="text1"/>
          <w:szCs w:val="24"/>
        </w:rPr>
        <w:t xml:space="preserve"> </w:t>
      </w:r>
      <w:r w:rsidR="000E48A8" w:rsidRPr="00404C9A">
        <w:rPr>
          <w:rFonts w:asciiTheme="minorHAnsi" w:hAnsiTheme="minorHAnsi" w:cstheme="minorBidi"/>
          <w:i/>
          <w:iCs/>
          <w:color w:val="000000" w:themeColor="text1"/>
          <w:szCs w:val="24"/>
        </w:rPr>
        <w:t>Expert Commission Child Online Protection</w:t>
      </w:r>
    </w:p>
    <w:p w14:paraId="4D2048ED" w14:textId="5FC0DE83" w:rsidR="000E48A8" w:rsidRPr="00404C9A" w:rsidRDefault="00024496" w:rsidP="00544D30">
      <w:pPr>
        <w:pStyle w:val="enumlev2"/>
        <w:jc w:val="both"/>
        <w:rPr>
          <w:i/>
          <w:iCs/>
          <w:szCs w:val="24"/>
        </w:rPr>
      </w:pPr>
      <w:r>
        <w:t>•</w:t>
      </w:r>
      <w:r>
        <w:tab/>
      </w:r>
      <w:hyperlink r:id="rId26" w:history="1">
        <w:r w:rsidR="000E48A8" w:rsidRPr="00404C9A">
          <w:rPr>
            <w:rStyle w:val="Hyperlink"/>
            <w:rFonts w:asciiTheme="minorHAnsi" w:hAnsiTheme="minorHAnsi" w:cstheme="minorBidi"/>
            <w:szCs w:val="24"/>
          </w:rPr>
          <w:t>Contribution</w:t>
        </w:r>
      </w:hyperlink>
      <w:r w:rsidR="000E48A8" w:rsidRPr="00404C9A">
        <w:rPr>
          <w:rFonts w:asciiTheme="minorHAnsi" w:hAnsiTheme="minorHAnsi" w:cstheme="minorBidi"/>
          <w:color w:val="000000" w:themeColor="text1"/>
          <w:szCs w:val="24"/>
        </w:rPr>
        <w:t> by </w:t>
      </w:r>
      <w:proofErr w:type="spellStart"/>
      <w:r w:rsidR="000E48A8" w:rsidRPr="00024496">
        <w:t>5Rights</w:t>
      </w:r>
      <w:proofErr w:type="spellEnd"/>
      <w:r w:rsidR="000E48A8" w:rsidRPr="00404C9A">
        <w:rPr>
          <w:rFonts w:asciiTheme="minorHAnsi" w:hAnsiTheme="minorHAnsi" w:cstheme="minorBidi"/>
          <w:color w:val="000000" w:themeColor="text1"/>
          <w:szCs w:val="24"/>
        </w:rPr>
        <w:t xml:space="preserve"> Foundation</w:t>
      </w:r>
      <w:r w:rsidR="00544D30">
        <w:rPr>
          <w:rFonts w:asciiTheme="minorHAnsi" w:hAnsiTheme="minorHAnsi" w:cstheme="minorBidi"/>
          <w:color w:val="000000" w:themeColor="text1"/>
          <w:szCs w:val="24"/>
        </w:rPr>
        <w:t xml:space="preserve"> </w:t>
      </w:r>
      <w:r w:rsidR="00544D30">
        <w:rPr>
          <w:rFonts w:asciiTheme="minorHAnsi" w:hAnsiTheme="minorHAnsi" w:cstheme="minorBidi"/>
          <w:szCs w:val="24"/>
        </w:rPr>
        <w:t>–</w:t>
      </w:r>
      <w:r w:rsidR="00544D30">
        <w:rPr>
          <w:rFonts w:asciiTheme="minorHAnsi" w:hAnsiTheme="minorHAnsi" w:cstheme="minorBidi"/>
          <w:szCs w:val="24"/>
        </w:rPr>
        <w:t xml:space="preserve"> </w:t>
      </w:r>
      <w:r w:rsidR="000E48A8" w:rsidRPr="00404C9A">
        <w:rPr>
          <w:rFonts w:asciiTheme="minorHAnsi" w:hAnsiTheme="minorHAnsi" w:cstheme="minorBidi"/>
          <w:i/>
          <w:iCs/>
          <w:color w:val="000000" w:themeColor="text1"/>
          <w:szCs w:val="24"/>
        </w:rPr>
        <w:t>Embedding children's rights by design</w:t>
      </w:r>
    </w:p>
    <w:p w14:paraId="6A9A77B3" w14:textId="4D7E44E8" w:rsidR="000E48A8" w:rsidRPr="00524E5C" w:rsidRDefault="00024496" w:rsidP="00544D30">
      <w:pPr>
        <w:pStyle w:val="enumlev2"/>
        <w:jc w:val="both"/>
        <w:rPr>
          <w:szCs w:val="24"/>
        </w:rPr>
      </w:pPr>
      <w:r>
        <w:t>•</w:t>
      </w:r>
      <w:r>
        <w:tab/>
      </w:r>
      <w:hyperlink r:id="rId27" w:history="1">
        <w:r w:rsidR="000E48A8" w:rsidRPr="00404C9A">
          <w:rPr>
            <w:rStyle w:val="Hyperlink"/>
            <w:rFonts w:asciiTheme="minorHAnsi" w:hAnsiTheme="minorHAnsi" w:cstheme="minorBidi"/>
            <w:szCs w:val="24"/>
          </w:rPr>
          <w:t>Contribution</w:t>
        </w:r>
      </w:hyperlink>
      <w:r w:rsidR="000E48A8" w:rsidRPr="00404C9A">
        <w:rPr>
          <w:rFonts w:asciiTheme="minorHAnsi" w:hAnsiTheme="minorHAnsi" w:cstheme="minorBidi"/>
          <w:color w:val="000000" w:themeColor="text1"/>
          <w:szCs w:val="24"/>
        </w:rPr>
        <w:t xml:space="preserve"> by UNICEF </w:t>
      </w:r>
      <w:r w:rsidR="00544D30">
        <w:rPr>
          <w:rFonts w:asciiTheme="minorHAnsi" w:hAnsiTheme="minorHAnsi" w:cstheme="minorBidi"/>
          <w:szCs w:val="24"/>
        </w:rPr>
        <w:t>–</w:t>
      </w:r>
      <w:r w:rsidR="00544D30">
        <w:rPr>
          <w:rFonts w:asciiTheme="minorHAnsi" w:hAnsiTheme="minorHAnsi" w:cstheme="minorBidi"/>
          <w:szCs w:val="24"/>
        </w:rPr>
        <w:t xml:space="preserve"> </w:t>
      </w:r>
      <w:r w:rsidR="000E48A8" w:rsidRPr="00404C9A">
        <w:rPr>
          <w:rFonts w:asciiTheme="minorHAnsi" w:hAnsiTheme="minorHAnsi" w:cstheme="minorBidi"/>
          <w:i/>
          <w:iCs/>
          <w:color w:val="000000" w:themeColor="text1"/>
          <w:szCs w:val="24"/>
        </w:rPr>
        <w:t>Key updates from global efforts on child online protection</w:t>
      </w:r>
      <w:r w:rsidR="00524E5C">
        <w:rPr>
          <w:rFonts w:asciiTheme="minorHAnsi" w:hAnsiTheme="minorHAnsi" w:cstheme="minorBidi"/>
          <w:color w:val="000000" w:themeColor="text1"/>
          <w:szCs w:val="24"/>
        </w:rPr>
        <w:t>.</w:t>
      </w:r>
    </w:p>
    <w:p w14:paraId="63D74F15" w14:textId="57D631A3" w:rsidR="000E48A8" w:rsidRPr="00404C9A" w:rsidRDefault="000E48A8" w:rsidP="00024496">
      <w:pPr>
        <w:pStyle w:val="enumlev1"/>
        <w:jc w:val="both"/>
        <w:rPr>
          <w:rFonts w:asciiTheme="minorHAnsi" w:hAnsiTheme="minorHAnsi" w:cstheme="minorBidi"/>
          <w:color w:val="000000" w:themeColor="text1"/>
        </w:rPr>
      </w:pPr>
      <w:r w:rsidRPr="00404C9A">
        <w:rPr>
          <w:rFonts w:asciiTheme="minorHAnsi" w:hAnsiTheme="minorHAnsi" w:cstheme="minorBidi"/>
          <w:color w:val="000000" w:themeColor="text1"/>
        </w:rPr>
        <w:t>–</w:t>
      </w:r>
      <w:r w:rsidRPr="00404C9A">
        <w:rPr>
          <w:rFonts w:asciiTheme="minorHAnsi" w:hAnsiTheme="minorHAnsi" w:cstheme="minorBidi"/>
          <w:color w:val="000000" w:themeColor="text1"/>
        </w:rPr>
        <w:tab/>
      </w:r>
      <w:r w:rsidRPr="00024496">
        <w:rPr>
          <w:rFonts w:asciiTheme="minorHAnsi" w:hAnsiTheme="minorHAnsi" w:cstheme="minorHAnsi"/>
        </w:rPr>
        <w:t>Information</w:t>
      </w:r>
      <w:r w:rsidRPr="00404C9A">
        <w:rPr>
          <w:rFonts w:asciiTheme="minorHAnsi" w:hAnsiTheme="minorHAnsi" w:cstheme="minorBidi"/>
          <w:color w:val="000000" w:themeColor="text1"/>
        </w:rPr>
        <w:t xml:space="preserve"> documents presented under </w:t>
      </w:r>
      <w:r w:rsidR="00524E5C" w:rsidRPr="00404C9A">
        <w:rPr>
          <w:rFonts w:asciiTheme="minorHAnsi" w:hAnsiTheme="minorHAnsi" w:cstheme="minorBidi"/>
          <w:color w:val="000000" w:themeColor="text1"/>
        </w:rPr>
        <w:t xml:space="preserve">any other business </w:t>
      </w:r>
      <w:r w:rsidRPr="00404C9A">
        <w:rPr>
          <w:rFonts w:asciiTheme="minorHAnsi" w:hAnsiTheme="minorHAnsi" w:cstheme="minorBidi"/>
          <w:color w:val="000000" w:themeColor="text1"/>
        </w:rPr>
        <w:t xml:space="preserve">(AOB):  </w:t>
      </w:r>
    </w:p>
    <w:p w14:paraId="1EFF5F87" w14:textId="1040D83A" w:rsidR="000E48A8" w:rsidRPr="00404C9A" w:rsidRDefault="00024496" w:rsidP="00544D30">
      <w:pPr>
        <w:pStyle w:val="enumlev2"/>
        <w:jc w:val="both"/>
        <w:rPr>
          <w:rFonts w:asciiTheme="minorHAnsi" w:hAnsiTheme="minorHAnsi" w:cstheme="minorBidi"/>
          <w:i/>
          <w:iCs/>
          <w:szCs w:val="24"/>
        </w:rPr>
      </w:pPr>
      <w:r>
        <w:t>•</w:t>
      </w:r>
      <w:r>
        <w:tab/>
      </w:r>
      <w:hyperlink r:id="rId28" w:history="1">
        <w:r w:rsidR="000E48A8" w:rsidRPr="00404C9A">
          <w:rPr>
            <w:rStyle w:val="Hyperlink"/>
            <w:rFonts w:asciiTheme="minorHAnsi" w:hAnsiTheme="minorHAnsi" w:cstheme="minorBidi"/>
            <w:szCs w:val="24"/>
          </w:rPr>
          <w:t>Contribution</w:t>
        </w:r>
      </w:hyperlink>
      <w:r w:rsidR="000E48A8" w:rsidRPr="00404C9A">
        <w:rPr>
          <w:rFonts w:asciiTheme="minorHAnsi" w:hAnsiTheme="minorHAnsi" w:cstheme="minorBidi"/>
          <w:color w:val="000000" w:themeColor="text1"/>
          <w:szCs w:val="24"/>
        </w:rPr>
        <w:t xml:space="preserve"> by </w:t>
      </w:r>
      <w:proofErr w:type="spellStart"/>
      <w:r w:rsidR="000E48A8" w:rsidRPr="00404C9A">
        <w:rPr>
          <w:rFonts w:asciiTheme="minorHAnsi" w:hAnsiTheme="minorHAnsi" w:cstheme="minorBidi"/>
          <w:szCs w:val="24"/>
        </w:rPr>
        <w:t>SWGfL</w:t>
      </w:r>
      <w:proofErr w:type="spellEnd"/>
      <w:r w:rsidR="000E48A8" w:rsidRPr="00404C9A">
        <w:rPr>
          <w:rFonts w:asciiTheme="minorHAnsi" w:hAnsiTheme="minorHAnsi" w:cstheme="minorBidi"/>
          <w:szCs w:val="24"/>
        </w:rPr>
        <w:t> </w:t>
      </w:r>
      <w:r w:rsidR="00544D30">
        <w:rPr>
          <w:rFonts w:asciiTheme="minorHAnsi" w:hAnsiTheme="minorHAnsi" w:cstheme="minorBidi"/>
          <w:szCs w:val="24"/>
        </w:rPr>
        <w:t>– </w:t>
      </w:r>
      <w:r w:rsidR="000E48A8" w:rsidRPr="00404C9A">
        <w:rPr>
          <w:rFonts w:asciiTheme="minorHAnsi" w:hAnsiTheme="minorHAnsi" w:cstheme="minorBidi"/>
          <w:i/>
          <w:iCs/>
          <w:szCs w:val="24"/>
        </w:rPr>
        <w:t>Advancing technical standards for parental control interoperability (</w:t>
      </w:r>
      <w:proofErr w:type="spellStart"/>
      <w:r w:rsidR="000E48A8" w:rsidRPr="00404C9A">
        <w:rPr>
          <w:rFonts w:asciiTheme="minorHAnsi" w:hAnsiTheme="minorHAnsi" w:cstheme="minorBidi"/>
          <w:i/>
          <w:iCs/>
          <w:szCs w:val="24"/>
        </w:rPr>
        <w:t>PARCEP</w:t>
      </w:r>
      <w:proofErr w:type="spellEnd"/>
      <w:r w:rsidR="000E48A8" w:rsidRPr="00404C9A">
        <w:rPr>
          <w:rFonts w:asciiTheme="minorHAnsi" w:hAnsiTheme="minorHAnsi" w:cstheme="minorBidi"/>
          <w:i/>
          <w:iCs/>
          <w:szCs w:val="24"/>
        </w:rPr>
        <w:t>)</w:t>
      </w:r>
    </w:p>
    <w:p w14:paraId="46008BF8" w14:textId="692F0B77" w:rsidR="000E48A8" w:rsidRPr="00404C9A" w:rsidRDefault="00024496" w:rsidP="00544D30">
      <w:pPr>
        <w:pStyle w:val="enumlev2"/>
        <w:jc w:val="both"/>
        <w:rPr>
          <w:rFonts w:asciiTheme="minorHAnsi" w:hAnsiTheme="minorHAnsi" w:cstheme="minorBidi"/>
          <w:color w:val="000000" w:themeColor="text1"/>
        </w:rPr>
      </w:pPr>
      <w:r>
        <w:t>•</w:t>
      </w:r>
      <w:r>
        <w:tab/>
      </w:r>
      <w:hyperlink r:id="rId29" w:history="1">
        <w:r w:rsidR="000E48A8" w:rsidRPr="00404C9A">
          <w:rPr>
            <w:rStyle w:val="Hyperlink"/>
          </w:rPr>
          <w:t>Liaison statement</w:t>
        </w:r>
      </w:hyperlink>
      <w:r w:rsidR="000E48A8" w:rsidRPr="00404C9A">
        <w:t xml:space="preserve"> by ITU-T SG17</w:t>
      </w:r>
      <w:r w:rsidR="00544D30">
        <w:t xml:space="preserve"> </w:t>
      </w:r>
      <w:r w:rsidR="00544D30">
        <w:rPr>
          <w:rFonts w:asciiTheme="minorHAnsi" w:hAnsiTheme="minorHAnsi" w:cstheme="minorBidi"/>
          <w:szCs w:val="24"/>
        </w:rPr>
        <w:t>–</w:t>
      </w:r>
      <w:r w:rsidR="000E48A8" w:rsidRPr="00404C9A">
        <w:t xml:space="preserve"> </w:t>
      </w:r>
      <w:r w:rsidR="000E48A8" w:rsidRPr="00404C9A">
        <w:rPr>
          <w:i/>
          <w:iCs/>
        </w:rPr>
        <w:t>Update on the work of the Correspondence Group on child online protection (CG-COP)</w:t>
      </w:r>
    </w:p>
    <w:p w14:paraId="1E067F57" w14:textId="4FB572E0" w:rsidR="000E48A8" w:rsidRPr="00404C9A" w:rsidRDefault="00024496" w:rsidP="00544D30">
      <w:pPr>
        <w:pStyle w:val="enumlev2"/>
        <w:jc w:val="both"/>
        <w:rPr>
          <w:i/>
          <w:iCs/>
          <w:szCs w:val="24"/>
        </w:rPr>
      </w:pPr>
      <w:r>
        <w:t>•</w:t>
      </w:r>
      <w:r>
        <w:tab/>
      </w:r>
      <w:hyperlink r:id="rId30" w:history="1">
        <w:r w:rsidR="000E48A8" w:rsidRPr="00404C9A">
          <w:rPr>
            <w:rStyle w:val="Hyperlink"/>
            <w:rFonts w:asciiTheme="minorHAnsi" w:hAnsiTheme="minorHAnsi" w:cstheme="minorBidi"/>
            <w:szCs w:val="24"/>
          </w:rPr>
          <w:t>Contribution</w:t>
        </w:r>
      </w:hyperlink>
      <w:r w:rsidR="000E48A8" w:rsidRPr="00404C9A">
        <w:rPr>
          <w:rFonts w:asciiTheme="minorHAnsi" w:hAnsiTheme="minorHAnsi" w:cstheme="minorBidi"/>
          <w:color w:val="000000" w:themeColor="text1"/>
          <w:szCs w:val="24"/>
        </w:rPr>
        <w:t xml:space="preserve"> by </w:t>
      </w:r>
      <w:r w:rsidR="000E48A8" w:rsidRPr="00024496">
        <w:t>Digital</w:t>
      </w:r>
      <w:r w:rsidR="000E48A8" w:rsidRPr="00404C9A">
        <w:rPr>
          <w:rFonts w:asciiTheme="minorHAnsi" w:hAnsiTheme="minorHAnsi" w:cstheme="minorBidi"/>
          <w:szCs w:val="24"/>
        </w:rPr>
        <w:t xml:space="preserve"> Futures for Children, LSE, </w:t>
      </w:r>
      <w:proofErr w:type="spellStart"/>
      <w:r w:rsidR="000E48A8" w:rsidRPr="00404C9A">
        <w:rPr>
          <w:rFonts w:asciiTheme="minorHAnsi" w:hAnsiTheme="minorHAnsi" w:cstheme="minorBidi"/>
          <w:szCs w:val="24"/>
        </w:rPr>
        <w:t>5Rights</w:t>
      </w:r>
      <w:proofErr w:type="spellEnd"/>
      <w:r w:rsidR="000E48A8" w:rsidRPr="00404C9A">
        <w:rPr>
          <w:rFonts w:asciiTheme="minorHAnsi" w:hAnsiTheme="minorHAnsi" w:cstheme="minorBidi"/>
          <w:szCs w:val="24"/>
        </w:rPr>
        <w:t xml:space="preserve"> Foundation, </w:t>
      </w:r>
      <w:proofErr w:type="spellStart"/>
      <w:r w:rsidR="000E48A8" w:rsidRPr="00404C9A">
        <w:rPr>
          <w:rFonts w:asciiTheme="minorHAnsi" w:hAnsiTheme="minorHAnsi" w:cstheme="minorBidi"/>
          <w:szCs w:val="24"/>
        </w:rPr>
        <w:t>Mtoto</w:t>
      </w:r>
      <w:proofErr w:type="spellEnd"/>
      <w:r w:rsidR="000E48A8" w:rsidRPr="00404C9A">
        <w:rPr>
          <w:rFonts w:asciiTheme="minorHAnsi" w:hAnsiTheme="minorHAnsi" w:cstheme="minorBidi"/>
          <w:szCs w:val="24"/>
        </w:rPr>
        <w:t xml:space="preserve"> News</w:t>
      </w:r>
      <w:r w:rsidR="00544D30">
        <w:rPr>
          <w:rFonts w:asciiTheme="minorHAnsi" w:hAnsiTheme="minorHAnsi" w:cstheme="minorBidi"/>
          <w:szCs w:val="24"/>
        </w:rPr>
        <w:t xml:space="preserve"> </w:t>
      </w:r>
      <w:r w:rsidR="00544D30">
        <w:rPr>
          <w:rFonts w:asciiTheme="minorHAnsi" w:hAnsiTheme="minorHAnsi" w:cstheme="minorBidi"/>
          <w:szCs w:val="24"/>
        </w:rPr>
        <w:t>–</w:t>
      </w:r>
      <w:r w:rsidR="000E48A8" w:rsidRPr="00404C9A">
        <w:rPr>
          <w:rFonts w:asciiTheme="minorHAnsi" w:hAnsiTheme="minorHAnsi" w:cstheme="minorBidi"/>
          <w:szCs w:val="24"/>
        </w:rPr>
        <w:t xml:space="preserve"> </w:t>
      </w:r>
      <w:proofErr w:type="spellStart"/>
      <w:r w:rsidR="000E48A8" w:rsidRPr="00404C9A">
        <w:rPr>
          <w:rFonts w:asciiTheme="minorHAnsi" w:hAnsiTheme="minorHAnsi" w:cstheme="minorBidi"/>
          <w:i/>
          <w:iCs/>
          <w:szCs w:val="24"/>
        </w:rPr>
        <w:t>RIGHTS.AI</w:t>
      </w:r>
      <w:proofErr w:type="spellEnd"/>
    </w:p>
    <w:p w14:paraId="7A4FE2B3" w14:textId="760A40F2" w:rsidR="000E48A8" w:rsidRPr="00404C9A" w:rsidRDefault="00024496" w:rsidP="00544D30">
      <w:pPr>
        <w:pStyle w:val="enumlev2"/>
        <w:jc w:val="both"/>
        <w:rPr>
          <w:i/>
          <w:iCs/>
          <w:szCs w:val="24"/>
        </w:rPr>
      </w:pPr>
      <w:r>
        <w:t>•</w:t>
      </w:r>
      <w:r>
        <w:tab/>
      </w:r>
      <w:hyperlink r:id="rId31" w:history="1">
        <w:r w:rsidR="000E48A8" w:rsidRPr="00404C9A">
          <w:rPr>
            <w:rStyle w:val="Hyperlink"/>
            <w:rFonts w:asciiTheme="minorHAnsi" w:hAnsiTheme="minorHAnsi" w:cstheme="minorBidi"/>
            <w:szCs w:val="24"/>
          </w:rPr>
          <w:t>Contribution</w:t>
        </w:r>
      </w:hyperlink>
      <w:r w:rsidR="000E48A8" w:rsidRPr="00404C9A">
        <w:rPr>
          <w:rFonts w:asciiTheme="minorHAnsi" w:hAnsiTheme="minorHAnsi" w:cstheme="minorBidi"/>
          <w:szCs w:val="24"/>
        </w:rPr>
        <w:t xml:space="preserve"> by </w:t>
      </w:r>
      <w:r w:rsidR="000E48A8" w:rsidRPr="00024496">
        <w:t>OHCHR</w:t>
      </w:r>
      <w:r w:rsidR="000E48A8" w:rsidRPr="00404C9A">
        <w:rPr>
          <w:rFonts w:asciiTheme="minorHAnsi" w:hAnsiTheme="minorHAnsi" w:cstheme="minorBidi"/>
          <w:i/>
          <w:iCs/>
          <w:szCs w:val="24"/>
        </w:rPr>
        <w:t xml:space="preserve"> </w:t>
      </w:r>
      <w:r w:rsidR="00544D30">
        <w:rPr>
          <w:rFonts w:asciiTheme="minorHAnsi" w:hAnsiTheme="minorHAnsi" w:cstheme="minorBidi"/>
          <w:szCs w:val="24"/>
        </w:rPr>
        <w:t>–</w:t>
      </w:r>
      <w:r w:rsidR="000E48A8" w:rsidRPr="00404C9A">
        <w:rPr>
          <w:rFonts w:asciiTheme="minorHAnsi" w:hAnsiTheme="minorHAnsi" w:cstheme="minorBidi"/>
          <w:i/>
          <w:iCs/>
          <w:szCs w:val="24"/>
        </w:rPr>
        <w:t xml:space="preserve"> Safety of the Child in the Digital Environment</w:t>
      </w:r>
    </w:p>
    <w:p w14:paraId="65B8F2C6" w14:textId="187B4E79" w:rsidR="000E48A8" w:rsidRPr="00524E5C" w:rsidRDefault="00024496" w:rsidP="00544D30">
      <w:pPr>
        <w:pStyle w:val="enumlev2"/>
        <w:jc w:val="both"/>
        <w:rPr>
          <w:szCs w:val="24"/>
        </w:rPr>
      </w:pPr>
      <w:r>
        <w:t>•</w:t>
      </w:r>
      <w:r>
        <w:tab/>
      </w:r>
      <w:hyperlink r:id="rId32" w:history="1">
        <w:r w:rsidR="000E48A8" w:rsidRPr="00404C9A">
          <w:rPr>
            <w:rStyle w:val="Hyperlink"/>
            <w:rFonts w:asciiTheme="minorHAnsi" w:hAnsiTheme="minorHAnsi" w:cstheme="minorBidi"/>
            <w:szCs w:val="24"/>
          </w:rPr>
          <w:t>Contribution</w:t>
        </w:r>
      </w:hyperlink>
      <w:r w:rsidR="000E48A8" w:rsidRPr="00404C9A">
        <w:rPr>
          <w:rFonts w:asciiTheme="minorHAnsi" w:hAnsiTheme="minorHAnsi" w:cstheme="minorBidi"/>
          <w:color w:val="000000" w:themeColor="text1"/>
          <w:szCs w:val="24"/>
        </w:rPr>
        <w:t xml:space="preserve"> by </w:t>
      </w:r>
      <w:r w:rsidR="000E48A8" w:rsidRPr="00404C9A">
        <w:rPr>
          <w:rFonts w:asciiTheme="minorHAnsi" w:hAnsiTheme="minorHAnsi" w:cstheme="minorBidi"/>
          <w:szCs w:val="24"/>
        </w:rPr>
        <w:t xml:space="preserve">Council of Europe </w:t>
      </w:r>
      <w:r w:rsidR="00544D30">
        <w:rPr>
          <w:rFonts w:asciiTheme="minorHAnsi" w:hAnsiTheme="minorHAnsi" w:cstheme="minorBidi"/>
          <w:szCs w:val="24"/>
        </w:rPr>
        <w:t>–</w:t>
      </w:r>
      <w:r w:rsidR="000E48A8" w:rsidRPr="00404C9A">
        <w:rPr>
          <w:rFonts w:asciiTheme="minorHAnsi" w:hAnsiTheme="minorHAnsi" w:cstheme="minorBidi"/>
          <w:szCs w:val="24"/>
        </w:rPr>
        <w:t xml:space="preserve"> </w:t>
      </w:r>
      <w:r w:rsidR="000E48A8" w:rsidRPr="00404C9A">
        <w:rPr>
          <w:rFonts w:asciiTheme="minorHAnsi" w:hAnsiTheme="minorHAnsi" w:cstheme="minorBidi"/>
          <w:i/>
          <w:iCs/>
          <w:szCs w:val="24"/>
        </w:rPr>
        <w:t>Lanzarote committee secretariat – Recent activities</w:t>
      </w:r>
      <w:r w:rsidR="00524E5C">
        <w:rPr>
          <w:rFonts w:asciiTheme="minorHAnsi" w:hAnsiTheme="minorHAnsi" w:cstheme="minorBidi"/>
          <w:szCs w:val="24"/>
        </w:rPr>
        <w:t>.</w:t>
      </w:r>
    </w:p>
    <w:p w14:paraId="0346789D" w14:textId="77777777" w:rsidR="000E48A8" w:rsidRPr="00404C9A" w:rsidRDefault="000E48A8" w:rsidP="00024496">
      <w:pPr>
        <w:pStyle w:val="Heading1"/>
      </w:pPr>
      <w:r w:rsidRPr="00404C9A">
        <w:t>5</w:t>
      </w:r>
      <w:r w:rsidRPr="00404C9A">
        <w:tab/>
        <w:t>Presentations</w:t>
      </w:r>
    </w:p>
    <w:p w14:paraId="418DDAFA" w14:textId="77777777" w:rsidR="000E48A8" w:rsidRPr="00404C9A" w:rsidRDefault="000E48A8" w:rsidP="00024496">
      <w:pPr>
        <w:pStyle w:val="Headingb"/>
        <w:rPr>
          <w:color w:val="000000"/>
        </w:rPr>
      </w:pPr>
      <w:r w:rsidRPr="00404C9A">
        <w:t>Contribution and Information document by the Secretariat</w:t>
      </w:r>
    </w:p>
    <w:p w14:paraId="7A168EA6" w14:textId="77777777" w:rsidR="000E48A8" w:rsidRPr="00404C9A" w:rsidRDefault="000E48A8" w:rsidP="000E48A8">
      <w:pPr>
        <w:jc w:val="both"/>
        <w:rPr>
          <w:rFonts w:eastAsia="Calibri" w:cs="Calibri"/>
        </w:rPr>
      </w:pPr>
      <w:r w:rsidRPr="00404C9A">
        <w:rPr>
          <w:rFonts w:eastAsia="Calibri" w:cs="Calibri"/>
          <w:color w:val="000000" w:themeColor="text1"/>
        </w:rPr>
        <w:t>5.1</w:t>
      </w:r>
      <w:r w:rsidRPr="00404C9A">
        <w:rPr>
          <w:rFonts w:eastAsia="Calibri" w:cs="Calibri"/>
          <w:color w:val="000000" w:themeColor="text1"/>
        </w:rPr>
        <w:tab/>
      </w:r>
      <w:r w:rsidRPr="00404C9A">
        <w:rPr>
          <w:rFonts w:eastAsia="Calibri" w:cs="Calibri"/>
          <w:lang w:val="en-US"/>
        </w:rPr>
        <w:t xml:space="preserve">The </w:t>
      </w:r>
      <w:hyperlink r:id="rId33">
        <w:r w:rsidRPr="00404C9A">
          <w:rPr>
            <w:rStyle w:val="Hyperlink"/>
            <w:rFonts w:eastAsia="Calibri" w:cs="Calibri"/>
            <w:lang w:val="en-US"/>
          </w:rPr>
          <w:t>contribution</w:t>
        </w:r>
      </w:hyperlink>
      <w:r w:rsidRPr="00404C9A">
        <w:rPr>
          <w:rFonts w:eastAsia="Calibri" w:cs="Calibri"/>
          <w:lang w:val="en-US"/>
        </w:rPr>
        <w:t xml:space="preserve"> by ITU Secretariat provided an update on the Child Online Protection (COP) initiative, which continues to safeguard children from online risks while empowering them to harness digital opportunities. </w:t>
      </w:r>
      <w:r w:rsidRPr="00404C9A">
        <w:rPr>
          <w:rFonts w:eastAsia="Calibri" w:cs="Calibri"/>
        </w:rPr>
        <w:t xml:space="preserve">Between September 2025 and January 2026, the </w:t>
      </w:r>
      <w:r w:rsidRPr="00404C9A">
        <w:rPr>
          <w:rFonts w:eastAsia="Calibri" w:cs="Calibri"/>
        </w:rPr>
        <w:lastRenderedPageBreak/>
        <w:t xml:space="preserve">Initiative expanded its global reach through a series of concrete actions: by </w:t>
      </w:r>
      <w:r w:rsidRPr="000E48A8">
        <w:t>consolidating</w:t>
      </w:r>
      <w:r w:rsidRPr="00404C9A">
        <w:rPr>
          <w:rFonts w:eastAsia="Calibri" w:cs="Calibri"/>
        </w:rPr>
        <w:t xml:space="preserve"> global partnerships, expanding evidence-informed capacity building, launching major strategic outputs (</w:t>
      </w:r>
      <w:proofErr w:type="spellStart"/>
      <w:r w:rsidRPr="00404C9A">
        <w:rPr>
          <w:rFonts w:eastAsia="Calibri" w:cs="Calibri"/>
        </w:rPr>
        <w:t>PoP</w:t>
      </w:r>
      <w:proofErr w:type="spellEnd"/>
      <w:r w:rsidRPr="00404C9A">
        <w:rPr>
          <w:rFonts w:eastAsia="Calibri" w:cs="Calibri"/>
        </w:rPr>
        <w:t xml:space="preserve"> Principles, Joint Statement on AI and Child Rights), and deepening national implementation support. </w:t>
      </w:r>
    </w:p>
    <w:p w14:paraId="4E6B6160" w14:textId="77777777" w:rsidR="000E48A8" w:rsidRPr="00404C9A" w:rsidRDefault="000E48A8" w:rsidP="000E48A8">
      <w:pPr>
        <w:jc w:val="both"/>
        <w:rPr>
          <w:rFonts w:eastAsia="Calibri" w:cs="Calibri"/>
        </w:rPr>
      </w:pPr>
      <w:r w:rsidRPr="00404C9A">
        <w:rPr>
          <w:rFonts w:eastAsia="Calibri" w:cs="Calibri"/>
        </w:rPr>
        <w:t xml:space="preserve">The online trainings for children were translated into Portuguese and localized through national awareness campaigns in Brazil. Capacity-building activities were delivered in the Maldives, Morocco, Switzerland and Brazil, including Training of Trainers and multi-day </w:t>
      </w:r>
      <w:r w:rsidRPr="000E48A8">
        <w:t>sessions</w:t>
      </w:r>
      <w:r w:rsidRPr="00404C9A">
        <w:rPr>
          <w:rFonts w:eastAsia="Calibri" w:cs="Calibri"/>
        </w:rPr>
        <w:t xml:space="preserve"> for children and educators. Together with the OECS, an agreement was reached to localise and develop a regional awareness campaign for the Caribbean states for children and young people, as well as their educators and parents. Since the last </w:t>
      </w:r>
      <w:proofErr w:type="spellStart"/>
      <w:r w:rsidRPr="00404C9A">
        <w:rPr>
          <w:rFonts w:eastAsia="Calibri" w:cs="Calibri"/>
        </w:rPr>
        <w:t>WTDC</w:t>
      </w:r>
      <w:proofErr w:type="spellEnd"/>
      <w:r w:rsidRPr="00404C9A">
        <w:rPr>
          <w:rFonts w:eastAsia="Calibri" w:cs="Calibri"/>
        </w:rPr>
        <w:t xml:space="preserve"> in Baku (November 2025), ITU supported national COP frameworks of Eswatini and provided ongoing technical assistance in Indonesia, Lebanon, and Malawi, where the final reports of the national taskforces on children’s perspectives and experiences in online environments were delivered to national counterparts. </w:t>
      </w:r>
    </w:p>
    <w:p w14:paraId="08838F72" w14:textId="1496C4B5" w:rsidR="000E48A8" w:rsidRPr="00404C9A" w:rsidRDefault="000E48A8" w:rsidP="000E48A8">
      <w:pPr>
        <w:jc w:val="both"/>
        <w:rPr>
          <w:rFonts w:eastAsia="Calibri"/>
        </w:rPr>
      </w:pPr>
      <w:r w:rsidRPr="00404C9A">
        <w:rPr>
          <w:rFonts w:eastAsia="Calibri"/>
        </w:rPr>
        <w:t xml:space="preserve">The initiative also strengthened multistakeholder collaboration. Following information shared in previous meetings of the group in 2025, an update was provided on the Joint Statement on Child Rights in the context of AI. The document, co-drafted by ITU, UNICEF and the UN Committee on the Rights of the Child, together with 10 other international organisations/UN sister agencies and involving over 50 organizations and youth from 15+ </w:t>
      </w:r>
      <w:r w:rsidRPr="000E48A8">
        <w:t>countries</w:t>
      </w:r>
      <w:r w:rsidRPr="00404C9A">
        <w:rPr>
          <w:rFonts w:eastAsia="Calibri"/>
        </w:rPr>
        <w:t xml:space="preserve"> for consultation and co-branding, was formally adopted by the Committee through silent procedure in September 2025 and officially launched at a high-level signing ceremony on </w:t>
      </w:r>
      <w:r w:rsidR="00020AFB" w:rsidRPr="00404C9A">
        <w:rPr>
          <w:rFonts w:eastAsia="Calibri"/>
        </w:rPr>
        <w:t>19</w:t>
      </w:r>
      <w:r w:rsidR="00020AFB">
        <w:rPr>
          <w:rFonts w:eastAsia="Calibri"/>
        </w:rPr>
        <w:t> </w:t>
      </w:r>
      <w:r w:rsidRPr="00404C9A">
        <w:rPr>
          <w:rFonts w:eastAsia="Calibri"/>
        </w:rPr>
        <w:t xml:space="preserve">January 2026. The </w:t>
      </w:r>
      <w:proofErr w:type="gramStart"/>
      <w:r w:rsidRPr="00404C9A">
        <w:rPr>
          <w:rFonts w:eastAsia="Calibri"/>
        </w:rPr>
        <w:t>Principles</w:t>
      </w:r>
      <w:proofErr w:type="gramEnd"/>
      <w:r w:rsidRPr="00404C9A">
        <w:rPr>
          <w:rFonts w:eastAsia="Calibri"/>
        </w:rPr>
        <w:t xml:space="preserve"> issued within the Protection through Online Participation Initiative (</w:t>
      </w:r>
      <w:proofErr w:type="spellStart"/>
      <w:r w:rsidRPr="00404C9A">
        <w:rPr>
          <w:rFonts w:eastAsia="Calibri"/>
        </w:rPr>
        <w:t>PoP</w:t>
      </w:r>
      <w:proofErr w:type="spellEnd"/>
      <w:r w:rsidRPr="00404C9A">
        <w:rPr>
          <w:rFonts w:eastAsia="Calibri"/>
        </w:rPr>
        <w:t xml:space="preserve"> Principles), co-branded by over 30 partners, were launched and publicized in December 2025 at a high-level online event. The Industry Connect event series, launched in 2025, facilitated dialogue between Member States, industry, and law enforcement on online safety in AI, social media, and gaming, with events held in October 2025 (gaming) and December 2025 (streaming and EdTech). In addition, the </w:t>
      </w:r>
      <w:hyperlink r:id="rId34" w:history="1">
        <w:r w:rsidRPr="00404C9A">
          <w:rPr>
            <w:rStyle w:val="Hyperlink"/>
            <w:rFonts w:eastAsia="Calibri"/>
          </w:rPr>
          <w:t>GO-SAFER initiative</w:t>
        </w:r>
      </w:hyperlink>
      <w:r w:rsidRPr="00404C9A">
        <w:rPr>
          <w:rFonts w:eastAsia="Calibri"/>
        </w:rPr>
        <w:t xml:space="preserve">, launched in 2025 by ITU with WHO and the University of New Hampshire, established its governance bodies, began piloting activities, compiled over 100 resources, and launched its visual identity and website in December. </w:t>
      </w:r>
    </w:p>
    <w:p w14:paraId="64382CD9" w14:textId="77051AA2" w:rsidR="000E48A8" w:rsidRPr="00404C9A" w:rsidRDefault="00020AFB" w:rsidP="00024496">
      <w:pPr>
        <w:pStyle w:val="Headingb"/>
      </w:pPr>
      <w:r>
        <w:t>I</w:t>
      </w:r>
      <w:r w:rsidR="000E48A8" w:rsidRPr="00404C9A">
        <w:t>nformation documents by ITU Member States</w:t>
      </w:r>
    </w:p>
    <w:p w14:paraId="5A1D6EFA" w14:textId="1E871A1A" w:rsidR="000E48A8" w:rsidRPr="00404C9A" w:rsidRDefault="000E48A8" w:rsidP="000E48A8">
      <w:pPr>
        <w:jc w:val="both"/>
        <w:rPr>
          <w:rFonts w:asciiTheme="minorHAnsi" w:hAnsiTheme="minorHAnsi" w:cstheme="minorBidi"/>
          <w:color w:val="000000" w:themeColor="text1"/>
        </w:rPr>
      </w:pPr>
      <w:r w:rsidRPr="00404C9A">
        <w:rPr>
          <w:rFonts w:eastAsia="Calibri" w:cs="Calibri"/>
          <w:color w:val="000000" w:themeColor="text1"/>
        </w:rPr>
        <w:t>5.2</w:t>
      </w:r>
      <w:r w:rsidRPr="00404C9A">
        <w:rPr>
          <w:rFonts w:eastAsia="Calibri" w:cs="Calibri"/>
          <w:color w:val="000000" w:themeColor="text1"/>
        </w:rPr>
        <w:tab/>
      </w:r>
      <w:r w:rsidRPr="00404C9A">
        <w:rPr>
          <w:rFonts w:asciiTheme="minorHAnsi" w:hAnsiTheme="minorHAnsi" w:cstheme="minorBidi"/>
        </w:rPr>
        <w:t xml:space="preserve">The </w:t>
      </w:r>
      <w:hyperlink r:id="rId35" w:history="1">
        <w:r w:rsidRPr="00404C9A">
          <w:rPr>
            <w:rStyle w:val="Hyperlink"/>
            <w:rFonts w:asciiTheme="minorHAnsi" w:hAnsiTheme="minorHAnsi" w:cstheme="minorBidi"/>
          </w:rPr>
          <w:t>information document</w:t>
        </w:r>
      </w:hyperlink>
      <w:r w:rsidRPr="00404C9A">
        <w:rPr>
          <w:rFonts w:asciiTheme="minorHAnsi" w:hAnsiTheme="minorHAnsi" w:cstheme="minorBidi"/>
        </w:rPr>
        <w:t xml:space="preserve"> of the United States contribution highlighted national findings and policy considerations related to children’s excessive screen time and its implications for well-being. It outlined the long-standing integration of ICTs in K–12 education, beginning with one-to-one computing policies in the </w:t>
      </w:r>
      <w:proofErr w:type="spellStart"/>
      <w:r w:rsidRPr="00404C9A">
        <w:rPr>
          <w:rFonts w:asciiTheme="minorHAnsi" w:hAnsiTheme="minorHAnsi" w:cstheme="minorBidi"/>
        </w:rPr>
        <w:t>1990s</w:t>
      </w:r>
      <w:proofErr w:type="spellEnd"/>
      <w:r w:rsidRPr="00404C9A">
        <w:rPr>
          <w:rFonts w:asciiTheme="minorHAnsi" w:hAnsiTheme="minorHAnsi" w:cstheme="minorBidi"/>
        </w:rPr>
        <w:t xml:space="preserve"> and supported by the Telecommunications Act of 1996, which significantly increased students’ access to digital devices in classrooms. While these technologies have supported instructional delivery, evidence on their educational effectiveness remains mixed, and research has documented adverse impacts of excessive screen time on children’s mental health, physical health, cognitive development, and social well-being: effects that were amplified during the COVID</w:t>
      </w:r>
      <w:r w:rsidR="00020AFB">
        <w:rPr>
          <w:rFonts w:asciiTheme="minorHAnsi" w:hAnsiTheme="minorHAnsi" w:cstheme="minorBidi"/>
        </w:rPr>
        <w:noBreakHyphen/>
      </w:r>
      <w:r w:rsidRPr="00404C9A">
        <w:rPr>
          <w:rFonts w:asciiTheme="minorHAnsi" w:hAnsiTheme="minorHAnsi" w:cstheme="minorBidi"/>
        </w:rPr>
        <w:t>19 pandemic and the rapid expansion of EdTech use.</w:t>
      </w:r>
    </w:p>
    <w:p w14:paraId="3637471C" w14:textId="77777777" w:rsidR="000E48A8" w:rsidRPr="00404C9A" w:rsidRDefault="000E48A8" w:rsidP="000E48A8">
      <w:pPr>
        <w:jc w:val="both"/>
        <w:rPr>
          <w:rFonts w:asciiTheme="minorHAnsi" w:hAnsiTheme="minorHAnsi" w:cstheme="minorBidi"/>
        </w:rPr>
      </w:pPr>
      <w:r w:rsidRPr="00404C9A">
        <w:rPr>
          <w:rFonts w:asciiTheme="minorHAnsi" w:hAnsiTheme="minorHAnsi" w:cstheme="minorBidi"/>
        </w:rPr>
        <w:t xml:space="preserve">The contribution underscored the existing U.S. legal and policy framework, including the </w:t>
      </w:r>
      <w:r w:rsidRPr="000E48A8">
        <w:t>Children’s</w:t>
      </w:r>
      <w:r w:rsidRPr="00404C9A">
        <w:rPr>
          <w:rFonts w:asciiTheme="minorHAnsi" w:hAnsiTheme="minorHAnsi" w:cstheme="minorBidi"/>
        </w:rPr>
        <w:t xml:space="preserve"> Internet Protection Act (CIPA) and the Protecting Children in the 21</w:t>
      </w:r>
      <w:r w:rsidRPr="00020AFB">
        <w:rPr>
          <w:rFonts w:asciiTheme="minorHAnsi" w:hAnsiTheme="minorHAnsi" w:cstheme="minorBidi"/>
          <w:vertAlign w:val="superscript"/>
        </w:rPr>
        <w:t>st</w:t>
      </w:r>
      <w:r w:rsidRPr="00404C9A">
        <w:rPr>
          <w:rFonts w:asciiTheme="minorHAnsi" w:hAnsiTheme="minorHAnsi" w:cstheme="minorBidi"/>
        </w:rPr>
        <w:t xml:space="preserve"> Century Act, which require technical safeguards and digital citizenship education in schools receiving connectivity funding. However, challenges persist, including limited parental transparency </w:t>
      </w:r>
      <w:r w:rsidRPr="00404C9A">
        <w:rPr>
          <w:rFonts w:asciiTheme="minorHAnsi" w:hAnsiTheme="minorHAnsi" w:cstheme="minorBidi"/>
        </w:rPr>
        <w:lastRenderedPageBreak/>
        <w:t>into school-issued devices, complex responsible use policies, and insufficient understanding of data collection and use by EdTech platforms. Insights from a 2025 NTIA listening session emphasized the need for clearer national guidance on age-appropriate and educationally meaningful screen use, stronger data protection awareness, and careful oversight of connectivity funding to avoid promoting excessive screen exposure. The United States reaffirmed its commitment to continued stakeholder consultation and evidence-based inquiry to address excessive screen time and promote children’s well-being in digital learning environments.</w:t>
      </w:r>
    </w:p>
    <w:p w14:paraId="512347E9" w14:textId="1FA1BE3A" w:rsidR="000E48A8" w:rsidRPr="00404C9A" w:rsidRDefault="000E48A8" w:rsidP="000E48A8">
      <w:pPr>
        <w:jc w:val="both"/>
        <w:rPr>
          <w:rFonts w:asciiTheme="minorHAnsi" w:hAnsiTheme="minorHAnsi" w:cstheme="minorBidi"/>
        </w:rPr>
      </w:pPr>
      <w:r w:rsidRPr="00404C9A">
        <w:rPr>
          <w:rFonts w:eastAsia="Calibri" w:cs="Calibri"/>
          <w:color w:val="000000" w:themeColor="text1"/>
        </w:rPr>
        <w:t>5.3</w:t>
      </w:r>
      <w:r w:rsidRPr="00404C9A">
        <w:rPr>
          <w:rFonts w:eastAsia="Calibri" w:cs="Calibri"/>
          <w:color w:val="000000" w:themeColor="text1"/>
        </w:rPr>
        <w:tab/>
      </w:r>
      <w:r w:rsidRPr="00404C9A">
        <w:rPr>
          <w:rFonts w:eastAsia="Calibri" w:cs="Calibri"/>
        </w:rPr>
        <w:t xml:space="preserve">Poland’s </w:t>
      </w:r>
      <w:hyperlink r:id="rId36" w:history="1">
        <w:r w:rsidRPr="00404C9A">
          <w:rPr>
            <w:rStyle w:val="Hyperlink"/>
            <w:rFonts w:eastAsia="Calibri" w:cs="Calibri"/>
          </w:rPr>
          <w:t>information document</w:t>
        </w:r>
      </w:hyperlink>
      <w:r w:rsidRPr="00404C9A">
        <w:rPr>
          <w:rFonts w:eastAsia="Calibri" w:cs="Calibri"/>
        </w:rPr>
        <w:t xml:space="preserve"> and presentation demonstrated its experience in child online protection through the national hotline </w:t>
      </w:r>
      <w:proofErr w:type="spellStart"/>
      <w:r w:rsidRPr="00404C9A">
        <w:rPr>
          <w:rFonts w:eastAsia="Calibri" w:cs="Calibri"/>
        </w:rPr>
        <w:t>Dyzurnet.pl</w:t>
      </w:r>
      <w:proofErr w:type="spellEnd"/>
      <w:r w:rsidRPr="00404C9A">
        <w:rPr>
          <w:rFonts w:eastAsia="Calibri" w:cs="Calibri"/>
        </w:rPr>
        <w:t xml:space="preserve">, highlighting a multisectoral and operational model combining legal, institutional, technological, educational, and international cooperation measures. Operating since 2005 within the National Cybersecurity System and hosted by </w:t>
      </w:r>
      <w:proofErr w:type="spellStart"/>
      <w:r w:rsidRPr="00404C9A">
        <w:rPr>
          <w:rFonts w:eastAsia="Calibri" w:cs="Calibri"/>
        </w:rPr>
        <w:t>NASK</w:t>
      </w:r>
      <w:proofErr w:type="spellEnd"/>
      <w:r w:rsidRPr="00404C9A">
        <w:rPr>
          <w:rFonts w:eastAsia="Calibri" w:cs="Calibri"/>
        </w:rPr>
        <w:t xml:space="preserve">, </w:t>
      </w:r>
      <w:proofErr w:type="spellStart"/>
      <w:r w:rsidRPr="00404C9A">
        <w:rPr>
          <w:rFonts w:eastAsia="Calibri" w:cs="Calibri"/>
        </w:rPr>
        <w:t>Dyzurnet.pl</w:t>
      </w:r>
      <w:proofErr w:type="spellEnd"/>
      <w:r w:rsidRPr="00404C9A">
        <w:rPr>
          <w:rFonts w:eastAsia="Calibri" w:cs="Calibri"/>
        </w:rPr>
        <w:t xml:space="preserve"> serves as Poland’s single </w:t>
      </w:r>
      <w:r w:rsidRPr="000E48A8">
        <w:t>specialized</w:t>
      </w:r>
      <w:r w:rsidRPr="00404C9A">
        <w:rPr>
          <w:rFonts w:eastAsia="Calibri" w:cs="Calibri"/>
        </w:rPr>
        <w:t xml:space="preserve"> response point for illegal online content, with a strong focus on combating child sexual abuse material (</w:t>
      </w:r>
      <w:proofErr w:type="spellStart"/>
      <w:r w:rsidRPr="00404C9A">
        <w:rPr>
          <w:rFonts w:eastAsia="Calibri" w:cs="Calibri"/>
        </w:rPr>
        <w:t>CSAM</w:t>
      </w:r>
      <w:proofErr w:type="spellEnd"/>
      <w:r w:rsidRPr="00404C9A">
        <w:rPr>
          <w:rFonts w:eastAsia="Calibri" w:cs="Calibri"/>
        </w:rPr>
        <w:t>). In 2024, the hotline processed a record 27</w:t>
      </w:r>
      <w:r w:rsidR="00020AFB">
        <w:rPr>
          <w:rFonts w:eastAsia="Calibri" w:cs="Calibri"/>
        </w:rPr>
        <w:t> </w:t>
      </w:r>
      <w:r w:rsidRPr="00404C9A">
        <w:rPr>
          <w:rFonts w:eastAsia="Calibri" w:cs="Calibri"/>
        </w:rPr>
        <w:t>500 reports, reflecting both increased threat levels and growing public awareness.</w:t>
      </w:r>
    </w:p>
    <w:p w14:paraId="518A861E" w14:textId="77777777" w:rsidR="000E48A8" w:rsidRPr="00404C9A" w:rsidRDefault="000E48A8" w:rsidP="000E48A8">
      <w:pPr>
        <w:jc w:val="both"/>
        <w:rPr>
          <w:rFonts w:eastAsia="Calibri" w:cs="Calibri"/>
        </w:rPr>
      </w:pPr>
      <w:r w:rsidRPr="00404C9A">
        <w:rPr>
          <w:rFonts w:eastAsia="Calibri" w:cs="Calibri"/>
        </w:rPr>
        <w:t xml:space="preserve">Key actions undertaken include receiving and analysing reports through multiple secure channels, classifying illegal content, transferring validated </w:t>
      </w:r>
      <w:proofErr w:type="spellStart"/>
      <w:r w:rsidRPr="00404C9A">
        <w:rPr>
          <w:rFonts w:eastAsia="Calibri" w:cs="Calibri"/>
        </w:rPr>
        <w:t>CSAM</w:t>
      </w:r>
      <w:proofErr w:type="spellEnd"/>
      <w:r w:rsidRPr="00404C9A">
        <w:rPr>
          <w:rFonts w:eastAsia="Calibri" w:cs="Calibri"/>
        </w:rPr>
        <w:t xml:space="preserve"> to international </w:t>
      </w:r>
      <w:r w:rsidRPr="000E48A8">
        <w:t>databases</w:t>
      </w:r>
      <w:r w:rsidRPr="00404C9A">
        <w:rPr>
          <w:rFonts w:eastAsia="Calibri" w:cs="Calibri"/>
        </w:rPr>
        <w:t xml:space="preserve"> to support victim identification and law enforcement, and cooperating closely with national authorities, internet service providers, and online platforms. As a trusted flagger, </w:t>
      </w:r>
      <w:proofErr w:type="spellStart"/>
      <w:r w:rsidRPr="00404C9A">
        <w:rPr>
          <w:rFonts w:eastAsia="Calibri" w:cs="Calibri"/>
        </w:rPr>
        <w:t>Dyzurnet.pl</w:t>
      </w:r>
      <w:proofErr w:type="spellEnd"/>
      <w:r w:rsidRPr="00404C9A">
        <w:rPr>
          <w:rFonts w:eastAsia="Calibri" w:cs="Calibri"/>
        </w:rPr>
        <w:t xml:space="preserve"> enables the rapid prioritization and removal of illegal content. The initiative also invests in capacity building by delivering specialized training to police, prosecutors, judges, and probation officers, and in prevention through educational activities for children, parents, and teachers under the Polish Safer Internet Programme. Internationally, Poland plays an active role within the </w:t>
      </w:r>
      <w:proofErr w:type="spellStart"/>
      <w:r w:rsidRPr="00404C9A">
        <w:rPr>
          <w:rFonts w:eastAsia="Calibri" w:cs="Calibri"/>
        </w:rPr>
        <w:t>INHOPE</w:t>
      </w:r>
      <w:proofErr w:type="spellEnd"/>
      <w:r w:rsidRPr="00404C9A">
        <w:rPr>
          <w:rFonts w:eastAsia="Calibri" w:cs="Calibri"/>
        </w:rPr>
        <w:t xml:space="preserve"> network, including the development and implementation of the Universal Classification Schema to standardize </w:t>
      </w:r>
      <w:proofErr w:type="spellStart"/>
      <w:r w:rsidRPr="00404C9A">
        <w:rPr>
          <w:rFonts w:eastAsia="Calibri" w:cs="Calibri"/>
        </w:rPr>
        <w:t>CSAM</w:t>
      </w:r>
      <w:proofErr w:type="spellEnd"/>
      <w:r w:rsidRPr="00404C9A">
        <w:rPr>
          <w:rFonts w:eastAsia="Calibri" w:cs="Calibri"/>
        </w:rPr>
        <w:t xml:space="preserve"> classification and enhance cross-border cooperation, automation, and analyst protection. Poland reaffirmed its commitment to sharing good practices and strengthening international collaboration within the ITU framework to advance effective and scalable child online protection systems.</w:t>
      </w:r>
    </w:p>
    <w:p w14:paraId="4C228532" w14:textId="77777777" w:rsidR="000E48A8" w:rsidRPr="00404C9A" w:rsidRDefault="000E48A8" w:rsidP="000E48A8">
      <w:pPr>
        <w:jc w:val="both"/>
        <w:rPr>
          <w:rFonts w:eastAsia="Calibri" w:cs="Calibri"/>
        </w:rPr>
      </w:pPr>
      <w:r w:rsidRPr="00404C9A">
        <w:rPr>
          <w:rFonts w:asciiTheme="minorHAnsi" w:hAnsiTheme="minorHAnsi" w:cstheme="minorBidi"/>
          <w:color w:val="000000" w:themeColor="text1"/>
        </w:rPr>
        <w:t>5.4</w:t>
      </w:r>
      <w:r w:rsidRPr="00404C9A">
        <w:rPr>
          <w:rFonts w:asciiTheme="minorHAnsi" w:hAnsiTheme="minorHAnsi" w:cstheme="minorBidi"/>
          <w:color w:val="000000" w:themeColor="text1"/>
        </w:rPr>
        <w:tab/>
      </w:r>
      <w:r w:rsidRPr="00404C9A">
        <w:rPr>
          <w:rFonts w:asciiTheme="minorHAnsi" w:hAnsiTheme="minorHAnsi" w:cstheme="minorBidi"/>
        </w:rPr>
        <w:t xml:space="preserve">Malaysia’s </w:t>
      </w:r>
      <w:hyperlink r:id="rId37" w:history="1">
        <w:r w:rsidRPr="00404C9A">
          <w:rPr>
            <w:rStyle w:val="Hyperlink"/>
            <w:rFonts w:asciiTheme="minorHAnsi" w:hAnsiTheme="minorHAnsi" w:cstheme="minorBidi"/>
          </w:rPr>
          <w:t>information document</w:t>
        </w:r>
      </w:hyperlink>
      <w:r w:rsidRPr="00404C9A">
        <w:rPr>
          <w:rFonts w:asciiTheme="minorHAnsi" w:hAnsiTheme="minorHAnsi" w:cstheme="minorBidi"/>
        </w:rPr>
        <w:t xml:space="preserve"> outlined actions taken to address emerging child and youth online safety risks associated with conversational and generative artificial intelligence (AI) within its existing, technology-neutral regulatory framework. Building on established child online protection measures, Malaysia applies platform governance, </w:t>
      </w:r>
      <w:r w:rsidRPr="000E48A8">
        <w:t>content</w:t>
      </w:r>
      <w:r w:rsidRPr="00404C9A">
        <w:rPr>
          <w:rFonts w:asciiTheme="minorHAnsi" w:hAnsiTheme="minorHAnsi" w:cstheme="minorBidi"/>
        </w:rPr>
        <w:t xml:space="preserve"> regulation and safety-by-design principles to AI-enabled services through national legislation and regulatory oversight. Key actions include the enactment of the Online Safety Act 2025 (</w:t>
      </w:r>
      <w:proofErr w:type="spellStart"/>
      <w:r w:rsidRPr="00404C9A">
        <w:rPr>
          <w:rFonts w:asciiTheme="minorHAnsi" w:hAnsiTheme="minorHAnsi" w:cstheme="minorBidi"/>
        </w:rPr>
        <w:t>ONSA</w:t>
      </w:r>
      <w:proofErr w:type="spellEnd"/>
      <w:r w:rsidRPr="00404C9A">
        <w:rPr>
          <w:rFonts w:asciiTheme="minorHAnsi" w:hAnsiTheme="minorHAnsi" w:cstheme="minorBidi"/>
        </w:rPr>
        <w:t>), which entered into force on 1 January 2026 and introduces enforceable obligations on online service providers to protect children, including safety-by-design requirements, controls on harmful content, limits on harmful interactions and safeguards for features that may prolong engagement. These obligations apply to AI-enabled functionalities, including conversational AI systems.</w:t>
      </w:r>
    </w:p>
    <w:p w14:paraId="635CBC1C" w14:textId="77777777" w:rsidR="000E48A8" w:rsidRPr="00404C9A" w:rsidRDefault="000E48A8" w:rsidP="000E48A8">
      <w:pPr>
        <w:jc w:val="both"/>
        <w:rPr>
          <w:rFonts w:asciiTheme="minorHAnsi" w:hAnsiTheme="minorHAnsi" w:cstheme="minorBidi"/>
        </w:rPr>
      </w:pPr>
      <w:r w:rsidRPr="000E48A8">
        <w:t>Malaysia</w:t>
      </w:r>
      <w:r w:rsidRPr="00404C9A">
        <w:rPr>
          <w:rFonts w:asciiTheme="minorHAnsi" w:hAnsiTheme="minorHAnsi" w:cstheme="minorBidi"/>
        </w:rPr>
        <w:t xml:space="preserve"> has further strengthened accountability through licensing requirements for major messaging and social media platforms under the Communications and Multimedia Act 1998, supported by a Code of Conduct (Best Practice) that provides operational guidance on content moderation and risk mitigation. Regulatory engagement led by the Malaysian Communications and Multimedia Commission (MCMC) has encouraged platforms to implement transparency measures, such as labelling AI-generated content, and to adopt risk-</w:t>
      </w:r>
      <w:r w:rsidRPr="00404C9A">
        <w:rPr>
          <w:rFonts w:asciiTheme="minorHAnsi" w:hAnsiTheme="minorHAnsi" w:cstheme="minorBidi"/>
        </w:rPr>
        <w:lastRenderedPageBreak/>
        <w:t>mitigation practices for AI features accessible to children. Enforcement actions were initiated in 2025 in response to complaints involving AI-generated harmful content affecting children, demonstrating the application of existing laws to AI-related harms. These measures are complemented by public awareness campaigns, industry cooperation and Malaysia’s active participation in regional and international child online protection initiatives, including the ITU Council Working Group on Child Online Protection, reflecting Malaysia’s commitment to addressing AI-related risks through adaptable, outcomes-based and cooperative approaches.</w:t>
      </w:r>
    </w:p>
    <w:p w14:paraId="373D75C7" w14:textId="77777777" w:rsidR="000E48A8" w:rsidRPr="00404C9A" w:rsidRDefault="000E48A8" w:rsidP="000E48A8">
      <w:pPr>
        <w:jc w:val="both"/>
        <w:rPr>
          <w:rFonts w:asciiTheme="minorHAnsi" w:hAnsiTheme="minorHAnsi" w:cstheme="minorBidi"/>
        </w:rPr>
      </w:pPr>
      <w:r w:rsidRPr="00404C9A">
        <w:rPr>
          <w:rFonts w:asciiTheme="minorHAnsi" w:hAnsiTheme="minorHAnsi" w:cstheme="minorBidi"/>
          <w:color w:val="000000" w:themeColor="text1"/>
        </w:rPr>
        <w:t>5.5</w:t>
      </w:r>
      <w:r w:rsidRPr="00404C9A">
        <w:rPr>
          <w:rFonts w:asciiTheme="minorHAnsi" w:hAnsiTheme="minorHAnsi" w:cstheme="minorBidi"/>
          <w:color w:val="000000" w:themeColor="text1"/>
        </w:rPr>
        <w:tab/>
      </w:r>
      <w:r w:rsidRPr="00404C9A">
        <w:rPr>
          <w:rFonts w:asciiTheme="minorHAnsi" w:hAnsiTheme="minorHAnsi" w:cstheme="minorBidi"/>
        </w:rPr>
        <w:t xml:space="preserve">Jordan presented an </w:t>
      </w:r>
      <w:hyperlink r:id="rId38" w:history="1">
        <w:r w:rsidRPr="00404C9A">
          <w:rPr>
            <w:rStyle w:val="Hyperlink"/>
            <w:rFonts w:asciiTheme="minorHAnsi" w:hAnsiTheme="minorHAnsi" w:cstheme="minorBidi"/>
          </w:rPr>
          <w:t>information document</w:t>
        </w:r>
      </w:hyperlink>
      <w:r w:rsidRPr="00404C9A">
        <w:rPr>
          <w:rFonts w:asciiTheme="minorHAnsi" w:hAnsiTheme="minorHAnsi" w:cstheme="minorBidi"/>
        </w:rPr>
        <w:t xml:space="preserve"> outlining its national approach to child online protection, highlighting awareness-raising, regulatory actions, and multi-stakeholder initiatives implemented in response to high internet penetration and </w:t>
      </w:r>
      <w:r w:rsidRPr="000E48A8">
        <w:t>extensive</w:t>
      </w:r>
      <w:r w:rsidRPr="00404C9A">
        <w:rPr>
          <w:rFonts w:asciiTheme="minorHAnsi" w:hAnsiTheme="minorHAnsi" w:cstheme="minorBidi"/>
        </w:rPr>
        <w:t xml:space="preserve"> digital engagement among children, in line with Plenipotentiary Resolution 179 (Rev. Bucharest, 2022) </w:t>
      </w:r>
    </w:p>
    <w:p w14:paraId="4BDC3453" w14:textId="25AF5212" w:rsidR="000E48A8" w:rsidRPr="0069611F" w:rsidRDefault="000E48A8" w:rsidP="000E48A8">
      <w:pPr>
        <w:jc w:val="both"/>
        <w:rPr>
          <w:rFonts w:asciiTheme="minorHAnsi" w:hAnsiTheme="minorHAnsi" w:cstheme="minorBidi"/>
        </w:rPr>
      </w:pPr>
      <w:r w:rsidRPr="0069611F">
        <w:rPr>
          <w:rFonts w:asciiTheme="minorHAnsi" w:hAnsiTheme="minorHAnsi" w:cstheme="minorBidi"/>
        </w:rPr>
        <w:t xml:space="preserve">The contribution underscored the role of the National Cyber Security Centre (NCSC) in </w:t>
      </w:r>
      <w:r w:rsidRPr="000E48A8">
        <w:t>leading</w:t>
      </w:r>
      <w:r w:rsidRPr="0069611F">
        <w:rPr>
          <w:rFonts w:asciiTheme="minorHAnsi" w:hAnsiTheme="minorHAnsi" w:cstheme="minorBidi"/>
        </w:rPr>
        <w:t xml:space="preserve"> a nationwide awareness campaign launched in 2025, targeting children and parents with age-appropriate and child-friendly materials on the safe use of smart devices, social media, and online games. Practical guidance for parents was also provided on parental controls, screen-time management, and responses to online risks such as cyberbullying, extortion, and malicious software.</w:t>
      </w:r>
    </w:p>
    <w:p w14:paraId="59D0369B" w14:textId="55A13D08" w:rsidR="000E48A8" w:rsidRPr="0069611F" w:rsidRDefault="000E48A8" w:rsidP="000E48A8">
      <w:pPr>
        <w:jc w:val="both"/>
        <w:rPr>
          <w:rFonts w:asciiTheme="minorHAnsi" w:hAnsiTheme="minorHAnsi" w:cstheme="minorBidi"/>
        </w:rPr>
      </w:pPr>
      <w:r w:rsidRPr="0069611F">
        <w:rPr>
          <w:rFonts w:asciiTheme="minorHAnsi" w:hAnsiTheme="minorHAnsi" w:cstheme="minorBidi"/>
        </w:rPr>
        <w:t>Jordan described a coordinated, multi-stakeholder approach involving collaboration between the NCSC, the Ministry of Education, and the Telecommunications Regulatory Commission (</w:t>
      </w:r>
      <w:proofErr w:type="spellStart"/>
      <w:r w:rsidRPr="0069611F">
        <w:rPr>
          <w:rFonts w:asciiTheme="minorHAnsi" w:hAnsiTheme="minorHAnsi" w:cstheme="minorBidi"/>
        </w:rPr>
        <w:t>TRC</w:t>
      </w:r>
      <w:proofErr w:type="spellEnd"/>
      <w:r w:rsidRPr="0069611F">
        <w:rPr>
          <w:rFonts w:asciiTheme="minorHAnsi" w:hAnsiTheme="minorHAnsi" w:cstheme="minorBidi"/>
        </w:rPr>
        <w:t xml:space="preserve">). Digital safety content was integrated into school curricula, while the </w:t>
      </w:r>
      <w:proofErr w:type="spellStart"/>
      <w:r w:rsidRPr="0069611F">
        <w:rPr>
          <w:rFonts w:asciiTheme="minorHAnsi" w:hAnsiTheme="minorHAnsi" w:cstheme="minorBidi"/>
        </w:rPr>
        <w:t>TRC</w:t>
      </w:r>
      <w:proofErr w:type="spellEnd"/>
      <w:r w:rsidRPr="0069611F">
        <w:rPr>
          <w:rFonts w:asciiTheme="minorHAnsi" w:hAnsiTheme="minorHAnsi" w:cstheme="minorBidi"/>
        </w:rPr>
        <w:t xml:space="preserve"> implemented protective regulatory measures, including blocking abusive chat rooms in certain online games and issuing public alerts on high-risk applications. Capacity-building initiatives were also highlighted, including digital skills training for young people incorporating online safety components and artificial intelligence training for public sector employees with an emphasis on ethical use and child protection.</w:t>
      </w:r>
    </w:p>
    <w:p w14:paraId="23CBCC13" w14:textId="1F7E9184" w:rsidR="000E48A8" w:rsidRPr="0069611F" w:rsidRDefault="000E48A8" w:rsidP="000E48A8">
      <w:pPr>
        <w:jc w:val="both"/>
        <w:rPr>
          <w:rFonts w:asciiTheme="minorHAnsi" w:hAnsiTheme="minorHAnsi" w:cstheme="minorBidi"/>
        </w:rPr>
      </w:pPr>
      <w:r w:rsidRPr="0069611F">
        <w:rPr>
          <w:rFonts w:asciiTheme="minorHAnsi" w:hAnsiTheme="minorHAnsi" w:cstheme="minorBidi"/>
        </w:rPr>
        <w:t xml:space="preserve">The contribution further noted partnerships with international and civil society </w:t>
      </w:r>
      <w:r w:rsidRPr="000E48A8">
        <w:t>organizations</w:t>
      </w:r>
      <w:r w:rsidRPr="0069611F">
        <w:rPr>
          <w:rFonts w:asciiTheme="minorHAnsi" w:hAnsiTheme="minorHAnsi" w:cstheme="minorBidi"/>
        </w:rPr>
        <w:t>, including UNICEF Jordan and Save the Children, as well as ongoing research on children’s digital experiences to inform evidence-based interventions. Jordan indicated plans to expand outreach through cooperation with telecommunications providers and civil society actors.</w:t>
      </w:r>
    </w:p>
    <w:p w14:paraId="5C60C0BA" w14:textId="5D79AA13" w:rsidR="000E48A8" w:rsidRPr="00404C9A" w:rsidRDefault="000E48A8" w:rsidP="000E48A8">
      <w:pPr>
        <w:jc w:val="both"/>
        <w:rPr>
          <w:rFonts w:asciiTheme="minorHAnsi" w:hAnsiTheme="minorHAnsi" w:cstheme="minorBidi"/>
        </w:rPr>
      </w:pPr>
      <w:r w:rsidRPr="000E48A8">
        <w:t>Based</w:t>
      </w:r>
      <w:r w:rsidRPr="0069611F">
        <w:rPr>
          <w:rFonts w:asciiTheme="minorHAnsi" w:hAnsiTheme="minorHAnsi" w:cstheme="minorBidi"/>
        </w:rPr>
        <w:t xml:space="preserve"> on its national experience, Jordan invited the Council Working Group on child online protection to consider a number of forward-looking areas, including the development of regional support frameworks, strengthened technical cooperation and technology transfer, enhanced multi-stakeholder engagement with particular attention to youth participation, the promotion of evidence-based policymaking through research and indicators, and the strengthening of sustainable capacity-building mechanisms.</w:t>
      </w:r>
    </w:p>
    <w:p w14:paraId="3ECBCC80" w14:textId="77777777" w:rsidR="000E48A8" w:rsidRPr="00404C9A" w:rsidRDefault="000E48A8" w:rsidP="000E48A8">
      <w:pPr>
        <w:jc w:val="both"/>
        <w:rPr>
          <w:rFonts w:asciiTheme="minorHAnsi" w:hAnsiTheme="minorHAnsi" w:cstheme="minorBidi"/>
        </w:rPr>
      </w:pPr>
      <w:r w:rsidRPr="00404C9A">
        <w:rPr>
          <w:rFonts w:asciiTheme="minorHAnsi" w:hAnsiTheme="minorHAnsi" w:cstheme="minorBidi"/>
        </w:rPr>
        <w:t>5.6</w:t>
      </w:r>
      <w:r w:rsidRPr="00404C9A">
        <w:rPr>
          <w:rFonts w:asciiTheme="minorHAnsi" w:hAnsiTheme="minorHAnsi" w:cstheme="minorBidi"/>
        </w:rPr>
        <w:tab/>
      </w:r>
      <w:proofErr w:type="spellStart"/>
      <w:r w:rsidRPr="00404C9A">
        <w:rPr>
          <w:rFonts w:asciiTheme="minorHAnsi" w:hAnsiTheme="minorHAnsi" w:cstheme="minorBidi"/>
        </w:rPr>
        <w:t>CNIL’s</w:t>
      </w:r>
      <w:proofErr w:type="spellEnd"/>
      <w:r w:rsidRPr="00404C9A">
        <w:rPr>
          <w:rFonts w:asciiTheme="minorHAnsi" w:hAnsiTheme="minorHAnsi" w:cstheme="minorBidi"/>
        </w:rPr>
        <w:t xml:space="preserve"> </w:t>
      </w:r>
      <w:hyperlink r:id="rId39" w:history="1">
        <w:r w:rsidRPr="00404C9A">
          <w:rPr>
            <w:rStyle w:val="Hyperlink"/>
            <w:rFonts w:asciiTheme="minorHAnsi" w:hAnsiTheme="minorHAnsi" w:cstheme="minorBidi"/>
          </w:rPr>
          <w:t>information document</w:t>
        </w:r>
      </w:hyperlink>
      <w:r w:rsidRPr="00404C9A">
        <w:rPr>
          <w:rFonts w:asciiTheme="minorHAnsi" w:hAnsiTheme="minorHAnsi" w:cstheme="minorBidi"/>
        </w:rPr>
        <w:t xml:space="preserve"> presented </w:t>
      </w:r>
      <w:proofErr w:type="spellStart"/>
      <w:r w:rsidRPr="00404C9A">
        <w:rPr>
          <w:rFonts w:asciiTheme="minorHAnsi" w:hAnsiTheme="minorHAnsi" w:cstheme="minorBidi"/>
        </w:rPr>
        <w:t>FantomApp</w:t>
      </w:r>
      <w:proofErr w:type="spellEnd"/>
      <w:r w:rsidRPr="00404C9A">
        <w:rPr>
          <w:rFonts w:asciiTheme="minorHAnsi" w:hAnsiTheme="minorHAnsi" w:cstheme="minorBidi"/>
        </w:rPr>
        <w:t>, a concrete awareness and empowerment initiative launched in 2025 to help teenagers better protect their personal data on social media. Developed by the French Data Protection Authority with funding from the European Union under the Citizens, Equality, Rights and Values (</w:t>
      </w:r>
      <w:proofErr w:type="spellStart"/>
      <w:r w:rsidRPr="00404C9A">
        <w:rPr>
          <w:rFonts w:asciiTheme="minorHAnsi" w:hAnsiTheme="minorHAnsi" w:cstheme="minorBidi"/>
        </w:rPr>
        <w:t>CERV</w:t>
      </w:r>
      <w:proofErr w:type="spellEnd"/>
      <w:r w:rsidRPr="00404C9A">
        <w:rPr>
          <w:rFonts w:asciiTheme="minorHAnsi" w:hAnsiTheme="minorHAnsi" w:cstheme="minorBidi"/>
        </w:rPr>
        <w:t xml:space="preserve">) </w:t>
      </w:r>
      <w:r w:rsidRPr="000E48A8">
        <w:t>programme</w:t>
      </w:r>
      <w:r w:rsidRPr="00404C9A">
        <w:rPr>
          <w:rFonts w:asciiTheme="minorHAnsi" w:hAnsiTheme="minorHAnsi" w:cstheme="minorBidi"/>
        </w:rPr>
        <w:t xml:space="preserve">, </w:t>
      </w:r>
      <w:proofErr w:type="spellStart"/>
      <w:r w:rsidRPr="00404C9A">
        <w:rPr>
          <w:rFonts w:asciiTheme="minorHAnsi" w:hAnsiTheme="minorHAnsi" w:cstheme="minorBidi"/>
        </w:rPr>
        <w:t>FantomApp</w:t>
      </w:r>
      <w:proofErr w:type="spellEnd"/>
      <w:r w:rsidRPr="00404C9A">
        <w:rPr>
          <w:rFonts w:asciiTheme="minorHAnsi" w:hAnsiTheme="minorHAnsi" w:cstheme="minorBidi"/>
        </w:rPr>
        <w:t xml:space="preserve"> targets young users aged approximately 11–15 and was co-designed directly with teenagers through classroom interviews, workshops and user testing. These consultations informed both the content and digital-first format of the tool, reflecting young people’s online practices and preferences. The application is available free of charge in French and English via </w:t>
      </w:r>
      <w:r w:rsidRPr="00404C9A">
        <w:rPr>
          <w:rFonts w:asciiTheme="minorHAnsi" w:hAnsiTheme="minorHAnsi" w:cstheme="minorBidi"/>
        </w:rPr>
        <w:lastRenderedPageBreak/>
        <w:t>app stores and a web version, and complies fully with GDPR requirements, including a strict zero-data-collection approach.</w:t>
      </w:r>
    </w:p>
    <w:p w14:paraId="2B711F65" w14:textId="77777777" w:rsidR="000E48A8" w:rsidRPr="00404C9A" w:rsidRDefault="000E48A8" w:rsidP="000E48A8">
      <w:pPr>
        <w:jc w:val="both"/>
        <w:rPr>
          <w:rFonts w:asciiTheme="minorHAnsi" w:hAnsiTheme="minorHAnsi" w:cstheme="minorBidi"/>
        </w:rPr>
      </w:pPr>
      <w:r w:rsidRPr="00404C9A">
        <w:rPr>
          <w:rFonts w:asciiTheme="minorHAnsi" w:hAnsiTheme="minorHAnsi" w:cstheme="minorBidi"/>
        </w:rPr>
        <w:t xml:space="preserve">Key actions undertaken include the development of practical tools and step-by-step tutorials enabling teenagers to secure their social media accounts, manage privacy settings, test password strength, anonymise images and better understand their online visibility. </w:t>
      </w:r>
      <w:proofErr w:type="spellStart"/>
      <w:r w:rsidRPr="00404C9A">
        <w:rPr>
          <w:rFonts w:asciiTheme="minorHAnsi" w:hAnsiTheme="minorHAnsi" w:cstheme="minorBidi"/>
        </w:rPr>
        <w:t>FantomApp</w:t>
      </w:r>
      <w:proofErr w:type="spellEnd"/>
      <w:r w:rsidRPr="00404C9A">
        <w:rPr>
          <w:rFonts w:asciiTheme="minorHAnsi" w:hAnsiTheme="minorHAnsi" w:cstheme="minorBidi"/>
        </w:rPr>
        <w:t xml:space="preserve"> also provides guidance for responding to concrete online problems such as cyberbullying, account hacking, sextortion, identity theft and requests for content removal, with clear action pathways, platform links and referrals to national and European helplines. Implemented as part of </w:t>
      </w:r>
      <w:proofErr w:type="spellStart"/>
      <w:r w:rsidRPr="00404C9A">
        <w:rPr>
          <w:rFonts w:asciiTheme="minorHAnsi" w:hAnsiTheme="minorHAnsi" w:cstheme="minorBidi"/>
        </w:rPr>
        <w:t>CNIL’s</w:t>
      </w:r>
      <w:proofErr w:type="spellEnd"/>
      <w:r w:rsidRPr="00404C9A">
        <w:rPr>
          <w:rFonts w:asciiTheme="minorHAnsi" w:hAnsiTheme="minorHAnsi" w:cstheme="minorBidi"/>
        </w:rPr>
        <w:t xml:space="preserve"> statutory awareness and education mandate under the GDPR, the initiative complements broader offline education efforts and supports children’s autonomy in exercising their digital rights. Nine European data protection authorities have expressed interest in the project, highlighting its potential as a scalable good practice for child online protection within the ITU and EU contexts.</w:t>
      </w:r>
    </w:p>
    <w:p w14:paraId="5B400366" w14:textId="77777777" w:rsidR="000E48A8" w:rsidRPr="00404C9A" w:rsidRDefault="000E48A8" w:rsidP="000E48A8">
      <w:pPr>
        <w:jc w:val="both"/>
        <w:rPr>
          <w:rFonts w:asciiTheme="minorHAnsi" w:hAnsiTheme="minorHAnsi" w:cstheme="minorBidi"/>
        </w:rPr>
      </w:pPr>
      <w:r w:rsidRPr="00404C9A">
        <w:rPr>
          <w:rFonts w:asciiTheme="minorHAnsi" w:hAnsiTheme="minorHAnsi" w:cstheme="minorBidi"/>
        </w:rPr>
        <w:t>5.7</w:t>
      </w:r>
      <w:r w:rsidRPr="00404C9A">
        <w:rPr>
          <w:rFonts w:asciiTheme="minorHAnsi" w:hAnsiTheme="minorHAnsi" w:cstheme="minorBidi"/>
        </w:rPr>
        <w:tab/>
        <w:t xml:space="preserve">The Philippines’ </w:t>
      </w:r>
      <w:hyperlink r:id="rId40" w:history="1">
        <w:r w:rsidRPr="00404C9A">
          <w:rPr>
            <w:rStyle w:val="Hyperlink"/>
            <w:rFonts w:asciiTheme="minorHAnsi" w:hAnsiTheme="minorHAnsi" w:cstheme="minorBidi"/>
          </w:rPr>
          <w:t>information document</w:t>
        </w:r>
      </w:hyperlink>
      <w:r w:rsidRPr="00404C9A">
        <w:rPr>
          <w:rFonts w:asciiTheme="minorHAnsi" w:hAnsiTheme="minorHAnsi" w:cstheme="minorBidi"/>
        </w:rPr>
        <w:t xml:space="preserve"> presented a whole-of-government approach to child online protection, highlighting concrete institutional and policy actions to address online sexual abuse and exploitation of children (</w:t>
      </w:r>
      <w:proofErr w:type="spellStart"/>
      <w:r w:rsidRPr="00404C9A">
        <w:rPr>
          <w:rFonts w:asciiTheme="minorHAnsi" w:hAnsiTheme="minorHAnsi" w:cstheme="minorBidi"/>
        </w:rPr>
        <w:t>OSAEC</w:t>
      </w:r>
      <w:proofErr w:type="spellEnd"/>
      <w:r w:rsidRPr="00404C9A">
        <w:rPr>
          <w:rFonts w:asciiTheme="minorHAnsi" w:hAnsiTheme="minorHAnsi" w:cstheme="minorBidi"/>
        </w:rPr>
        <w:t xml:space="preserve">), child trafficking and data protection risks. Key measures include strengthened inter-agency coordination through bodies such as the National Coordination </w:t>
      </w:r>
      <w:proofErr w:type="spellStart"/>
      <w:r w:rsidRPr="00404C9A">
        <w:rPr>
          <w:rFonts w:asciiTheme="minorHAnsi" w:hAnsiTheme="minorHAnsi" w:cstheme="minorBidi"/>
        </w:rPr>
        <w:t>Center</w:t>
      </w:r>
      <w:proofErr w:type="spellEnd"/>
      <w:r w:rsidRPr="00404C9A">
        <w:rPr>
          <w:rFonts w:asciiTheme="minorHAnsi" w:hAnsiTheme="minorHAnsi" w:cstheme="minorBidi"/>
        </w:rPr>
        <w:t xml:space="preserve"> Against </w:t>
      </w:r>
      <w:proofErr w:type="spellStart"/>
      <w:r w:rsidRPr="00404C9A">
        <w:rPr>
          <w:rFonts w:asciiTheme="minorHAnsi" w:hAnsiTheme="minorHAnsi" w:cstheme="minorBidi"/>
        </w:rPr>
        <w:t>OSAEC-CSAEM</w:t>
      </w:r>
      <w:proofErr w:type="spellEnd"/>
      <w:r w:rsidRPr="00404C9A">
        <w:rPr>
          <w:rFonts w:asciiTheme="minorHAnsi" w:hAnsiTheme="minorHAnsi" w:cstheme="minorBidi"/>
        </w:rPr>
        <w:t xml:space="preserve"> and the Inter-Agency Council Against Trafficking (</w:t>
      </w:r>
      <w:proofErr w:type="spellStart"/>
      <w:r w:rsidRPr="00404C9A">
        <w:rPr>
          <w:rFonts w:asciiTheme="minorHAnsi" w:hAnsiTheme="minorHAnsi" w:cstheme="minorBidi"/>
        </w:rPr>
        <w:t>IACAT</w:t>
      </w:r>
      <w:proofErr w:type="spellEnd"/>
      <w:r w:rsidRPr="00404C9A">
        <w:rPr>
          <w:rFonts w:asciiTheme="minorHAnsi" w:hAnsiTheme="minorHAnsi" w:cstheme="minorBidi"/>
        </w:rPr>
        <w:t xml:space="preserve">), as well as the adoption of the Philippine Strategic Plan Against </w:t>
      </w:r>
      <w:proofErr w:type="spellStart"/>
      <w:r w:rsidRPr="00404C9A">
        <w:rPr>
          <w:rFonts w:asciiTheme="minorHAnsi" w:hAnsiTheme="minorHAnsi" w:cstheme="minorBidi"/>
        </w:rPr>
        <w:t>OSAEC-CSAEM</w:t>
      </w:r>
      <w:proofErr w:type="spellEnd"/>
      <w:r w:rsidRPr="00404C9A">
        <w:rPr>
          <w:rFonts w:asciiTheme="minorHAnsi" w:hAnsiTheme="minorHAnsi" w:cstheme="minorBidi"/>
        </w:rPr>
        <w:t xml:space="preserve"> (2025–2028). The strategy was developed through nationwide, multi-stakeholder consultations involving government agencies, civil </w:t>
      </w:r>
      <w:r w:rsidRPr="000E48A8">
        <w:t>society</w:t>
      </w:r>
      <w:r w:rsidRPr="00404C9A">
        <w:rPr>
          <w:rFonts w:asciiTheme="minorHAnsi" w:hAnsiTheme="minorHAnsi" w:cstheme="minorBidi"/>
        </w:rPr>
        <w:t>, industry partners, children and survivors, and provides a coordinated framework covering prevention, protection, prosecution and partnerships.</w:t>
      </w:r>
    </w:p>
    <w:p w14:paraId="41CF3BEB" w14:textId="77777777" w:rsidR="000E48A8" w:rsidRPr="00404C9A" w:rsidRDefault="000E48A8" w:rsidP="000E48A8">
      <w:pPr>
        <w:jc w:val="both"/>
        <w:rPr>
          <w:rFonts w:asciiTheme="minorHAnsi" w:hAnsiTheme="minorHAnsi" w:cstheme="minorBidi"/>
        </w:rPr>
      </w:pPr>
      <w:r w:rsidRPr="00404C9A">
        <w:rPr>
          <w:rFonts w:asciiTheme="minorHAnsi" w:hAnsiTheme="minorHAnsi" w:cstheme="minorBidi"/>
        </w:rPr>
        <w:t>Actions undertaken at the operational level include the integration of anti-</w:t>
      </w:r>
      <w:proofErr w:type="spellStart"/>
      <w:r w:rsidRPr="00404C9A">
        <w:rPr>
          <w:rFonts w:asciiTheme="minorHAnsi" w:hAnsiTheme="minorHAnsi" w:cstheme="minorBidi"/>
        </w:rPr>
        <w:t>OSAEC</w:t>
      </w:r>
      <w:proofErr w:type="spellEnd"/>
      <w:r w:rsidRPr="00404C9A">
        <w:rPr>
          <w:rFonts w:asciiTheme="minorHAnsi" w:hAnsiTheme="minorHAnsi" w:cstheme="minorBidi"/>
        </w:rPr>
        <w:t xml:space="preserve"> and </w:t>
      </w:r>
      <w:proofErr w:type="spellStart"/>
      <w:r w:rsidRPr="00404C9A">
        <w:rPr>
          <w:rFonts w:asciiTheme="minorHAnsi" w:hAnsiTheme="minorHAnsi" w:cstheme="minorBidi"/>
        </w:rPr>
        <w:t>CSAEM</w:t>
      </w:r>
      <w:proofErr w:type="spellEnd"/>
      <w:r w:rsidRPr="00404C9A">
        <w:rPr>
          <w:rFonts w:asciiTheme="minorHAnsi" w:hAnsiTheme="minorHAnsi" w:cstheme="minorBidi"/>
        </w:rPr>
        <w:t xml:space="preserve"> measures into local governance audits, guidance for local ordinances, and the strengthening of regional and local anti-trafficking mechanisms. The Philippines institutionalised the </w:t>
      </w:r>
      <w:proofErr w:type="spellStart"/>
      <w:r w:rsidRPr="00404C9A">
        <w:rPr>
          <w:rFonts w:asciiTheme="minorHAnsi" w:hAnsiTheme="minorHAnsi" w:cstheme="minorBidi"/>
        </w:rPr>
        <w:t>MAKABATA</w:t>
      </w:r>
      <w:proofErr w:type="spellEnd"/>
      <w:r w:rsidRPr="00404C9A">
        <w:rPr>
          <w:rFonts w:asciiTheme="minorHAnsi" w:hAnsiTheme="minorHAnsi" w:cstheme="minorBidi"/>
        </w:rPr>
        <w:t xml:space="preserve"> Helpline 1383 for child protection reporting, launched the </w:t>
      </w:r>
      <w:proofErr w:type="spellStart"/>
      <w:r w:rsidRPr="00404C9A">
        <w:rPr>
          <w:rFonts w:asciiTheme="minorHAnsi" w:hAnsiTheme="minorHAnsi" w:cstheme="minorBidi"/>
        </w:rPr>
        <w:t>IACAT</w:t>
      </w:r>
      <w:proofErr w:type="spellEnd"/>
      <w:r w:rsidRPr="00404C9A">
        <w:rPr>
          <w:rFonts w:asciiTheme="minorHAnsi" w:hAnsiTheme="minorHAnsi" w:cstheme="minorBidi"/>
        </w:rPr>
        <w:t xml:space="preserve"> </w:t>
      </w:r>
      <w:proofErr w:type="spellStart"/>
      <w:r w:rsidRPr="00404C9A">
        <w:rPr>
          <w:rFonts w:asciiTheme="minorHAnsi" w:hAnsiTheme="minorHAnsi" w:cstheme="minorBidi"/>
        </w:rPr>
        <w:t>ProtectPortal</w:t>
      </w:r>
      <w:proofErr w:type="spellEnd"/>
      <w:r w:rsidRPr="00404C9A">
        <w:rPr>
          <w:rFonts w:asciiTheme="minorHAnsi" w:hAnsiTheme="minorHAnsi" w:cstheme="minorBidi"/>
        </w:rPr>
        <w:t xml:space="preserve"> to consolidate trafficking-related data, and initiated registries to monitor child sex offenders and blacklisted aliens. These enforcement and protection measures are complemented by nationwide cyber safety education integrated into </w:t>
      </w:r>
      <w:r w:rsidRPr="000E48A8">
        <w:t>school</w:t>
      </w:r>
      <w:r w:rsidRPr="00404C9A">
        <w:rPr>
          <w:rFonts w:asciiTheme="minorHAnsi" w:hAnsiTheme="minorHAnsi" w:cstheme="minorBidi"/>
        </w:rPr>
        <w:t xml:space="preserve"> curricula, large-scale awareness campaigns led by the Department of Information and Communications Technology, and the issuance of the Guidelines on Child-Oriented Transparency by the National Privacy Commission, requiring child-sensitive transparency measures and Child Privacy Impact Assessments. The Philippines reaffirmed its commitment to sustained coordination and international cooperation within the ITU framework to strengthen child online protection.</w:t>
      </w:r>
    </w:p>
    <w:p w14:paraId="4B8F3DB9" w14:textId="77777777" w:rsidR="000E48A8" w:rsidRPr="00404C9A" w:rsidRDefault="000E48A8" w:rsidP="00024496">
      <w:pPr>
        <w:pStyle w:val="Headingb"/>
        <w:rPr>
          <w:rFonts w:eastAsia="Calibri" w:cs="Calibri"/>
        </w:rPr>
      </w:pPr>
      <w:r w:rsidRPr="00404C9A">
        <w:t>Information documents by ITU Sector Members</w:t>
      </w:r>
    </w:p>
    <w:p w14:paraId="513FBA8C" w14:textId="77777777" w:rsidR="000E48A8" w:rsidRPr="00404C9A" w:rsidRDefault="000E48A8" w:rsidP="000E48A8">
      <w:pPr>
        <w:jc w:val="both"/>
        <w:rPr>
          <w:rFonts w:eastAsia="Calibri" w:cs="Calibri"/>
        </w:rPr>
      </w:pPr>
      <w:r w:rsidRPr="00404C9A">
        <w:rPr>
          <w:rFonts w:eastAsia="Calibri" w:cs="Calibri"/>
          <w:color w:val="000000" w:themeColor="text1"/>
        </w:rPr>
        <w:t>5.8</w:t>
      </w:r>
      <w:r w:rsidRPr="00404C9A">
        <w:rPr>
          <w:rFonts w:eastAsia="Calibri" w:cs="Calibri"/>
          <w:color w:val="000000" w:themeColor="text1"/>
        </w:rPr>
        <w:tab/>
      </w:r>
      <w:r w:rsidRPr="00404C9A">
        <w:rPr>
          <w:rFonts w:eastAsia="Calibri" w:cs="Calibri"/>
        </w:rPr>
        <w:t xml:space="preserve">The </w:t>
      </w:r>
      <w:hyperlink r:id="rId41" w:history="1">
        <w:r w:rsidRPr="00404C9A">
          <w:rPr>
            <w:rStyle w:val="Hyperlink"/>
            <w:rFonts w:eastAsia="Calibri" w:cs="Calibri"/>
          </w:rPr>
          <w:t>information document</w:t>
        </w:r>
      </w:hyperlink>
      <w:r w:rsidRPr="00404C9A">
        <w:rPr>
          <w:rFonts w:eastAsia="Calibri" w:cs="Calibri"/>
        </w:rPr>
        <w:t xml:space="preserve"> by the Centre for Global IT-Cooperation (</w:t>
      </w:r>
      <w:proofErr w:type="spellStart"/>
      <w:r w:rsidRPr="00404C9A">
        <w:rPr>
          <w:rFonts w:eastAsia="Calibri" w:cs="Calibri"/>
        </w:rPr>
        <w:t>CGITC</w:t>
      </w:r>
      <w:proofErr w:type="spellEnd"/>
      <w:r w:rsidRPr="00404C9A">
        <w:rPr>
          <w:rFonts w:eastAsia="Calibri" w:cs="Calibri"/>
        </w:rPr>
        <w:t xml:space="preserve">) presented the best practices of the Alliance for the Protection of Children in the Digital Environment, an initiative uniting Russia’s largest technology companies to create a safer online space for children. Established in 2021, the Alliance fosters cooperation among government, private sector, and civil society actors to enhance child online protection through voluntary commitments under its Charter. Key initiatives include the Childhood Digital Safety Index, a comprehensive national tool assessing children’s digital well-being across seven components to guide targeted interventions and policy </w:t>
      </w:r>
      <w:r w:rsidRPr="000E48A8">
        <w:t>development</w:t>
      </w:r>
      <w:r w:rsidRPr="00404C9A">
        <w:rPr>
          <w:rFonts w:eastAsia="Calibri" w:cs="Calibri"/>
        </w:rPr>
        <w:t>. The Alliance also provides educational resources via the Digital Library (“</w:t>
      </w:r>
      <w:proofErr w:type="spellStart"/>
      <w:r w:rsidRPr="00404C9A">
        <w:rPr>
          <w:rFonts w:eastAsia="Calibri" w:cs="Calibri"/>
        </w:rPr>
        <w:t>TSIFRAteka</w:t>
      </w:r>
      <w:proofErr w:type="spellEnd"/>
      <w:r w:rsidRPr="00404C9A">
        <w:rPr>
          <w:rFonts w:eastAsia="Calibri" w:cs="Calibri"/>
        </w:rPr>
        <w:t xml:space="preserve">”) to help children, parents, and </w:t>
      </w:r>
      <w:r w:rsidRPr="00404C9A">
        <w:rPr>
          <w:rFonts w:eastAsia="Calibri" w:cs="Calibri"/>
        </w:rPr>
        <w:lastRenderedPageBreak/>
        <w:t xml:space="preserve">teachers identify and mitigate digital risks, and implements technological solutions such as the Hash Database to detect and remove illegal content online. Awareness-raising activities, including professional theatre performances like </w:t>
      </w:r>
      <w:r w:rsidRPr="00404C9A">
        <w:rPr>
          <w:rFonts w:eastAsia="Calibri" w:cs="Calibri"/>
          <w:i/>
          <w:iCs/>
        </w:rPr>
        <w:t>The Cyber Court</w:t>
      </w:r>
      <w:r w:rsidRPr="00404C9A">
        <w:rPr>
          <w:rFonts w:eastAsia="Calibri" w:cs="Calibri"/>
        </w:rPr>
        <w:t xml:space="preserve"> and </w:t>
      </w:r>
      <w:r w:rsidRPr="00404C9A">
        <w:rPr>
          <w:rFonts w:eastAsia="Calibri" w:cs="Calibri"/>
          <w:i/>
          <w:iCs/>
        </w:rPr>
        <w:t>The Search Goes On</w:t>
      </w:r>
      <w:r w:rsidRPr="00404C9A">
        <w:rPr>
          <w:rFonts w:eastAsia="Calibri" w:cs="Calibri"/>
        </w:rPr>
        <w:t>, aim to engage children and parents in understanding digital risks in realistic scenarios. Pending ongoing development and evaluation, these initiatives offer scalable models for improving digital protection and literacy for children at both national and international levels.</w:t>
      </w:r>
    </w:p>
    <w:p w14:paraId="1A27C87C" w14:textId="77777777" w:rsidR="000E48A8" w:rsidRPr="00404C9A" w:rsidRDefault="000E48A8" w:rsidP="000E48A8">
      <w:pPr>
        <w:jc w:val="both"/>
        <w:rPr>
          <w:rFonts w:eastAsia="Calibri" w:cs="Calibri"/>
        </w:rPr>
      </w:pPr>
      <w:r w:rsidRPr="00404C9A">
        <w:rPr>
          <w:rFonts w:eastAsia="Calibri" w:cs="Calibri"/>
        </w:rPr>
        <w:t xml:space="preserve">5.9 </w:t>
      </w:r>
      <w:r w:rsidRPr="00404C9A">
        <w:rPr>
          <w:rFonts w:eastAsia="Calibri" w:cs="Calibri"/>
        </w:rPr>
        <w:tab/>
        <w:t xml:space="preserve">The </w:t>
      </w:r>
      <w:hyperlink r:id="rId42" w:history="1">
        <w:r w:rsidRPr="00404C9A">
          <w:rPr>
            <w:rStyle w:val="Hyperlink"/>
            <w:rFonts w:eastAsia="Calibri" w:cs="Calibri"/>
          </w:rPr>
          <w:t>information document</w:t>
        </w:r>
      </w:hyperlink>
      <w:r w:rsidRPr="00404C9A">
        <w:rPr>
          <w:rFonts w:eastAsia="Calibri" w:cs="Calibri"/>
        </w:rPr>
        <w:t xml:space="preserve"> by Kaspersky presented the company’s child online protection initiatives in the second half of 2025, organized around three pillars: knowledge, assets, and activities. Under knowledge, Kaspersky published the analytical report </w:t>
      </w:r>
      <w:r w:rsidRPr="00404C9A">
        <w:rPr>
          <w:rFonts w:eastAsia="Calibri" w:cs="Calibri"/>
          <w:i/>
          <w:iCs/>
        </w:rPr>
        <w:t xml:space="preserve">Kids and Adults </w:t>
      </w:r>
      <w:proofErr w:type="gramStart"/>
      <w:r w:rsidRPr="00404C9A">
        <w:rPr>
          <w:rFonts w:eastAsia="Calibri" w:cs="Calibri"/>
          <w:i/>
          <w:iCs/>
        </w:rPr>
        <w:t>in</w:t>
      </w:r>
      <w:proofErr w:type="gramEnd"/>
      <w:r w:rsidRPr="00404C9A">
        <w:rPr>
          <w:rFonts w:eastAsia="Calibri" w:cs="Calibri"/>
          <w:i/>
          <w:iCs/>
        </w:rPr>
        <w:t xml:space="preserve"> the Internet</w:t>
      </w:r>
      <w:r w:rsidRPr="00404C9A">
        <w:rPr>
          <w:rFonts w:eastAsia="Calibri" w:cs="Calibri"/>
        </w:rPr>
        <w:t xml:space="preserve">, examining digital behaviour and risks in Russia and highlighting trends relevant to children worldwide. Under assets, Kaspersky released the Cybersecurity Alphabet, a multilingual educational book, the </w:t>
      </w:r>
      <w:r w:rsidRPr="00404C9A">
        <w:rPr>
          <w:rFonts w:eastAsia="Calibri" w:cs="Calibri"/>
          <w:i/>
          <w:iCs/>
        </w:rPr>
        <w:t>Digital Schoolbag: A Parent’s Guide for the School Year</w:t>
      </w:r>
      <w:r w:rsidRPr="00404C9A">
        <w:rPr>
          <w:rFonts w:eastAsia="Calibri" w:cs="Calibri"/>
        </w:rPr>
        <w:t xml:space="preserve">, and educational materials for children, teens, and adults with Down syndrome, all designed to enhance digital literacy and safe online </w:t>
      </w:r>
      <w:r w:rsidRPr="000E48A8">
        <w:t>practices</w:t>
      </w:r>
      <w:r w:rsidRPr="00404C9A">
        <w:rPr>
          <w:rFonts w:eastAsia="Calibri" w:cs="Calibri"/>
        </w:rPr>
        <w:t>. Under activities, Kaspersky conducted seminars and workshops for children, parents, and teachers across multiple countries, including Russia, Kazakhstan, Uzbekistan, Indonesia, Malaysia, Hong Kong, Egypt, and China, and launched the Future You in Tech online initiative to inspire young women to explore careers in cybersecurity. These actions demonstrate Kaspersky’s global, multi-stakeholder approach to promoting awareness, education, and practical skills for safe digital engagement among children.</w:t>
      </w:r>
    </w:p>
    <w:p w14:paraId="3CF4D51E" w14:textId="77777777" w:rsidR="000E48A8" w:rsidRPr="00404C9A" w:rsidRDefault="000E48A8" w:rsidP="000E48A8">
      <w:pPr>
        <w:jc w:val="both"/>
        <w:rPr>
          <w:rFonts w:eastAsia="Calibri" w:cs="Calibri"/>
        </w:rPr>
      </w:pPr>
      <w:r w:rsidRPr="00404C9A">
        <w:rPr>
          <w:rFonts w:eastAsia="Calibri" w:cs="Calibri"/>
        </w:rPr>
        <w:t xml:space="preserve">5.10 </w:t>
      </w:r>
      <w:r w:rsidRPr="00404C9A">
        <w:rPr>
          <w:rFonts w:eastAsia="Calibri" w:cs="Calibri"/>
        </w:rPr>
        <w:tab/>
        <w:t xml:space="preserve">The </w:t>
      </w:r>
      <w:hyperlink r:id="rId43" w:history="1">
        <w:r w:rsidRPr="00404C9A">
          <w:rPr>
            <w:rStyle w:val="Hyperlink"/>
            <w:rFonts w:eastAsia="Calibri" w:cs="Calibri"/>
          </w:rPr>
          <w:t>information document</w:t>
        </w:r>
      </w:hyperlink>
      <w:r w:rsidRPr="00404C9A">
        <w:rPr>
          <w:rFonts w:eastAsia="Calibri" w:cs="Calibri"/>
        </w:rPr>
        <w:t xml:space="preserve"> by Cyber Institute presented the organization’s work on child online protection in AI-enabled digital environments. Cyber Institute, a nonprofit with UN ECOSOC Special Consultative Status, focuses on policy research, capacity building, and publicly accessible tools to support safe digital participation for children. Key actions include analysing emerging risks from AI, generative media, and quantum technologies, highlighting threats such as exposure to harmful content, online exploitation, </w:t>
      </w:r>
      <w:r w:rsidRPr="000E48A8">
        <w:t>algorithmic</w:t>
      </w:r>
      <w:r w:rsidRPr="00404C9A">
        <w:rPr>
          <w:rFonts w:eastAsia="Calibri" w:cs="Calibri"/>
        </w:rPr>
        <w:t xml:space="preserve"> manipulation, and long-term exclusion from digital education and skills development. To address these risks, Cyber Institute promotes governance frameworks, algorithmic transparency, and inclusive digital literacy initiatives. Its GUARDIAN platform provides a free, non-commercial tool for assessing governance and risk across child protection and emerging technology domains. Complementing research and analysis, Cyber Institute delivers capacity-building programs that foster cybersecurity awareness, digital skills, and safe technology use for children, educators, and underserved communities. </w:t>
      </w:r>
    </w:p>
    <w:p w14:paraId="17A0A1FE" w14:textId="77777777" w:rsidR="000E48A8" w:rsidRPr="00404C9A" w:rsidRDefault="000E48A8" w:rsidP="00024496">
      <w:pPr>
        <w:pStyle w:val="Headingb"/>
      </w:pPr>
      <w:r w:rsidRPr="00404C9A">
        <w:t>Information documents by ITU Partners and other Relevant Stakeholders</w:t>
      </w:r>
    </w:p>
    <w:p w14:paraId="08733956" w14:textId="20342C56" w:rsidR="000E48A8" w:rsidRPr="00404C9A" w:rsidRDefault="000E48A8" w:rsidP="000E48A8">
      <w:pPr>
        <w:jc w:val="both"/>
        <w:rPr>
          <w:rFonts w:asciiTheme="minorHAnsi" w:hAnsiTheme="minorHAnsi" w:cstheme="minorBidi"/>
          <w:color w:val="000000" w:themeColor="text1"/>
        </w:rPr>
      </w:pPr>
      <w:r w:rsidRPr="00404C9A">
        <w:rPr>
          <w:rFonts w:asciiTheme="minorHAnsi" w:hAnsiTheme="minorHAnsi" w:cstheme="minorBidi"/>
          <w:color w:val="000000" w:themeColor="text1"/>
        </w:rPr>
        <w:t>5.1</w:t>
      </w:r>
      <w:r w:rsidR="00020AFB">
        <w:rPr>
          <w:rFonts w:asciiTheme="minorHAnsi" w:hAnsiTheme="minorHAnsi" w:cstheme="minorBidi"/>
          <w:color w:val="000000" w:themeColor="text1"/>
        </w:rPr>
        <w:t>1</w:t>
      </w:r>
      <w:r w:rsidRPr="00404C9A">
        <w:rPr>
          <w:rFonts w:asciiTheme="minorHAnsi" w:hAnsiTheme="minorHAnsi" w:cstheme="minorBidi"/>
          <w:color w:val="000000" w:themeColor="text1"/>
        </w:rPr>
        <w:tab/>
        <w:t xml:space="preserve">The </w:t>
      </w:r>
      <w:hyperlink r:id="rId44" w:history="1">
        <w:r w:rsidRPr="00404C9A">
          <w:rPr>
            <w:rStyle w:val="Hyperlink"/>
            <w:rFonts w:asciiTheme="minorHAnsi" w:hAnsiTheme="minorHAnsi" w:cstheme="minorBidi"/>
          </w:rPr>
          <w:t>information document</w:t>
        </w:r>
      </w:hyperlink>
      <w:r w:rsidRPr="00404C9A">
        <w:rPr>
          <w:rFonts w:asciiTheme="minorHAnsi" w:hAnsiTheme="minorHAnsi" w:cstheme="minorBidi"/>
          <w:color w:val="000000" w:themeColor="text1"/>
        </w:rPr>
        <w:t xml:space="preserve"> by Stiftung </w:t>
      </w:r>
      <w:proofErr w:type="spellStart"/>
      <w:r w:rsidRPr="00404C9A">
        <w:rPr>
          <w:rFonts w:asciiTheme="minorHAnsi" w:hAnsiTheme="minorHAnsi" w:cstheme="minorBidi"/>
          <w:color w:val="000000" w:themeColor="text1"/>
        </w:rPr>
        <w:t>Digitale</w:t>
      </w:r>
      <w:proofErr w:type="spellEnd"/>
      <w:r w:rsidRPr="00404C9A">
        <w:rPr>
          <w:rFonts w:asciiTheme="minorHAnsi" w:hAnsiTheme="minorHAnsi" w:cstheme="minorBidi"/>
          <w:color w:val="000000" w:themeColor="text1"/>
        </w:rPr>
        <w:t xml:space="preserve"> </w:t>
      </w:r>
      <w:proofErr w:type="spellStart"/>
      <w:r w:rsidRPr="00404C9A">
        <w:rPr>
          <w:rFonts w:asciiTheme="minorHAnsi" w:hAnsiTheme="minorHAnsi" w:cstheme="minorBidi"/>
          <w:color w:val="000000" w:themeColor="text1"/>
        </w:rPr>
        <w:t>Chancen</w:t>
      </w:r>
      <w:proofErr w:type="spellEnd"/>
      <w:r w:rsidRPr="00404C9A">
        <w:rPr>
          <w:rFonts w:asciiTheme="minorHAnsi" w:hAnsiTheme="minorHAnsi" w:cstheme="minorBidi"/>
          <w:color w:val="000000" w:themeColor="text1"/>
        </w:rPr>
        <w:t xml:space="preserve"> outlined Germany’s ongoing efforts to enhance child online protection through the establishment of an Expert </w:t>
      </w:r>
      <w:r w:rsidRPr="000E48A8">
        <w:t>Commission</w:t>
      </w:r>
      <w:r w:rsidRPr="00404C9A">
        <w:rPr>
          <w:rFonts w:asciiTheme="minorHAnsi" w:hAnsiTheme="minorHAnsi" w:cstheme="minorBidi"/>
          <w:color w:val="000000" w:themeColor="text1"/>
        </w:rPr>
        <w:t xml:space="preserve">, with concrete recommendations expected by the end of summer 2026. The Commission’s work is structured around four key areas: child online protection, artificial intelligence, mental health and well-being, and media literacy. Comprising 18 experts from diverse fields—including education, </w:t>
      </w:r>
      <w:proofErr w:type="spellStart"/>
      <w:r w:rsidRPr="00404C9A">
        <w:rPr>
          <w:rFonts w:asciiTheme="minorHAnsi" w:hAnsiTheme="minorHAnsi" w:cstheme="minorBidi"/>
          <w:color w:val="000000" w:themeColor="text1"/>
        </w:rPr>
        <w:t>pediatrics</w:t>
      </w:r>
      <w:proofErr w:type="spellEnd"/>
      <w:r w:rsidRPr="00404C9A">
        <w:rPr>
          <w:rFonts w:asciiTheme="minorHAnsi" w:hAnsiTheme="minorHAnsi" w:cstheme="minorBidi"/>
          <w:color w:val="000000" w:themeColor="text1"/>
        </w:rPr>
        <w:t xml:space="preserve">, media research, cyber law, and ethics—the Commission operates independently while being observed by federal government representatives and agencies, such as the Independent Federal Commissioner Against Child Sexual Abuse and the Federal Commissioner for Culture and the Media. To incorporate children’s perspectives, the foundation is conducting participatory workshops with 12–17-year-olds across multiple locations in Germany. These actions reflect a collaborative, evidence-based approach aimed at providing actionable guidance to federal and state </w:t>
      </w:r>
      <w:r w:rsidRPr="00404C9A">
        <w:rPr>
          <w:rFonts w:asciiTheme="minorHAnsi" w:hAnsiTheme="minorHAnsi" w:cstheme="minorBidi"/>
          <w:color w:val="000000" w:themeColor="text1"/>
        </w:rPr>
        <w:lastRenderedPageBreak/>
        <w:t>governments as well as civil society to foster a safer digital environment for children and young people.</w:t>
      </w:r>
    </w:p>
    <w:p w14:paraId="79253072" w14:textId="621903C8" w:rsidR="000E48A8" w:rsidRPr="00404C9A" w:rsidRDefault="000E48A8" w:rsidP="000E48A8">
      <w:pPr>
        <w:jc w:val="both"/>
        <w:rPr>
          <w:rFonts w:eastAsia="Calibri" w:cs="Calibri"/>
          <w:color w:val="000000" w:themeColor="text1"/>
        </w:rPr>
      </w:pPr>
      <w:r w:rsidRPr="00404C9A">
        <w:rPr>
          <w:rFonts w:eastAsia="Calibri" w:cs="Calibri"/>
          <w:color w:val="000000" w:themeColor="text1"/>
        </w:rPr>
        <w:t>5.1</w:t>
      </w:r>
      <w:r w:rsidR="00020AFB">
        <w:rPr>
          <w:rFonts w:eastAsia="Calibri" w:cs="Calibri"/>
          <w:color w:val="000000" w:themeColor="text1"/>
        </w:rPr>
        <w:t>2</w:t>
      </w:r>
      <w:r w:rsidRPr="00404C9A">
        <w:rPr>
          <w:rFonts w:eastAsia="Calibri" w:cs="Calibri"/>
          <w:color w:val="000000" w:themeColor="text1"/>
        </w:rPr>
        <w:tab/>
        <w:t xml:space="preserve">The </w:t>
      </w:r>
      <w:hyperlink r:id="rId45" w:history="1">
        <w:r w:rsidRPr="00404C9A">
          <w:rPr>
            <w:rStyle w:val="Hyperlink"/>
            <w:rFonts w:eastAsia="Calibri" w:cs="Calibri"/>
          </w:rPr>
          <w:t>information document</w:t>
        </w:r>
      </w:hyperlink>
      <w:r w:rsidRPr="00404C9A">
        <w:rPr>
          <w:rFonts w:eastAsia="Calibri" w:cs="Calibri"/>
          <w:color w:val="000000" w:themeColor="text1"/>
        </w:rPr>
        <w:t xml:space="preserve"> by </w:t>
      </w:r>
      <w:proofErr w:type="spellStart"/>
      <w:r w:rsidRPr="00404C9A">
        <w:rPr>
          <w:rFonts w:eastAsia="Calibri" w:cs="Calibri"/>
          <w:color w:val="000000" w:themeColor="text1"/>
        </w:rPr>
        <w:t>5Rights</w:t>
      </w:r>
      <w:proofErr w:type="spellEnd"/>
      <w:r w:rsidRPr="00404C9A">
        <w:rPr>
          <w:rFonts w:eastAsia="Calibri" w:cs="Calibri"/>
          <w:color w:val="000000" w:themeColor="text1"/>
        </w:rPr>
        <w:t xml:space="preserve"> Foundation highlighted the organization’s global initiatives to embed children’s rights by design into the digital environment. Key actions include the development of the Children &amp; AI Design Code, a practical tool guiding the lifecycle of AI systems to ensure safety, privacy, security, and respect for children’s rights. </w:t>
      </w:r>
      <w:proofErr w:type="spellStart"/>
      <w:r w:rsidRPr="00404C9A">
        <w:rPr>
          <w:rFonts w:eastAsia="Calibri" w:cs="Calibri"/>
          <w:color w:val="000000" w:themeColor="text1"/>
        </w:rPr>
        <w:t>5Rights</w:t>
      </w:r>
      <w:proofErr w:type="spellEnd"/>
      <w:r w:rsidRPr="00404C9A">
        <w:rPr>
          <w:rFonts w:eastAsia="Calibri" w:cs="Calibri"/>
          <w:color w:val="000000" w:themeColor="text1"/>
        </w:rPr>
        <w:t xml:space="preserve"> has supported legislators worldwide in creating enforceable age-appropriate design laws, with recent successes in Indonesia and Brazil, mandating safety and privacy by design across digital services. The foundation has also collaborated with IEEE to develop the 2089 standard for Age-Appropriate Digital Services, including a </w:t>
      </w:r>
      <w:r w:rsidRPr="000E48A8">
        <w:t>certification</w:t>
      </w:r>
      <w:r w:rsidRPr="00404C9A">
        <w:rPr>
          <w:rFonts w:eastAsia="Calibri" w:cs="Calibri"/>
          <w:color w:val="000000" w:themeColor="text1"/>
        </w:rPr>
        <w:t xml:space="preserve"> program, and is working towards European norms and further international standards. In addition, </w:t>
      </w:r>
      <w:proofErr w:type="spellStart"/>
      <w:r w:rsidRPr="00404C9A">
        <w:rPr>
          <w:rFonts w:eastAsia="Calibri" w:cs="Calibri"/>
          <w:color w:val="000000" w:themeColor="text1"/>
        </w:rPr>
        <w:t>5Rights</w:t>
      </w:r>
      <w:proofErr w:type="spellEnd"/>
      <w:r w:rsidRPr="00404C9A">
        <w:rPr>
          <w:rFonts w:eastAsia="Calibri" w:cs="Calibri"/>
          <w:color w:val="000000" w:themeColor="text1"/>
        </w:rPr>
        <w:t xml:space="preserve"> conducts research and audits, including the “Disrupted Childhood” and Digital Futures for Children projects, which assess how AI and edtech services impact children’s rights, revealing risks in generative AI tools used in classrooms. Youth participation is integrated through a global network of over 300 youth ambassadors, informing advocacy, standards, and practical guidance. Complementing these initiatives, </w:t>
      </w:r>
      <w:proofErr w:type="spellStart"/>
      <w:r w:rsidRPr="00404C9A">
        <w:rPr>
          <w:rFonts w:eastAsia="Calibri" w:cs="Calibri"/>
          <w:color w:val="000000" w:themeColor="text1"/>
        </w:rPr>
        <w:t>5Rights</w:t>
      </w:r>
      <w:proofErr w:type="spellEnd"/>
      <w:r w:rsidRPr="00404C9A">
        <w:rPr>
          <w:rFonts w:eastAsia="Calibri" w:cs="Calibri"/>
          <w:color w:val="000000" w:themeColor="text1"/>
        </w:rPr>
        <w:t xml:space="preserve"> produces public awareness outputs such as the “Check This Out” podcast to highlight how children’s data is exploited. </w:t>
      </w:r>
    </w:p>
    <w:p w14:paraId="4D4621FE" w14:textId="0F1EDA07" w:rsidR="000E48A8" w:rsidRPr="00404C9A" w:rsidRDefault="000E48A8" w:rsidP="000E48A8">
      <w:pPr>
        <w:jc w:val="both"/>
        <w:rPr>
          <w:rFonts w:eastAsia="Calibri" w:cs="Calibri"/>
          <w:color w:val="000000" w:themeColor="text1"/>
        </w:rPr>
      </w:pPr>
      <w:r w:rsidRPr="00404C9A">
        <w:rPr>
          <w:rFonts w:eastAsia="Calibri" w:cs="Calibri"/>
          <w:color w:val="000000" w:themeColor="text1"/>
        </w:rPr>
        <w:t>5.1</w:t>
      </w:r>
      <w:r w:rsidR="00020AFB">
        <w:rPr>
          <w:rFonts w:eastAsia="Calibri" w:cs="Calibri"/>
          <w:color w:val="000000" w:themeColor="text1"/>
        </w:rPr>
        <w:t>3</w:t>
      </w:r>
      <w:r w:rsidRPr="00404C9A">
        <w:rPr>
          <w:rFonts w:eastAsia="Calibri" w:cs="Calibri"/>
          <w:color w:val="000000" w:themeColor="text1"/>
        </w:rPr>
        <w:tab/>
        <w:t xml:space="preserve">The </w:t>
      </w:r>
      <w:hyperlink r:id="rId46" w:history="1">
        <w:r w:rsidRPr="00404C9A">
          <w:rPr>
            <w:rStyle w:val="Hyperlink"/>
            <w:rFonts w:eastAsia="Calibri" w:cs="Calibri"/>
          </w:rPr>
          <w:t>information document</w:t>
        </w:r>
      </w:hyperlink>
      <w:r w:rsidRPr="00404C9A">
        <w:rPr>
          <w:rFonts w:eastAsia="Calibri" w:cs="Calibri"/>
          <w:color w:val="000000" w:themeColor="text1"/>
        </w:rPr>
        <w:t xml:space="preserve"> by UNICEF presented recent initiatives to support children’s rights in the digital environment, focusing on parenting, AI, and digital marketing. Under parenting, UNICEF launched the “Parenting for the Digital Age” program, co-developed with the University of Oxford, University of Cape Town, and Parenting for Lifelong Health, </w:t>
      </w:r>
      <w:r w:rsidRPr="000E48A8">
        <w:t>integrating</w:t>
      </w:r>
      <w:r w:rsidRPr="00404C9A">
        <w:rPr>
          <w:rFonts w:eastAsia="Calibri" w:cs="Calibri"/>
          <w:color w:val="000000" w:themeColor="text1"/>
        </w:rPr>
        <w:t xml:space="preserve"> online sexual violence prevention into digital and hybrid parenting programs. Parents and caregivers can access free expert tips through UNICEF’s Global Parenting Hub and WhatsApp channels, reaching over one million users. In addition, UNICEF released version 3 of its Guidance on AI and Children, outlining 10 child-centred requirements to ensure AI systems uphold children’s rights in government and private sector policies. Complementing this, UNICEF conducted a rapid review of AI governance frameworks in multiple jurisdictions, assessing how regulatory models address AI’s impact on children, and advocating for proactive rather than reactive approaches. In the area of digital marketing, UNICEF is preparing a due diligence and risk management framework for companies, agencies, ad-tech providers, and platforms to integrate child rights considerations into governance, focusing on mitigating harms from targeted marketing practices. </w:t>
      </w:r>
    </w:p>
    <w:p w14:paraId="1CB07599" w14:textId="77777777" w:rsidR="000E48A8" w:rsidRPr="00404C9A" w:rsidRDefault="000E48A8" w:rsidP="00024496">
      <w:pPr>
        <w:pStyle w:val="Heading1"/>
      </w:pPr>
      <w:r w:rsidRPr="00404C9A">
        <w:t>6</w:t>
      </w:r>
      <w:r w:rsidRPr="00404C9A">
        <w:tab/>
        <w:t>Any other business</w:t>
      </w:r>
    </w:p>
    <w:p w14:paraId="389C2DF9" w14:textId="77777777" w:rsidR="000E48A8" w:rsidRPr="00404C9A" w:rsidRDefault="000E48A8" w:rsidP="000E48A8">
      <w:pPr>
        <w:jc w:val="both"/>
        <w:rPr>
          <w:rFonts w:eastAsia="Calibri" w:cs="Calibri"/>
        </w:rPr>
      </w:pPr>
      <w:r w:rsidRPr="00404C9A">
        <w:rPr>
          <w:rFonts w:eastAsia="Calibri" w:cs="Calibri"/>
        </w:rPr>
        <w:t>6.1</w:t>
      </w:r>
      <w:r w:rsidRPr="00404C9A">
        <w:rPr>
          <w:rFonts w:eastAsia="Calibri" w:cs="Calibri"/>
        </w:rPr>
        <w:tab/>
      </w:r>
      <w:proofErr w:type="spellStart"/>
      <w:r w:rsidRPr="00404C9A">
        <w:rPr>
          <w:rFonts w:eastAsia="Calibri" w:cs="Calibri"/>
        </w:rPr>
        <w:t>SWGfL’s</w:t>
      </w:r>
      <w:proofErr w:type="spellEnd"/>
      <w:r w:rsidRPr="00404C9A">
        <w:rPr>
          <w:rFonts w:eastAsia="Calibri" w:cs="Calibri"/>
        </w:rPr>
        <w:t xml:space="preserve"> </w:t>
      </w:r>
      <w:hyperlink r:id="rId47" w:history="1">
        <w:r w:rsidRPr="00404C9A">
          <w:rPr>
            <w:rStyle w:val="Hyperlink"/>
            <w:rFonts w:eastAsia="Calibri" w:cs="Calibri"/>
          </w:rPr>
          <w:t>information document</w:t>
        </w:r>
      </w:hyperlink>
      <w:r w:rsidRPr="00404C9A">
        <w:rPr>
          <w:rFonts w:eastAsia="Calibri" w:cs="Calibri"/>
        </w:rPr>
        <w:t xml:space="preserve"> updates the Council on </w:t>
      </w:r>
      <w:proofErr w:type="spellStart"/>
      <w:r w:rsidRPr="00404C9A">
        <w:rPr>
          <w:rFonts w:eastAsia="Calibri" w:cs="Calibri"/>
        </w:rPr>
        <w:t>PARCEP</w:t>
      </w:r>
      <w:proofErr w:type="spellEnd"/>
      <w:r w:rsidRPr="00404C9A">
        <w:rPr>
          <w:rFonts w:eastAsia="Calibri" w:cs="Calibri"/>
        </w:rPr>
        <w:t xml:space="preserve"> (Parental Control Interoperability Principles), a standards-based framework designed to enable parental control settings, such as screen-time limits, app permissions, and content access rules, to operate consistently across devices, platforms, and services while preserving privacy and </w:t>
      </w:r>
      <w:r w:rsidRPr="000E48A8">
        <w:t>without</w:t>
      </w:r>
      <w:r w:rsidRPr="00404C9A">
        <w:rPr>
          <w:rFonts w:eastAsia="Calibri" w:cs="Calibri"/>
        </w:rPr>
        <w:t xml:space="preserve"> weakening encryption. Since the September 2025 CWG-COP meeting, </w:t>
      </w:r>
      <w:proofErr w:type="spellStart"/>
      <w:r w:rsidRPr="00404C9A">
        <w:rPr>
          <w:rFonts w:eastAsia="Calibri" w:cs="Calibri"/>
        </w:rPr>
        <w:t>PARCEP</w:t>
      </w:r>
      <w:proofErr w:type="spellEnd"/>
      <w:r w:rsidRPr="00404C9A">
        <w:rPr>
          <w:rFonts w:eastAsia="Calibri" w:cs="Calibri"/>
        </w:rPr>
        <w:t xml:space="preserve"> has progressed through engagement with ITU-T SG17, including a dedicated incubator session that generated constructive feedback from Member States, industry, and technical experts, which informed refinement of the scope and formalization of a draft new work item. The approach is phased, beginning with demonstrable use cases like screen-time management before expanding to other parental controls, and references to </w:t>
      </w:r>
      <w:proofErr w:type="spellStart"/>
      <w:r w:rsidRPr="00404C9A">
        <w:rPr>
          <w:rFonts w:eastAsia="Calibri" w:cs="Calibri"/>
        </w:rPr>
        <w:t>PARCEP</w:t>
      </w:r>
      <w:proofErr w:type="spellEnd"/>
      <w:r w:rsidRPr="00404C9A">
        <w:rPr>
          <w:rFonts w:eastAsia="Calibri" w:cs="Calibri"/>
        </w:rPr>
        <w:t xml:space="preserve"> have been incorporated into the SG17 COP Gap Analysis, recognizing it as a significant gap in current technical standards. The work aligns with ITU mandates on child online protection and will continue in early 2026 with further </w:t>
      </w:r>
      <w:r w:rsidRPr="00404C9A">
        <w:rPr>
          <w:rFonts w:eastAsia="Calibri" w:cs="Calibri"/>
        </w:rPr>
        <w:lastRenderedPageBreak/>
        <w:t xml:space="preserve">expert engagement and coordination with relevant standards communities, positioning </w:t>
      </w:r>
      <w:proofErr w:type="spellStart"/>
      <w:r w:rsidRPr="00404C9A">
        <w:rPr>
          <w:rFonts w:eastAsia="Calibri" w:cs="Calibri"/>
        </w:rPr>
        <w:t>PARCEP</w:t>
      </w:r>
      <w:proofErr w:type="spellEnd"/>
      <w:r w:rsidRPr="00404C9A">
        <w:rPr>
          <w:rFonts w:eastAsia="Calibri" w:cs="Calibri"/>
        </w:rPr>
        <w:t xml:space="preserve"> as an enabling framework to strengthen the usability and effectiveness of parental control tools across digital environments. </w:t>
      </w:r>
    </w:p>
    <w:p w14:paraId="3F7D2244" w14:textId="77777777" w:rsidR="000E48A8" w:rsidRPr="00404C9A" w:rsidRDefault="000E48A8" w:rsidP="000E48A8">
      <w:pPr>
        <w:jc w:val="both"/>
        <w:rPr>
          <w:rFonts w:eastAsia="Calibri" w:cs="Calibri"/>
        </w:rPr>
      </w:pPr>
      <w:r w:rsidRPr="00404C9A">
        <w:rPr>
          <w:rFonts w:eastAsia="Calibri" w:cs="Calibri"/>
        </w:rPr>
        <w:t xml:space="preserve">6.2 </w:t>
      </w:r>
      <w:r w:rsidRPr="00404C9A">
        <w:rPr>
          <w:rFonts w:eastAsia="Calibri" w:cs="Calibri"/>
        </w:rPr>
        <w:tab/>
        <w:t xml:space="preserve">The </w:t>
      </w:r>
      <w:hyperlink r:id="rId48" w:history="1">
        <w:r w:rsidRPr="00404C9A">
          <w:rPr>
            <w:rStyle w:val="Hyperlink"/>
            <w:rFonts w:eastAsia="Calibri" w:cs="Calibri"/>
          </w:rPr>
          <w:t>liaison statement</w:t>
        </w:r>
      </w:hyperlink>
      <w:r w:rsidRPr="00404C9A">
        <w:rPr>
          <w:rFonts w:eastAsia="Calibri" w:cs="Calibri"/>
        </w:rPr>
        <w:t xml:space="preserve"> from ITU-T Study Group 17 provides an update on the work of the Correspondence Group on Child Online Protection (CG-COP) as reported at the SG17 meeting in Geneva in December 2025. The CG-COP continues to identify gaps in current technical </w:t>
      </w:r>
      <w:r w:rsidRPr="000E48A8">
        <w:t>standards</w:t>
      </w:r>
      <w:r w:rsidRPr="00404C9A">
        <w:rPr>
          <w:rFonts w:eastAsia="Calibri" w:cs="Calibri"/>
        </w:rPr>
        <w:t xml:space="preserve"> for child online protection, building on an initial gap analysis previously shared with the Council. Key gaps now include age assurance standards, automated content moderation, and interoperability of parental control applications. To address these, SG17 has initiated new work items, including </w:t>
      </w:r>
      <w:proofErr w:type="spellStart"/>
      <w:r w:rsidRPr="00404C9A">
        <w:rPr>
          <w:rFonts w:eastAsia="Calibri" w:cs="Calibri"/>
        </w:rPr>
        <w:t>X.1091</w:t>
      </w:r>
      <w:proofErr w:type="spellEnd"/>
      <w:r w:rsidRPr="00404C9A">
        <w:rPr>
          <w:rFonts w:eastAsia="Calibri" w:cs="Calibri"/>
        </w:rPr>
        <w:t xml:space="preserve"> for age assurance frameworks in collaboration with ISO/IEC 27566, and X. </w:t>
      </w:r>
      <w:proofErr w:type="spellStart"/>
      <w:r w:rsidRPr="00404C9A">
        <w:rPr>
          <w:rFonts w:eastAsia="Calibri" w:cs="Calibri"/>
        </w:rPr>
        <w:t>PARCEP</w:t>
      </w:r>
      <w:proofErr w:type="spellEnd"/>
      <w:r w:rsidRPr="00404C9A">
        <w:rPr>
          <w:rFonts w:eastAsia="Calibri" w:cs="Calibri"/>
        </w:rPr>
        <w:t xml:space="preserve"> for interoperable parental control enforcement protocols, aiming to harmonize parental controls across devices and services while maintaining privacy and encryption. The work is progressing through the 2025–2028 study period, with ongoing development of ISO/IEC 27566 Parts 2 and 3 and an invitation for broader participation in CG-COP activities. An updated gap analysis is attached to inform further coordination and standardization efforts.</w:t>
      </w:r>
    </w:p>
    <w:p w14:paraId="78C5E99C" w14:textId="77777777" w:rsidR="000E48A8" w:rsidRPr="00404C9A" w:rsidRDefault="000E48A8" w:rsidP="000E48A8">
      <w:pPr>
        <w:jc w:val="both"/>
        <w:rPr>
          <w:rFonts w:asciiTheme="minorHAnsi" w:hAnsiTheme="minorHAnsi" w:cstheme="minorBidi"/>
        </w:rPr>
      </w:pPr>
      <w:r w:rsidRPr="00404C9A">
        <w:rPr>
          <w:rFonts w:asciiTheme="minorHAnsi" w:hAnsiTheme="minorHAnsi" w:cstheme="minorBidi"/>
        </w:rPr>
        <w:t>6.3</w:t>
      </w:r>
      <w:r w:rsidRPr="00404C9A">
        <w:rPr>
          <w:rFonts w:asciiTheme="minorHAnsi" w:hAnsiTheme="minorHAnsi" w:cstheme="minorBidi"/>
        </w:rPr>
        <w:tab/>
        <w:t xml:space="preserve">The Office of the High Commissioner for Human Rights’ </w:t>
      </w:r>
      <w:hyperlink r:id="rId49" w:history="1">
        <w:r w:rsidRPr="00404C9A">
          <w:rPr>
            <w:rStyle w:val="Hyperlink"/>
            <w:rFonts w:asciiTheme="minorHAnsi" w:hAnsiTheme="minorHAnsi" w:cstheme="minorBidi"/>
          </w:rPr>
          <w:t>information document</w:t>
        </w:r>
      </w:hyperlink>
      <w:r w:rsidRPr="00404C9A">
        <w:rPr>
          <w:rFonts w:asciiTheme="minorHAnsi" w:hAnsiTheme="minorHAnsi" w:cstheme="minorBidi"/>
        </w:rPr>
        <w:t xml:space="preserve"> was orally </w:t>
      </w:r>
      <w:r w:rsidRPr="000E48A8">
        <w:t>presented</w:t>
      </w:r>
      <w:r w:rsidRPr="00404C9A">
        <w:rPr>
          <w:rFonts w:asciiTheme="minorHAnsi" w:hAnsiTheme="minorHAnsi" w:cstheme="minorBidi"/>
        </w:rPr>
        <w:t xml:space="preserve"> upon hand raising of the representative and requesting the floor, which was accepted. The intervention provided an update on the implementation of Human Rights Council Resolution 56/6 on the safety of the child in the digital environment, adopted in July 2024. In line with the mandate, OHCHR has co-signed the Joint Statement on Artificial Intelligence and the Rights of the Child with ITU, the Committee on the Rights of the Child, UNICEF, and other partners, reinforcing a shared rights-based approach. OHCHR is leading the mandated process to develop options for a global framework on child online safety by convening comprehensive multi-stakeholder consultations throughout 2026, primarily online and in Geneva, engaging governments, civil society, the private sector, academia, families, and children themselves. These consultations will inform a report to be presented to the Human Rights Council’s 64th session in March 2027, followed by an interactive dialogue where states will consider framework options and agree on possible follow-up actions, including implementation support or further normative development. OHCHR is implementing this work through a partnership-based approach, building on complementarities with existing initiatives and inviting continued stakeholder input to shape policy options with potential impact on national legislation, regulation, and corporate accountability worldwide.</w:t>
      </w:r>
    </w:p>
    <w:p w14:paraId="266CE459" w14:textId="429EA2BB" w:rsidR="000E48A8" w:rsidRPr="00404C9A" w:rsidRDefault="000E48A8" w:rsidP="000E48A8">
      <w:pPr>
        <w:jc w:val="both"/>
      </w:pPr>
      <w:r w:rsidRPr="00404C9A">
        <w:t>6.</w:t>
      </w:r>
      <w:r w:rsidR="00020AFB">
        <w:t>4</w:t>
      </w:r>
      <w:r w:rsidRPr="00404C9A">
        <w:tab/>
        <w:t xml:space="preserve">The Council of Europe’s </w:t>
      </w:r>
      <w:hyperlink r:id="rId50" w:history="1">
        <w:r w:rsidRPr="00404C9A">
          <w:rPr>
            <w:rStyle w:val="Hyperlink"/>
          </w:rPr>
          <w:t>information document</w:t>
        </w:r>
      </w:hyperlink>
      <w:r w:rsidRPr="00404C9A">
        <w:t xml:space="preserve"> updated on concrete actions undertaken to strengthen child online protection through the Lanzarote Committee and the Children’s Rights Division. The Lanzarote Convention, now with 48 state parties and open for global accession, is actively monitored through thematic rounds and compliance procedures, addressing issues such as sexual abuse in the circle of trust, ICT-facilitated exploitation, and data collection on child sexual exploitation. Recent actions include legislative guidance leading several states to criminalize online solicitation of children even without in-person contact, issuing declarations on emerging technologies including AI-generated sexual abuse material, and promoting alignment with international standards. Capacity-building measures include thematic awareness campaigns, cooperation projects with EU partners in Spain, Ireland, and Croatia, and development of the HELP online training platform offering a free, multilingual five-hour course on protecting children against sexual exploitation and abuse. The Committee </w:t>
      </w:r>
      <w:r w:rsidRPr="00404C9A">
        <w:lastRenderedPageBreak/>
        <w:t>is also actively discussing how to address emerging AI-related risks and may develop further guidance or binding instruments.</w:t>
      </w:r>
    </w:p>
    <w:p w14:paraId="7D28FB9A" w14:textId="77777777" w:rsidR="000E48A8" w:rsidRPr="00404C9A" w:rsidRDefault="000E48A8" w:rsidP="00024496">
      <w:pPr>
        <w:pStyle w:val="Heading1"/>
      </w:pPr>
      <w:r w:rsidRPr="00404C9A">
        <w:t>7</w:t>
      </w:r>
      <w:r w:rsidRPr="00404C9A">
        <w:tab/>
        <w:t>Discussion</w:t>
      </w:r>
    </w:p>
    <w:p w14:paraId="28492DCB" w14:textId="77777777" w:rsidR="000E48A8" w:rsidRPr="00404C9A" w:rsidRDefault="000E48A8" w:rsidP="00323222">
      <w:pPr>
        <w:jc w:val="both"/>
      </w:pPr>
      <w:r w:rsidRPr="00404C9A">
        <w:t>7.1</w:t>
      </w:r>
      <w:r w:rsidRPr="00404C9A">
        <w:tab/>
        <w:t>Following the BDT Director’s opening remarks, several Member States requested clarifications regarding the launch, nature, and process of the Joint Statement on Artificial Intelligence and the Rights of the Child.</w:t>
      </w:r>
    </w:p>
    <w:p w14:paraId="1A6E9F7D" w14:textId="77777777" w:rsidR="000E48A8" w:rsidRPr="00FD766B" w:rsidRDefault="000E48A8" w:rsidP="00323222">
      <w:pPr>
        <w:jc w:val="both"/>
      </w:pPr>
      <w:r w:rsidRPr="00FD766B">
        <w:t xml:space="preserve">Australia enquired where the Joint Statement had been published, whether it could be reviewed prior to signature, and whether it would remain publicly available following signature. Brazil underlined the importance of the Working Group being able to review and analyse the Joint Statement, </w:t>
      </w:r>
      <w:proofErr w:type="gramStart"/>
      <w:r w:rsidRPr="00FD766B">
        <w:t>in light of</w:t>
      </w:r>
      <w:proofErr w:type="gramEnd"/>
      <w:r w:rsidRPr="00FD766B">
        <w:t xml:space="preserve"> its substantive mandate on child online protection. South Africa emphasized that communications relating to joint statements should provide sufficient information to Member States in advance.</w:t>
      </w:r>
    </w:p>
    <w:p w14:paraId="20E9309D" w14:textId="77777777" w:rsidR="000E48A8" w:rsidRPr="00FD766B" w:rsidRDefault="000E48A8" w:rsidP="00323222">
      <w:pPr>
        <w:jc w:val="both"/>
      </w:pPr>
      <w:r w:rsidRPr="00404C9A">
        <w:t>T</w:t>
      </w:r>
      <w:r w:rsidRPr="00FD766B">
        <w:t xml:space="preserve">he BDT Director clarified that joint statements and cooperation documents signed by ITU </w:t>
      </w:r>
      <w:r w:rsidRPr="00404C9A">
        <w:t>were</w:t>
      </w:r>
      <w:r w:rsidRPr="00FD766B">
        <w:t xml:space="preserve"> operational and non-binding in nature and do not create obligations for Member States. He further recalled that such documents are reviewed internally, including by legal advisers, remain within ITU’s mandate, and reference </w:t>
      </w:r>
      <w:proofErr w:type="spellStart"/>
      <w:r w:rsidRPr="00FD766B">
        <w:t>WTDC</w:t>
      </w:r>
      <w:proofErr w:type="spellEnd"/>
      <w:r w:rsidRPr="00FD766B">
        <w:t xml:space="preserve"> outcome documents.</w:t>
      </w:r>
    </w:p>
    <w:p w14:paraId="2CFAC556" w14:textId="77777777" w:rsidR="000E48A8" w:rsidRPr="00FD766B" w:rsidRDefault="000E48A8" w:rsidP="00323222">
      <w:pPr>
        <w:jc w:val="both"/>
      </w:pPr>
      <w:r w:rsidRPr="00FD766B">
        <w:t xml:space="preserve">The Secretariat recalled that the initiative had been presented and </w:t>
      </w:r>
      <w:r w:rsidRPr="00404C9A">
        <w:t xml:space="preserve">presented and </w:t>
      </w:r>
      <w:r w:rsidRPr="00FD766B">
        <w:t xml:space="preserve">discussed during the February 2025 CWG-COP meeting and welcomed by the Group. A further update was provided at the September 2025 meeting, including advance notice that the Joint Statement would be officially launched in January 2026, and Member States were invited to attend the launch. The Secretariat also informed the Group that a subsequent phase of Member State engagement is envisaged, with modalities currently under development, and that Member States would be </w:t>
      </w:r>
      <w:r w:rsidRPr="00404C9A">
        <w:t>informed</w:t>
      </w:r>
      <w:r w:rsidRPr="00FD766B">
        <w:t xml:space="preserve"> prior to any further steps.</w:t>
      </w:r>
    </w:p>
    <w:p w14:paraId="2B7146F7" w14:textId="77777777" w:rsidR="000E48A8" w:rsidRPr="00404C9A" w:rsidRDefault="000E48A8" w:rsidP="00323222">
      <w:pPr>
        <w:jc w:val="both"/>
      </w:pPr>
      <w:r w:rsidRPr="00404C9A">
        <w:t>Separately, clarification was provided regarding the late contributions submitted under the relevant agenda item. In line with a proposal by China to make information documents available online to facilitate informed discussion, and with Malaysia’s support for this approach, the Chair confirmed that the late contributions would be made available to Member States upon request on the CWG website. The Chair further clarified that the late contributions were shared for information purposes only and did not require any decision by the Group, as their purpose was to support information sharing and the exchange of best practices.</w:t>
      </w:r>
    </w:p>
    <w:p w14:paraId="33BC3996" w14:textId="77777777" w:rsidR="000E48A8" w:rsidRPr="00404C9A" w:rsidRDefault="000E48A8" w:rsidP="00323222">
      <w:pPr>
        <w:jc w:val="both"/>
      </w:pPr>
      <w:r w:rsidRPr="00404C9A">
        <w:t>7.2</w:t>
      </w:r>
      <w:r w:rsidRPr="00404C9A">
        <w:tab/>
        <w:t xml:space="preserve">Following the Secretariat’s update on current Child Online Protection initiatives, the United States requested clarification regarding the </w:t>
      </w:r>
      <w:proofErr w:type="spellStart"/>
      <w:r w:rsidRPr="00404C9A">
        <w:t>PoP</w:t>
      </w:r>
      <w:proofErr w:type="spellEnd"/>
      <w:r w:rsidRPr="00404C9A">
        <w:t xml:space="preserve"> Guiding Principles, </w:t>
      </w:r>
      <w:proofErr w:type="gramStart"/>
      <w:r w:rsidRPr="00404C9A">
        <w:t>in particular whether</w:t>
      </w:r>
      <w:proofErr w:type="gramEnd"/>
      <w:r w:rsidRPr="00404C9A">
        <w:t xml:space="preserve"> Member States would have an opportunity to provide input. The Secretariat clarified that the </w:t>
      </w:r>
      <w:proofErr w:type="spellStart"/>
      <w:r w:rsidRPr="00404C9A">
        <w:t>PoP</w:t>
      </w:r>
      <w:proofErr w:type="spellEnd"/>
      <w:r w:rsidRPr="00404C9A">
        <w:t xml:space="preserve"> Guiding Principles constitute an evidence-based publication and are not a negotiated or consultative instrument; accordingly, no formal Member State consultation is foreseen.</w:t>
      </w:r>
    </w:p>
    <w:p w14:paraId="56FA10BF" w14:textId="77777777" w:rsidR="000E48A8" w:rsidRPr="00404C9A" w:rsidRDefault="000E48A8" w:rsidP="00323222">
      <w:pPr>
        <w:jc w:val="both"/>
      </w:pPr>
      <w:r w:rsidRPr="00404C9A">
        <w:t>Malaysia thanked the Secretariat for the clarification and noted that there was scope to further elaborate on activities and outcomes, emphasizing the importance of linking global initiatives with national regulatory frameworks.</w:t>
      </w:r>
    </w:p>
    <w:p w14:paraId="526166BF" w14:textId="77777777" w:rsidR="000E48A8" w:rsidRPr="00404C9A" w:rsidRDefault="000E48A8" w:rsidP="00323222">
      <w:pPr>
        <w:jc w:val="both"/>
      </w:pPr>
      <w:r w:rsidRPr="00404C9A">
        <w:t xml:space="preserve">Tanzania proposed that ITU consider further strengthening its work by exploring the development of global minimum standards for child online safety, promoting safety-by-design approaches through engagement with industry to embed child safety features within </w:t>
      </w:r>
      <w:r w:rsidRPr="00404C9A">
        <w:lastRenderedPageBreak/>
        <w:t>infrastructure and platforms, and enhancing monitoring through the possible establishment of a global Child Online Protection index.</w:t>
      </w:r>
    </w:p>
    <w:p w14:paraId="7DAF94C9" w14:textId="286540DC" w:rsidR="000E48A8" w:rsidRPr="00404C9A" w:rsidRDefault="000E48A8" w:rsidP="00323222">
      <w:pPr>
        <w:jc w:val="both"/>
      </w:pPr>
      <w:r w:rsidRPr="00404C9A">
        <w:t>7.3</w:t>
      </w:r>
      <w:r w:rsidRPr="00404C9A">
        <w:tab/>
        <w:t xml:space="preserve">Malaysia shared reflections on the importance of addressing not only online content but also patterns of use and </w:t>
      </w:r>
      <w:proofErr w:type="gramStart"/>
      <w:r w:rsidRPr="00404C9A">
        <w:t>consumption, and</w:t>
      </w:r>
      <w:proofErr w:type="gramEnd"/>
      <w:r w:rsidRPr="00404C9A">
        <w:t xml:space="preserve"> briefly outlined elements of its national approach to platform regulation. Malaysia also highlighted the relevance of specialized national hotline models in responding to the evolving scale and complexity of child sexual abuse material, particularly in the context of emerging technologies.</w:t>
      </w:r>
    </w:p>
    <w:p w14:paraId="198A69B3" w14:textId="6C6F736F" w:rsidR="000E48A8" w:rsidRPr="00404C9A" w:rsidRDefault="000E48A8" w:rsidP="00323222">
      <w:pPr>
        <w:jc w:val="both"/>
      </w:pPr>
      <w:r w:rsidRPr="00404C9A">
        <w:t>7.4</w:t>
      </w:r>
      <w:r w:rsidRPr="00404C9A">
        <w:tab/>
        <w:t>The Chair took note of the range of contributions shared by Member States during the meeting, reflecting diverse national experiences and perspectives on child online protection.</w:t>
      </w:r>
    </w:p>
    <w:p w14:paraId="6E48BABA" w14:textId="03FCC006" w:rsidR="000E48A8" w:rsidRPr="00404C9A" w:rsidRDefault="000E48A8" w:rsidP="00323222">
      <w:pPr>
        <w:jc w:val="both"/>
      </w:pPr>
      <w:r w:rsidRPr="00404C9A">
        <w:t>7.5</w:t>
      </w:r>
      <w:r w:rsidRPr="00404C9A">
        <w:tab/>
        <w:t>Following Jordan’s contribution, South Africa welcomed the reference to regional support frameworks and informed the Working Group of a recent initiative, the Africa Task Force, launched by GSMA and UNICEF, focusing on inclusive, multi-stakeholder action for child online protection.</w:t>
      </w:r>
    </w:p>
    <w:p w14:paraId="1547F02F" w14:textId="6B1DE61E" w:rsidR="000E48A8" w:rsidRPr="00404C9A" w:rsidRDefault="000E48A8" w:rsidP="00323222">
      <w:pPr>
        <w:jc w:val="both"/>
      </w:pPr>
      <w:r w:rsidRPr="00404C9A">
        <w:t>7.6</w:t>
      </w:r>
      <w:r w:rsidRPr="00404C9A">
        <w:tab/>
        <w:t xml:space="preserve">Following Malaysia’s contribution, Mr Elmo Tadi, Chair of ITU Study Group 17, briefly introduced his role and recalled that Study Group 17 is responsible for technical work related to artificial intelligence and cybersecurity. He informed the Working Group that a liaison statement from Study Group 17 would be transmitted to share progress on work related to AI security and trust, including ongoing and proposed work items, as well as emerging questions in AI standardization. He also drew attention to the need for continued reflection on the interaction between cybersecurity frameworks and child online protection, noting that certain aspects relevant to content and child safety may fall outside the scope of existing cybersecurity approaches. </w:t>
      </w:r>
    </w:p>
    <w:p w14:paraId="430A936D" w14:textId="6C142FC6" w:rsidR="000E48A8" w:rsidRPr="00404C9A" w:rsidRDefault="000E48A8" w:rsidP="00323222">
      <w:pPr>
        <w:jc w:val="both"/>
      </w:pPr>
      <w:r w:rsidRPr="00404C9A">
        <w:t>The Chair informed participants that the liaison statement from Study Group 17 had been received and would be posted later that day and noted that its review could be beneficial for the Working Group, subject to available time.</w:t>
      </w:r>
    </w:p>
    <w:p w14:paraId="696C0E03" w14:textId="6D8CF15A" w:rsidR="000E48A8" w:rsidRPr="00404C9A" w:rsidRDefault="000E48A8" w:rsidP="00323222">
      <w:pPr>
        <w:jc w:val="both"/>
      </w:pPr>
      <w:r w:rsidRPr="00404C9A">
        <w:t>7.7</w:t>
      </w:r>
      <w:r w:rsidRPr="00404C9A">
        <w:tab/>
        <w:t xml:space="preserve">Following the presentation of the liaison statement from SG17, South Africa welcomed the continued exchange of information with Study Group 17, noting the relevance of its work to the Council Working Group on child online protection. South Africa further suggested that information documents and contributions shared with the Working Group could also be brought to the attention of Study Group 17, including through the correspondence group, </w:t>
      </w:r>
      <w:proofErr w:type="gramStart"/>
      <w:r w:rsidRPr="00404C9A">
        <w:t>in order to</w:t>
      </w:r>
      <w:proofErr w:type="gramEnd"/>
      <w:r w:rsidRPr="00404C9A">
        <w:t xml:space="preserve"> inform its technical work.</w:t>
      </w:r>
    </w:p>
    <w:p w14:paraId="68BEBC02" w14:textId="2CF6EB6E" w:rsidR="000E48A8" w:rsidRPr="00404C9A" w:rsidRDefault="000E48A8" w:rsidP="00323222">
      <w:pPr>
        <w:jc w:val="both"/>
      </w:pPr>
      <w:r w:rsidRPr="00404C9A">
        <w:t>7.8</w:t>
      </w:r>
      <w:r w:rsidRPr="00404C9A">
        <w:tab/>
        <w:t xml:space="preserve">At the conclusion of the meeting, the United States took the floor to share a procedural observation regarding the Joint Statement on Artificial Intelligence and the Rights of the Child. The delegation noted that, while the statement was presented as an operational initiative among UN entities, its content also included policy-oriented language addressed to States. The United States underlined the value of clear and advance communication in relation to joint statements, </w:t>
      </w:r>
      <w:proofErr w:type="gramStart"/>
      <w:r w:rsidRPr="00404C9A">
        <w:t>in order to</w:t>
      </w:r>
      <w:proofErr w:type="gramEnd"/>
      <w:r w:rsidRPr="00404C9A">
        <w:t xml:space="preserve"> facilitate a common understanding among Member States in future initiatives.</w:t>
      </w:r>
    </w:p>
    <w:p w14:paraId="783F7DA7" w14:textId="77777777" w:rsidR="000E48A8" w:rsidRPr="00404C9A" w:rsidRDefault="000E48A8" w:rsidP="00024496">
      <w:pPr>
        <w:pStyle w:val="Heading1"/>
      </w:pPr>
      <w:r w:rsidRPr="00404C9A">
        <w:t>8</w:t>
      </w:r>
      <w:r w:rsidRPr="00404C9A">
        <w:tab/>
        <w:t>Outcomes of the twenty-third meeting of the CWG-COP</w:t>
      </w:r>
    </w:p>
    <w:p w14:paraId="36C46335" w14:textId="5AD5C6E2" w:rsidR="000E48A8" w:rsidRPr="00404C9A" w:rsidRDefault="000E48A8" w:rsidP="00323222">
      <w:pPr>
        <w:jc w:val="both"/>
      </w:pPr>
      <w:r w:rsidRPr="00404C9A">
        <w:t>8.1</w:t>
      </w:r>
      <w:r w:rsidRPr="00404C9A">
        <w:tab/>
        <w:t xml:space="preserve">The Chair noted the importance of continued transparency and information-sharing within the Working Group and recalled that, where feasible, supporting information requested by Member States should be included as attachments to main documents or information contributions, </w:t>
      </w:r>
      <w:proofErr w:type="gramStart"/>
      <w:r w:rsidRPr="00404C9A">
        <w:t>in order to</w:t>
      </w:r>
      <w:proofErr w:type="gramEnd"/>
      <w:r w:rsidRPr="00404C9A">
        <w:t xml:space="preserve"> facilitate consideration.</w:t>
      </w:r>
    </w:p>
    <w:p w14:paraId="271EC5B1" w14:textId="563BBBF8" w:rsidR="000E48A8" w:rsidRPr="00404C9A" w:rsidRDefault="000E48A8" w:rsidP="00323222">
      <w:pPr>
        <w:jc w:val="both"/>
      </w:pPr>
      <w:r w:rsidRPr="00404C9A">
        <w:lastRenderedPageBreak/>
        <w:t>8.2</w:t>
      </w:r>
      <w:r w:rsidRPr="00404C9A">
        <w:tab/>
        <w:t>The Secretariat informed the Working Group that the Joint Statement on Artificial Intelligence and the Rights of the Child would be uploaded to the CWG website as an information contribution, to facilitate access for Member States. The Secretariat also took note of requests for clearer and more detailed advance information in relation to future work, initiatives, and publications, and reiterated its intention to continue providing such information to the extent possible, in line with established practices.</w:t>
      </w:r>
    </w:p>
    <w:p w14:paraId="6292DE2E" w14:textId="4CA6FA33" w:rsidR="000E48A8" w:rsidRPr="00404C9A" w:rsidRDefault="000E48A8" w:rsidP="00323222">
      <w:pPr>
        <w:jc w:val="both"/>
      </w:pPr>
      <w:r w:rsidRPr="00404C9A">
        <w:t>8.3</w:t>
      </w:r>
      <w:r w:rsidRPr="00404C9A">
        <w:tab/>
        <w:t>The Chair requested the Secretariat to take note of the specific recommendations put forward by Jordan, as well as of the GSMA–UNICEF Africa Task Force initiative, with a view to informing and, as appropriate, further strengthening ongoing child online protection work.</w:t>
      </w:r>
    </w:p>
    <w:p w14:paraId="37628478" w14:textId="3CD95FF4" w:rsidR="000E48A8" w:rsidRPr="00404C9A" w:rsidRDefault="000E48A8" w:rsidP="00323222">
      <w:pPr>
        <w:jc w:val="both"/>
      </w:pPr>
      <w:r w:rsidRPr="00404C9A">
        <w:t>8.4</w:t>
      </w:r>
      <w:r w:rsidRPr="00404C9A">
        <w:tab/>
        <w:t xml:space="preserve">The Chair noted the points raised by Study Group 17 concerning its ongoing technical work and its interaction with child online protection. </w:t>
      </w:r>
      <w:r>
        <w:t>Sh</w:t>
      </w:r>
      <w:r w:rsidRPr="00404C9A">
        <w:t>e recalled that the Working Group has an established practice of receiving liaison statements from Study Group 17 and confirmed that this exchange would continue. The Chair further indicated that a liaison statement from the CWG-COP to Study Group 17 would be transmitted to share relevant technical contributions.</w:t>
      </w:r>
    </w:p>
    <w:p w14:paraId="5980CFCD" w14:textId="7A42DCEB" w:rsidR="000E48A8" w:rsidRPr="00404C9A" w:rsidRDefault="000E48A8" w:rsidP="00323222">
      <w:pPr>
        <w:jc w:val="both"/>
        <w:rPr>
          <w:rFonts w:asciiTheme="minorHAnsi" w:hAnsiTheme="minorHAnsi" w:cstheme="minorBidi"/>
        </w:rPr>
      </w:pPr>
      <w:r w:rsidRPr="00404C9A">
        <w:t>8.5</w:t>
      </w:r>
      <w:r w:rsidRPr="00404C9A">
        <w:tab/>
        <w:t>The Chair underscored the value of continued dialogue and collaboration among Member States, the Secretariat, and partners, and encouraged the Secretariat to continue keeping the Working Group informed of ongoing and upcoming activities in the field of child online protection.</w:t>
      </w:r>
    </w:p>
    <w:p w14:paraId="3DB0CE01" w14:textId="49B752FD" w:rsidR="000E48A8" w:rsidRPr="000C3A15" w:rsidRDefault="00323222" w:rsidP="00323222">
      <w:pPr>
        <w:pStyle w:val="Signature"/>
      </w:pPr>
      <w:r>
        <w:tab/>
      </w:r>
      <w:r w:rsidR="000E48A8" w:rsidRPr="00404C9A">
        <w:t>Stella C. Erebor (Nigeria)</w:t>
      </w:r>
      <w:r w:rsidR="000E48A8" w:rsidRPr="00404C9A">
        <w:br/>
      </w:r>
      <w:r>
        <w:tab/>
      </w:r>
      <w:r w:rsidR="000E48A8" w:rsidRPr="00404C9A">
        <w:t>Vice-Chair, CWG-COP</w:t>
      </w:r>
    </w:p>
    <w:sectPr w:rsidR="000E48A8" w:rsidRPr="000C3A15" w:rsidSect="00AD3606">
      <w:footerReference w:type="default" r:id="rId51"/>
      <w:headerReference w:type="first" r:id="rId52"/>
      <w:footerReference w:type="first" r:id="rId5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C7BEE" w14:textId="77777777" w:rsidR="004016E2" w:rsidRDefault="004016E2">
      <w:r>
        <w:separator/>
      </w:r>
    </w:p>
  </w:endnote>
  <w:endnote w:type="continuationSeparator" w:id="0">
    <w:p w14:paraId="3011603F" w14:textId="77777777" w:rsidR="004016E2" w:rsidRDefault="0040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BC54CD">
      <w:trPr>
        <w:trHeight w:val="142"/>
        <w:jc w:val="center"/>
      </w:trPr>
      <w:tc>
        <w:tcPr>
          <w:tcW w:w="1803" w:type="dxa"/>
          <w:vAlign w:val="center"/>
        </w:tcPr>
        <w:p w14:paraId="727FD637" w14:textId="696C90B6" w:rsidR="00EE49E8" w:rsidRDefault="00EE49E8" w:rsidP="00EE49E8">
          <w:pPr>
            <w:pStyle w:val="Header"/>
            <w:jc w:val="left"/>
            <w:rPr>
              <w:noProof/>
            </w:rPr>
          </w:pPr>
        </w:p>
      </w:tc>
      <w:tc>
        <w:tcPr>
          <w:tcW w:w="8261" w:type="dxa"/>
        </w:tcPr>
        <w:p w14:paraId="2D49E76E" w14:textId="769D4361"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891503">
            <w:rPr>
              <w:bCs/>
            </w:rPr>
            <w:t>COP</w:t>
          </w:r>
          <w:r w:rsidR="00A52C84">
            <w:rPr>
              <w:bCs/>
            </w:rPr>
            <w:t>-</w:t>
          </w:r>
          <w:r w:rsidR="00BC54CD">
            <w:rPr>
              <w:bCs/>
            </w:rPr>
            <w:t>2</w:t>
          </w:r>
          <w:r w:rsidR="000F2FAF">
            <w:rPr>
              <w:bCs/>
            </w:rPr>
            <w:t>4</w:t>
          </w:r>
          <w:r w:rsidR="00A52C84" w:rsidRPr="00623AE3">
            <w:rPr>
              <w:bCs/>
            </w:rPr>
            <w:t>/</w:t>
          </w:r>
          <w:r w:rsidR="0061580C">
            <w:rPr>
              <w:bCs/>
            </w:rPr>
            <w:t>4</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58677A80" w:rsidR="00EE49E8" w:rsidRDefault="00A52C84" w:rsidP="00EE49E8">
          <w:pPr>
            <w:pStyle w:val="Header"/>
            <w:jc w:val="left"/>
            <w:rPr>
              <w:noProof/>
            </w:rPr>
          </w:pPr>
          <w:hyperlink r:id="rId1" w:history="1">
            <w:proofErr w:type="spellStart"/>
            <w:r w:rsidRPr="000F2FAF">
              <w:rPr>
                <w:rStyle w:val="Hyperlink"/>
              </w:rPr>
              <w:t>council.itu.int</w:t>
            </w:r>
            <w:proofErr w:type="spellEnd"/>
            <w:r w:rsidRPr="000F2FAF">
              <w:rPr>
                <w:rStyle w:val="Hyperlink"/>
              </w:rPr>
              <w:t>/working-groups</w:t>
            </w:r>
          </w:hyperlink>
        </w:p>
      </w:tc>
      <w:tc>
        <w:tcPr>
          <w:tcW w:w="6957" w:type="dxa"/>
        </w:tcPr>
        <w:p w14:paraId="3F62E0D8" w14:textId="67278E6E"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891503">
            <w:rPr>
              <w:bCs/>
            </w:rPr>
            <w:t>COP</w:t>
          </w:r>
          <w:r w:rsidR="00A52C84">
            <w:rPr>
              <w:bCs/>
            </w:rPr>
            <w:t>-</w:t>
          </w:r>
          <w:r w:rsidR="00BC54CD">
            <w:rPr>
              <w:bCs/>
            </w:rPr>
            <w:t>2</w:t>
          </w:r>
          <w:r w:rsidR="000F2FAF">
            <w:rPr>
              <w:bCs/>
            </w:rPr>
            <w:t>4</w:t>
          </w:r>
          <w:r w:rsidRPr="00623AE3">
            <w:rPr>
              <w:bCs/>
            </w:rPr>
            <w:t>/</w:t>
          </w:r>
          <w:r w:rsidR="0061580C">
            <w:rPr>
              <w:bCs/>
            </w:rPr>
            <w:t>4</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7DD74" w14:textId="77777777" w:rsidR="004016E2" w:rsidRDefault="004016E2">
      <w:r>
        <w:t>____________________</w:t>
      </w:r>
    </w:p>
  </w:footnote>
  <w:footnote w:type="continuationSeparator" w:id="0">
    <w:p w14:paraId="0262EED0" w14:textId="77777777" w:rsidR="004016E2" w:rsidRDefault="00401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4"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AAFC3"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4"/>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11999"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7C4F3EDA" w:rsidR="00130599" w:rsidRDefault="00130599" w:rsidP="000F2FAF">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464CC5">
                            <w:rPr>
                              <w:b/>
                              <w:bCs/>
                              <w:szCs w:val="24"/>
                            </w:rPr>
                            <w:t>c</w:t>
                          </w:r>
                          <w:r w:rsidR="00B358B2">
                            <w:rPr>
                              <w:b/>
                              <w:bCs/>
                              <w:szCs w:val="24"/>
                            </w:rPr>
                            <w:t xml:space="preserve">hild </w:t>
                          </w:r>
                          <w:r w:rsidR="00464CC5">
                            <w:rPr>
                              <w:b/>
                              <w:bCs/>
                              <w:szCs w:val="24"/>
                            </w:rPr>
                            <w:t>o</w:t>
                          </w:r>
                          <w:r w:rsidR="00B358B2">
                            <w:rPr>
                              <w:b/>
                              <w:bCs/>
                              <w:szCs w:val="24"/>
                            </w:rPr>
                            <w:t xml:space="preserve">nline </w:t>
                          </w:r>
                          <w:r w:rsidR="00464CC5">
                            <w:rPr>
                              <w:b/>
                              <w:bCs/>
                              <w:szCs w:val="24"/>
                            </w:rPr>
                            <w:t>p</w:t>
                          </w:r>
                          <w:r w:rsidR="00B358B2">
                            <w:rPr>
                              <w:b/>
                              <w:bCs/>
                              <w:szCs w:val="24"/>
                            </w:rPr>
                            <w:t>rotection</w:t>
                          </w:r>
                          <w:r>
                            <w:br/>
                          </w:r>
                          <w:r w:rsidR="00BC54CD">
                            <w:rPr>
                              <w:sz w:val="20"/>
                            </w:rPr>
                            <w:t>Twent</w:t>
                          </w:r>
                          <w:r w:rsidR="00AB31DE">
                            <w:rPr>
                              <w:sz w:val="20"/>
                            </w:rPr>
                            <w:t>y-</w:t>
                          </w:r>
                          <w:r w:rsidR="000F2FAF">
                            <w:rPr>
                              <w:sz w:val="20"/>
                            </w:rPr>
                            <w:t>fourth</w:t>
                          </w:r>
                          <w:r w:rsidRPr="00130599">
                            <w:rPr>
                              <w:sz w:val="20"/>
                            </w:rPr>
                            <w:t xml:space="preserve"> meeting </w:t>
                          </w:r>
                          <w:r w:rsidR="00AB31DE">
                            <w:rPr>
                              <w:sz w:val="20"/>
                            </w:rPr>
                            <w:t>–</w:t>
                          </w:r>
                          <w:r w:rsidR="00B358B2">
                            <w:rPr>
                              <w:sz w:val="20"/>
                            </w:rPr>
                            <w:t xml:space="preserve"> </w:t>
                          </w:r>
                          <w:r w:rsidR="009D1BDC">
                            <w:rPr>
                              <w:sz w:val="20"/>
                            </w:rPr>
                            <w:t>19</w:t>
                          </w:r>
                          <w:r w:rsidR="00AB31DE">
                            <w:rPr>
                              <w:sz w:val="20"/>
                            </w:rPr>
                            <w:t xml:space="preserve"> </w:t>
                          </w:r>
                          <w:r w:rsidR="000F2FAF">
                            <w:rPr>
                              <w:sz w:val="20"/>
                            </w:rPr>
                            <w:t xml:space="preserve">January </w:t>
                          </w:r>
                          <w:r w:rsidR="00AB31DE">
                            <w:rPr>
                              <w:sz w:val="20"/>
                            </w:rPr>
                            <w:t>202</w:t>
                          </w:r>
                          <w:r w:rsidR="000F2FAF">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7C4F3EDA" w:rsidR="00130599" w:rsidRDefault="00130599" w:rsidP="000F2FAF">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464CC5">
                      <w:rPr>
                        <w:b/>
                        <w:bCs/>
                        <w:szCs w:val="24"/>
                      </w:rPr>
                      <w:t>c</w:t>
                    </w:r>
                    <w:r w:rsidR="00B358B2">
                      <w:rPr>
                        <w:b/>
                        <w:bCs/>
                        <w:szCs w:val="24"/>
                      </w:rPr>
                      <w:t xml:space="preserve">hild </w:t>
                    </w:r>
                    <w:r w:rsidR="00464CC5">
                      <w:rPr>
                        <w:b/>
                        <w:bCs/>
                        <w:szCs w:val="24"/>
                      </w:rPr>
                      <w:t>o</w:t>
                    </w:r>
                    <w:r w:rsidR="00B358B2">
                      <w:rPr>
                        <w:b/>
                        <w:bCs/>
                        <w:szCs w:val="24"/>
                      </w:rPr>
                      <w:t xml:space="preserve">nline </w:t>
                    </w:r>
                    <w:r w:rsidR="00464CC5">
                      <w:rPr>
                        <w:b/>
                        <w:bCs/>
                        <w:szCs w:val="24"/>
                      </w:rPr>
                      <w:t>p</w:t>
                    </w:r>
                    <w:r w:rsidR="00B358B2">
                      <w:rPr>
                        <w:b/>
                        <w:bCs/>
                        <w:szCs w:val="24"/>
                      </w:rPr>
                      <w:t>rotection</w:t>
                    </w:r>
                    <w:r>
                      <w:br/>
                    </w:r>
                    <w:r w:rsidR="00BC54CD">
                      <w:rPr>
                        <w:sz w:val="20"/>
                      </w:rPr>
                      <w:t>Twent</w:t>
                    </w:r>
                    <w:r w:rsidR="00AB31DE">
                      <w:rPr>
                        <w:sz w:val="20"/>
                      </w:rPr>
                      <w:t>y-</w:t>
                    </w:r>
                    <w:r w:rsidR="000F2FAF">
                      <w:rPr>
                        <w:sz w:val="20"/>
                      </w:rPr>
                      <w:t>fourth</w:t>
                    </w:r>
                    <w:r w:rsidRPr="00130599">
                      <w:rPr>
                        <w:sz w:val="20"/>
                      </w:rPr>
                      <w:t xml:space="preserve"> meeting </w:t>
                    </w:r>
                    <w:r w:rsidR="00AB31DE">
                      <w:rPr>
                        <w:sz w:val="20"/>
                      </w:rPr>
                      <w:t>–</w:t>
                    </w:r>
                    <w:r w:rsidR="00B358B2">
                      <w:rPr>
                        <w:sz w:val="20"/>
                      </w:rPr>
                      <w:t xml:space="preserve"> </w:t>
                    </w:r>
                    <w:r w:rsidR="009D1BDC">
                      <w:rPr>
                        <w:sz w:val="20"/>
                      </w:rPr>
                      <w:t>19</w:t>
                    </w:r>
                    <w:r w:rsidR="00AB31DE">
                      <w:rPr>
                        <w:sz w:val="20"/>
                      </w:rPr>
                      <w:t xml:space="preserve"> </w:t>
                    </w:r>
                    <w:r w:rsidR="000F2FAF">
                      <w:rPr>
                        <w:sz w:val="20"/>
                      </w:rPr>
                      <w:t xml:space="preserve">January </w:t>
                    </w:r>
                    <w:r w:rsidR="00AB31DE">
                      <w:rPr>
                        <w:sz w:val="20"/>
                      </w:rPr>
                      <w:t>202</w:t>
                    </w:r>
                    <w:r w:rsidR="000F2FAF">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0F546E"/>
    <w:multiLevelType w:val="hybridMultilevel"/>
    <w:tmpl w:val="6B46FC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590672D8"/>
    <w:multiLevelType w:val="hybridMultilevel"/>
    <w:tmpl w:val="12349EA6"/>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 w15:restartNumberingAfterBreak="0">
    <w:nsid w:val="745662EE"/>
    <w:multiLevelType w:val="multilevel"/>
    <w:tmpl w:val="1C52E31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4816267">
    <w:abstractNumId w:val="0"/>
  </w:num>
  <w:num w:numId="2" w16cid:durableId="219175353">
    <w:abstractNumId w:val="2"/>
  </w:num>
  <w:num w:numId="3" w16cid:durableId="1969585647">
    <w:abstractNumId w:val="1"/>
  </w:num>
  <w:num w:numId="4" w16cid:durableId="55215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0AFB"/>
    <w:rsid w:val="000210D4"/>
    <w:rsid w:val="00024496"/>
    <w:rsid w:val="00063016"/>
    <w:rsid w:val="00066795"/>
    <w:rsid w:val="00076AF6"/>
    <w:rsid w:val="000859C4"/>
    <w:rsid w:val="00085CF2"/>
    <w:rsid w:val="000B1705"/>
    <w:rsid w:val="000D75B2"/>
    <w:rsid w:val="000E48A8"/>
    <w:rsid w:val="000F2FAF"/>
    <w:rsid w:val="001121F5"/>
    <w:rsid w:val="00130599"/>
    <w:rsid w:val="001400DC"/>
    <w:rsid w:val="00140CE1"/>
    <w:rsid w:val="0017539C"/>
    <w:rsid w:val="00175AC2"/>
    <w:rsid w:val="0017609F"/>
    <w:rsid w:val="00194145"/>
    <w:rsid w:val="001A7D1D"/>
    <w:rsid w:val="001B51DD"/>
    <w:rsid w:val="001C628E"/>
    <w:rsid w:val="001E0F7B"/>
    <w:rsid w:val="001E0FBE"/>
    <w:rsid w:val="001F4774"/>
    <w:rsid w:val="002119FD"/>
    <w:rsid w:val="002130E0"/>
    <w:rsid w:val="00244F7F"/>
    <w:rsid w:val="00264425"/>
    <w:rsid w:val="00265875"/>
    <w:rsid w:val="0027303B"/>
    <w:rsid w:val="0028109B"/>
    <w:rsid w:val="002A2188"/>
    <w:rsid w:val="002B1F58"/>
    <w:rsid w:val="002C1C7A"/>
    <w:rsid w:val="002C54E2"/>
    <w:rsid w:val="0030160F"/>
    <w:rsid w:val="00320223"/>
    <w:rsid w:val="0032227F"/>
    <w:rsid w:val="00322D0D"/>
    <w:rsid w:val="00323222"/>
    <w:rsid w:val="00361465"/>
    <w:rsid w:val="003771A6"/>
    <w:rsid w:val="003877F5"/>
    <w:rsid w:val="003942D4"/>
    <w:rsid w:val="003958A8"/>
    <w:rsid w:val="003C2533"/>
    <w:rsid w:val="003D5A7F"/>
    <w:rsid w:val="004016E2"/>
    <w:rsid w:val="0040435A"/>
    <w:rsid w:val="00416A24"/>
    <w:rsid w:val="00431D9E"/>
    <w:rsid w:val="00433CE8"/>
    <w:rsid w:val="00434A5C"/>
    <w:rsid w:val="004405AB"/>
    <w:rsid w:val="004544D9"/>
    <w:rsid w:val="00464CC5"/>
    <w:rsid w:val="00472BAD"/>
    <w:rsid w:val="00484009"/>
    <w:rsid w:val="00490E72"/>
    <w:rsid w:val="00491157"/>
    <w:rsid w:val="004921C8"/>
    <w:rsid w:val="00495B0B"/>
    <w:rsid w:val="004A1B8B"/>
    <w:rsid w:val="004D1851"/>
    <w:rsid w:val="004D599D"/>
    <w:rsid w:val="004E2EA5"/>
    <w:rsid w:val="004E3AEB"/>
    <w:rsid w:val="0050223C"/>
    <w:rsid w:val="005243FF"/>
    <w:rsid w:val="00524E5C"/>
    <w:rsid w:val="00544D30"/>
    <w:rsid w:val="005525B8"/>
    <w:rsid w:val="00564FBC"/>
    <w:rsid w:val="005800BC"/>
    <w:rsid w:val="00582442"/>
    <w:rsid w:val="00595D5F"/>
    <w:rsid w:val="005A335D"/>
    <w:rsid w:val="005E2BD5"/>
    <w:rsid w:val="005F3269"/>
    <w:rsid w:val="00610DC7"/>
    <w:rsid w:val="0061580C"/>
    <w:rsid w:val="00623AE3"/>
    <w:rsid w:val="006273F5"/>
    <w:rsid w:val="0064737F"/>
    <w:rsid w:val="006535F1"/>
    <w:rsid w:val="0065557D"/>
    <w:rsid w:val="00660D50"/>
    <w:rsid w:val="00662984"/>
    <w:rsid w:val="006716BB"/>
    <w:rsid w:val="006B1859"/>
    <w:rsid w:val="006B6680"/>
    <w:rsid w:val="006B6DCC"/>
    <w:rsid w:val="00702DEF"/>
    <w:rsid w:val="00706861"/>
    <w:rsid w:val="0075051B"/>
    <w:rsid w:val="00775655"/>
    <w:rsid w:val="00793188"/>
    <w:rsid w:val="00794D34"/>
    <w:rsid w:val="00813E5E"/>
    <w:rsid w:val="0083581B"/>
    <w:rsid w:val="00863874"/>
    <w:rsid w:val="00864AFF"/>
    <w:rsid w:val="00865925"/>
    <w:rsid w:val="00891503"/>
    <w:rsid w:val="008964B4"/>
    <w:rsid w:val="008B4A6A"/>
    <w:rsid w:val="008C7E27"/>
    <w:rsid w:val="008F5982"/>
    <w:rsid w:val="008F7448"/>
    <w:rsid w:val="0090147A"/>
    <w:rsid w:val="009173EF"/>
    <w:rsid w:val="00932906"/>
    <w:rsid w:val="00955751"/>
    <w:rsid w:val="009558C7"/>
    <w:rsid w:val="00961B0B"/>
    <w:rsid w:val="00962D33"/>
    <w:rsid w:val="00986192"/>
    <w:rsid w:val="00997233"/>
    <w:rsid w:val="009A4138"/>
    <w:rsid w:val="009B38C3"/>
    <w:rsid w:val="009C253A"/>
    <w:rsid w:val="009D1BDC"/>
    <w:rsid w:val="009E17BD"/>
    <w:rsid w:val="009E485A"/>
    <w:rsid w:val="00A04CEC"/>
    <w:rsid w:val="00A05D82"/>
    <w:rsid w:val="00A27F92"/>
    <w:rsid w:val="00A32257"/>
    <w:rsid w:val="00A36D20"/>
    <w:rsid w:val="00A467DF"/>
    <w:rsid w:val="00A514A4"/>
    <w:rsid w:val="00A52C84"/>
    <w:rsid w:val="00A55622"/>
    <w:rsid w:val="00A62F3C"/>
    <w:rsid w:val="00A64235"/>
    <w:rsid w:val="00A80222"/>
    <w:rsid w:val="00A83502"/>
    <w:rsid w:val="00AA6C7B"/>
    <w:rsid w:val="00AB31DE"/>
    <w:rsid w:val="00AD15B3"/>
    <w:rsid w:val="00AD3606"/>
    <w:rsid w:val="00AD4A3D"/>
    <w:rsid w:val="00AF6E49"/>
    <w:rsid w:val="00B04A67"/>
    <w:rsid w:val="00B0583C"/>
    <w:rsid w:val="00B358B2"/>
    <w:rsid w:val="00B40A81"/>
    <w:rsid w:val="00B44910"/>
    <w:rsid w:val="00B64669"/>
    <w:rsid w:val="00B72267"/>
    <w:rsid w:val="00B76EB6"/>
    <w:rsid w:val="00B7737B"/>
    <w:rsid w:val="00B824C8"/>
    <w:rsid w:val="00B84B9D"/>
    <w:rsid w:val="00BC251A"/>
    <w:rsid w:val="00BC54CD"/>
    <w:rsid w:val="00BD032B"/>
    <w:rsid w:val="00BE2640"/>
    <w:rsid w:val="00C01189"/>
    <w:rsid w:val="00C061E5"/>
    <w:rsid w:val="00C14622"/>
    <w:rsid w:val="00C374DE"/>
    <w:rsid w:val="00C47AD4"/>
    <w:rsid w:val="00C52D81"/>
    <w:rsid w:val="00C55198"/>
    <w:rsid w:val="00C673AB"/>
    <w:rsid w:val="00CA6393"/>
    <w:rsid w:val="00CB18FF"/>
    <w:rsid w:val="00CD0C08"/>
    <w:rsid w:val="00CD7B1C"/>
    <w:rsid w:val="00CE03FB"/>
    <w:rsid w:val="00CE433C"/>
    <w:rsid w:val="00CF0161"/>
    <w:rsid w:val="00CF33F3"/>
    <w:rsid w:val="00D06183"/>
    <w:rsid w:val="00D22C42"/>
    <w:rsid w:val="00D4035F"/>
    <w:rsid w:val="00D464CC"/>
    <w:rsid w:val="00D53C61"/>
    <w:rsid w:val="00D65041"/>
    <w:rsid w:val="00DB00D5"/>
    <w:rsid w:val="00DB162C"/>
    <w:rsid w:val="00DB1936"/>
    <w:rsid w:val="00DB384B"/>
    <w:rsid w:val="00DF0189"/>
    <w:rsid w:val="00E06FD5"/>
    <w:rsid w:val="00E10E80"/>
    <w:rsid w:val="00E124F0"/>
    <w:rsid w:val="00E227F3"/>
    <w:rsid w:val="00E545C6"/>
    <w:rsid w:val="00E60F04"/>
    <w:rsid w:val="00E65B24"/>
    <w:rsid w:val="00E854E4"/>
    <w:rsid w:val="00E86DBF"/>
    <w:rsid w:val="00EB0D6F"/>
    <w:rsid w:val="00EB2232"/>
    <w:rsid w:val="00EC408F"/>
    <w:rsid w:val="00EC5337"/>
    <w:rsid w:val="00ED454D"/>
    <w:rsid w:val="00EE49E8"/>
    <w:rsid w:val="00EE7079"/>
    <w:rsid w:val="00F16BAB"/>
    <w:rsid w:val="00F2150A"/>
    <w:rsid w:val="00F231D8"/>
    <w:rsid w:val="00F44C00"/>
    <w:rsid w:val="00F45D2C"/>
    <w:rsid w:val="00F46C5F"/>
    <w:rsid w:val="00F632C0"/>
    <w:rsid w:val="00F74694"/>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563E0863-1FCF-4221-B7C4-FE7A450AE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024496"/>
    <w:pPr>
      <w:keepNext/>
      <w:keepLines/>
      <w:spacing w:before="360"/>
      <w:ind w:left="567" w:hanging="567"/>
      <w:outlineLvl w:val="0"/>
    </w:pPr>
    <w:rPr>
      <w:b/>
      <w:bCs/>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4405A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4405AB"/>
    <w:rPr>
      <w:color w:val="605E5C"/>
      <w:shd w:val="clear" w:color="auto" w:fill="E1DFDD"/>
    </w:rPr>
  </w:style>
  <w:style w:type="character" w:styleId="PlaceholderText">
    <w:name w:val="Placeholder Text"/>
    <w:basedOn w:val="DefaultParagraphFont"/>
    <w:uiPriority w:val="99"/>
    <w:semiHidden/>
    <w:rsid w:val="00DB162C"/>
    <w:rPr>
      <w:color w:val="666666"/>
    </w:rPr>
  </w:style>
  <w:style w:type="paragraph" w:styleId="ListParagraph">
    <w:name w:val="List Paragraph"/>
    <w:basedOn w:val="Normal"/>
    <w:uiPriority w:val="34"/>
    <w:qFormat/>
    <w:rsid w:val="000E48A8"/>
    <w:pPr>
      <w:ind w:left="720"/>
      <w:contextualSpacing/>
    </w:pPr>
  </w:style>
  <w:style w:type="paragraph" w:styleId="Signature">
    <w:name w:val="Signature"/>
    <w:basedOn w:val="Normal"/>
    <w:link w:val="SignatureChar"/>
    <w:unhideWhenUsed/>
    <w:rsid w:val="000E48A8"/>
    <w:pPr>
      <w:tabs>
        <w:tab w:val="clear" w:pos="567"/>
        <w:tab w:val="clear" w:pos="1134"/>
        <w:tab w:val="clear" w:pos="1701"/>
        <w:tab w:val="clear" w:pos="2268"/>
        <w:tab w:val="clear" w:pos="2835"/>
        <w:tab w:val="center" w:pos="7371"/>
      </w:tabs>
      <w:spacing w:before="600"/>
    </w:pPr>
    <w:rPr>
      <w:bCs/>
    </w:rPr>
  </w:style>
  <w:style w:type="character" w:customStyle="1" w:styleId="SignatureChar">
    <w:name w:val="Signature Char"/>
    <w:basedOn w:val="DefaultParagraphFont"/>
    <w:link w:val="Signature"/>
    <w:rsid w:val="000E48A8"/>
    <w:rPr>
      <w:rFonts w:ascii="Calibri" w:hAnsi="Calibri"/>
      <w:bCs/>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6-CLCWGCOP24-INF-0014/en" TargetMode="External"/><Relationship Id="rId18" Type="http://schemas.openxmlformats.org/officeDocument/2006/relationships/hyperlink" Target="https://www.itu.int/dms_pub/itu-s/md/26/clcwgcop24/inf/S26-CLCWGCOP24-INF-0011!!MSW-E.docx" TargetMode="External"/><Relationship Id="rId26" Type="http://schemas.openxmlformats.org/officeDocument/2006/relationships/hyperlink" Target="https://www.itu.int/dms_pub/itu-s/md/26/clcwgcop24/inf/S26-CLCWGCOP24-INF-0008!!PPT-E.pptx" TargetMode="External"/><Relationship Id="rId39" Type="http://schemas.openxmlformats.org/officeDocument/2006/relationships/hyperlink" Target="https://www.itu.int/dms_pub/itu-s/md/26/clcwgcop24/inf/S26-CLCWGCOP24-INF-0010!R1!PDF-E.pdf" TargetMode="External"/><Relationship Id="rId21" Type="http://schemas.openxmlformats.org/officeDocument/2006/relationships/hyperlink" Target="https://www.itu.int/dms_pub/itu-s/md/26/clcwgcop24/inf/S26-CLCWGCOP24-INF-0015!!MSW-E.docx" TargetMode="External"/><Relationship Id="rId34" Type="http://schemas.openxmlformats.org/officeDocument/2006/relationships/hyperlink" Target="http://www.itu.int/en/ITU-D/Cybersecurity/Pages/COP/GO-SAFER.aspx" TargetMode="External"/><Relationship Id="rId42" Type="http://schemas.openxmlformats.org/officeDocument/2006/relationships/hyperlink" Target="https://www.itu.int/dms_pub/itu-s/md/26/clcwgcop24/inf/S26-CLCWGCOP24-INF-0004!!PDF-E.pdf" TargetMode="External"/><Relationship Id="rId47" Type="http://schemas.openxmlformats.org/officeDocument/2006/relationships/hyperlink" Target="https://www.itu.int/dms_pub/itu-s/md/26/clcwgcop24/inf/S26-CLCWGCOP24-INF-0013!!MSW-E.docx" TargetMode="External"/><Relationship Id="rId50" Type="http://schemas.openxmlformats.org/officeDocument/2006/relationships/hyperlink" Target="https://www.itu.int/md/S26-CLCWGCOP24-INF-0014/en"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dms_pub/itu-s/md/26/clcwgcop24/inf/S26-CLCWGCOP24-INF-0005!!MSW-E.docx" TargetMode="External"/><Relationship Id="rId29" Type="http://schemas.openxmlformats.org/officeDocument/2006/relationships/hyperlink" Target="https://www.itu.int/dms_pub/itu-s/md/26/clcwgcop24/inf/S26-CLCWGCOP24-INF-0016!!MSW-E.docx" TargetMode="External"/><Relationship Id="rId11" Type="http://schemas.openxmlformats.org/officeDocument/2006/relationships/hyperlink" Target="https://www.itu.int/dms_pub/itu-s/md/26/clcwgcop24/inf/S26-CLCWGCOP24-INF-0012!!PPT-E.pptx" TargetMode="External"/><Relationship Id="rId24" Type="http://schemas.openxmlformats.org/officeDocument/2006/relationships/hyperlink" Target="https://www.itu.int/dms_pub/itu-s/md/26/clcwgcop24/inf/S26-CLCWGCOP24-INF-0007!!MSW-E.docx" TargetMode="External"/><Relationship Id="rId32" Type="http://schemas.openxmlformats.org/officeDocument/2006/relationships/hyperlink" Target="https://www.itu.int/md/S26-CLCWGCOP24-INF-0014/en" TargetMode="External"/><Relationship Id="rId37" Type="http://schemas.openxmlformats.org/officeDocument/2006/relationships/hyperlink" Target="https://www.itu.int/dms_pub/itu-s/md/26/clcwgcop24/inf/S26-CLCWGCOP24-INF-0011!!MSW-E.docx" TargetMode="External"/><Relationship Id="rId40" Type="http://schemas.openxmlformats.org/officeDocument/2006/relationships/hyperlink" Target="https://www.itu.int/dms_pub/itu-s/md/26/clcwgcop24/inf/S26-CLCWGCOP24-INF-0015!!MSW-E.docx" TargetMode="External"/><Relationship Id="rId45" Type="http://schemas.openxmlformats.org/officeDocument/2006/relationships/hyperlink" Target="https://www.itu.int/dms_pub/itu-s/md/26/clcwgcop24/inf/S26-CLCWGCOP24-INF-0008!!PPT-E.pptx" TargetMode="Externa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itu.int/dms_pub/itu-s/md/26/clcwgcop24/inf/S26-CLCWGCOP24-INF-0015!!MSW-E.docx" TargetMode="External"/><Relationship Id="rId19" Type="http://schemas.openxmlformats.org/officeDocument/2006/relationships/hyperlink" Target="https://www.itu.int/dms_pub/itu-s/md/26/clcwgcop24/inf/S26-CLCWGCOP24-INF-0006!!MSW-E.docx" TargetMode="External"/><Relationship Id="rId31" Type="http://schemas.openxmlformats.org/officeDocument/2006/relationships/hyperlink" Target="https://www.itu.int/dms_pub/itu-s/md/26/clcwgcop24/inf/S26-CLCWGCOP24-INF-0017!!MSW-E.docx" TargetMode="External"/><Relationship Id="rId44" Type="http://schemas.openxmlformats.org/officeDocument/2006/relationships/hyperlink" Target="https://www.itu.int/dms_pub/itu-s/md/26/clcwgcop24/inf/S26-CLCWGCOP24-INF-0001!!PDF-E.pdf"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S26-CLCWGCOP24-C-0001/en" TargetMode="External"/><Relationship Id="rId14" Type="http://schemas.openxmlformats.org/officeDocument/2006/relationships/hyperlink" Target="https://www.itu.int/dms_pub/itu-s/md/26/clcwgcop24/inf/S26-CLCWGCOP24-INF-0016!!MSW-E.docx" TargetMode="External"/><Relationship Id="rId22" Type="http://schemas.openxmlformats.org/officeDocument/2006/relationships/hyperlink" Target="https://www.itu.int/dms_pub/itu-s/md/26/clcwgcop24/inf/S26-CLCWGCOP24-INF-0002!!MSW-E.docx" TargetMode="External"/><Relationship Id="rId27" Type="http://schemas.openxmlformats.org/officeDocument/2006/relationships/hyperlink" Target="https://www.itu.int/dms_pub/itu-s/md/26/clcwgcop24/inf/S26-CLCWGCOP24-INF-0009!!PDF-E.pdf" TargetMode="External"/><Relationship Id="rId30" Type="http://schemas.openxmlformats.org/officeDocument/2006/relationships/hyperlink" Target="https://www.itu.int/dms_pub/itu-s/md/26/clcwgcop24/inf/S26-CLCWGCOP24-INF-0012!!PPT-E.pptx" TargetMode="External"/><Relationship Id="rId35" Type="http://schemas.openxmlformats.org/officeDocument/2006/relationships/hyperlink" Target="https://www.itu.int/dms_pub/itu-s/md/26/clcwgcop24/inf/S26-CLCWGCOP24-INF-0005!!MSW-E.docx" TargetMode="External"/><Relationship Id="rId43" Type="http://schemas.openxmlformats.org/officeDocument/2006/relationships/hyperlink" Target="https://www.itu.int/dms_pub/itu-s/md/26/clcwgcop24/inf/S26-CLCWGCOP24-INF-0007!!MSW-E.docx" TargetMode="External"/><Relationship Id="rId48" Type="http://schemas.openxmlformats.org/officeDocument/2006/relationships/hyperlink" Target="https://www.itu.int/dms_pub/itu-s/md/26/clcwgcop24/inf/S26-CLCWGCOP24-INF-0016!!MSW-E.docx" TargetMode="External"/><Relationship Id="rId8" Type="http://schemas.openxmlformats.org/officeDocument/2006/relationships/hyperlink" Target="https://www.itu.int/en/council/cwg-cop/Pages/default.aspx"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itu.int/dms_pub/itu-s/md/26/clcwgcop24/inf/S26-CLCWGCOP24-INF-0013!!MSW-E.docx" TargetMode="External"/><Relationship Id="rId17" Type="http://schemas.openxmlformats.org/officeDocument/2006/relationships/hyperlink" Target="https://www.itu.int/dms_pub/itu-s/md/26/clcwgcop24/inf/S26-CLCWGCOP24-INF-0003!!MSW-E.docx" TargetMode="External"/><Relationship Id="rId25" Type="http://schemas.openxmlformats.org/officeDocument/2006/relationships/hyperlink" Target="https://www.itu.int/dms_pub/itu-s/md/26/clcwgcop24/inf/S26-CLCWGCOP24-INF-0001!!PDF-E.pdf" TargetMode="External"/><Relationship Id="rId33" Type="http://schemas.openxmlformats.org/officeDocument/2006/relationships/hyperlink" Target="https://www.itu.int/md/meetingdoc.asp?lang=en&amp;parent=S25-CLCWGCOP23-C-0002" TargetMode="External"/><Relationship Id="rId38" Type="http://schemas.openxmlformats.org/officeDocument/2006/relationships/hyperlink" Target="https://www.itu.int/dms_pub/itu-s/md/26/clcwgcop24/inf/S26-CLCWGCOP24-INF-0006!!MSW-E.docx" TargetMode="External"/><Relationship Id="rId46" Type="http://schemas.openxmlformats.org/officeDocument/2006/relationships/hyperlink" Target="https://www.itu.int/dms_pub/itu-s/md/26/clcwgcop24/inf/S26-CLCWGCOP24-INF-0009!!PDF-E.pdf" TargetMode="External"/><Relationship Id="rId20" Type="http://schemas.openxmlformats.org/officeDocument/2006/relationships/hyperlink" Target="https://www.itu.int/dms_pub/itu-s/md/26/clcwgcop24/inf/S26-CLCWGCOP24-INF-0010!R1!PDF-E.pdf" TargetMode="External"/><Relationship Id="rId41" Type="http://schemas.openxmlformats.org/officeDocument/2006/relationships/hyperlink" Target="https://www.itu.int/dms_pub/itu-s/md/26/clcwgcop24/inf/S26-CLCWGCOP24-INF-0002!!MSW-E.docx"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S26-CLCWGCOP24-C-0002/en" TargetMode="External"/><Relationship Id="rId23" Type="http://schemas.openxmlformats.org/officeDocument/2006/relationships/hyperlink" Target="https://www.itu.int/dms_pub/itu-s/md/26/clcwgcop24/inf/S26-CLCWGCOP24-INF-0004!!PDF-E.pdf" TargetMode="External"/><Relationship Id="rId28" Type="http://schemas.openxmlformats.org/officeDocument/2006/relationships/hyperlink" Target="https://www.itu.int/dms_pub/itu-s/md/26/clcwgcop24/inf/S26-CLCWGCOP24-INF-0013!!MSW-E.docx" TargetMode="External"/><Relationship Id="rId36" Type="http://schemas.openxmlformats.org/officeDocument/2006/relationships/hyperlink" Target="https://www.itu.int/dms_pub/itu-s/md/26/clcwgcop24/inf/S26-CLCWGCOP24-INF-0003!!MSW-E.docx" TargetMode="External"/><Relationship Id="rId49" Type="http://schemas.openxmlformats.org/officeDocument/2006/relationships/hyperlink" Target="https://www.itu.int/dms_pub/itu-s/md/26/clcwgcop24/inf/S26-CLCWGCOP24-INF-0017!!MSW-E.doc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5538</Words>
  <Characters>39461</Characters>
  <Application>Microsoft Office Word</Application>
  <DocSecurity>0</DocSecurity>
  <Lines>2818</Lines>
  <Paragraphs>1956</Paragraphs>
  <ScaleCrop>false</ScaleCrop>
  <HeadingPairs>
    <vt:vector size="2" baseType="variant">
      <vt:variant>
        <vt:lpstr>Title</vt:lpstr>
      </vt:variant>
      <vt:variant>
        <vt:i4>1</vt:i4>
      </vt:variant>
    </vt:vector>
  </HeadingPairs>
  <TitlesOfParts>
    <vt:vector size="1" baseType="lpstr">
      <vt:lpstr>Outcome of the twenty-fourth meeting of the Council Working Group on child online protection</vt:lpstr>
    </vt:vector>
  </TitlesOfParts>
  <Manager/>
  <Company/>
  <LinksUpToDate>false</LinksUpToDate>
  <CharactersWithSpaces>43043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 of the twenty-fourth meeting of the Council Working Group on child online protection</dc:title>
  <dc:subject>ITU Council Working Group on child onlinie protection</dc:subject>
  <cp:keywords>CWG-COP; C26; Council-26</cp:keywords>
  <dc:description/>
  <dcterms:created xsi:type="dcterms:W3CDTF">2026-02-06T16:19:00Z</dcterms:created>
  <dcterms:modified xsi:type="dcterms:W3CDTF">2026-02-06T16:40:00Z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826dfc70-d086-44e3-a590-168910f148c6</vt:lpwstr>
  </property>
</Properties>
</file>