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55751"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4D15D3D"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891503">
              <w:rPr>
                <w:b/>
                <w:lang w:val="fr-CH"/>
              </w:rPr>
              <w:t>COP</w:t>
            </w:r>
            <w:r w:rsidR="00A52C84" w:rsidRPr="00A52C84">
              <w:rPr>
                <w:b/>
                <w:lang w:val="fr-CH"/>
              </w:rPr>
              <w:t>-</w:t>
            </w:r>
            <w:r w:rsidR="00BC54CD">
              <w:rPr>
                <w:b/>
                <w:lang w:val="fr-CH"/>
              </w:rPr>
              <w:t>2</w:t>
            </w:r>
            <w:r w:rsidR="000F2FAF">
              <w:rPr>
                <w:b/>
                <w:lang w:val="fr-CH"/>
              </w:rPr>
              <w:t>4</w:t>
            </w:r>
            <w:r w:rsidRPr="00A52C84">
              <w:rPr>
                <w:b/>
                <w:lang w:val="fr-CH"/>
              </w:rPr>
              <w:t>/</w:t>
            </w:r>
            <w:r w:rsidR="009F712A">
              <w:rPr>
                <w:b/>
                <w:lang w:val="fr-CH"/>
              </w:rPr>
              <w:t>2</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2E4F308C" w:rsidR="00AD3606" w:rsidRPr="00E85629" w:rsidRDefault="00E72E03" w:rsidP="00AD3606">
            <w:pPr>
              <w:tabs>
                <w:tab w:val="left" w:pos="851"/>
              </w:tabs>
              <w:spacing w:before="0"/>
              <w:jc w:val="right"/>
              <w:rPr>
                <w:b/>
              </w:rPr>
            </w:pPr>
            <w:r>
              <w:rPr>
                <w:b/>
              </w:rPr>
              <w:t>10</w:t>
            </w:r>
            <w:r w:rsidR="00871A02">
              <w:rPr>
                <w:b/>
              </w:rPr>
              <w:t xml:space="preserve"> December</w:t>
            </w:r>
            <w:r w:rsidR="009F712A">
              <w:rPr>
                <w:b/>
              </w:rPr>
              <w:t xml:space="preserve">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025386AC" w:rsidR="00AD3606" w:rsidRPr="004405AB" w:rsidRDefault="009558C7" w:rsidP="004405AB">
            <w:pPr>
              <w:pStyle w:val="Source"/>
              <w:framePr w:hSpace="0" w:wrap="auto" w:vAnchor="margin" w:hAnchor="text" w:xAlign="left" w:yAlign="inline"/>
            </w:pPr>
            <w:bookmarkStart w:id="8" w:name="dsource" w:colFirst="0" w:colLast="0"/>
            <w:bookmarkEnd w:id="7"/>
            <w:r>
              <w:t>Report</w:t>
            </w:r>
            <w:r w:rsidR="00AD3606" w:rsidRPr="004405AB">
              <w:t xml:space="preserve"> by the </w:t>
            </w:r>
            <w:r>
              <w:t>Secretary-General</w:t>
            </w:r>
          </w:p>
        </w:tc>
      </w:tr>
      <w:tr w:rsidR="00AD3606" w:rsidRPr="00813E5E" w14:paraId="2340750D" w14:textId="77777777" w:rsidTr="00AD3606">
        <w:trPr>
          <w:cantSplit/>
        </w:trPr>
        <w:tc>
          <w:tcPr>
            <w:tcW w:w="9214" w:type="dxa"/>
            <w:gridSpan w:val="2"/>
            <w:tcMar>
              <w:left w:w="0" w:type="dxa"/>
            </w:tcMar>
          </w:tcPr>
          <w:p w14:paraId="47B91AA8" w14:textId="54879FDD" w:rsidR="00AD3606" w:rsidRPr="004405AB" w:rsidRDefault="005E7D85" w:rsidP="009F712A">
            <w:pPr>
              <w:pStyle w:val="Subtitle"/>
              <w:framePr w:hSpace="0" w:wrap="auto" w:xAlign="left" w:yAlign="inline"/>
            </w:pPr>
            <w:bookmarkStart w:id="9" w:name="dtitle1" w:colFirst="0" w:colLast="0"/>
            <w:bookmarkEnd w:id="8"/>
            <w:r w:rsidRPr="009F712A">
              <w:t>UPDATE ON THE ITU CHILD ONLINE PROTECTION INITIATIVE AND THE COP GLOBAL PROGRAMME</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3CC67AB7" w:rsidR="00AD3606" w:rsidRPr="00813E5E" w:rsidRDefault="009F712A" w:rsidP="006A11D3">
            <w:pPr>
              <w:jc w:val="both"/>
            </w:pPr>
            <w:r w:rsidRPr="009F712A">
              <w:t xml:space="preserve">This </w:t>
            </w:r>
            <w:r w:rsidR="00A478D5" w:rsidRPr="009F712A">
              <w:t xml:space="preserve">report </w:t>
            </w:r>
            <w:r w:rsidRPr="009F712A">
              <w:t xml:space="preserve">is intended to provide an overview </w:t>
            </w:r>
            <w:r w:rsidR="005E7D85">
              <w:t>of</w:t>
            </w:r>
            <w:r w:rsidRPr="009F712A">
              <w:t xml:space="preserve"> the status of the COP Initiative and the implementation of the COP Guidelines between September 2025 and January 2026.</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6CCA1EE2" w14:textId="3BD6EBC3" w:rsidR="004405AB" w:rsidRPr="004405AB" w:rsidRDefault="009F712A" w:rsidP="009F712A">
            <w:pPr>
              <w:spacing w:before="160"/>
            </w:pPr>
            <w:r w:rsidRPr="009F712A">
              <w:t xml:space="preserve">The Council Working Group on child online protection is invited to </w:t>
            </w:r>
            <w:r w:rsidRPr="009F712A">
              <w:rPr>
                <w:b/>
                <w:bCs/>
              </w:rPr>
              <w:t>note</w:t>
            </w:r>
            <w:r w:rsidRPr="009F712A">
              <w:t xml:space="preserve"> this report.</w:t>
            </w:r>
          </w:p>
          <w:p w14:paraId="39D8C9AA" w14:textId="77777777" w:rsidR="001F4774" w:rsidRDefault="001F4774">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38BD2E0A" w:rsidR="00AD3606" w:rsidRPr="00AB31DE" w:rsidRDefault="009F712A" w:rsidP="009F712A">
            <w:pPr>
              <w:spacing w:after="160"/>
              <w:rPr>
                <w:i/>
                <w:iCs/>
                <w:sz w:val="22"/>
                <w:szCs w:val="22"/>
              </w:rPr>
            </w:pPr>
            <w:hyperlink r:id="rId11" w:history="1">
              <w:r w:rsidRPr="009F712A">
                <w:rPr>
                  <w:rStyle w:val="Hyperlink"/>
                  <w:i/>
                  <w:iCs/>
                </w:rPr>
                <w:t>CWG-COP website</w:t>
              </w:r>
            </w:hyperlink>
            <w:r w:rsidRPr="009F712A">
              <w:rPr>
                <w:i/>
                <w:iCs/>
              </w:rPr>
              <w:t xml:space="preserve">; </w:t>
            </w:r>
            <w:hyperlink r:id="rId12" w:history="1">
              <w:r w:rsidRPr="009F712A">
                <w:rPr>
                  <w:rStyle w:val="Hyperlink"/>
                  <w:i/>
                  <w:iCs/>
                </w:rPr>
                <w:t>Child Online Protection</w:t>
              </w:r>
            </w:hyperlink>
          </w:p>
        </w:tc>
      </w:tr>
    </w:tbl>
    <w:p w14:paraId="4CDB8B60" w14:textId="77777777" w:rsidR="00E227F3" w:rsidRPr="00E42D99"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E42D99"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E42D99">
        <w:br w:type="page"/>
      </w:r>
    </w:p>
    <w:bookmarkEnd w:id="5"/>
    <w:bookmarkEnd w:id="10"/>
    <w:p w14:paraId="150E0C2C" w14:textId="77777777" w:rsidR="009F712A" w:rsidRPr="0042620D" w:rsidRDefault="009F712A" w:rsidP="00177A83">
      <w:pPr>
        <w:spacing w:after="120"/>
        <w:jc w:val="both"/>
      </w:pPr>
      <w:r w:rsidRPr="0042620D">
        <w:lastRenderedPageBreak/>
        <w:t>The Child Online Protection initiative aims to protect children from online risks and potential harm and empower them to fully benefit from online opportunities through research, in-country policy support, capacity building and technical tools.</w:t>
      </w:r>
    </w:p>
    <w:p w14:paraId="56F5AF54" w14:textId="77777777" w:rsidR="009F712A" w:rsidRPr="0042620D" w:rsidRDefault="009F712A" w:rsidP="00177A83">
      <w:pPr>
        <w:spacing w:after="120"/>
        <w:jc w:val="both"/>
      </w:pPr>
      <w:r w:rsidRPr="0042620D">
        <w:t>ITU Child Online Protection serves as a global leadership platform with a multi-stakeholder community with proven expertise and a successful technical assistance record of more than 16 years on child online protection activities worldwide. Through a strong network of more than 80 knowledge partners from leading institutions active in the ICT and child rights sectors, the Child Online Protection initiative provides both resources and tools that support children’s and their entourage’s digital skills development as well as support to industry and government stakeholders in the development of corporate and national child online protection strategies and frameworks, allowing countries to contribute to a safer online environment for children.</w:t>
      </w:r>
    </w:p>
    <w:p w14:paraId="2A53FDF6" w14:textId="77777777" w:rsidR="009F712A" w:rsidRPr="0042620D" w:rsidRDefault="009F712A" w:rsidP="00430FE6">
      <w:pPr>
        <w:pStyle w:val="Heading1"/>
      </w:pPr>
      <w:r w:rsidRPr="0C4118C8">
        <w:t>1</w:t>
      </w:r>
      <w:r>
        <w:tab/>
      </w:r>
      <w:r w:rsidRPr="0C4118C8">
        <w:t xml:space="preserve">As part of </w:t>
      </w:r>
      <w:hyperlink r:id="rId13" w:history="1">
        <w:r w:rsidRPr="0C4118C8">
          <w:rPr>
            <w:rStyle w:val="Hyperlink"/>
            <w:rFonts w:cs="Calibri"/>
          </w:rPr>
          <w:t>ITU’s global programme (2021-2026)</w:t>
        </w:r>
      </w:hyperlink>
      <w:r w:rsidRPr="0C4118C8">
        <w:t xml:space="preserve"> the following activities</w:t>
      </w:r>
      <w:r w:rsidRPr="0042620D">
        <w:t xml:space="preserve"> were undertaken</w:t>
      </w:r>
    </w:p>
    <w:p w14:paraId="7342950A" w14:textId="12A10A25" w:rsidR="009F712A" w:rsidRPr="0042620D" w:rsidRDefault="00176644" w:rsidP="00176644">
      <w:pPr>
        <w:pStyle w:val="Heading2"/>
      </w:pPr>
      <w:r>
        <w:t>1.1</w:t>
      </w:r>
      <w:r>
        <w:tab/>
      </w:r>
      <w:r w:rsidR="009F712A" w:rsidRPr="00176644">
        <w:t>Capacity</w:t>
      </w:r>
      <w:r w:rsidR="009F712A" w:rsidRPr="0042620D">
        <w:t xml:space="preserve"> building and awareness raising</w:t>
      </w:r>
    </w:p>
    <w:p w14:paraId="5C5C9632" w14:textId="30E86F80" w:rsidR="009F712A" w:rsidRDefault="009F712A" w:rsidP="00430FE6">
      <w:pPr>
        <w:pStyle w:val="enumlev1"/>
        <w:rPr>
          <w:rFonts w:eastAsia="Calibri"/>
        </w:rPr>
      </w:pPr>
      <w:r w:rsidRPr="0042620D">
        <w:rPr>
          <w:rFonts w:eastAsia="Calibri"/>
        </w:rPr>
        <w:t>–</w:t>
      </w:r>
      <w:r w:rsidRPr="0042620D">
        <w:tab/>
      </w:r>
      <w:r w:rsidRPr="0042620D">
        <w:rPr>
          <w:rFonts w:eastAsia="Calibri"/>
        </w:rPr>
        <w:t xml:space="preserve">In the Maldives, Training of Trainers for Educators and child protection specialists </w:t>
      </w:r>
      <w:r w:rsidR="00430FE6">
        <w:rPr>
          <w:rFonts w:eastAsia="Calibri"/>
        </w:rPr>
        <w:t>was successfully delivered to over 60 national stakeholders</w:t>
      </w:r>
      <w:r w:rsidRPr="0042620D">
        <w:rPr>
          <w:rFonts w:eastAsia="Calibri"/>
        </w:rPr>
        <w:t>, supporting the development of skills and awareness on children’s rights in the digital environment.</w:t>
      </w:r>
    </w:p>
    <w:p w14:paraId="66FAD5DA" w14:textId="0E6689F7" w:rsidR="009F712A" w:rsidRDefault="009F712A" w:rsidP="00430FE6">
      <w:pPr>
        <w:pStyle w:val="enumlev1"/>
        <w:rPr>
          <w:rFonts w:eastAsia="Calibri"/>
        </w:rPr>
      </w:pPr>
      <w:r w:rsidRPr="0042620D">
        <w:rPr>
          <w:rFonts w:eastAsia="Calibri"/>
        </w:rPr>
        <w:t>–</w:t>
      </w:r>
      <w:r w:rsidRPr="0042620D">
        <w:tab/>
      </w:r>
      <w:r w:rsidRPr="06756F51">
        <w:rPr>
          <w:rFonts w:eastAsia="Calibri"/>
        </w:rPr>
        <w:t xml:space="preserve">In Morocco, two days of training and capacity-building workshops for educators and Parents association representatives were </w:t>
      </w:r>
      <w:r w:rsidRPr="3CC27191">
        <w:rPr>
          <w:rFonts w:eastAsia="Calibri"/>
        </w:rPr>
        <w:t>organi</w:t>
      </w:r>
      <w:r w:rsidR="1D11BE1D" w:rsidRPr="3CC27191">
        <w:rPr>
          <w:rFonts w:eastAsia="Calibri"/>
        </w:rPr>
        <w:t>z</w:t>
      </w:r>
      <w:r w:rsidRPr="3CC27191">
        <w:rPr>
          <w:rFonts w:eastAsia="Calibri"/>
        </w:rPr>
        <w:t>ed</w:t>
      </w:r>
      <w:r w:rsidRPr="06756F51">
        <w:rPr>
          <w:rFonts w:eastAsia="Calibri"/>
        </w:rPr>
        <w:t xml:space="preserve"> in partnership with Morocco's Digital Development Agency (ADD) and national stakeholders. The mission aimed to strengthen national capabilities for addressing online risks, promote safe digital practices, and enhance protection mechanisms for children in digital environments.</w:t>
      </w:r>
      <w:r w:rsidRPr="398AB568">
        <w:rPr>
          <w:rFonts w:eastAsia="Calibri"/>
        </w:rPr>
        <w:t xml:space="preserve"> </w:t>
      </w:r>
      <w:r>
        <w:rPr>
          <w:rFonts w:eastAsia="Calibri"/>
        </w:rPr>
        <w:t xml:space="preserve">Approximately 50 </w:t>
      </w:r>
      <w:r w:rsidRPr="06287A7B">
        <w:rPr>
          <w:rFonts w:eastAsia="Calibri"/>
        </w:rPr>
        <w:t xml:space="preserve">educators and 20 parent association representatives participated in </w:t>
      </w:r>
      <w:r w:rsidRPr="398AB568">
        <w:rPr>
          <w:rFonts w:eastAsia="Calibri"/>
        </w:rPr>
        <w:t>the</w:t>
      </w:r>
      <w:r w:rsidRPr="06287A7B">
        <w:rPr>
          <w:rFonts w:eastAsia="Calibri"/>
        </w:rPr>
        <w:t xml:space="preserve"> workshops.</w:t>
      </w:r>
    </w:p>
    <w:p w14:paraId="3FEAF64B" w14:textId="77777777" w:rsidR="009F712A" w:rsidRPr="0042620D" w:rsidRDefault="009F712A" w:rsidP="00430FE6">
      <w:pPr>
        <w:pStyle w:val="enumlev1"/>
        <w:rPr>
          <w:rFonts w:eastAsia="Calibri"/>
        </w:rPr>
      </w:pPr>
      <w:r w:rsidRPr="0D61CAB8">
        <w:rPr>
          <w:rFonts w:eastAsia="Calibri"/>
        </w:rPr>
        <w:t>–</w:t>
      </w:r>
      <w:r w:rsidRPr="0042620D">
        <w:rPr>
          <w:rFonts w:eastAsia="Calibri"/>
        </w:rPr>
        <w:tab/>
        <w:t xml:space="preserve">In Switzerland, </w:t>
      </w:r>
      <w:r w:rsidRPr="0035161D">
        <w:rPr>
          <w:rFonts w:eastAsia="Calibri"/>
        </w:rPr>
        <w:t xml:space="preserve">training sessions for </w:t>
      </w:r>
      <w:r>
        <w:rPr>
          <w:rFonts w:eastAsia="Calibri"/>
        </w:rPr>
        <w:t xml:space="preserve">a total of around 50 </w:t>
      </w:r>
      <w:r w:rsidRPr="0035161D">
        <w:rPr>
          <w:rFonts w:eastAsia="Calibri"/>
        </w:rPr>
        <w:t>children and young people were delivered as part of the “</w:t>
      </w:r>
      <w:proofErr w:type="spellStart"/>
      <w:r w:rsidRPr="0035161D">
        <w:rPr>
          <w:rFonts w:eastAsia="Calibri"/>
        </w:rPr>
        <w:t>Journée</w:t>
      </w:r>
      <w:proofErr w:type="spellEnd"/>
      <w:r w:rsidRPr="0035161D">
        <w:rPr>
          <w:rFonts w:eastAsia="Calibri"/>
        </w:rPr>
        <w:t xml:space="preserve"> </w:t>
      </w:r>
      <w:proofErr w:type="spellStart"/>
      <w:r w:rsidRPr="0035161D">
        <w:rPr>
          <w:rFonts w:eastAsia="Calibri"/>
        </w:rPr>
        <w:t>Futur</w:t>
      </w:r>
      <w:proofErr w:type="spellEnd"/>
      <w:r w:rsidRPr="0035161D">
        <w:rPr>
          <w:rFonts w:eastAsia="Calibri"/>
        </w:rPr>
        <w:t xml:space="preserve"> en </w:t>
      </w:r>
      <w:proofErr w:type="spellStart"/>
      <w:r w:rsidRPr="0035161D">
        <w:rPr>
          <w:rFonts w:eastAsia="Calibri"/>
        </w:rPr>
        <w:t>tous</w:t>
      </w:r>
      <w:proofErr w:type="spellEnd"/>
      <w:r w:rsidRPr="0035161D">
        <w:rPr>
          <w:rFonts w:eastAsia="Calibri"/>
        </w:rPr>
        <w:t xml:space="preserve"> genres” in schools </w:t>
      </w:r>
      <w:r>
        <w:rPr>
          <w:rFonts w:eastAsia="Calibri"/>
        </w:rPr>
        <w:t>in November 2025</w:t>
      </w:r>
      <w:r w:rsidRPr="0035161D">
        <w:rPr>
          <w:rFonts w:eastAsia="Calibri"/>
        </w:rPr>
        <w:t xml:space="preserve">, and during the </w:t>
      </w:r>
      <w:r>
        <w:rPr>
          <w:rFonts w:eastAsia="Calibri"/>
        </w:rPr>
        <w:t>“</w:t>
      </w:r>
      <w:r w:rsidRPr="0035161D">
        <w:rPr>
          <w:rFonts w:eastAsia="Calibri"/>
        </w:rPr>
        <w:t>ITU160 Open Day</w:t>
      </w:r>
      <w:r>
        <w:rPr>
          <w:rFonts w:eastAsia="Calibri"/>
        </w:rPr>
        <w:t>”</w:t>
      </w:r>
      <w:r w:rsidRPr="0035161D">
        <w:rPr>
          <w:rFonts w:eastAsia="Calibri"/>
        </w:rPr>
        <w:t xml:space="preserve"> at ITU Headquarters, organized in collaboration with the</w:t>
      </w:r>
      <w:r>
        <w:rPr>
          <w:rFonts w:eastAsia="Calibri"/>
        </w:rPr>
        <w:t xml:space="preserve"> </w:t>
      </w:r>
      <w:proofErr w:type="spellStart"/>
      <w:r w:rsidRPr="0035161D">
        <w:rPr>
          <w:rFonts w:eastAsia="Calibri"/>
        </w:rPr>
        <w:t>Eduki</w:t>
      </w:r>
      <w:proofErr w:type="spellEnd"/>
      <w:r w:rsidRPr="0035161D">
        <w:rPr>
          <w:rFonts w:eastAsia="Calibri"/>
        </w:rPr>
        <w:t xml:space="preserve"> Foundation</w:t>
      </w:r>
      <w:r>
        <w:rPr>
          <w:rFonts w:eastAsia="Calibri"/>
        </w:rPr>
        <w:t xml:space="preserve"> in September 2025</w:t>
      </w:r>
      <w:r w:rsidRPr="0035161D">
        <w:rPr>
          <w:rFonts w:eastAsia="Calibri"/>
        </w:rPr>
        <w:t>.</w:t>
      </w:r>
    </w:p>
    <w:p w14:paraId="33F77CE1" w14:textId="77777777" w:rsidR="009F712A" w:rsidRPr="0042620D" w:rsidRDefault="009F712A" w:rsidP="00430FE6">
      <w:pPr>
        <w:pStyle w:val="enumlev1"/>
        <w:rPr>
          <w:rFonts w:eastAsia="Calibri"/>
        </w:rPr>
      </w:pPr>
      <w:r w:rsidRPr="0042620D">
        <w:rPr>
          <w:rFonts w:eastAsia="Calibri"/>
        </w:rPr>
        <w:t>–</w:t>
      </w:r>
      <w:r w:rsidRPr="0042620D">
        <w:rPr>
          <w:rFonts w:eastAsia="Calibri"/>
        </w:rPr>
        <w:tab/>
        <w:t xml:space="preserve">In Brazil, </w:t>
      </w:r>
      <w:r>
        <w:rPr>
          <w:rFonts w:eastAsia="Calibri"/>
        </w:rPr>
        <w:t xml:space="preserve">an </w:t>
      </w:r>
      <w:r w:rsidRPr="0042620D">
        <w:rPr>
          <w:rFonts w:eastAsia="Calibri"/>
        </w:rPr>
        <w:t xml:space="preserve">agreement </w:t>
      </w:r>
      <w:r>
        <w:rPr>
          <w:rFonts w:eastAsia="Calibri"/>
        </w:rPr>
        <w:t xml:space="preserve">was </w:t>
      </w:r>
      <w:r w:rsidRPr="0042620D">
        <w:rPr>
          <w:rFonts w:eastAsia="Calibri"/>
        </w:rPr>
        <w:t>reached to localize Sango interactive video lessons for Brazil, ensuring contextualization to local language and child protection needs.</w:t>
      </w:r>
    </w:p>
    <w:p w14:paraId="387E9137" w14:textId="3E3D997D" w:rsidR="009F712A" w:rsidRPr="0042620D" w:rsidRDefault="009F712A" w:rsidP="00430FE6">
      <w:pPr>
        <w:pStyle w:val="enumlev1"/>
        <w:rPr>
          <w:rFonts w:eastAsia="Calibri"/>
        </w:rPr>
      </w:pPr>
      <w:r w:rsidRPr="0042620D">
        <w:rPr>
          <w:rFonts w:eastAsia="Calibri"/>
        </w:rPr>
        <w:t>–</w:t>
      </w:r>
      <w:r>
        <w:rPr>
          <w:rFonts w:eastAsia="Calibri"/>
        </w:rPr>
        <w:tab/>
      </w:r>
      <w:r w:rsidRPr="0042620D">
        <w:rPr>
          <w:rFonts w:eastAsia="Calibri"/>
        </w:rPr>
        <w:t xml:space="preserve">Together with the OECS, </w:t>
      </w:r>
      <w:r w:rsidRPr="3B214FDD">
        <w:rPr>
          <w:rFonts w:eastAsia="Calibri"/>
        </w:rPr>
        <w:t xml:space="preserve">an agreement </w:t>
      </w:r>
      <w:r w:rsidRPr="4AE07FC2">
        <w:rPr>
          <w:rFonts w:eastAsia="Calibri"/>
        </w:rPr>
        <w:t>was reached</w:t>
      </w:r>
      <w:r w:rsidRPr="0042620D">
        <w:rPr>
          <w:rFonts w:eastAsia="Calibri"/>
        </w:rPr>
        <w:t xml:space="preserve"> to localise and develop a regional awareness campaign for the Caribbean states for children and young people</w:t>
      </w:r>
      <w:r w:rsidRPr="36A87520">
        <w:rPr>
          <w:rFonts w:eastAsia="Calibri"/>
        </w:rPr>
        <w:t>,</w:t>
      </w:r>
      <w:r w:rsidRPr="0042620D">
        <w:rPr>
          <w:rFonts w:eastAsia="Calibri"/>
        </w:rPr>
        <w:t xml:space="preserve"> as well as their educators and parents</w:t>
      </w:r>
      <w:r w:rsidRPr="37920054">
        <w:rPr>
          <w:rFonts w:eastAsia="Calibri"/>
        </w:rPr>
        <w:t xml:space="preserve">. The campaign will focus on online safety and will cover </w:t>
      </w:r>
      <w:r w:rsidRPr="0042620D">
        <w:rPr>
          <w:rFonts w:eastAsia="Calibri"/>
        </w:rPr>
        <w:t xml:space="preserve">different risks and potential harm </w:t>
      </w:r>
      <w:r w:rsidRPr="37920054">
        <w:rPr>
          <w:rFonts w:eastAsia="Calibri"/>
        </w:rPr>
        <w:t>in the online sphere. To this end, a number of different flyers have been designed, adapted to the different age groups with culturally relevant characters. Video content, tailored to children, parents, and educators, focusing on key COP themes, will also be created.</w:t>
      </w:r>
    </w:p>
    <w:p w14:paraId="6A95BDC6" w14:textId="2F1C6CDC" w:rsidR="009F712A" w:rsidRPr="0042620D" w:rsidRDefault="009F712A" w:rsidP="00430FE6">
      <w:pPr>
        <w:pStyle w:val="Heading2"/>
      </w:pPr>
      <w:bookmarkStart w:id="11" w:name="_Hlk204806515"/>
      <w:r w:rsidRPr="0042620D">
        <w:t>1.2</w:t>
      </w:r>
      <w:r w:rsidRPr="0042620D">
        <w:tab/>
        <w:t>National COP frameworks</w:t>
      </w:r>
      <w:bookmarkEnd w:id="11"/>
      <w:r w:rsidRPr="0042620D">
        <w:t xml:space="preserve"> and </w:t>
      </w:r>
      <w:r w:rsidR="00430FE6" w:rsidRPr="0042620D">
        <w:t>in-country support</w:t>
      </w:r>
    </w:p>
    <w:p w14:paraId="0D9E4A1F" w14:textId="5F66B2A5" w:rsidR="009F712A" w:rsidRPr="0042620D" w:rsidRDefault="009F712A" w:rsidP="00430FE6">
      <w:pPr>
        <w:pStyle w:val="enumlev1"/>
      </w:pPr>
      <w:r w:rsidRPr="0042620D">
        <w:rPr>
          <w:rFonts w:eastAsia="Calibri"/>
        </w:rPr>
        <w:t>–</w:t>
      </w:r>
      <w:r w:rsidRPr="0042620D">
        <w:tab/>
        <w:t>In Eswatini</w:t>
      </w:r>
      <w:r w:rsidR="00E42D99">
        <w:t>,</w:t>
      </w:r>
      <w:r w:rsidRPr="0042620D">
        <w:t xml:space="preserve"> ITU delivered a national draft child online protection strategy, including a detailed roadmap for implementation.</w:t>
      </w:r>
    </w:p>
    <w:p w14:paraId="0C8E3E0A" w14:textId="1EAC2C3B" w:rsidR="009F712A" w:rsidRPr="0042620D" w:rsidRDefault="009F712A" w:rsidP="00430FE6">
      <w:pPr>
        <w:pStyle w:val="enumlev1"/>
        <w:rPr>
          <w:rFonts w:eastAsia="Calibri"/>
        </w:rPr>
      </w:pPr>
      <w:r w:rsidRPr="06756F51">
        <w:rPr>
          <w:rFonts w:eastAsia="Calibri"/>
        </w:rPr>
        <w:lastRenderedPageBreak/>
        <w:t>–</w:t>
      </w:r>
      <w:r w:rsidRPr="0042620D">
        <w:tab/>
        <w:t>In Indonesia</w:t>
      </w:r>
      <w:r>
        <w:t>,</w:t>
      </w:r>
      <w:r w:rsidRPr="0042620D">
        <w:t xml:space="preserve"> Lebanon, </w:t>
      </w:r>
      <w:r w:rsidR="0070024C">
        <w:t xml:space="preserve">and </w:t>
      </w:r>
      <w:r w:rsidRPr="0042620D">
        <w:t>Malawi</w:t>
      </w:r>
      <w:r w:rsidR="00E42D99">
        <w:t>, t</w:t>
      </w:r>
      <w:r>
        <w:t>he f</w:t>
      </w:r>
      <w:r w:rsidRPr="0042620D">
        <w:t>inal reports of the national taskforces on children’s perspectives and experiences in online environments were delivered to national counterparts.</w:t>
      </w:r>
    </w:p>
    <w:p w14:paraId="47EEB0A4" w14:textId="66811D04" w:rsidR="009F712A" w:rsidRPr="0042620D" w:rsidRDefault="009F712A" w:rsidP="00430FE6">
      <w:pPr>
        <w:pStyle w:val="Heading1"/>
      </w:pPr>
      <w:r w:rsidRPr="0042620D">
        <w:t>2</w:t>
      </w:r>
      <w:r w:rsidRPr="0042620D">
        <w:tab/>
        <w:t xml:space="preserve">Strengthening </w:t>
      </w:r>
      <w:r w:rsidR="00430FE6" w:rsidRPr="0042620D">
        <w:t>multistakeholder cooperation</w:t>
      </w:r>
    </w:p>
    <w:p w14:paraId="2AFB6776" w14:textId="17324E60" w:rsidR="009F712A" w:rsidRPr="0042620D" w:rsidRDefault="009F712A" w:rsidP="00430FE6">
      <w:pPr>
        <w:pStyle w:val="Heading2"/>
      </w:pPr>
      <w:r w:rsidRPr="0042620D">
        <w:t>2.1</w:t>
      </w:r>
      <w:r w:rsidRPr="0042620D">
        <w:tab/>
        <w:t xml:space="preserve">Joint </w:t>
      </w:r>
      <w:r w:rsidR="00430FE6" w:rsidRPr="00430FE6">
        <w:t>statement</w:t>
      </w:r>
      <w:r w:rsidR="00430FE6" w:rsidRPr="0042620D">
        <w:t xml:space="preserve"> </w:t>
      </w:r>
      <w:r w:rsidRPr="0042620D">
        <w:t>on child protection and in the context of AI</w:t>
      </w:r>
    </w:p>
    <w:p w14:paraId="09BCD238" w14:textId="3ADF5CD9" w:rsidR="009F712A" w:rsidRPr="00A65363" w:rsidRDefault="009F712A" w:rsidP="00430FE6">
      <w:pPr>
        <w:pStyle w:val="enumlev1"/>
        <w:rPr>
          <w:rFonts w:eastAsia="Calibri"/>
        </w:rPr>
      </w:pPr>
      <w:r w:rsidRPr="26947EFD">
        <w:rPr>
          <w:rFonts w:eastAsia="Calibri"/>
        </w:rPr>
        <w:t>–</w:t>
      </w:r>
      <w:r w:rsidRPr="00A65363">
        <w:tab/>
      </w:r>
      <w:r w:rsidRPr="26947EFD">
        <w:rPr>
          <w:rFonts w:eastAsia="Calibri"/>
        </w:rPr>
        <w:t>The Joint Statement on AI and Child Rights, co-developed by ITU</w:t>
      </w:r>
      <w:r>
        <w:rPr>
          <w:rFonts w:eastAsia="Calibri"/>
        </w:rPr>
        <w:t xml:space="preserve">, </w:t>
      </w:r>
      <w:r w:rsidRPr="26947EFD">
        <w:rPr>
          <w:rFonts w:eastAsia="Calibri"/>
        </w:rPr>
        <w:t xml:space="preserve">the Committee on the Rights of the Child (CRC), </w:t>
      </w:r>
      <w:r>
        <w:rPr>
          <w:rFonts w:eastAsia="Calibri"/>
        </w:rPr>
        <w:t xml:space="preserve">and the </w:t>
      </w:r>
      <w:r w:rsidRPr="26947EFD">
        <w:rPr>
          <w:rFonts w:eastAsia="Calibri"/>
        </w:rPr>
        <w:t>United Nations Children’s Fund (UNICEF),</w:t>
      </w:r>
      <w:r>
        <w:rPr>
          <w:rFonts w:eastAsia="Calibri"/>
        </w:rPr>
        <w:t xml:space="preserve"> and </w:t>
      </w:r>
      <w:r w:rsidRPr="26947EFD">
        <w:rPr>
          <w:rFonts w:eastAsia="Calibri"/>
        </w:rPr>
        <w:t>co</w:t>
      </w:r>
      <w:r w:rsidR="00430FE6">
        <w:rPr>
          <w:rFonts w:eastAsia="Calibri"/>
        </w:rPr>
        <w:noBreakHyphen/>
      </w:r>
      <w:r w:rsidRPr="26947EFD">
        <w:rPr>
          <w:rFonts w:eastAsia="Calibri"/>
        </w:rPr>
        <w:t xml:space="preserve">signed by </w:t>
      </w:r>
      <w:r>
        <w:rPr>
          <w:rFonts w:eastAsia="Calibri"/>
        </w:rPr>
        <w:t xml:space="preserve"> the </w:t>
      </w:r>
      <w:r w:rsidRPr="26947EFD">
        <w:rPr>
          <w:rFonts w:eastAsia="Calibri"/>
        </w:rPr>
        <w:t xml:space="preserve">International Labour Organization (ILO), </w:t>
      </w:r>
      <w:r>
        <w:rPr>
          <w:rFonts w:eastAsia="Calibri"/>
        </w:rPr>
        <w:t xml:space="preserve">the </w:t>
      </w:r>
      <w:r w:rsidRPr="26947EFD">
        <w:rPr>
          <w:rFonts w:eastAsia="Calibri"/>
        </w:rPr>
        <w:t xml:space="preserve">Inter-Parliamentary Union (IPU), </w:t>
      </w:r>
      <w:r>
        <w:rPr>
          <w:rFonts w:eastAsia="Calibri"/>
        </w:rPr>
        <w:t xml:space="preserve">the </w:t>
      </w:r>
      <w:r w:rsidRPr="26947EFD">
        <w:rPr>
          <w:rFonts w:eastAsia="Calibri"/>
        </w:rPr>
        <w:t xml:space="preserve">United Nations Educational, Scientific and Cultural Organization (UNESCO), </w:t>
      </w:r>
      <w:r>
        <w:rPr>
          <w:rFonts w:eastAsia="Calibri"/>
        </w:rPr>
        <w:t>the</w:t>
      </w:r>
      <w:r w:rsidRPr="26947EFD">
        <w:rPr>
          <w:rFonts w:eastAsia="Calibri"/>
        </w:rPr>
        <w:t xml:space="preserve"> United Nations Interregional Crime and Justice Research Institute (UNICRI), </w:t>
      </w:r>
      <w:r>
        <w:rPr>
          <w:rFonts w:eastAsia="Calibri"/>
        </w:rPr>
        <w:t>the</w:t>
      </w:r>
      <w:r w:rsidRPr="26947EFD">
        <w:rPr>
          <w:rFonts w:eastAsia="Calibri"/>
        </w:rPr>
        <w:t xml:space="preserve"> United Nations Office for Disarmament Affairs (UNODA), </w:t>
      </w:r>
      <w:r>
        <w:rPr>
          <w:rFonts w:eastAsia="Calibri"/>
        </w:rPr>
        <w:t>the</w:t>
      </w:r>
      <w:r w:rsidRPr="26947EFD">
        <w:rPr>
          <w:rFonts w:eastAsia="Calibri"/>
        </w:rPr>
        <w:t xml:space="preserve"> Office of the United Nations High Commissioner for Human Rights, </w:t>
      </w:r>
      <w:r>
        <w:rPr>
          <w:rFonts w:eastAsia="Calibri"/>
        </w:rPr>
        <w:t>the</w:t>
      </w:r>
      <w:r w:rsidRPr="26947EFD">
        <w:rPr>
          <w:rFonts w:eastAsia="Calibri"/>
        </w:rPr>
        <w:t xml:space="preserve"> Special Representatives of the United Nations Secretary-General for Children and Armed Conflict and </w:t>
      </w:r>
      <w:r>
        <w:rPr>
          <w:rFonts w:eastAsia="Calibri"/>
        </w:rPr>
        <w:t>the</w:t>
      </w:r>
      <w:r w:rsidRPr="26947EFD">
        <w:rPr>
          <w:rFonts w:eastAsia="Calibri"/>
        </w:rPr>
        <w:t xml:space="preserve"> </w:t>
      </w:r>
      <w:r>
        <w:rPr>
          <w:rFonts w:eastAsia="Calibri"/>
        </w:rPr>
        <w:t xml:space="preserve">Special Representative </w:t>
      </w:r>
      <w:r w:rsidRPr="26947EFD">
        <w:rPr>
          <w:rFonts w:eastAsia="Calibri"/>
        </w:rPr>
        <w:t xml:space="preserve">of the United Nations Secretary-General on Violence against Children, </w:t>
      </w:r>
      <w:r>
        <w:rPr>
          <w:rFonts w:eastAsia="Calibri"/>
        </w:rPr>
        <w:t xml:space="preserve">the </w:t>
      </w:r>
      <w:r w:rsidRPr="26947EFD">
        <w:rPr>
          <w:rFonts w:eastAsia="Calibri"/>
        </w:rPr>
        <w:t xml:space="preserve">United Nations Special Rapporteur on the sale, sexual exploitation and sexual abuse of children, </w:t>
      </w:r>
      <w:r>
        <w:rPr>
          <w:rFonts w:eastAsia="Calibri"/>
        </w:rPr>
        <w:t xml:space="preserve">and </w:t>
      </w:r>
      <w:r w:rsidRPr="26947EFD">
        <w:rPr>
          <w:rFonts w:eastAsia="Calibri"/>
        </w:rPr>
        <w:t>Safe Online and supported by contributions from over 40 partners, including through co-branding, was formally adopted by the CRC through silent procedure in September 2025.</w:t>
      </w:r>
    </w:p>
    <w:p w14:paraId="2BD9523C" w14:textId="6A5669DF" w:rsidR="009F712A" w:rsidRPr="0042620D" w:rsidRDefault="009F712A" w:rsidP="00430FE6">
      <w:pPr>
        <w:pStyle w:val="enumlev1"/>
        <w:rPr>
          <w:rFonts w:eastAsia="Calibri"/>
          <w:b/>
          <w:bCs/>
        </w:rPr>
      </w:pPr>
      <w:r w:rsidRPr="00A65363">
        <w:rPr>
          <w:rFonts w:eastAsia="Calibri"/>
        </w:rPr>
        <w:t>–</w:t>
      </w:r>
      <w:r w:rsidRPr="0042620D">
        <w:tab/>
      </w:r>
      <w:r w:rsidRPr="0042620D">
        <w:rPr>
          <w:rFonts w:eastAsia="Calibri"/>
        </w:rPr>
        <w:t>A dedicated high-level launch event is scheduled for 19 January 2026, 1330</w:t>
      </w:r>
      <w:r>
        <w:rPr>
          <w:rFonts w:eastAsia="Calibri"/>
        </w:rPr>
        <w:t xml:space="preserve">-1430 </w:t>
      </w:r>
      <w:r w:rsidR="00430FE6">
        <w:rPr>
          <w:rFonts w:eastAsia="Calibri"/>
        </w:rPr>
        <w:t xml:space="preserve">hours, </w:t>
      </w:r>
      <w:r>
        <w:rPr>
          <w:rFonts w:eastAsia="Calibri"/>
        </w:rPr>
        <w:t xml:space="preserve">in </w:t>
      </w:r>
      <w:r w:rsidR="00430FE6">
        <w:rPr>
          <w:rFonts w:eastAsia="Calibri"/>
        </w:rPr>
        <w:t xml:space="preserve">the </w:t>
      </w:r>
      <w:r>
        <w:rPr>
          <w:rFonts w:eastAsia="Calibri"/>
        </w:rPr>
        <w:t>ITU Headquarters in Geneva and online,</w:t>
      </w:r>
      <w:r w:rsidRPr="0042620D">
        <w:rPr>
          <w:rFonts w:eastAsia="Calibri"/>
        </w:rPr>
        <w:t xml:space="preserve"> in cooperation with UNICEF and other stakeholders.</w:t>
      </w:r>
    </w:p>
    <w:p w14:paraId="4B34A1DC" w14:textId="67000E0E" w:rsidR="009F712A" w:rsidRPr="0042620D" w:rsidRDefault="009F712A" w:rsidP="00430FE6">
      <w:pPr>
        <w:pStyle w:val="Heading2"/>
      </w:pPr>
      <w:r w:rsidRPr="0042620D">
        <w:t>2.</w:t>
      </w:r>
      <w:r>
        <w:t>2</w:t>
      </w:r>
      <w:r w:rsidRPr="0042620D">
        <w:tab/>
        <w:t xml:space="preserve">Launch of </w:t>
      </w:r>
      <w:proofErr w:type="spellStart"/>
      <w:r w:rsidRPr="0042620D">
        <w:t>PoP</w:t>
      </w:r>
      <w:proofErr w:type="spellEnd"/>
      <w:r w:rsidRPr="0042620D">
        <w:t xml:space="preserve"> Principles: </w:t>
      </w:r>
      <w:r w:rsidR="00B64CE5" w:rsidRPr="0042620D">
        <w:t xml:space="preserve">Protection </w:t>
      </w:r>
      <w:r w:rsidR="00430FE6" w:rsidRPr="0042620D">
        <w:t xml:space="preserve">through </w:t>
      </w:r>
      <w:r w:rsidR="00B64CE5" w:rsidRPr="0042620D">
        <w:t xml:space="preserve">Online Participation </w:t>
      </w:r>
    </w:p>
    <w:p w14:paraId="3D325B80" w14:textId="2FB0B1CF" w:rsidR="009F712A" w:rsidRPr="0042620D" w:rsidRDefault="009F712A" w:rsidP="00430FE6">
      <w:pPr>
        <w:pStyle w:val="enumlev1"/>
      </w:pPr>
      <w:r w:rsidRPr="01617D33">
        <w:rPr>
          <w:rFonts w:eastAsia="Calibri" w:cs="Calibri"/>
        </w:rPr>
        <w:t>–</w:t>
      </w:r>
      <w:r w:rsidRPr="0042620D">
        <w:tab/>
        <w:t xml:space="preserve">The </w:t>
      </w:r>
      <w:proofErr w:type="spellStart"/>
      <w:r w:rsidRPr="0042620D">
        <w:t>PoP</w:t>
      </w:r>
      <w:proofErr w:type="spellEnd"/>
      <w:r w:rsidRPr="0042620D">
        <w:t xml:space="preserve"> Principles </w:t>
      </w:r>
      <w:r w:rsidR="00B64CE5">
        <w:t>—</w:t>
      </w:r>
      <w:r w:rsidRPr="0042620D">
        <w:t xml:space="preserve">co-branded </w:t>
      </w:r>
      <w:r>
        <w:t>by more</w:t>
      </w:r>
      <w:r w:rsidRPr="0042620D">
        <w:t xml:space="preserve"> than 30 partner organizations</w:t>
      </w:r>
      <w:r w:rsidR="00B64CE5">
        <w:t>—</w:t>
      </w:r>
      <w:r>
        <w:t xml:space="preserve"> </w:t>
      </w:r>
      <w:r w:rsidRPr="0042620D">
        <w:t>were launched in December 2025 during a high-level online event.</w:t>
      </w:r>
    </w:p>
    <w:p w14:paraId="4FED0A87" w14:textId="77777777" w:rsidR="009F712A" w:rsidRPr="0042620D" w:rsidRDefault="009F712A" w:rsidP="009F712A">
      <w:pPr>
        <w:spacing w:before="86"/>
        <w:ind w:left="567" w:hanging="567"/>
        <w:jc w:val="both"/>
      </w:pPr>
      <w:r w:rsidRPr="0042620D">
        <w:rPr>
          <w:rFonts w:eastAsia="Calibri" w:cs="Calibri"/>
          <w:szCs w:val="24"/>
        </w:rPr>
        <w:t>–</w:t>
      </w:r>
      <w:r w:rsidRPr="0042620D">
        <w:tab/>
        <w:t>Co-led by the Office of the SRSG-VAC and ITU, t</w:t>
      </w:r>
      <w:r>
        <w:t xml:space="preserve">he </w:t>
      </w:r>
      <w:r w:rsidRPr="0042620D">
        <w:rPr>
          <w:rFonts w:eastAsia="Calibri"/>
        </w:rPr>
        <w:t>Protection through Online Participation</w:t>
      </w:r>
      <w:r w:rsidRPr="0042620D">
        <w:t xml:space="preserve"> </w:t>
      </w:r>
      <w:r>
        <w:t>(</w:t>
      </w:r>
      <w:proofErr w:type="spellStart"/>
      <w:r>
        <w:t>PoP</w:t>
      </w:r>
      <w:proofErr w:type="spellEnd"/>
      <w:r>
        <w:t xml:space="preserve">) </w:t>
      </w:r>
      <w:r w:rsidRPr="0042620D">
        <w:t>global multi-stakeholder initiative aims to ensure that children can safely access protection and support services through digital platforms.</w:t>
      </w:r>
    </w:p>
    <w:p w14:paraId="53B9AC64" w14:textId="77777777" w:rsidR="009F712A" w:rsidRPr="0042620D" w:rsidRDefault="009F712A" w:rsidP="00430FE6">
      <w:pPr>
        <w:pStyle w:val="enumlev1"/>
      </w:pPr>
      <w:r w:rsidRPr="0042620D">
        <w:rPr>
          <w:rFonts w:eastAsia="Calibri" w:cs="Calibri"/>
          <w:szCs w:val="24"/>
        </w:rPr>
        <w:t>–</w:t>
      </w:r>
      <w:r w:rsidRPr="0042620D">
        <w:tab/>
        <w:t xml:space="preserve">The </w:t>
      </w:r>
      <w:proofErr w:type="spellStart"/>
      <w:r>
        <w:t>PoP</w:t>
      </w:r>
      <w:proofErr w:type="spellEnd"/>
      <w:r>
        <w:t xml:space="preserve"> </w:t>
      </w:r>
      <w:r w:rsidRPr="0042620D">
        <w:t>Principles were developed through an inclusive process that brought together international organizations, governments, industry, academia, civil society, and the lived experiences of children and young people.</w:t>
      </w:r>
    </w:p>
    <w:p w14:paraId="15175FE2" w14:textId="5CF87A2C" w:rsidR="009F712A" w:rsidRPr="00A65363" w:rsidRDefault="009F712A" w:rsidP="00430FE6">
      <w:pPr>
        <w:pStyle w:val="enumlev1"/>
      </w:pPr>
      <w:r w:rsidRPr="35E5BAF9">
        <w:rPr>
          <w:rFonts w:eastAsia="Calibri" w:cs="Calibri"/>
        </w:rPr>
        <w:t>–</w:t>
      </w:r>
      <w:r w:rsidRPr="0042620D">
        <w:tab/>
        <w:t xml:space="preserve">Serving as both a roadmap and a call to action, the </w:t>
      </w:r>
      <w:proofErr w:type="spellStart"/>
      <w:r w:rsidRPr="0042620D">
        <w:t>PoP</w:t>
      </w:r>
      <w:proofErr w:type="spellEnd"/>
      <w:r w:rsidRPr="0042620D">
        <w:t xml:space="preserve"> Principles urge policy</w:t>
      </w:r>
      <w:r w:rsidR="00565064">
        <w:t>-</w:t>
      </w:r>
      <w:r w:rsidRPr="0042620D">
        <w:t>makers, technology platforms, child helplines, and related services to ensure that digital environments enable children and young people to safely seek help and support online when they are at risk of, or experiencing, violence—whether online or offline.</w:t>
      </w:r>
    </w:p>
    <w:p w14:paraId="3CC615A0" w14:textId="77777777" w:rsidR="009F712A" w:rsidRPr="0042620D" w:rsidRDefault="009F712A" w:rsidP="00430FE6">
      <w:pPr>
        <w:pStyle w:val="Heading2"/>
      </w:pPr>
      <w:r w:rsidRPr="0042620D">
        <w:t>2.</w:t>
      </w:r>
      <w:r>
        <w:t>3</w:t>
      </w:r>
      <w:r w:rsidRPr="0042620D">
        <w:tab/>
        <w:t xml:space="preserve">ITU Industry Connect event series on child online protection </w:t>
      </w:r>
    </w:p>
    <w:p w14:paraId="163881A1" w14:textId="77777777" w:rsidR="009F712A" w:rsidRPr="0042620D" w:rsidRDefault="009F712A" w:rsidP="00430FE6">
      <w:pPr>
        <w:pStyle w:val="enumlev1"/>
        <w:rPr>
          <w:lang w:eastAsia="zh-CN"/>
        </w:rPr>
      </w:pPr>
      <w:r w:rsidRPr="0042620D">
        <w:rPr>
          <w:rFonts w:eastAsia="Calibri"/>
        </w:rPr>
        <w:t>–</w:t>
      </w:r>
      <w:r w:rsidRPr="0042620D">
        <w:tab/>
      </w:r>
      <w:r w:rsidRPr="0042620D">
        <w:rPr>
          <w:rFonts w:eastAsia="Calibri"/>
        </w:rPr>
        <w:t xml:space="preserve">In response to </w:t>
      </w:r>
      <w:r w:rsidRPr="0042620D">
        <w:rPr>
          <w:rFonts w:eastAsia="Calibri"/>
          <w:spacing w:val="-2"/>
        </w:rPr>
        <w:t>the</w:t>
      </w:r>
      <w:r w:rsidRPr="0042620D">
        <w:rPr>
          <w:rFonts w:eastAsia="Calibri"/>
        </w:rPr>
        <w:t xml:space="preserve"> request of the Council Working Group on child online protection (CWG-COP), ITU launched in 2025 the </w:t>
      </w:r>
      <w:r w:rsidRPr="0042620D">
        <w:rPr>
          <w:rFonts w:eastAsia="Calibri"/>
          <w:i/>
          <w:iCs/>
        </w:rPr>
        <w:t>Industry Connect</w:t>
      </w:r>
      <w:r w:rsidRPr="0042620D">
        <w:rPr>
          <w:rFonts w:eastAsia="Calibri"/>
        </w:rPr>
        <w:t xml:space="preserve"> event series as a neutral platform to facilitate dialogue between industry stakeholders and Member States on key child online protection issues.</w:t>
      </w:r>
    </w:p>
    <w:p w14:paraId="10D1C38D" w14:textId="77777777" w:rsidR="009F712A" w:rsidRPr="0042620D" w:rsidRDefault="009F712A" w:rsidP="00B64CE5">
      <w:pPr>
        <w:pStyle w:val="enumlev1"/>
        <w:keepNext/>
      </w:pPr>
      <w:r w:rsidRPr="0042620D">
        <w:rPr>
          <w:rFonts w:eastAsia="Calibri" w:cs="Calibri"/>
          <w:szCs w:val="24"/>
        </w:rPr>
        <w:lastRenderedPageBreak/>
        <w:t>–</w:t>
      </w:r>
      <w:r w:rsidRPr="0042620D">
        <w:tab/>
        <w:t>Two additional quarterly sessions were held:</w:t>
      </w:r>
    </w:p>
    <w:p w14:paraId="5A47A554" w14:textId="0219E89D" w:rsidR="009F712A" w:rsidRPr="0042620D" w:rsidRDefault="009F712A" w:rsidP="00430FE6">
      <w:pPr>
        <w:pStyle w:val="enumlev1"/>
        <w:numPr>
          <w:ilvl w:val="0"/>
          <w:numId w:val="2"/>
        </w:numPr>
      </w:pPr>
      <w:r w:rsidRPr="0042620D">
        <w:rPr>
          <w:b/>
          <w:bCs/>
        </w:rPr>
        <w:t>3</w:t>
      </w:r>
      <w:r w:rsidRPr="00B64CE5">
        <w:rPr>
          <w:b/>
          <w:bCs/>
          <w:vertAlign w:val="superscript"/>
        </w:rPr>
        <w:t>rd</w:t>
      </w:r>
      <w:r w:rsidRPr="0042620D">
        <w:rPr>
          <w:b/>
          <w:bCs/>
        </w:rPr>
        <w:t xml:space="preserve"> Industry Connect Session – October 2025</w:t>
      </w:r>
      <w:r w:rsidRPr="0042620D">
        <w:t xml:space="preserve">, held in hybrid format during the Andorra Digital Forum, focused on </w:t>
      </w:r>
      <w:r w:rsidRPr="00A65363">
        <w:t>Gaming and Online Safety</w:t>
      </w:r>
      <w:r w:rsidRPr="0042620D">
        <w:t xml:space="preserve">. This session </w:t>
      </w:r>
      <w:r w:rsidR="00B64CE5">
        <w:t>—</w:t>
      </w:r>
      <w:r w:rsidRPr="0042620D">
        <w:t>as only hybrid session of the series</w:t>
      </w:r>
      <w:r w:rsidR="00B64CE5">
        <w:t>—</w:t>
      </w:r>
      <w:r w:rsidRPr="0042620D">
        <w:t xml:space="preserve"> took place as a segment of the Andorra Digital Forum, and focused on Gaming and Online Safety. Speakers from governmental and international organisations (UNODC, INCIBE, Andorran Police, ECPAT International), as well as the industry (Roblox, Microsoft, Lego), examined how online gaming platforms can pose risks, but also create opportunities for child online protection. They highlighted how platforms are addressing issues such as exposure to harmful content, cyberbullying, harassment, online grooming and excessive playtime. Positive initiatives promoting digital literacy, well-being, and inclusion in gaming were also showcased during this session, while the current and future effects of AI on gaming were emphasised throughout the session.</w:t>
      </w:r>
    </w:p>
    <w:p w14:paraId="099E6EB2" w14:textId="77777777" w:rsidR="009F712A" w:rsidRPr="0042620D" w:rsidRDefault="009F712A" w:rsidP="00430FE6">
      <w:pPr>
        <w:pStyle w:val="enumlev1"/>
        <w:numPr>
          <w:ilvl w:val="0"/>
          <w:numId w:val="2"/>
        </w:numPr>
      </w:pPr>
      <w:r w:rsidRPr="0042620D">
        <w:rPr>
          <w:b/>
          <w:bCs/>
        </w:rPr>
        <w:t>4</w:t>
      </w:r>
      <w:r w:rsidRPr="00B64CE5">
        <w:rPr>
          <w:b/>
          <w:bCs/>
          <w:vertAlign w:val="superscript"/>
        </w:rPr>
        <w:t>th</w:t>
      </w:r>
      <w:r w:rsidRPr="0042620D">
        <w:rPr>
          <w:b/>
          <w:bCs/>
        </w:rPr>
        <w:t xml:space="preserve"> Industry Connect Session – December 2025</w:t>
      </w:r>
      <w:r w:rsidRPr="0042620D">
        <w:t xml:space="preserve">, was dedicated to Streaming &amp; EdTech Platforms in the context of ensuring age-appropriate digital learning and entertainment. </w:t>
      </w:r>
    </w:p>
    <w:p w14:paraId="1E095AB6" w14:textId="77777777" w:rsidR="009F712A" w:rsidRPr="0042620D" w:rsidRDefault="009F712A" w:rsidP="00430FE6">
      <w:pPr>
        <w:pStyle w:val="enumlev1"/>
        <w:rPr>
          <w:rFonts w:eastAsia="Calibri" w:cs="Calibri"/>
          <w:szCs w:val="24"/>
        </w:rPr>
      </w:pPr>
      <w:r w:rsidRPr="0042620D">
        <w:tab/>
        <w:t>These sessions continued to expand the platform as a neutral space for dialogue between industry, governments, civil society, and young people.</w:t>
      </w:r>
    </w:p>
    <w:p w14:paraId="67E9CCDC" w14:textId="77777777" w:rsidR="009F712A" w:rsidRPr="0042620D" w:rsidRDefault="009F712A" w:rsidP="00430FE6">
      <w:pPr>
        <w:pStyle w:val="Heading2"/>
      </w:pPr>
      <w:r w:rsidRPr="0042620D">
        <w:t>2.</w:t>
      </w:r>
      <w:r>
        <w:t>4</w:t>
      </w:r>
      <w:r w:rsidRPr="0042620D">
        <w:tab/>
        <w:t xml:space="preserve">GO-SAFER Initiative for global online safety education </w:t>
      </w:r>
    </w:p>
    <w:p w14:paraId="0F64FE79" w14:textId="77777777" w:rsidR="009F712A" w:rsidRPr="0042620D" w:rsidRDefault="009F712A" w:rsidP="00430FE6">
      <w:pPr>
        <w:pStyle w:val="enumlev1"/>
        <w:rPr>
          <w:lang w:eastAsia="zh-CN"/>
        </w:rPr>
      </w:pPr>
      <w:r w:rsidRPr="0042620D">
        <w:rPr>
          <w:rFonts w:eastAsia="Calibri"/>
        </w:rPr>
        <w:t>–</w:t>
      </w:r>
      <w:r w:rsidRPr="0042620D">
        <w:tab/>
      </w:r>
      <w:r w:rsidRPr="0042620D">
        <w:rPr>
          <w:lang w:eastAsia="zh-CN"/>
        </w:rPr>
        <w:t>GO-SAFER is a two-year global initiative led by ITU-BDT, in partnership with WHO, the University of New Hampshire, and Safe Online. It aims to strengthen evidence-based prevention education on online child sexual exploitation and abuse by applying public-health approaches and ITU’s COP frameworks. The initiative focuses on building global capacity, enhancing multisectoral cooperation, and developing high-quality educational resources, including a centralized digital hub to support consistent and effective online safety education worldwide.</w:t>
      </w:r>
    </w:p>
    <w:p w14:paraId="308326AC" w14:textId="10DA428D" w:rsidR="009F712A" w:rsidRPr="0042620D" w:rsidRDefault="009F712A" w:rsidP="00430FE6">
      <w:pPr>
        <w:pStyle w:val="enumlev1"/>
        <w:rPr>
          <w:lang w:eastAsia="zh-CN"/>
        </w:rPr>
      </w:pPr>
      <w:r w:rsidRPr="0042620D">
        <w:rPr>
          <w:rFonts w:eastAsia="Calibri"/>
        </w:rPr>
        <w:t>–</w:t>
      </w:r>
      <w:r w:rsidRPr="0042620D">
        <w:tab/>
      </w:r>
      <w:r w:rsidRPr="0042620D">
        <w:rPr>
          <w:lang w:eastAsia="zh-CN"/>
        </w:rPr>
        <w:t xml:space="preserve">The setting up of the Advisory Board and the Steering Committee </w:t>
      </w:r>
      <w:r w:rsidR="006B0416">
        <w:rPr>
          <w:lang w:eastAsia="zh-CN"/>
        </w:rPr>
        <w:t xml:space="preserve">has been completed, and the </w:t>
      </w:r>
      <w:r w:rsidRPr="0042620D">
        <w:rPr>
          <w:lang w:eastAsia="zh-CN"/>
        </w:rPr>
        <w:t xml:space="preserve">first meetings have been held, finalizing the governance structure. </w:t>
      </w:r>
    </w:p>
    <w:p w14:paraId="326F6F99" w14:textId="28591030" w:rsidR="009F712A" w:rsidRPr="0042620D" w:rsidRDefault="009F712A" w:rsidP="009F712A">
      <w:pPr>
        <w:spacing w:before="86"/>
        <w:ind w:left="567" w:hanging="567"/>
        <w:jc w:val="both"/>
      </w:pPr>
      <w:r w:rsidRPr="0042620D">
        <w:rPr>
          <w:rFonts w:eastAsia="Calibri" w:cs="Calibri"/>
        </w:rPr>
        <w:t>–</w:t>
      </w:r>
      <w:r w:rsidRPr="0042620D">
        <w:tab/>
        <w:t xml:space="preserve">GO-SAFER’s visual identity had been developed, and its official website </w:t>
      </w:r>
      <w:hyperlink r:id="rId14" w:history="1">
        <w:proofErr w:type="spellStart"/>
        <w:r w:rsidR="006B0416" w:rsidRPr="00C13B6E">
          <w:rPr>
            <w:rStyle w:val="Hyperlink"/>
            <w:spacing w:val="-4"/>
          </w:rPr>
          <w:t>www.itu.int</w:t>
        </w:r>
        <w:proofErr w:type="spellEnd"/>
        <w:r w:rsidR="006B0416" w:rsidRPr="00C13B6E">
          <w:rPr>
            <w:rStyle w:val="Hyperlink"/>
            <w:spacing w:val="-4"/>
          </w:rPr>
          <w:t>/en/ITU-D/Cybersecurity/Pages/COP/GO-</w:t>
        </w:r>
        <w:proofErr w:type="spellStart"/>
        <w:r w:rsidR="006B0416" w:rsidRPr="00C13B6E">
          <w:rPr>
            <w:rStyle w:val="Hyperlink"/>
            <w:spacing w:val="-4"/>
          </w:rPr>
          <w:t>SAFER.aspx</w:t>
        </w:r>
        <w:proofErr w:type="spellEnd"/>
      </w:hyperlink>
      <w:r w:rsidRPr="00177A83">
        <w:rPr>
          <w:spacing w:val="-4"/>
        </w:rPr>
        <w:t xml:space="preserve"> has been running</w:t>
      </w:r>
      <w:r w:rsidRPr="0042620D">
        <w:t xml:space="preserve"> since December 2025.</w:t>
      </w:r>
    </w:p>
    <w:p w14:paraId="7819159F" w14:textId="77777777" w:rsidR="009F712A" w:rsidRPr="0042620D" w:rsidRDefault="009F712A" w:rsidP="00430FE6">
      <w:pPr>
        <w:pStyle w:val="enumlev1"/>
      </w:pPr>
      <w:r w:rsidRPr="0042620D">
        <w:rPr>
          <w:rFonts w:eastAsia="Calibri" w:cs="Calibri"/>
          <w:szCs w:val="24"/>
        </w:rPr>
        <w:t>–</w:t>
      </w:r>
      <w:r w:rsidRPr="0042620D">
        <w:tab/>
        <w:t>The piloting coding process has begun by UNH with 3 coders on board and a piloting sample of 25 programmes.</w:t>
      </w:r>
    </w:p>
    <w:p w14:paraId="755F7B2E" w14:textId="77777777" w:rsidR="009F712A" w:rsidRPr="0042620D" w:rsidRDefault="009F712A" w:rsidP="00430FE6">
      <w:pPr>
        <w:pStyle w:val="enumlev1"/>
      </w:pPr>
      <w:r w:rsidRPr="0042620D">
        <w:rPr>
          <w:rFonts w:eastAsia="Calibri" w:cs="Calibri"/>
          <w:szCs w:val="24"/>
        </w:rPr>
        <w:t>–</w:t>
      </w:r>
      <w:r w:rsidRPr="0042620D">
        <w:tab/>
        <w:t>Over 100 resources have been compiled as of November 2025.</w:t>
      </w:r>
    </w:p>
    <w:p w14:paraId="4F44D28C" w14:textId="7B90DB26" w:rsidR="009F712A" w:rsidRPr="0042620D" w:rsidRDefault="009F712A" w:rsidP="006B0416">
      <w:pPr>
        <w:pStyle w:val="Heading1"/>
      </w:pPr>
      <w:r w:rsidRPr="0042620D">
        <w:t>3</w:t>
      </w:r>
      <w:r w:rsidR="006B0416">
        <w:tab/>
      </w:r>
      <w:r w:rsidRPr="0042620D">
        <w:t>Summary</w:t>
      </w:r>
    </w:p>
    <w:p w14:paraId="38B9EB25" w14:textId="77777777" w:rsidR="009F712A" w:rsidRPr="0042620D" w:rsidRDefault="009F712A" w:rsidP="00E27DC8">
      <w:pPr>
        <w:jc w:val="both"/>
      </w:pPr>
      <w:r w:rsidRPr="0042620D">
        <w:t>The period from September 2025 to January 2026 has focused on consolidating global partnerships, expanding evidence-informed capacity building, completing major strategic outputs (</w:t>
      </w:r>
      <w:proofErr w:type="spellStart"/>
      <w:r w:rsidRPr="0042620D">
        <w:t>PoP</w:t>
      </w:r>
      <w:proofErr w:type="spellEnd"/>
      <w:r w:rsidRPr="0042620D">
        <w:t xml:space="preserve"> Principles, Joint Statement on AI and Child Rights), and deepening national implementation support. ITU continues to strengthen the Child Online Protection ecosystem through sustained collaboration with Member States, industry, UN partners, civil society, and children themselves.</w:t>
      </w:r>
    </w:p>
    <w:p w14:paraId="257674B4" w14:textId="7DDD1451" w:rsidR="00A514A4" w:rsidRPr="009F712A" w:rsidRDefault="009F712A" w:rsidP="009F712A">
      <w:pPr>
        <w:jc w:val="center"/>
      </w:pPr>
      <w:r w:rsidRPr="0042620D">
        <w:t>______________</w:t>
      </w:r>
    </w:p>
    <w:sectPr w:rsidR="00A514A4" w:rsidRPr="009F712A"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C8B4" w14:textId="77777777" w:rsidR="003A4870" w:rsidRDefault="003A4870">
      <w:r>
        <w:separator/>
      </w:r>
    </w:p>
  </w:endnote>
  <w:endnote w:type="continuationSeparator" w:id="0">
    <w:p w14:paraId="1734689B" w14:textId="77777777" w:rsidR="003A4870" w:rsidRDefault="003A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10404E8E"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0F2FAF">
            <w:rPr>
              <w:bCs/>
            </w:rPr>
            <w:t>4</w:t>
          </w:r>
          <w:r w:rsidR="00A52C84" w:rsidRPr="00623AE3">
            <w:rPr>
              <w:bCs/>
            </w:rPr>
            <w:t>/</w:t>
          </w:r>
          <w:r w:rsidR="00177A83">
            <w:rPr>
              <w:bCs/>
            </w:rPr>
            <w:t>2</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58677A80" w:rsidR="00EE49E8" w:rsidRDefault="00A52C84" w:rsidP="00EE49E8">
          <w:pPr>
            <w:pStyle w:val="Header"/>
            <w:jc w:val="left"/>
            <w:rPr>
              <w:noProof/>
            </w:rPr>
          </w:pPr>
          <w:hyperlink r:id="rId1" w:history="1">
            <w:proofErr w:type="spellStart"/>
            <w:r w:rsidRPr="000F2FAF">
              <w:rPr>
                <w:rStyle w:val="Hyperlink"/>
              </w:rPr>
              <w:t>council.itu.int</w:t>
            </w:r>
            <w:proofErr w:type="spellEnd"/>
            <w:r w:rsidRPr="000F2FAF">
              <w:rPr>
                <w:rStyle w:val="Hyperlink"/>
              </w:rPr>
              <w:t>/working-groups</w:t>
            </w:r>
          </w:hyperlink>
        </w:p>
      </w:tc>
      <w:tc>
        <w:tcPr>
          <w:tcW w:w="6957" w:type="dxa"/>
        </w:tcPr>
        <w:p w14:paraId="3F62E0D8" w14:textId="623D6C16"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0F2FAF">
            <w:rPr>
              <w:bCs/>
            </w:rPr>
            <w:t>4</w:t>
          </w:r>
          <w:r w:rsidRPr="00623AE3">
            <w:rPr>
              <w:bCs/>
            </w:rPr>
            <w:t>/</w:t>
          </w:r>
          <w:r w:rsidR="009F712A">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7F20" w14:textId="77777777" w:rsidR="003A4870" w:rsidRDefault="003A4870">
      <w:r>
        <w:t>____________________</w:t>
      </w:r>
    </w:p>
  </w:footnote>
  <w:footnote w:type="continuationSeparator" w:id="0">
    <w:p w14:paraId="30702598" w14:textId="77777777" w:rsidR="003A4870" w:rsidRDefault="003A4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2"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B669F"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2C58C"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C4F3EDA" w:rsidR="00130599" w:rsidRDefault="00130599" w:rsidP="000F2FAF">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w:t>
                          </w:r>
                          <w:r w:rsidR="000F2FAF">
                            <w:rPr>
                              <w:sz w:val="20"/>
                            </w:rPr>
                            <w:t>fourth</w:t>
                          </w:r>
                          <w:r w:rsidRPr="00130599">
                            <w:rPr>
                              <w:sz w:val="20"/>
                            </w:rPr>
                            <w:t xml:space="preserve"> meeting </w:t>
                          </w:r>
                          <w:r w:rsidR="00AB31DE">
                            <w:rPr>
                              <w:sz w:val="20"/>
                            </w:rPr>
                            <w:t>–</w:t>
                          </w:r>
                          <w:r w:rsidR="00B358B2">
                            <w:rPr>
                              <w:sz w:val="20"/>
                            </w:rPr>
                            <w:t xml:space="preserve"> </w:t>
                          </w:r>
                          <w:r w:rsidR="009D1BDC">
                            <w:rPr>
                              <w:sz w:val="20"/>
                            </w:rPr>
                            <w:t>19</w:t>
                          </w:r>
                          <w:r w:rsidR="00AB31DE">
                            <w:rPr>
                              <w:sz w:val="20"/>
                            </w:rPr>
                            <w:t xml:space="preserve"> </w:t>
                          </w:r>
                          <w:r w:rsidR="000F2FAF">
                            <w:rPr>
                              <w:sz w:val="20"/>
                            </w:rPr>
                            <w:t xml:space="preserve">January </w:t>
                          </w:r>
                          <w:r w:rsidR="00AB31DE">
                            <w:rPr>
                              <w:sz w:val="20"/>
                            </w:rPr>
                            <w:t>202</w:t>
                          </w:r>
                          <w:r w:rsidR="000F2FAF">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C4F3EDA" w:rsidR="00130599" w:rsidRDefault="00130599" w:rsidP="000F2FAF">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w:t>
                    </w:r>
                    <w:r w:rsidR="000F2FAF">
                      <w:rPr>
                        <w:sz w:val="20"/>
                      </w:rPr>
                      <w:t>fourth</w:t>
                    </w:r>
                    <w:r w:rsidRPr="00130599">
                      <w:rPr>
                        <w:sz w:val="20"/>
                      </w:rPr>
                      <w:t xml:space="preserve"> meeting </w:t>
                    </w:r>
                    <w:r w:rsidR="00AB31DE">
                      <w:rPr>
                        <w:sz w:val="20"/>
                      </w:rPr>
                      <w:t>–</w:t>
                    </w:r>
                    <w:r w:rsidR="00B358B2">
                      <w:rPr>
                        <w:sz w:val="20"/>
                      </w:rPr>
                      <w:t xml:space="preserve"> </w:t>
                    </w:r>
                    <w:r w:rsidR="009D1BDC">
                      <w:rPr>
                        <w:sz w:val="20"/>
                      </w:rPr>
                      <w:t>19</w:t>
                    </w:r>
                    <w:r w:rsidR="00AB31DE">
                      <w:rPr>
                        <w:sz w:val="20"/>
                      </w:rPr>
                      <w:t xml:space="preserve"> </w:t>
                    </w:r>
                    <w:r w:rsidR="000F2FAF">
                      <w:rPr>
                        <w:sz w:val="20"/>
                      </w:rPr>
                      <w:t xml:space="preserve">January </w:t>
                    </w:r>
                    <w:r w:rsidR="00AB31DE">
                      <w:rPr>
                        <w:sz w:val="20"/>
                      </w:rPr>
                      <w:t>202</w:t>
                    </w:r>
                    <w:r w:rsidR="000F2FAF">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C56D4A"/>
    <w:multiLevelType w:val="multilevel"/>
    <w:tmpl w:val="0DBC519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 w15:restartNumberingAfterBreak="0">
    <w:nsid w:val="34E56C1F"/>
    <w:multiLevelType w:val="multilevel"/>
    <w:tmpl w:val="5E428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816267">
    <w:abstractNumId w:val="0"/>
  </w:num>
  <w:num w:numId="2" w16cid:durableId="1043752795">
    <w:abstractNumId w:val="1"/>
  </w:num>
  <w:num w:numId="3" w16cid:durableId="845053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32B1E"/>
    <w:rsid w:val="00063016"/>
    <w:rsid w:val="00066795"/>
    <w:rsid w:val="00076AF6"/>
    <w:rsid w:val="000859C4"/>
    <w:rsid w:val="00085CF2"/>
    <w:rsid w:val="000B1705"/>
    <w:rsid w:val="000C4D55"/>
    <w:rsid w:val="000D75B2"/>
    <w:rsid w:val="000F2FAF"/>
    <w:rsid w:val="001121F5"/>
    <w:rsid w:val="00130599"/>
    <w:rsid w:val="001318F0"/>
    <w:rsid w:val="001400DC"/>
    <w:rsid w:val="00140CE1"/>
    <w:rsid w:val="00157591"/>
    <w:rsid w:val="0017539C"/>
    <w:rsid w:val="00175AC2"/>
    <w:rsid w:val="0017609F"/>
    <w:rsid w:val="00176644"/>
    <w:rsid w:val="00177A83"/>
    <w:rsid w:val="00194145"/>
    <w:rsid w:val="001A72C5"/>
    <w:rsid w:val="001A7D1D"/>
    <w:rsid w:val="001B51DD"/>
    <w:rsid w:val="001C628E"/>
    <w:rsid w:val="001E0F7B"/>
    <w:rsid w:val="001E0FBE"/>
    <w:rsid w:val="001F4774"/>
    <w:rsid w:val="002119FD"/>
    <w:rsid w:val="002130E0"/>
    <w:rsid w:val="00244F7F"/>
    <w:rsid w:val="00264425"/>
    <w:rsid w:val="00265875"/>
    <w:rsid w:val="0027303B"/>
    <w:rsid w:val="0028109B"/>
    <w:rsid w:val="002812EA"/>
    <w:rsid w:val="002A2188"/>
    <w:rsid w:val="002B1F58"/>
    <w:rsid w:val="002C0784"/>
    <w:rsid w:val="002C1C7A"/>
    <w:rsid w:val="002C54E2"/>
    <w:rsid w:val="0030160F"/>
    <w:rsid w:val="00320223"/>
    <w:rsid w:val="00322D0D"/>
    <w:rsid w:val="00323EDE"/>
    <w:rsid w:val="00330C96"/>
    <w:rsid w:val="003474FB"/>
    <w:rsid w:val="00361465"/>
    <w:rsid w:val="003771A6"/>
    <w:rsid w:val="003877F5"/>
    <w:rsid w:val="003942D4"/>
    <w:rsid w:val="003958A8"/>
    <w:rsid w:val="003A4870"/>
    <w:rsid w:val="003B700A"/>
    <w:rsid w:val="003C2533"/>
    <w:rsid w:val="003D5A7F"/>
    <w:rsid w:val="004016E2"/>
    <w:rsid w:val="0040435A"/>
    <w:rsid w:val="00416A24"/>
    <w:rsid w:val="00430FE6"/>
    <w:rsid w:val="00431D9E"/>
    <w:rsid w:val="00433CE8"/>
    <w:rsid w:val="00434A5C"/>
    <w:rsid w:val="00435653"/>
    <w:rsid w:val="004405AB"/>
    <w:rsid w:val="00453B8F"/>
    <w:rsid w:val="004544D9"/>
    <w:rsid w:val="00464CC5"/>
    <w:rsid w:val="00472BAD"/>
    <w:rsid w:val="00484009"/>
    <w:rsid w:val="00490E72"/>
    <w:rsid w:val="00491157"/>
    <w:rsid w:val="004921C8"/>
    <w:rsid w:val="00495B0B"/>
    <w:rsid w:val="004A1B8B"/>
    <w:rsid w:val="004D1851"/>
    <w:rsid w:val="004D599D"/>
    <w:rsid w:val="004E2EA5"/>
    <w:rsid w:val="004E3AEB"/>
    <w:rsid w:val="0050223C"/>
    <w:rsid w:val="005243FF"/>
    <w:rsid w:val="005525B8"/>
    <w:rsid w:val="00561F36"/>
    <w:rsid w:val="00564FBC"/>
    <w:rsid w:val="00565064"/>
    <w:rsid w:val="005800BC"/>
    <w:rsid w:val="00582442"/>
    <w:rsid w:val="00595D5F"/>
    <w:rsid w:val="005A335D"/>
    <w:rsid w:val="005D5F31"/>
    <w:rsid w:val="005E2BD5"/>
    <w:rsid w:val="005E7D85"/>
    <w:rsid w:val="005F3269"/>
    <w:rsid w:val="00610DC7"/>
    <w:rsid w:val="00623AE3"/>
    <w:rsid w:val="006273F5"/>
    <w:rsid w:val="0064737F"/>
    <w:rsid w:val="006535F1"/>
    <w:rsid w:val="0065557D"/>
    <w:rsid w:val="00660D50"/>
    <w:rsid w:val="00662984"/>
    <w:rsid w:val="006716BB"/>
    <w:rsid w:val="006A11D3"/>
    <w:rsid w:val="006B0416"/>
    <w:rsid w:val="006B1859"/>
    <w:rsid w:val="006B6680"/>
    <w:rsid w:val="006B6DCC"/>
    <w:rsid w:val="0070024C"/>
    <w:rsid w:val="00702DEF"/>
    <w:rsid w:val="00706861"/>
    <w:rsid w:val="0075051B"/>
    <w:rsid w:val="00775655"/>
    <w:rsid w:val="00793188"/>
    <w:rsid w:val="00794D34"/>
    <w:rsid w:val="00813CB9"/>
    <w:rsid w:val="00813E5E"/>
    <w:rsid w:val="0083581B"/>
    <w:rsid w:val="00844C88"/>
    <w:rsid w:val="00863874"/>
    <w:rsid w:val="00864AFF"/>
    <w:rsid w:val="00865925"/>
    <w:rsid w:val="00871A02"/>
    <w:rsid w:val="00891503"/>
    <w:rsid w:val="008964B4"/>
    <w:rsid w:val="008B4A6A"/>
    <w:rsid w:val="008C7E27"/>
    <w:rsid w:val="008F11D0"/>
    <w:rsid w:val="008F7448"/>
    <w:rsid w:val="0090147A"/>
    <w:rsid w:val="009173EF"/>
    <w:rsid w:val="00932906"/>
    <w:rsid w:val="0093553E"/>
    <w:rsid w:val="00955751"/>
    <w:rsid w:val="009558C7"/>
    <w:rsid w:val="00961B0B"/>
    <w:rsid w:val="00962D33"/>
    <w:rsid w:val="00965A78"/>
    <w:rsid w:val="009826CA"/>
    <w:rsid w:val="00986192"/>
    <w:rsid w:val="00997233"/>
    <w:rsid w:val="009A4138"/>
    <w:rsid w:val="009B38C3"/>
    <w:rsid w:val="009C253A"/>
    <w:rsid w:val="009D1BDC"/>
    <w:rsid w:val="009E17BD"/>
    <w:rsid w:val="009E485A"/>
    <w:rsid w:val="009F712A"/>
    <w:rsid w:val="00A04CEC"/>
    <w:rsid w:val="00A209D0"/>
    <w:rsid w:val="00A27F92"/>
    <w:rsid w:val="00A32257"/>
    <w:rsid w:val="00A36D20"/>
    <w:rsid w:val="00A467DF"/>
    <w:rsid w:val="00A478D5"/>
    <w:rsid w:val="00A514A4"/>
    <w:rsid w:val="00A52C84"/>
    <w:rsid w:val="00A55622"/>
    <w:rsid w:val="00A64235"/>
    <w:rsid w:val="00A80222"/>
    <w:rsid w:val="00A83502"/>
    <w:rsid w:val="00A83D1D"/>
    <w:rsid w:val="00AB31DE"/>
    <w:rsid w:val="00AD15B3"/>
    <w:rsid w:val="00AD3606"/>
    <w:rsid w:val="00AD4A3D"/>
    <w:rsid w:val="00AF6E49"/>
    <w:rsid w:val="00B04A67"/>
    <w:rsid w:val="00B0583C"/>
    <w:rsid w:val="00B358B2"/>
    <w:rsid w:val="00B40A81"/>
    <w:rsid w:val="00B44910"/>
    <w:rsid w:val="00B64669"/>
    <w:rsid w:val="00B64CE5"/>
    <w:rsid w:val="00B72267"/>
    <w:rsid w:val="00B76EB6"/>
    <w:rsid w:val="00B7737B"/>
    <w:rsid w:val="00B824C8"/>
    <w:rsid w:val="00B84B9D"/>
    <w:rsid w:val="00BA3EA0"/>
    <w:rsid w:val="00BC251A"/>
    <w:rsid w:val="00BC54CD"/>
    <w:rsid w:val="00BD032B"/>
    <w:rsid w:val="00BE2640"/>
    <w:rsid w:val="00BF6691"/>
    <w:rsid w:val="00C01189"/>
    <w:rsid w:val="00C061E5"/>
    <w:rsid w:val="00C374DE"/>
    <w:rsid w:val="00C47AD4"/>
    <w:rsid w:val="00C52D81"/>
    <w:rsid w:val="00C55198"/>
    <w:rsid w:val="00C673AB"/>
    <w:rsid w:val="00CA6393"/>
    <w:rsid w:val="00CB18FF"/>
    <w:rsid w:val="00CD0C08"/>
    <w:rsid w:val="00CD5EA0"/>
    <w:rsid w:val="00CD7B1C"/>
    <w:rsid w:val="00CE03FB"/>
    <w:rsid w:val="00CE433C"/>
    <w:rsid w:val="00CF0161"/>
    <w:rsid w:val="00CF33F3"/>
    <w:rsid w:val="00D06183"/>
    <w:rsid w:val="00D22C42"/>
    <w:rsid w:val="00D4035F"/>
    <w:rsid w:val="00D464CC"/>
    <w:rsid w:val="00D53C61"/>
    <w:rsid w:val="00D65041"/>
    <w:rsid w:val="00D722B0"/>
    <w:rsid w:val="00DB00D5"/>
    <w:rsid w:val="00DB162C"/>
    <w:rsid w:val="00DB1936"/>
    <w:rsid w:val="00DB384B"/>
    <w:rsid w:val="00DF0189"/>
    <w:rsid w:val="00E01DB7"/>
    <w:rsid w:val="00E06FD5"/>
    <w:rsid w:val="00E10E80"/>
    <w:rsid w:val="00E124F0"/>
    <w:rsid w:val="00E227F3"/>
    <w:rsid w:val="00E27DC8"/>
    <w:rsid w:val="00E42D99"/>
    <w:rsid w:val="00E545C6"/>
    <w:rsid w:val="00E60F04"/>
    <w:rsid w:val="00E65B24"/>
    <w:rsid w:val="00E72E03"/>
    <w:rsid w:val="00E854E4"/>
    <w:rsid w:val="00E86DBF"/>
    <w:rsid w:val="00EB0D6F"/>
    <w:rsid w:val="00EB2232"/>
    <w:rsid w:val="00EC408F"/>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 w:val="1D11BE1D"/>
    <w:rsid w:val="3CC271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D3013EF-EB4D-4EFE-90A9-E99C5AD8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430FE6"/>
    <w:pPr>
      <w:keepNext/>
      <w:keepLines/>
      <w:spacing w:before="360"/>
      <w:ind w:left="567" w:hanging="567"/>
      <w:outlineLvl w:val="0"/>
    </w:pPr>
    <w:rPr>
      <w:rFonts w:eastAsia="Calibri"/>
      <w:b/>
      <w:sz w:val="28"/>
    </w:rPr>
  </w:style>
  <w:style w:type="paragraph" w:styleId="Heading2">
    <w:name w:val="heading 2"/>
    <w:basedOn w:val="Heading1"/>
    <w:next w:val="Normal"/>
    <w:link w:val="Heading2Char"/>
    <w:qFormat/>
    <w:rsid w:val="00430FE6"/>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430FE6"/>
    <w:pPr>
      <w:spacing w:before="80"/>
      <w:ind w:left="567" w:hanging="567"/>
      <w:jc w:val="both"/>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405A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4405AB"/>
    <w:rPr>
      <w:color w:val="605E5C"/>
      <w:shd w:val="clear" w:color="auto" w:fill="E1DFDD"/>
    </w:rPr>
  </w:style>
  <w:style w:type="character" w:styleId="PlaceholderText">
    <w:name w:val="Placeholder Text"/>
    <w:basedOn w:val="DefaultParagraphFont"/>
    <w:uiPriority w:val="99"/>
    <w:semiHidden/>
    <w:rsid w:val="00DB162C"/>
    <w:rPr>
      <w:color w:val="666666"/>
    </w:rPr>
  </w:style>
  <w:style w:type="character" w:customStyle="1" w:styleId="Heading2Char">
    <w:name w:val="Heading 2 Char"/>
    <w:basedOn w:val="DefaultParagraphFont"/>
    <w:link w:val="Heading2"/>
    <w:rsid w:val="00430FE6"/>
    <w:rPr>
      <w:rFonts w:ascii="Calibri" w:eastAsia="Calibri" w:hAnsi="Calibri"/>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D/Cybersecurity/Pages/COP/COP.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ITU-D/Cybersecurity/Pages/COP/COP.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cop/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en/ITU-D/Cybersecurity/Pages/COP/GO-SAFER.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DE946-B2CC-4BB2-8A63-C6D066835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90B11-1BCC-4340-9FC3-2B50979FA3AB}">
  <ds:schemaRefs>
    <ds:schemaRef ds:uri="http://schemas.microsoft.com/sharepoint/v3/contenttype/forms"/>
  </ds:schemaRefs>
</ds:datastoreItem>
</file>

<file path=customXml/itemProps3.xml><?xml version="1.0" encoding="utf-8"?>
<ds:datastoreItem xmlns:ds="http://schemas.openxmlformats.org/officeDocument/2006/customXml" ds:itemID="{88090C52-7D2F-44DA-BB84-8FBE1C19BEF5}">
  <ds:schemaRef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a4c22657-7647-457b-a399-8471255bb166"/>
    <ds:schemaRef ds:uri="http://purl.org/dc/te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1325</Words>
  <Characters>8380</Characters>
  <Application>Microsoft Office Word</Application>
  <DocSecurity>0</DocSecurity>
  <Lines>149</Lines>
  <Paragraphs>57</Paragraphs>
  <ScaleCrop>false</ScaleCrop>
  <HeadingPairs>
    <vt:vector size="2" baseType="variant">
      <vt:variant>
        <vt:lpstr>Title</vt:lpstr>
      </vt:variant>
      <vt:variant>
        <vt:i4>1</vt:i4>
      </vt:variant>
    </vt:vector>
  </HeadingPairs>
  <TitlesOfParts>
    <vt:vector size="1" baseType="lpstr">
      <vt:lpstr>Update on the COP initiative and the COP global programme</vt:lpstr>
    </vt:vector>
  </TitlesOfParts>
  <Manager/>
  <Company/>
  <LinksUpToDate>false</LinksUpToDate>
  <CharactersWithSpaces>9648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COP initiative and the COP global programme</dc:title>
  <dc:subject>ITU Council Working Group on child onlinie protection</dc:subject>
  <cp:keywords>CWG-COP; C26; Council-26</cp:keywords>
  <dc:description/>
  <dcterms:created xsi:type="dcterms:W3CDTF">2025-12-10T18:46:00Z</dcterms:created>
  <dcterms:modified xsi:type="dcterms:W3CDTF">2025-12-10T18:48:00Z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826dfc70-d086-44e3-a590-168910f148c6</vt:lpwstr>
  </property>
  <property fmtid="{D5CDD505-2E9C-101B-9397-08002B2CF9AE}" pid="3" name="ContentTypeId">
    <vt:lpwstr>0x010100814E447ED7B9DA4C9F10BB2808D9DCA9</vt:lpwstr>
  </property>
  <property fmtid="{D5CDD505-2E9C-101B-9397-08002B2CF9AE}" pid="4" name="docLang">
    <vt:lpwstr>en</vt:lpwstr>
  </property>
</Properties>
</file>