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BD27" w14:textId="77777777" w:rsidR="00E227F3" w:rsidRPr="00383C22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0" w:name="_Hlk133421856"/>
      <w:bookmarkStart w:id="1" w:name="_Hlk133422370"/>
      <w:bookmarkStart w:id="2" w:name="_Hlk133586559"/>
      <w:bookmarkStart w:id="3" w:name="_Hlk133421428"/>
    </w:p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539EA" w:rsidRPr="00685040" w14:paraId="42033E86" w14:textId="77777777" w:rsidTr="007453B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C96D832" w14:textId="77777777" w:rsidR="007539EA" w:rsidRPr="00685040" w:rsidRDefault="007539EA" w:rsidP="00C813A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4" w:name="dmeeting" w:colFirst="0" w:colLast="0"/>
            <w:bookmarkStart w:id="5" w:name="dnum" w:colFirst="1" w:colLast="1"/>
            <w:bookmarkStart w:id="6" w:name="_Hlk133421839"/>
            <w:bookmarkEnd w:id="0"/>
            <w:bookmarkEnd w:id="1"/>
          </w:p>
        </w:tc>
        <w:tc>
          <w:tcPr>
            <w:tcW w:w="5245" w:type="dxa"/>
          </w:tcPr>
          <w:p w14:paraId="71F0E80D" w14:textId="1019FD64" w:rsidR="007539EA" w:rsidRPr="00685040" w:rsidRDefault="007539EA" w:rsidP="00C813A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589A3A9B">
              <w:rPr>
                <w:b/>
                <w:bCs/>
              </w:rPr>
              <w:t>Document C26/INF/</w:t>
            </w:r>
            <w:r w:rsidR="00AD631C">
              <w:rPr>
                <w:b/>
                <w:bCs/>
              </w:rPr>
              <w:t>17</w:t>
            </w:r>
          </w:p>
        </w:tc>
      </w:tr>
      <w:tr w:rsidR="007539EA" w:rsidRPr="00685040" w14:paraId="6032FDDA" w14:textId="77777777" w:rsidTr="007453B9">
        <w:trPr>
          <w:cantSplit/>
        </w:trPr>
        <w:tc>
          <w:tcPr>
            <w:tcW w:w="3969" w:type="dxa"/>
            <w:vMerge/>
          </w:tcPr>
          <w:p w14:paraId="118261A4" w14:textId="77777777" w:rsidR="007539EA" w:rsidRPr="00685040" w:rsidRDefault="007539EA" w:rsidP="00C813A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7" w:name="ddate" w:colFirst="1" w:colLast="1"/>
            <w:bookmarkEnd w:id="4"/>
            <w:bookmarkEnd w:id="5"/>
          </w:p>
        </w:tc>
        <w:tc>
          <w:tcPr>
            <w:tcW w:w="5245" w:type="dxa"/>
          </w:tcPr>
          <w:p w14:paraId="51E88494" w14:textId="03D273DB" w:rsidR="007539EA" w:rsidRPr="00685040" w:rsidRDefault="00236120" w:rsidP="00C813A9">
            <w:pPr>
              <w:tabs>
                <w:tab w:val="left" w:pos="851"/>
              </w:tabs>
              <w:spacing w:befor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D631C">
              <w:rPr>
                <w:b/>
                <w:bCs/>
              </w:rPr>
              <w:t xml:space="preserve"> April </w:t>
            </w:r>
            <w:r w:rsidR="007539EA" w:rsidRPr="589A3A9B">
              <w:rPr>
                <w:b/>
                <w:bCs/>
              </w:rPr>
              <w:t>2026</w:t>
            </w:r>
          </w:p>
        </w:tc>
      </w:tr>
      <w:tr w:rsidR="007539EA" w:rsidRPr="00685040" w14:paraId="136FA3B7" w14:textId="77777777" w:rsidTr="007453B9">
        <w:trPr>
          <w:cantSplit/>
          <w:trHeight w:val="23"/>
        </w:trPr>
        <w:tc>
          <w:tcPr>
            <w:tcW w:w="3969" w:type="dxa"/>
            <w:vMerge/>
          </w:tcPr>
          <w:p w14:paraId="1F41771A" w14:textId="77777777" w:rsidR="007539EA" w:rsidRPr="00685040" w:rsidRDefault="007539EA" w:rsidP="00C813A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8" w:name="dorlang" w:colFirst="1" w:colLast="1"/>
            <w:bookmarkEnd w:id="7"/>
          </w:p>
        </w:tc>
        <w:tc>
          <w:tcPr>
            <w:tcW w:w="5245" w:type="dxa"/>
          </w:tcPr>
          <w:p w14:paraId="2D82F14B" w14:textId="4FECC3B9" w:rsidR="007539EA" w:rsidRPr="00685040" w:rsidRDefault="007539EA" w:rsidP="00C813A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85040">
              <w:rPr>
                <w:b/>
              </w:rPr>
              <w:t>English</w:t>
            </w:r>
            <w:r w:rsidR="00C813A9">
              <w:rPr>
                <w:b/>
              </w:rPr>
              <w:t xml:space="preserve"> only</w:t>
            </w:r>
          </w:p>
        </w:tc>
      </w:tr>
      <w:tr w:rsidR="007539EA" w:rsidRPr="00685040" w14:paraId="25310F05" w14:textId="77777777" w:rsidTr="007453B9">
        <w:trPr>
          <w:cantSplit/>
          <w:trHeight w:val="23"/>
        </w:trPr>
        <w:tc>
          <w:tcPr>
            <w:tcW w:w="3969" w:type="dxa"/>
          </w:tcPr>
          <w:p w14:paraId="3CE85250" w14:textId="77777777" w:rsidR="007539EA" w:rsidRPr="00685040" w:rsidRDefault="007539EA" w:rsidP="00C813A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7AA8EB2" w14:textId="77777777" w:rsidR="007539EA" w:rsidRPr="00685040" w:rsidRDefault="007539EA" w:rsidP="00C813A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539EA" w:rsidRPr="00685040" w14:paraId="0B2BB6D8" w14:textId="77777777" w:rsidTr="007453B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619E9D0" w14:textId="77777777" w:rsidR="007539EA" w:rsidRPr="00685040" w:rsidRDefault="007539EA" w:rsidP="00C813A9">
            <w:pPr>
              <w:pStyle w:val="Source"/>
              <w:framePr w:hSpace="0" w:wrap="auto" w:vAnchor="margin" w:hAnchor="text" w:xAlign="left" w:yAlign="inline"/>
            </w:pPr>
            <w:bookmarkStart w:id="9" w:name="dsource" w:colFirst="0" w:colLast="0"/>
            <w:bookmarkEnd w:id="8"/>
            <w:r w:rsidRPr="00685040">
              <w:t xml:space="preserve">Note by the </w:t>
            </w:r>
            <w:r w:rsidRPr="00C813A9">
              <w:t>Secretary</w:t>
            </w:r>
            <w:r w:rsidRPr="00685040">
              <w:t>-General</w:t>
            </w:r>
          </w:p>
        </w:tc>
      </w:tr>
      <w:tr w:rsidR="007539EA" w:rsidRPr="00685040" w14:paraId="7F6D0C97" w14:textId="77777777" w:rsidTr="007453B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7122DA0" w14:textId="65B54C08" w:rsidR="007539EA" w:rsidRPr="00685040" w:rsidRDefault="007539EA" w:rsidP="00C813A9">
            <w:pPr>
              <w:pStyle w:val="Subtitle"/>
              <w:framePr w:hSpace="0" w:wrap="auto" w:xAlign="left" w:yAlign="inline"/>
              <w:spacing w:after="12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bookmarkStart w:id="10" w:name="dtitle1" w:colFirst="0" w:colLast="0"/>
            <w:bookmarkEnd w:id="9"/>
            <w:r>
              <w:t xml:space="preserve">UPDATE </w:t>
            </w:r>
            <w:r w:rsidR="00E11C41">
              <w:t>ON</w:t>
            </w:r>
            <w:r>
              <w:t xml:space="preserve"> </w:t>
            </w:r>
            <w:r w:rsidR="00C31B78">
              <w:t xml:space="preserve">ITU’S </w:t>
            </w:r>
            <w:r>
              <w:t xml:space="preserve">IMPLEMENTATION OF </w:t>
            </w:r>
            <w:r w:rsidR="00753285">
              <w:t xml:space="preserve">RECOMMENDATIONS FROM </w:t>
            </w:r>
            <w:r>
              <w:t>THE JOINT INSPECTION UNIT OF THE UNITED NATIONS (JIU)</w:t>
            </w:r>
          </w:p>
        </w:tc>
      </w:tr>
      <w:tr w:rsidR="007539EA" w:rsidRPr="00753C60" w14:paraId="13E92B6A" w14:textId="77777777" w:rsidTr="007453B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5890946" w14:textId="77777777" w:rsidR="007539EA" w:rsidRPr="00685040" w:rsidRDefault="007539EA" w:rsidP="007453B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685040">
              <w:rPr>
                <w:b/>
                <w:bCs/>
                <w:sz w:val="26"/>
                <w:szCs w:val="26"/>
              </w:rPr>
              <w:t>Purpose</w:t>
            </w:r>
          </w:p>
          <w:p w14:paraId="45358531" w14:textId="6E8E8932" w:rsidR="007539EA" w:rsidRPr="00685040" w:rsidRDefault="007539EA" w:rsidP="00C813A9">
            <w:r w:rsidRPr="00685040">
              <w:t xml:space="preserve">This report provides enhanced </w:t>
            </w:r>
            <w:r w:rsidR="00C31B78">
              <w:t>context and</w:t>
            </w:r>
            <w:r w:rsidRPr="00685040">
              <w:t xml:space="preserve"> reporting </w:t>
            </w:r>
            <w:r w:rsidR="005B43A1">
              <w:t>to complement both</w:t>
            </w:r>
            <w:r w:rsidR="00AD631C">
              <w:t xml:space="preserve"> Document</w:t>
            </w:r>
            <w:r w:rsidR="009D1D3D">
              <w:t xml:space="preserve"> </w:t>
            </w:r>
            <w:hyperlink r:id="rId11" w:history="1">
              <w:r w:rsidR="009D1D3D" w:rsidRPr="00AD631C">
                <w:rPr>
                  <w:rStyle w:val="Hyperlink"/>
                </w:rPr>
                <w:t>C26/57</w:t>
              </w:r>
            </w:hyperlink>
            <w:r w:rsidR="009D1D3D">
              <w:t xml:space="preserve">, </w:t>
            </w:r>
            <w:r w:rsidR="00AD631C">
              <w:t xml:space="preserve">on </w:t>
            </w:r>
            <w:r w:rsidR="009D1D3D">
              <w:t>JIU reports on United Nations system-wide issues for 2025 and recommendations addressed to the legislative bodies</w:t>
            </w:r>
            <w:r w:rsidR="00BB64E6">
              <w:t xml:space="preserve"> and Do</w:t>
            </w:r>
            <w:r w:rsidR="00AD631C">
              <w:t>cument</w:t>
            </w:r>
            <w:r w:rsidR="00BB64E6">
              <w:t xml:space="preserve"> </w:t>
            </w:r>
            <w:hyperlink r:id="rId12" w:history="1">
              <w:r w:rsidR="00BB64E6" w:rsidRPr="00AD631C">
                <w:rPr>
                  <w:rStyle w:val="Hyperlink"/>
                </w:rPr>
                <w:t>C26/49</w:t>
              </w:r>
            </w:hyperlink>
            <w:r w:rsidR="00BB64E6">
              <w:t xml:space="preserve"> </w:t>
            </w:r>
            <w:r w:rsidR="00AD631C">
              <w:t>on s</w:t>
            </w:r>
            <w:r w:rsidR="00BB64E6">
              <w:t>trengthening risk management and the internal control system.</w:t>
            </w:r>
          </w:p>
          <w:p w14:paraId="31437C92" w14:textId="77777777" w:rsidR="007539EA" w:rsidRPr="00685040" w:rsidRDefault="007539EA" w:rsidP="007453B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685040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050EC9BB" w14:textId="77777777" w:rsidR="007539EA" w:rsidRPr="00685040" w:rsidRDefault="007539EA" w:rsidP="007453B9">
            <w:r w:rsidRPr="00685040">
              <w:t xml:space="preserve">This document is transmitted to the Council </w:t>
            </w:r>
            <w:r w:rsidRPr="00685040">
              <w:rPr>
                <w:b/>
                <w:bCs/>
              </w:rPr>
              <w:t>for information</w:t>
            </w:r>
            <w:r w:rsidRPr="00685040">
              <w:t>.</w:t>
            </w:r>
          </w:p>
          <w:p w14:paraId="235DB27F" w14:textId="77777777" w:rsidR="007539EA" w:rsidRPr="003333BC" w:rsidRDefault="007539EA" w:rsidP="007453B9">
            <w:r w:rsidRPr="003333BC">
              <w:t>_______________</w:t>
            </w:r>
          </w:p>
          <w:p w14:paraId="5C958861" w14:textId="77777777" w:rsidR="007539EA" w:rsidRPr="003333BC" w:rsidRDefault="007539EA" w:rsidP="007453B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3333BC">
              <w:rPr>
                <w:b/>
                <w:bCs/>
                <w:sz w:val="26"/>
                <w:szCs w:val="26"/>
              </w:rPr>
              <w:t>References</w:t>
            </w:r>
          </w:p>
          <w:p w14:paraId="6F9DCDB2" w14:textId="3CAD734F" w:rsidR="007539EA" w:rsidRPr="00753C60" w:rsidRDefault="007539EA" w:rsidP="007453B9">
            <w:pPr>
              <w:spacing w:after="160"/>
              <w:rPr>
                <w:i/>
                <w:iCs/>
                <w:sz w:val="22"/>
                <w:szCs w:val="22"/>
                <w:highlight w:val="yellow"/>
              </w:rPr>
            </w:pPr>
            <w:r w:rsidRPr="00753C60">
              <w:rPr>
                <w:i/>
                <w:iCs/>
                <w:sz w:val="22"/>
                <w:szCs w:val="22"/>
              </w:rPr>
              <w:t>Doc</w:t>
            </w:r>
            <w:r w:rsidR="00AD631C">
              <w:rPr>
                <w:i/>
                <w:iCs/>
                <w:sz w:val="22"/>
                <w:szCs w:val="22"/>
              </w:rPr>
              <w:t>uments</w:t>
            </w:r>
            <w:r w:rsidR="00753C60">
              <w:rPr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r w:rsidR="00753C60" w:rsidRPr="00AD631C">
                <w:rPr>
                  <w:rStyle w:val="Hyperlink"/>
                  <w:i/>
                  <w:iCs/>
                  <w:sz w:val="22"/>
                  <w:szCs w:val="22"/>
                </w:rPr>
                <w:t>C26/49</w:t>
              </w:r>
            </w:hyperlink>
            <w:r w:rsidR="00AD631C">
              <w:rPr>
                <w:i/>
                <w:iCs/>
                <w:sz w:val="22"/>
                <w:szCs w:val="22"/>
              </w:rPr>
              <w:t xml:space="preserve"> and </w:t>
            </w:r>
            <w:hyperlink r:id="rId14" w:history="1">
              <w:r w:rsidR="00AD631C" w:rsidRPr="00AD631C">
                <w:rPr>
                  <w:rStyle w:val="Hyperlink"/>
                  <w:i/>
                  <w:iCs/>
                  <w:sz w:val="22"/>
                  <w:szCs w:val="22"/>
                </w:rPr>
                <w:t>C26/57</w:t>
              </w:r>
            </w:hyperlink>
            <w:r w:rsidR="00AD631C">
              <w:rPr>
                <w:i/>
                <w:iCs/>
                <w:sz w:val="22"/>
                <w:szCs w:val="22"/>
              </w:rPr>
              <w:t>.</w:t>
            </w:r>
          </w:p>
        </w:tc>
      </w:tr>
      <w:bookmarkEnd w:id="6"/>
      <w:bookmarkEnd w:id="10"/>
    </w:tbl>
    <w:p w14:paraId="55F7EA7B" w14:textId="77777777" w:rsidR="00706EE9" w:rsidRPr="00753C60" w:rsidRDefault="00383C22" w:rsidP="006349A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753C60">
        <w:rPr>
          <w:b/>
          <w:bCs/>
        </w:rPr>
        <w:br w:type="page"/>
      </w:r>
    </w:p>
    <w:p w14:paraId="508E8326" w14:textId="396FFF08" w:rsidR="00706EE9" w:rsidRPr="008F1089" w:rsidRDefault="00706EE9" w:rsidP="008F1089">
      <w:pPr>
        <w:pStyle w:val="Heading1"/>
      </w:pPr>
      <w:bookmarkStart w:id="11" w:name="_Hlk152235899"/>
      <w:r w:rsidRPr="008F1089">
        <w:lastRenderedPageBreak/>
        <w:t>1</w:t>
      </w:r>
      <w:r w:rsidRPr="008F1089">
        <w:tab/>
      </w:r>
      <w:r w:rsidR="003C732D" w:rsidRPr="008F1089">
        <w:t>Introduction</w:t>
      </w:r>
    </w:p>
    <w:p w14:paraId="6E74A1B5" w14:textId="72F8E605" w:rsidR="00E139C6" w:rsidRPr="00E139C6" w:rsidRDefault="00706EE9" w:rsidP="008F1089">
      <w:pPr>
        <w:rPr>
          <w:rFonts w:eastAsiaTheme="minorEastAsia"/>
        </w:rPr>
      </w:pPr>
      <w:r w:rsidRPr="002F4954">
        <w:rPr>
          <w:rFonts w:eastAsiaTheme="minorEastAsia"/>
        </w:rPr>
        <w:t>1</w:t>
      </w:r>
      <w:r w:rsidRPr="002F4954">
        <w:rPr>
          <w:rFonts w:eastAsiaTheme="minorEastAsia"/>
        </w:rPr>
        <w:tab/>
      </w:r>
      <w:r w:rsidR="00E139C6" w:rsidRPr="00E139C6">
        <w:rPr>
          <w:rFonts w:eastAsiaTheme="minorEastAsia"/>
        </w:rPr>
        <w:t>The Joint Inspection Unit (JIU) is the independent external oversight body of the United Nations system, mandated to improve efficiency, effectiveness, and accountability across organizations.</w:t>
      </w:r>
    </w:p>
    <w:p w14:paraId="1CC0C02B" w14:textId="0CE7A4DF" w:rsidR="005A7875" w:rsidRDefault="005A7875" w:rsidP="008F1089">
      <w:pPr>
        <w:rPr>
          <w:rFonts w:eastAsiaTheme="minorEastAsia"/>
        </w:rPr>
      </w:pPr>
      <w:r>
        <w:rPr>
          <w:rFonts w:eastAsiaTheme="minorEastAsia"/>
        </w:rPr>
        <w:t>2</w:t>
      </w:r>
      <w:r>
        <w:rPr>
          <w:rFonts w:eastAsiaTheme="minorEastAsia"/>
        </w:rPr>
        <w:tab/>
        <w:t>S</w:t>
      </w:r>
      <w:r w:rsidR="00E139C6" w:rsidRPr="00E139C6">
        <w:rPr>
          <w:rFonts w:eastAsiaTheme="minorEastAsia"/>
        </w:rPr>
        <w:t>ince late 2025</w:t>
      </w:r>
      <w:r>
        <w:rPr>
          <w:rFonts w:eastAsiaTheme="minorEastAsia"/>
        </w:rPr>
        <w:t xml:space="preserve">, </w:t>
      </w:r>
      <w:r w:rsidR="00E139C6" w:rsidRPr="00E139C6">
        <w:rPr>
          <w:rFonts w:eastAsiaTheme="minorEastAsia"/>
        </w:rPr>
        <w:t>ITU has undertaken a comprehensive, organization</w:t>
      </w:r>
      <w:r w:rsidR="00E139C6" w:rsidRPr="00E139C6">
        <w:rPr>
          <w:rFonts w:ascii="Cambria Math" w:eastAsiaTheme="minorEastAsia" w:hAnsi="Cambria Math" w:cs="Cambria Math"/>
        </w:rPr>
        <w:t>‑</w:t>
      </w:r>
      <w:r w:rsidR="00E139C6" w:rsidRPr="00E139C6">
        <w:rPr>
          <w:rFonts w:eastAsiaTheme="minorEastAsia"/>
        </w:rPr>
        <w:t xml:space="preserve">wide effort to </w:t>
      </w:r>
      <w:r w:rsidR="00BB4C1A">
        <w:rPr>
          <w:rFonts w:eastAsiaTheme="minorEastAsia"/>
        </w:rPr>
        <w:t>r</w:t>
      </w:r>
      <w:r w:rsidR="00452D98">
        <w:rPr>
          <w:rFonts w:eastAsiaTheme="minorEastAsia"/>
        </w:rPr>
        <w:t>eview</w:t>
      </w:r>
      <w:r w:rsidR="00DA7FE1">
        <w:rPr>
          <w:rFonts w:eastAsiaTheme="minorEastAsia"/>
        </w:rPr>
        <w:t>,</w:t>
      </w:r>
      <w:r w:rsidR="00452D98">
        <w:rPr>
          <w:rFonts w:eastAsiaTheme="minorEastAsia"/>
        </w:rPr>
        <w:t xml:space="preserve"> and </w:t>
      </w:r>
      <w:r w:rsidR="00EC3803">
        <w:rPr>
          <w:rFonts w:eastAsiaTheme="minorEastAsia"/>
        </w:rPr>
        <w:t>more effectively manage and report upon</w:t>
      </w:r>
      <w:r w:rsidR="00DA7FE1">
        <w:rPr>
          <w:rFonts w:eastAsiaTheme="minorEastAsia"/>
        </w:rPr>
        <w:t>,</w:t>
      </w:r>
      <w:r w:rsidR="00EC3803">
        <w:rPr>
          <w:rFonts w:eastAsiaTheme="minorEastAsia"/>
        </w:rPr>
        <w:t xml:space="preserve"> the stat</w:t>
      </w:r>
      <w:r w:rsidR="008907D0">
        <w:rPr>
          <w:rFonts w:eastAsiaTheme="minorEastAsia"/>
        </w:rPr>
        <w:t xml:space="preserve">us </w:t>
      </w:r>
      <w:r w:rsidR="00692E30">
        <w:rPr>
          <w:rFonts w:eastAsiaTheme="minorEastAsia"/>
        </w:rPr>
        <w:t xml:space="preserve">of the </w:t>
      </w:r>
      <w:r w:rsidR="00BB4C1A">
        <w:t xml:space="preserve">JIU recommendations, as a key pillar of the ITU’s </w:t>
      </w:r>
      <w:r w:rsidR="00BB4C1A" w:rsidRPr="006349A3">
        <w:t>strengthen</w:t>
      </w:r>
      <w:r w:rsidR="00BB4C1A">
        <w:t>ed</w:t>
      </w:r>
      <w:r w:rsidR="00BB4C1A" w:rsidRPr="006349A3">
        <w:t xml:space="preserve"> oversight architecture</w:t>
      </w:r>
      <w:r w:rsidR="00692E30">
        <w:t>.</w:t>
      </w:r>
    </w:p>
    <w:p w14:paraId="4AB07588" w14:textId="6B28231B" w:rsidR="003C732D" w:rsidRPr="008F1089" w:rsidRDefault="003C732D" w:rsidP="008F1089">
      <w:pPr>
        <w:pStyle w:val="Heading1"/>
      </w:pPr>
      <w:r w:rsidRPr="008F1089">
        <w:t>2</w:t>
      </w:r>
      <w:r w:rsidRPr="008F1089">
        <w:tab/>
      </w:r>
      <w:r w:rsidR="00395B75" w:rsidRPr="008F1089">
        <w:t xml:space="preserve">Current </w:t>
      </w:r>
      <w:r w:rsidR="008F1089" w:rsidRPr="008F1089">
        <w:t>acceptance and implementation status</w:t>
      </w:r>
    </w:p>
    <w:p w14:paraId="18912544" w14:textId="58ADE6A3" w:rsidR="004514E2" w:rsidRDefault="003C732D" w:rsidP="008F1089">
      <w:pPr>
        <w:rPr>
          <w:rFonts w:eastAsiaTheme="minorEastAsia"/>
        </w:rPr>
      </w:pPr>
      <w:r>
        <w:rPr>
          <w:rFonts w:eastAsiaTheme="minorEastAsia"/>
        </w:rPr>
        <w:t>3</w:t>
      </w:r>
      <w:r w:rsidRPr="002F4954">
        <w:rPr>
          <w:rFonts w:eastAsiaTheme="minorEastAsia"/>
        </w:rPr>
        <w:tab/>
      </w:r>
      <w:r w:rsidR="00E36111" w:rsidRPr="00E36111">
        <w:rPr>
          <w:rFonts w:eastAsiaTheme="minorEastAsia"/>
        </w:rPr>
        <w:t xml:space="preserve">ITU has </w:t>
      </w:r>
      <w:r w:rsidR="00624DB0">
        <w:rPr>
          <w:rFonts w:eastAsiaTheme="minorEastAsia"/>
        </w:rPr>
        <w:t>achieved</w:t>
      </w:r>
      <w:r w:rsidR="00E36111" w:rsidRPr="00E36111">
        <w:rPr>
          <w:rFonts w:eastAsiaTheme="minorEastAsia"/>
        </w:rPr>
        <w:t xml:space="preserve"> substantial and measurable progress in terms of implementation and reporting accuracy</w:t>
      </w:r>
      <w:r w:rsidR="00CB393A">
        <w:rPr>
          <w:rFonts w:eastAsiaTheme="minorEastAsia"/>
        </w:rPr>
        <w:t xml:space="preserve"> for </w:t>
      </w:r>
      <w:r w:rsidR="004514E2" w:rsidRPr="004514E2">
        <w:rPr>
          <w:rFonts w:eastAsiaTheme="minorEastAsia"/>
        </w:rPr>
        <w:t xml:space="preserve">all outstanding </w:t>
      </w:r>
      <w:r w:rsidR="00053F4E">
        <w:rPr>
          <w:rFonts w:eastAsiaTheme="minorEastAsia"/>
        </w:rPr>
        <w:t xml:space="preserve">JIU </w:t>
      </w:r>
      <w:r w:rsidR="004514E2" w:rsidRPr="004514E2">
        <w:rPr>
          <w:rFonts w:eastAsiaTheme="minorEastAsia"/>
        </w:rPr>
        <w:t>recommendations</w:t>
      </w:r>
      <w:r w:rsidR="00053F4E">
        <w:rPr>
          <w:rFonts w:eastAsiaTheme="minorEastAsia"/>
        </w:rPr>
        <w:t xml:space="preserve">. This has </w:t>
      </w:r>
      <w:r w:rsidR="004514E2" w:rsidRPr="004514E2">
        <w:rPr>
          <w:rFonts w:eastAsiaTheme="minorEastAsia"/>
        </w:rPr>
        <w:t>result</w:t>
      </w:r>
      <w:r w:rsidR="00053F4E">
        <w:rPr>
          <w:rFonts w:eastAsiaTheme="minorEastAsia"/>
        </w:rPr>
        <w:t>ed</w:t>
      </w:r>
      <w:r w:rsidR="004514E2" w:rsidRPr="004514E2">
        <w:rPr>
          <w:rFonts w:eastAsiaTheme="minorEastAsia"/>
        </w:rPr>
        <w:t xml:space="preserve"> in a</w:t>
      </w:r>
      <w:r w:rsidR="00053F4E">
        <w:rPr>
          <w:rFonts w:eastAsiaTheme="minorEastAsia"/>
        </w:rPr>
        <w:t xml:space="preserve"> comprehensive and</w:t>
      </w:r>
      <w:r w:rsidR="004514E2" w:rsidRPr="004514E2">
        <w:rPr>
          <w:rFonts w:eastAsiaTheme="minorEastAsia"/>
        </w:rPr>
        <w:t xml:space="preserve"> significant update </w:t>
      </w:r>
      <w:r w:rsidR="008B0648">
        <w:rPr>
          <w:rFonts w:eastAsiaTheme="minorEastAsia"/>
        </w:rPr>
        <w:t xml:space="preserve">of ITU data </w:t>
      </w:r>
      <w:r w:rsidR="0081571F">
        <w:rPr>
          <w:rFonts w:eastAsiaTheme="minorEastAsia"/>
        </w:rPr>
        <w:t xml:space="preserve">in </w:t>
      </w:r>
      <w:r w:rsidR="004514E2" w:rsidRPr="004514E2">
        <w:rPr>
          <w:rFonts w:eastAsiaTheme="minorEastAsia"/>
        </w:rPr>
        <w:t>the JIU Recommendation Tracking System (RTS).</w:t>
      </w:r>
    </w:p>
    <w:p w14:paraId="62857284" w14:textId="7A5C06D9" w:rsidR="00EE5067" w:rsidRDefault="00891462" w:rsidP="008F1089">
      <w:pPr>
        <w:rPr>
          <w:rFonts w:eastAsiaTheme="minorEastAsia"/>
        </w:rPr>
      </w:pPr>
      <w:r>
        <w:rPr>
          <w:rFonts w:eastAsiaTheme="minorEastAsia"/>
        </w:rPr>
        <w:t>4</w:t>
      </w:r>
      <w:r>
        <w:rPr>
          <w:rFonts w:eastAsiaTheme="minorEastAsia"/>
        </w:rPr>
        <w:tab/>
      </w:r>
      <w:r w:rsidR="00574963">
        <w:rPr>
          <w:rFonts w:eastAsiaTheme="minorEastAsia"/>
        </w:rPr>
        <w:t>For the full period 20</w:t>
      </w:r>
      <w:r w:rsidR="00224DBA">
        <w:rPr>
          <w:rFonts w:eastAsiaTheme="minorEastAsia"/>
        </w:rPr>
        <w:t>0</w:t>
      </w:r>
      <w:r w:rsidR="00574963">
        <w:rPr>
          <w:rFonts w:eastAsiaTheme="minorEastAsia"/>
        </w:rPr>
        <w:t xml:space="preserve">4-2025, ITU’s </w:t>
      </w:r>
      <w:r w:rsidR="00926C72">
        <w:rPr>
          <w:rFonts w:eastAsiaTheme="minorEastAsia"/>
        </w:rPr>
        <w:t>c</w:t>
      </w:r>
      <w:r w:rsidR="00E36111" w:rsidRPr="00E36111">
        <w:rPr>
          <w:rFonts w:eastAsiaTheme="minorEastAsia"/>
        </w:rPr>
        <w:t xml:space="preserve">umulative </w:t>
      </w:r>
      <w:r w:rsidR="00064099">
        <w:rPr>
          <w:rFonts w:eastAsiaTheme="minorEastAsia"/>
        </w:rPr>
        <w:t xml:space="preserve">acceptance rate is </w:t>
      </w:r>
      <w:r w:rsidR="00064099" w:rsidRPr="00EF69C5">
        <w:rPr>
          <w:rFonts w:eastAsiaTheme="minorEastAsia"/>
          <w:b/>
          <w:bCs/>
        </w:rPr>
        <w:t>82</w:t>
      </w:r>
      <w:r w:rsidR="008F1089">
        <w:rPr>
          <w:rFonts w:eastAsiaTheme="minorEastAsia"/>
          <w:b/>
          <w:bCs/>
        </w:rPr>
        <w:t xml:space="preserve"> per cent</w:t>
      </w:r>
      <w:r w:rsidR="00064099">
        <w:rPr>
          <w:rFonts w:eastAsiaTheme="minorEastAsia"/>
        </w:rPr>
        <w:t>, reflecting the proportion of JIU recommendations formally accepted by the ITU</w:t>
      </w:r>
      <w:r w:rsidR="00EF69C5">
        <w:rPr>
          <w:rFonts w:eastAsiaTheme="minorEastAsia"/>
        </w:rPr>
        <w:t>.</w:t>
      </w:r>
      <w:r w:rsidR="00064099" w:rsidRPr="00E36111">
        <w:rPr>
          <w:rFonts w:eastAsiaTheme="minorEastAsia"/>
        </w:rPr>
        <w:t xml:space="preserve"> </w:t>
      </w:r>
      <w:r w:rsidR="00EF69C5">
        <w:rPr>
          <w:rFonts w:eastAsiaTheme="minorEastAsia"/>
        </w:rPr>
        <w:t>F</w:t>
      </w:r>
      <w:r w:rsidR="00F84149">
        <w:rPr>
          <w:rFonts w:eastAsiaTheme="minorEastAsia"/>
        </w:rPr>
        <w:t>or the same period</w:t>
      </w:r>
      <w:r w:rsidR="00EF69C5">
        <w:rPr>
          <w:rFonts w:eastAsiaTheme="minorEastAsia"/>
        </w:rPr>
        <w:t>,</w:t>
      </w:r>
      <w:r w:rsidR="00F84149">
        <w:rPr>
          <w:rFonts w:eastAsiaTheme="minorEastAsia"/>
        </w:rPr>
        <w:t xml:space="preserve"> </w:t>
      </w:r>
      <w:r w:rsidR="00EF69C5">
        <w:rPr>
          <w:rFonts w:eastAsiaTheme="minorEastAsia"/>
        </w:rPr>
        <w:t xml:space="preserve">the cumulative </w:t>
      </w:r>
      <w:r w:rsidR="00E36111" w:rsidRPr="00E36111">
        <w:rPr>
          <w:rFonts w:eastAsiaTheme="minorEastAsia"/>
        </w:rPr>
        <w:t>implementation rate</w:t>
      </w:r>
      <w:r w:rsidR="00926C72">
        <w:rPr>
          <w:rFonts w:eastAsiaTheme="minorEastAsia"/>
        </w:rPr>
        <w:t xml:space="preserve"> </w:t>
      </w:r>
      <w:r w:rsidR="00FB6DDA">
        <w:rPr>
          <w:rFonts w:eastAsiaTheme="minorEastAsia"/>
        </w:rPr>
        <w:t>stands</w:t>
      </w:r>
      <w:r w:rsidR="000371AF">
        <w:rPr>
          <w:rFonts w:eastAsiaTheme="minorEastAsia"/>
        </w:rPr>
        <w:t xml:space="preserve"> </w:t>
      </w:r>
      <w:r w:rsidR="00360664">
        <w:rPr>
          <w:rFonts w:eastAsiaTheme="minorEastAsia"/>
        </w:rPr>
        <w:t xml:space="preserve">at </w:t>
      </w:r>
      <w:r w:rsidR="00E36111" w:rsidRPr="00916E07">
        <w:rPr>
          <w:rFonts w:eastAsiaTheme="minorEastAsia"/>
          <w:b/>
          <w:bCs/>
        </w:rPr>
        <w:t>87</w:t>
      </w:r>
      <w:r w:rsidR="008F1089">
        <w:rPr>
          <w:rFonts w:eastAsiaTheme="minorEastAsia"/>
          <w:b/>
          <w:bCs/>
        </w:rPr>
        <w:t xml:space="preserve"> per cent</w:t>
      </w:r>
      <w:r w:rsidR="00DE580C">
        <w:rPr>
          <w:rFonts w:eastAsiaTheme="minorEastAsia"/>
        </w:rPr>
        <w:t xml:space="preserve">, representing the </w:t>
      </w:r>
      <w:r w:rsidR="0078713C">
        <w:rPr>
          <w:rFonts w:eastAsiaTheme="minorEastAsia"/>
        </w:rPr>
        <w:t>propo</w:t>
      </w:r>
      <w:r w:rsidR="000974FE">
        <w:rPr>
          <w:rFonts w:eastAsiaTheme="minorEastAsia"/>
        </w:rPr>
        <w:t xml:space="preserve">rtion of </w:t>
      </w:r>
      <w:r w:rsidR="009D73C0">
        <w:rPr>
          <w:rFonts w:eastAsiaTheme="minorEastAsia"/>
        </w:rPr>
        <w:t xml:space="preserve">JIU recommendations </w:t>
      </w:r>
      <w:r w:rsidR="00420CC7">
        <w:rPr>
          <w:rFonts w:eastAsiaTheme="minorEastAsia"/>
        </w:rPr>
        <w:t>(</w:t>
      </w:r>
      <w:r w:rsidR="0011619A">
        <w:rPr>
          <w:rFonts w:eastAsiaTheme="minorEastAsia"/>
        </w:rPr>
        <w:t>addressed to IT</w:t>
      </w:r>
      <w:r w:rsidR="009271B5">
        <w:rPr>
          <w:rFonts w:eastAsiaTheme="minorEastAsia"/>
        </w:rPr>
        <w:t>U</w:t>
      </w:r>
      <w:r w:rsidR="00FB6DDA">
        <w:rPr>
          <w:rFonts w:eastAsiaTheme="minorEastAsia"/>
        </w:rPr>
        <w:t xml:space="preserve"> and accepted</w:t>
      </w:r>
      <w:r w:rsidR="00001AD5">
        <w:rPr>
          <w:rFonts w:eastAsiaTheme="minorEastAsia"/>
        </w:rPr>
        <w:t>)</w:t>
      </w:r>
      <w:r w:rsidR="00774C7E">
        <w:rPr>
          <w:rFonts w:eastAsiaTheme="minorEastAsia"/>
        </w:rPr>
        <w:t xml:space="preserve"> </w:t>
      </w:r>
      <w:r w:rsidR="009D73C0">
        <w:rPr>
          <w:rFonts w:eastAsiaTheme="minorEastAsia"/>
        </w:rPr>
        <w:t>reported as implemented</w:t>
      </w:r>
      <w:r w:rsidR="00733035">
        <w:rPr>
          <w:rFonts w:eastAsiaTheme="minorEastAsia"/>
        </w:rPr>
        <w:t>.</w:t>
      </w:r>
    </w:p>
    <w:p w14:paraId="59DD4E3E" w14:textId="63715B0C" w:rsidR="0003524D" w:rsidRDefault="00E75448" w:rsidP="008F1089">
      <w:r>
        <w:rPr>
          <w:rFonts w:eastAsiaTheme="minorEastAsia"/>
        </w:rPr>
        <w:t>5</w:t>
      </w:r>
      <w:r>
        <w:rPr>
          <w:rFonts w:eastAsiaTheme="minorEastAsia"/>
        </w:rPr>
        <w:tab/>
      </w:r>
      <w:r w:rsidR="00CC10A2" w:rsidRPr="006349A3">
        <w:t>For the period 2017</w:t>
      </w:r>
      <w:r w:rsidR="001C0D3D">
        <w:t>-</w:t>
      </w:r>
      <w:r w:rsidR="00CC10A2" w:rsidRPr="006349A3">
        <w:t xml:space="preserve">2024, the period reflected in the latest JIU Annual Report, </w:t>
      </w:r>
      <w:r w:rsidR="003B0B5B">
        <w:t xml:space="preserve">the acceptance rate </w:t>
      </w:r>
      <w:r w:rsidR="00700335">
        <w:t xml:space="preserve">currently </w:t>
      </w:r>
      <w:r w:rsidR="003B0B5B">
        <w:t xml:space="preserve">stands at </w:t>
      </w:r>
      <w:r w:rsidR="003B0B5B" w:rsidRPr="00906CE2">
        <w:rPr>
          <w:b/>
          <w:bCs/>
        </w:rPr>
        <w:t>93</w:t>
      </w:r>
      <w:r w:rsidR="008F1089">
        <w:rPr>
          <w:rFonts w:eastAsiaTheme="minorEastAsia"/>
          <w:b/>
          <w:bCs/>
        </w:rPr>
        <w:t xml:space="preserve"> per cent</w:t>
      </w:r>
      <w:r w:rsidR="00816AE5">
        <w:t>, while</w:t>
      </w:r>
      <w:r w:rsidR="003B0B5B" w:rsidRPr="006349A3">
        <w:t xml:space="preserve"> </w:t>
      </w:r>
      <w:r w:rsidR="00CC10A2" w:rsidRPr="006349A3">
        <w:t xml:space="preserve">the implementation rate has reached </w:t>
      </w:r>
      <w:r w:rsidR="00CC10A2" w:rsidRPr="00504ED7">
        <w:rPr>
          <w:b/>
          <w:bCs/>
        </w:rPr>
        <w:t>77</w:t>
      </w:r>
      <w:r w:rsidR="008F1089">
        <w:rPr>
          <w:rFonts w:eastAsiaTheme="minorEastAsia"/>
          <w:b/>
          <w:bCs/>
        </w:rPr>
        <w:t xml:space="preserve"> per cent</w:t>
      </w:r>
      <w:r w:rsidR="00816AE5">
        <w:t>.</w:t>
      </w:r>
      <w:r w:rsidR="00364BEA">
        <w:t xml:space="preserve"> </w:t>
      </w:r>
      <w:r w:rsidR="00CC10A2" w:rsidRPr="006349A3">
        <w:t>Th</w:t>
      </w:r>
      <w:r w:rsidR="00D24FF1">
        <w:t xml:space="preserve">is data is </w:t>
      </w:r>
      <w:r w:rsidR="00CC10A2" w:rsidRPr="006349A3">
        <w:t xml:space="preserve">now fully reflected in the JIU </w:t>
      </w:r>
      <w:r w:rsidR="00E83D26">
        <w:t>Recommendation Tracking System</w:t>
      </w:r>
      <w:r w:rsidR="00CC10A2">
        <w:t xml:space="preserve">, as </w:t>
      </w:r>
      <w:r w:rsidR="009C7900">
        <w:t>illustrated</w:t>
      </w:r>
      <w:r w:rsidR="00CC10A2">
        <w:t xml:space="preserve"> in the figures on the following pages</w:t>
      </w:r>
      <w:r w:rsidR="00E83D26">
        <w:t>.</w:t>
      </w:r>
    </w:p>
    <w:p w14:paraId="5008736B" w14:textId="45EC6F2E" w:rsidR="00172F69" w:rsidRDefault="0003524D" w:rsidP="008F1089">
      <w:pPr>
        <w:rPr>
          <w:rFonts w:eastAsiaTheme="minorEastAsia"/>
        </w:rPr>
      </w:pPr>
      <w:r>
        <w:t>6</w:t>
      </w:r>
      <w:r>
        <w:tab/>
      </w:r>
      <w:r w:rsidR="00E36111" w:rsidRPr="00E36111">
        <w:rPr>
          <w:rFonts w:eastAsiaTheme="minorEastAsia"/>
        </w:rPr>
        <w:t xml:space="preserve">The </w:t>
      </w:r>
      <w:r w:rsidR="00CC4FEB">
        <w:rPr>
          <w:rFonts w:eastAsiaTheme="minorEastAsia"/>
        </w:rPr>
        <w:t>progress achieved</w:t>
      </w:r>
      <w:r w:rsidR="00E36111" w:rsidRPr="00E36111">
        <w:rPr>
          <w:rFonts w:eastAsiaTheme="minorEastAsia"/>
        </w:rPr>
        <w:t xml:space="preserve"> for the</w:t>
      </w:r>
      <w:r w:rsidR="001C0D3D">
        <w:rPr>
          <w:rFonts w:eastAsiaTheme="minorEastAsia"/>
        </w:rPr>
        <w:t xml:space="preserve"> 2017-2024 </w:t>
      </w:r>
      <w:r w:rsidR="00E36111" w:rsidRPr="00E36111">
        <w:rPr>
          <w:rFonts w:eastAsiaTheme="minorEastAsia"/>
        </w:rPr>
        <w:t xml:space="preserve">period is particularly significant, as it directly </w:t>
      </w:r>
      <w:r w:rsidR="008E62FE">
        <w:rPr>
          <w:rFonts w:eastAsiaTheme="minorEastAsia"/>
        </w:rPr>
        <w:t xml:space="preserve">concerns </w:t>
      </w:r>
      <w:r w:rsidR="00E36111" w:rsidRPr="00E36111">
        <w:rPr>
          <w:rFonts w:eastAsiaTheme="minorEastAsia"/>
        </w:rPr>
        <w:t xml:space="preserve">the data underpinning the most recent JIU Annual Report and </w:t>
      </w:r>
      <w:r w:rsidR="008E62FE">
        <w:rPr>
          <w:rFonts w:eastAsiaTheme="minorEastAsia"/>
        </w:rPr>
        <w:t xml:space="preserve">the related </w:t>
      </w:r>
      <w:r w:rsidR="00E36111" w:rsidRPr="00E36111">
        <w:rPr>
          <w:rFonts w:eastAsiaTheme="minorEastAsia"/>
        </w:rPr>
        <w:t xml:space="preserve">comparative </w:t>
      </w:r>
      <w:r w:rsidR="005E6D12">
        <w:rPr>
          <w:rFonts w:eastAsiaTheme="minorEastAsia"/>
        </w:rPr>
        <w:t xml:space="preserve">analysis across the </w:t>
      </w:r>
      <w:r w:rsidR="00E36111" w:rsidRPr="00E36111">
        <w:rPr>
          <w:rFonts w:eastAsiaTheme="minorEastAsia"/>
        </w:rPr>
        <w:t>UN</w:t>
      </w:r>
      <w:r w:rsidR="005E6D12">
        <w:rPr>
          <w:rFonts w:eastAsiaTheme="minorEastAsia"/>
        </w:rPr>
        <w:t xml:space="preserve"> </w:t>
      </w:r>
      <w:r w:rsidR="00E36111" w:rsidRPr="00E36111">
        <w:rPr>
          <w:rFonts w:eastAsiaTheme="minorEastAsia"/>
        </w:rPr>
        <w:t xml:space="preserve">system. </w:t>
      </w:r>
      <w:r w:rsidR="005E6D12">
        <w:rPr>
          <w:rFonts w:eastAsiaTheme="minorEastAsia"/>
        </w:rPr>
        <w:t xml:space="preserve">During </w:t>
      </w:r>
      <w:r w:rsidR="00172F69">
        <w:rPr>
          <w:rFonts w:eastAsiaTheme="minorEastAsia"/>
        </w:rPr>
        <w:t xml:space="preserve">this period, </w:t>
      </w:r>
      <w:r w:rsidR="003E2100">
        <w:rPr>
          <w:rFonts w:eastAsiaTheme="minorEastAsia"/>
        </w:rPr>
        <w:t>37 Reports, 3 Notes and 1</w:t>
      </w:r>
      <w:r w:rsidR="008F1089">
        <w:rPr>
          <w:rFonts w:eastAsiaTheme="minorEastAsia"/>
        </w:rPr>
        <w:t> </w:t>
      </w:r>
      <w:r w:rsidR="003E2100">
        <w:rPr>
          <w:rFonts w:eastAsiaTheme="minorEastAsia"/>
        </w:rPr>
        <w:t>Letter relat</w:t>
      </w:r>
      <w:r w:rsidR="00C62FC2">
        <w:rPr>
          <w:rFonts w:eastAsiaTheme="minorEastAsia"/>
        </w:rPr>
        <w:t>ing</w:t>
      </w:r>
      <w:r w:rsidR="003E2100">
        <w:rPr>
          <w:rFonts w:eastAsiaTheme="minorEastAsia"/>
        </w:rPr>
        <w:t xml:space="preserve"> to ITU, </w:t>
      </w:r>
      <w:r w:rsidR="00C62FC2">
        <w:rPr>
          <w:rFonts w:eastAsiaTheme="minorEastAsia"/>
        </w:rPr>
        <w:t xml:space="preserve">have generated </w:t>
      </w:r>
      <w:r w:rsidR="008A2BD6">
        <w:rPr>
          <w:rFonts w:eastAsiaTheme="minorEastAsia"/>
        </w:rPr>
        <w:t xml:space="preserve">a total of </w:t>
      </w:r>
      <w:r w:rsidR="004638B3">
        <w:rPr>
          <w:rFonts w:eastAsiaTheme="minorEastAsia"/>
        </w:rPr>
        <w:t xml:space="preserve">226 recommendations. </w:t>
      </w:r>
      <w:r w:rsidR="00525FD0">
        <w:rPr>
          <w:rFonts w:eastAsiaTheme="minorEastAsia"/>
        </w:rPr>
        <w:t xml:space="preserve">Of these, </w:t>
      </w:r>
      <w:r w:rsidR="004638B3">
        <w:rPr>
          <w:rFonts w:eastAsiaTheme="minorEastAsia"/>
        </w:rPr>
        <w:t xml:space="preserve">ITU has accepted 211 </w:t>
      </w:r>
      <w:r w:rsidR="00612895">
        <w:rPr>
          <w:rFonts w:eastAsiaTheme="minorEastAsia"/>
        </w:rPr>
        <w:t>recommendations and</w:t>
      </w:r>
      <w:r w:rsidR="004638B3">
        <w:rPr>
          <w:rFonts w:eastAsiaTheme="minorEastAsia"/>
        </w:rPr>
        <w:t xml:space="preserve"> has already implemented </w:t>
      </w:r>
      <w:r w:rsidR="00B5387B">
        <w:rPr>
          <w:rFonts w:eastAsiaTheme="minorEastAsia"/>
        </w:rPr>
        <w:t>162.</w:t>
      </w:r>
      <w:r w:rsidR="0006074C" w:rsidRPr="0006074C">
        <w:t xml:space="preserve"> </w:t>
      </w:r>
      <w:r w:rsidR="0006074C" w:rsidRPr="00547095">
        <w:t>ITU management remains fully committed to the continuous strengthening of the organization’s oversight, accountability and internal control frameworks</w:t>
      </w:r>
      <w:r w:rsidR="00AC66DB">
        <w:t>, to address the remaining recommendations.</w:t>
      </w:r>
    </w:p>
    <w:p w14:paraId="1FF3816F" w14:textId="696D8546" w:rsidR="00612895" w:rsidRDefault="00A0722C" w:rsidP="008F1089">
      <w:r>
        <w:t>7</w:t>
      </w:r>
      <w:r>
        <w:tab/>
        <w:t xml:space="preserve">Earlier </w:t>
      </w:r>
      <w:r w:rsidR="00525FD0">
        <w:t xml:space="preserve">discrepancies </w:t>
      </w:r>
      <w:r>
        <w:t>in reporting stemmed primarily from ITU</w:t>
      </w:r>
      <w:r w:rsidR="00525FD0">
        <w:t>’s</w:t>
      </w:r>
      <w:r>
        <w:t xml:space="preserve"> reli</w:t>
      </w:r>
      <w:r w:rsidR="00525FD0">
        <w:t>ance</w:t>
      </w:r>
      <w:r>
        <w:t xml:space="preserve"> on </w:t>
      </w:r>
      <w:r w:rsidR="00717560">
        <w:t xml:space="preserve">its </w:t>
      </w:r>
      <w:r>
        <w:t>internal Compliance Dashboard</w:t>
      </w:r>
      <w:r w:rsidR="00D8320E">
        <w:t xml:space="preserve"> as the principal tracking tool, and lack of </w:t>
      </w:r>
      <w:r w:rsidR="009D3EA3">
        <w:t xml:space="preserve">automatic </w:t>
      </w:r>
      <w:r w:rsidR="00D8320E">
        <w:t>synchronization with the JIU data</w:t>
      </w:r>
      <w:r>
        <w:t xml:space="preserve">. </w:t>
      </w:r>
      <w:r w:rsidR="00013654" w:rsidRPr="00013654">
        <w:rPr>
          <w:rFonts w:cs="Calibri"/>
          <w:color w:val="000000"/>
        </w:rPr>
        <w:t xml:space="preserve">This gap has </w:t>
      </w:r>
      <w:r w:rsidR="00B230FD">
        <w:rPr>
          <w:rFonts w:cs="Calibri"/>
          <w:color w:val="000000"/>
        </w:rPr>
        <w:t xml:space="preserve">now </w:t>
      </w:r>
      <w:r w:rsidR="00013654" w:rsidRPr="00013654">
        <w:rPr>
          <w:rFonts w:cs="Calibri"/>
          <w:color w:val="000000"/>
        </w:rPr>
        <w:t xml:space="preserve">been resolved, establishing a single authoritative source within the JIU system. The figures </w:t>
      </w:r>
      <w:r w:rsidR="00402208">
        <w:rPr>
          <w:rFonts w:cs="Calibri"/>
          <w:color w:val="000000"/>
        </w:rPr>
        <w:t>below now</w:t>
      </w:r>
      <w:r w:rsidR="00013654" w:rsidRPr="00013654">
        <w:rPr>
          <w:rFonts w:cs="Calibri"/>
          <w:color w:val="000000"/>
        </w:rPr>
        <w:t xml:space="preserve"> provide an accurate and transparent overview of </w:t>
      </w:r>
      <w:r w:rsidR="006A4D94">
        <w:rPr>
          <w:rFonts w:cs="Calibri"/>
          <w:color w:val="000000"/>
        </w:rPr>
        <w:t>ITU</w:t>
      </w:r>
      <w:r w:rsidR="00013654" w:rsidRPr="00013654">
        <w:rPr>
          <w:rFonts w:cs="Calibri"/>
          <w:color w:val="000000"/>
        </w:rPr>
        <w:t xml:space="preserve"> implementation </w:t>
      </w:r>
      <w:r w:rsidR="006A4D94">
        <w:rPr>
          <w:rFonts w:cs="Calibri"/>
          <w:color w:val="000000"/>
        </w:rPr>
        <w:t>efforts</w:t>
      </w:r>
      <w:r w:rsidR="00013654" w:rsidRPr="00013654">
        <w:rPr>
          <w:rFonts w:cs="Calibri"/>
          <w:color w:val="000000"/>
        </w:rPr>
        <w:t>.</w:t>
      </w:r>
      <w:r w:rsidR="00013654">
        <w:rPr>
          <w:rFonts w:cs="Calibri"/>
          <w:color w:val="000000"/>
        </w:rPr>
        <w:t xml:space="preserve"> </w:t>
      </w:r>
      <w:r w:rsidR="00064A07" w:rsidRPr="00064A07">
        <w:t xml:space="preserve">As of the present session of the Council, ITU has established regular and structured reporting to the Council on the status of </w:t>
      </w:r>
      <w:r w:rsidR="00E41509">
        <w:t xml:space="preserve">acceptance and implementation of the </w:t>
      </w:r>
      <w:r w:rsidR="00064A07" w:rsidRPr="00064A07">
        <w:t>JIU recommendation</w:t>
      </w:r>
      <w:r w:rsidR="00E41509">
        <w:t>s</w:t>
      </w:r>
      <w:r>
        <w:t>.</w:t>
      </w:r>
    </w:p>
    <w:bookmarkEnd w:id="11"/>
    <w:p w14:paraId="5CEBC4D6" w14:textId="77777777" w:rsidR="00F17305" w:rsidRDefault="00F17305" w:rsidP="006349A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2353A70F" w14:textId="7E38ED84" w:rsidR="003C1876" w:rsidRDefault="003C1876" w:rsidP="006349A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sectPr w:rsidR="003C1876" w:rsidSect="00AD3606">
          <w:footerReference w:type="default" r:id="rId15"/>
          <w:headerReference w:type="first" r:id="rId16"/>
          <w:footerReference w:type="first" r:id="rId17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0D164CCE" w14:textId="66EE11E4" w:rsidR="003C1876" w:rsidRPr="008F1089" w:rsidRDefault="003C1876" w:rsidP="008F1089">
      <w:pPr>
        <w:pStyle w:val="Annextitle"/>
      </w:pPr>
      <w:r w:rsidRPr="008F1089">
        <w:lastRenderedPageBreak/>
        <w:t xml:space="preserve">Acceptance and implementation status for JIU recommendations issued to ITU </w:t>
      </w:r>
      <w:r w:rsidR="00243EFC" w:rsidRPr="008F1089">
        <w:t>(</w:t>
      </w:r>
      <w:r w:rsidRPr="008F1089">
        <w:t>2004-2025</w:t>
      </w:r>
      <w:r w:rsidR="00243EFC" w:rsidRPr="008F1089">
        <w:t>)</w:t>
      </w:r>
    </w:p>
    <w:tbl>
      <w:tblPr>
        <w:tblStyle w:val="PlainTable1"/>
        <w:tblW w:w="0" w:type="auto"/>
        <w:tblLook w:val="06A0" w:firstRow="1" w:lastRow="0" w:firstColumn="1" w:lastColumn="0" w:noHBand="1" w:noVBand="1"/>
      </w:tblPr>
      <w:tblGrid>
        <w:gridCol w:w="9513"/>
        <w:gridCol w:w="4475"/>
      </w:tblGrid>
      <w:tr w:rsidR="00910659" w14:paraId="7F5234A1" w14:textId="77777777" w:rsidTr="00243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single" w:sz="4" w:space="0" w:color="auto"/>
            </w:tcBorders>
            <w:vAlign w:val="center"/>
          </w:tcPr>
          <w:p w14:paraId="6BB13DA6" w14:textId="3E7F8C99" w:rsidR="004F3E71" w:rsidRPr="004F3E71" w:rsidRDefault="00BE3053" w:rsidP="00900ADC">
            <w:pPr>
              <w:spacing w:before="0"/>
              <w:jc w:val="center"/>
              <w:rPr>
                <w:b w:val="0"/>
                <w:bCs w:val="0"/>
              </w:rPr>
            </w:pPr>
            <w:r>
              <w:t xml:space="preserve">Data for </w:t>
            </w:r>
            <w:r w:rsidR="00900ADC">
              <w:t xml:space="preserve">ITU </w:t>
            </w:r>
            <w:r w:rsidR="0009195A">
              <w:t>(2004-2025)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14:paraId="0996F56E" w14:textId="26145330" w:rsidR="00DA47E7" w:rsidRPr="00DA47E7" w:rsidRDefault="0009195A" w:rsidP="0009195A">
            <w:pPr>
              <w:spacing w:before="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Acceptance/Implementation rates across the UN system</w:t>
            </w:r>
          </w:p>
        </w:tc>
      </w:tr>
      <w:tr w:rsidR="00DA47E7" w14:paraId="43AE9591" w14:textId="77777777" w:rsidTr="00243EF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single" w:sz="4" w:space="0" w:color="auto"/>
            </w:tcBorders>
            <w:vAlign w:val="center"/>
          </w:tcPr>
          <w:p w14:paraId="2E0B5559" w14:textId="6F5AA5B5" w:rsidR="00DA47E7" w:rsidRDefault="00DA47E7" w:rsidP="00A21C9D">
            <w:pPr>
              <w:spacing w:before="0"/>
            </w:pPr>
            <w:r w:rsidRPr="00D444B1">
              <w:rPr>
                <w:noProof/>
              </w:rPr>
              <w:drawing>
                <wp:inline distT="0" distB="0" distL="0" distR="0" wp14:anchorId="0393F3E4" wp14:editId="5ACBB746">
                  <wp:extent cx="6000750" cy="4970928"/>
                  <wp:effectExtent l="0" t="0" r="0" b="1270"/>
                  <wp:docPr id="21057727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772746" name="Picture 1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841" cy="4995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14:paraId="03D5FF44" w14:textId="4E337DF3" w:rsidR="00DA47E7" w:rsidRDefault="00DA47E7" w:rsidP="00A21C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87E">
              <w:rPr>
                <w:noProof/>
              </w:rPr>
              <w:drawing>
                <wp:inline distT="0" distB="0" distL="0" distR="0" wp14:anchorId="2873AE04" wp14:editId="6802C311">
                  <wp:extent cx="2749241" cy="4968524"/>
                  <wp:effectExtent l="0" t="0" r="0" b="3810"/>
                  <wp:docPr id="25509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9234" name="Picture 1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74" b="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750" cy="4992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B70" w:rsidRPr="008F1089" w14:paraId="41608B5F" w14:textId="77777777" w:rsidTr="00DA47E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8" w:type="dxa"/>
            <w:gridSpan w:val="2"/>
            <w:vAlign w:val="center"/>
          </w:tcPr>
          <w:p w14:paraId="44671369" w14:textId="5DD0A130" w:rsidR="00A73B70" w:rsidRPr="008F1089" w:rsidRDefault="00A73B70" w:rsidP="00436FB0">
            <w:pPr>
              <w:pStyle w:val="Tablelegend"/>
            </w:pPr>
            <w:r w:rsidRPr="008F1089">
              <w:t xml:space="preserve">Source: </w:t>
            </w:r>
            <w:r w:rsidRPr="00436FB0">
              <w:rPr>
                <w:b w:val="0"/>
                <w:bCs w:val="0"/>
              </w:rPr>
              <w:t>Joint Inspection Unit of the United Nations System | Recommendation Tracking System (RTS)</w:t>
            </w:r>
            <w:r w:rsidR="008F1089" w:rsidRPr="00436FB0">
              <w:rPr>
                <w:b w:val="0"/>
                <w:bCs w:val="0"/>
              </w:rPr>
              <w:t>.</w:t>
            </w:r>
            <w:r w:rsidRPr="008F1089">
              <w:t xml:space="preserve"> Date of retrieval: </w:t>
            </w:r>
            <w:r w:rsidRPr="00436FB0">
              <w:rPr>
                <w:b w:val="0"/>
                <w:bCs w:val="0"/>
              </w:rPr>
              <w:t>31 March 2026.</w:t>
            </w:r>
          </w:p>
        </w:tc>
      </w:tr>
    </w:tbl>
    <w:p w14:paraId="7EF4F996" w14:textId="16248E30" w:rsidR="00DA27F7" w:rsidRPr="008F1089" w:rsidRDefault="00D321B0" w:rsidP="008F1089">
      <w:pPr>
        <w:pStyle w:val="Annextitle"/>
      </w:pPr>
      <w:r w:rsidRPr="008F1089">
        <w:lastRenderedPageBreak/>
        <w:t xml:space="preserve">Acceptance and implementation for JIU recommendations issued to ITU </w:t>
      </w:r>
      <w:r w:rsidR="00EA256C" w:rsidRPr="008F1089">
        <w:t xml:space="preserve">(period </w:t>
      </w:r>
      <w:r w:rsidRPr="008F1089">
        <w:t>2017-2024</w:t>
      </w:r>
      <w:r w:rsidR="00EA256C" w:rsidRPr="008F1089">
        <w:t>)</w:t>
      </w:r>
    </w:p>
    <w:tbl>
      <w:tblPr>
        <w:tblStyle w:val="PlainTable1"/>
        <w:tblW w:w="0" w:type="auto"/>
        <w:tblLook w:val="06A0" w:firstRow="1" w:lastRow="0" w:firstColumn="1" w:lastColumn="0" w:noHBand="1" w:noVBand="1"/>
      </w:tblPr>
      <w:tblGrid>
        <w:gridCol w:w="9572"/>
        <w:gridCol w:w="4416"/>
      </w:tblGrid>
      <w:tr w:rsidR="00DA27F7" w14:paraId="29EC697A" w14:textId="77777777" w:rsidTr="00FD6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single" w:sz="4" w:space="0" w:color="auto"/>
            </w:tcBorders>
            <w:vAlign w:val="center"/>
          </w:tcPr>
          <w:p w14:paraId="30E5F3C3" w14:textId="0C271ACD" w:rsidR="00DA27F7" w:rsidRPr="004F3E71" w:rsidRDefault="00F2575E" w:rsidP="00FD6FB0">
            <w:pPr>
              <w:spacing w:before="0"/>
              <w:jc w:val="center"/>
              <w:rPr>
                <w:b w:val="0"/>
                <w:bCs w:val="0"/>
              </w:rPr>
            </w:pPr>
            <w:r>
              <w:t xml:space="preserve">Data for </w:t>
            </w:r>
            <w:r w:rsidR="00DA27F7">
              <w:t>ITU (</w:t>
            </w:r>
            <w:r w:rsidR="00196919">
              <w:t xml:space="preserve">period </w:t>
            </w:r>
            <w:r w:rsidR="00DA27F7">
              <w:t>20</w:t>
            </w:r>
            <w:r w:rsidR="00196919">
              <w:t>17</w:t>
            </w:r>
            <w:r w:rsidR="00DA27F7">
              <w:t>-202</w:t>
            </w:r>
            <w:r w:rsidR="00196919">
              <w:t>4</w:t>
            </w:r>
            <w:r w:rsidR="00DA27F7">
              <w:t>)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14:paraId="00C53E1C" w14:textId="77777777" w:rsidR="00DA27F7" w:rsidRPr="00DA47E7" w:rsidRDefault="00DA27F7" w:rsidP="00FD6FB0">
            <w:pPr>
              <w:spacing w:before="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Acceptance/Implementation rates across the UN system</w:t>
            </w:r>
          </w:p>
        </w:tc>
      </w:tr>
      <w:tr w:rsidR="00DA27F7" w14:paraId="7FCB2C25" w14:textId="77777777" w:rsidTr="00FD6FB0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single" w:sz="4" w:space="0" w:color="auto"/>
            </w:tcBorders>
            <w:vAlign w:val="center"/>
          </w:tcPr>
          <w:p w14:paraId="6D9734BA" w14:textId="2DCA6A0E" w:rsidR="001600FF" w:rsidRPr="00A134D4" w:rsidRDefault="001600FF" w:rsidP="00FD6FB0">
            <w:pPr>
              <w:spacing w:before="0"/>
              <w:rPr>
                <w:b w:val="0"/>
                <w:bCs w:val="0"/>
              </w:rPr>
            </w:pPr>
            <w:r w:rsidRPr="00367633">
              <w:rPr>
                <w:noProof/>
              </w:rPr>
              <w:drawing>
                <wp:inline distT="0" distB="0" distL="0" distR="0" wp14:anchorId="5A9FABD1" wp14:editId="670780E5">
                  <wp:extent cx="5677793" cy="4838700"/>
                  <wp:effectExtent l="0" t="0" r="0" b="0"/>
                  <wp:docPr id="14986194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619448" name="Picture 1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6064" cy="4862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14:paraId="5CCEACE1" w14:textId="0B1E709D" w:rsidR="00DA27F7" w:rsidRDefault="001600FF" w:rsidP="00FD6FB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F4">
              <w:rPr>
                <w:noProof/>
              </w:rPr>
              <w:drawing>
                <wp:inline distT="0" distB="0" distL="0" distR="0" wp14:anchorId="29D2F740" wp14:editId="63FFBFDE">
                  <wp:extent cx="2660650" cy="4829280"/>
                  <wp:effectExtent l="0" t="0" r="6350" b="9525"/>
                  <wp:docPr id="260682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82954" name="Picture 1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t="15656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670" cy="4842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7F7" w14:paraId="5AED3D9E" w14:textId="77777777" w:rsidTr="00FD6FB0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8" w:type="dxa"/>
            <w:gridSpan w:val="2"/>
            <w:vAlign w:val="center"/>
          </w:tcPr>
          <w:p w14:paraId="306983AC" w14:textId="761B2DCC" w:rsidR="00DA27F7" w:rsidRDefault="00DA27F7" w:rsidP="00436FB0">
            <w:pPr>
              <w:pStyle w:val="Tablelegend"/>
            </w:pPr>
            <w:r w:rsidRPr="00A73B70">
              <w:t xml:space="preserve">Source: </w:t>
            </w:r>
            <w:r w:rsidRPr="00436FB0">
              <w:rPr>
                <w:b w:val="0"/>
                <w:bCs w:val="0"/>
              </w:rPr>
              <w:t>Joint Inspection Unit of the United Nations System | Recommendation Tracking System (RTS)</w:t>
            </w:r>
            <w:r w:rsidR="00436FB0">
              <w:rPr>
                <w:b w:val="0"/>
                <w:bCs w:val="0"/>
              </w:rPr>
              <w:t>.</w:t>
            </w:r>
            <w:r w:rsidRPr="00A73B70">
              <w:t xml:space="preserve"> Date of retrieval: </w:t>
            </w:r>
            <w:r w:rsidRPr="00436FB0">
              <w:rPr>
                <w:b w:val="0"/>
                <w:bCs w:val="0"/>
              </w:rPr>
              <w:t>31 March 2026.</w:t>
            </w:r>
          </w:p>
        </w:tc>
      </w:tr>
    </w:tbl>
    <w:bookmarkEnd w:id="2"/>
    <w:bookmarkEnd w:id="3"/>
    <w:p w14:paraId="4F19F9F7" w14:textId="77777777" w:rsidR="00436FB0" w:rsidRDefault="00436FB0" w:rsidP="00436FB0">
      <w:pPr>
        <w:spacing w:before="0"/>
        <w:jc w:val="center"/>
      </w:pPr>
      <w:r>
        <w:t>______________</w:t>
      </w:r>
    </w:p>
    <w:sectPr w:rsidR="00436FB0" w:rsidSect="00AD631C">
      <w:headerReference w:type="first" r:id="rId22"/>
      <w:pgSz w:w="16834" w:h="11907" w:orient="landscape"/>
      <w:pgMar w:top="1247" w:right="1418" w:bottom="1247" w:left="1418" w:header="720" w:footer="62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A39A" w14:textId="77777777" w:rsidR="009E7023" w:rsidRDefault="009E7023">
      <w:r>
        <w:separator/>
      </w:r>
    </w:p>
  </w:endnote>
  <w:endnote w:type="continuationSeparator" w:id="0">
    <w:p w14:paraId="5F89FD56" w14:textId="77777777" w:rsidR="009E7023" w:rsidRDefault="009E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7453B9">
      <w:trPr>
        <w:jc w:val="center"/>
      </w:trPr>
      <w:tc>
        <w:tcPr>
          <w:tcW w:w="1803" w:type="dxa"/>
          <w:vAlign w:val="center"/>
        </w:tcPr>
        <w:p w14:paraId="6595CA0F" w14:textId="6C590BB8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E7590DE" w14:textId="15A876B9" w:rsidR="00EE49E8" w:rsidRPr="00E06FD5" w:rsidRDefault="00EE49E8" w:rsidP="00AD631C">
          <w:pPr>
            <w:pStyle w:val="Header"/>
            <w:tabs>
              <w:tab w:val="left" w:pos="64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AD631C">
            <w:rPr>
              <w:bCs/>
            </w:rPr>
            <w:t>INF/17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32E017E" w14:textId="50B56E4A" w:rsidR="00EE49E8" w:rsidRPr="00E06FD5" w:rsidRDefault="00EE49E8" w:rsidP="00AD631C">
          <w:pPr>
            <w:pStyle w:val="Header"/>
            <w:tabs>
              <w:tab w:val="left" w:pos="64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AD631C">
            <w:rPr>
              <w:bCs/>
            </w:rPr>
            <w:t>INF/17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18AC" w14:textId="77777777" w:rsidR="009E7023" w:rsidRDefault="009E7023">
      <w:r>
        <w:t>____________________</w:t>
      </w:r>
    </w:p>
  </w:footnote>
  <w:footnote w:type="continuationSeparator" w:id="0">
    <w:p w14:paraId="2758D435" w14:textId="77777777" w:rsidR="009E7023" w:rsidRDefault="009E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650C" w14:textId="10058236" w:rsidR="00F17305" w:rsidRDefault="00512087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597381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7A20" w14:textId="5571E0A3" w:rsidR="00F17305" w:rsidRDefault="00F17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30DB4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14FE2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921FF5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47E15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4854FD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4767FD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B047F4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6E2F88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BE7526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C4680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562776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E17841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90FF9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0C22BA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C46243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FD692B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0761BA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314F41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175FAC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C429EF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3211E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5B4880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66618D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69044A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5E22C2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30E3D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285EDD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493D1E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80479C"/>
    <w:multiLevelType w:val="multilevel"/>
    <w:tmpl w:val="A6A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4816267">
    <w:abstractNumId w:val="0"/>
  </w:num>
  <w:num w:numId="2" w16cid:durableId="627904605">
    <w:abstractNumId w:val="3"/>
  </w:num>
  <w:num w:numId="3" w16cid:durableId="1094934934">
    <w:abstractNumId w:val="24"/>
  </w:num>
  <w:num w:numId="4" w16cid:durableId="1968656656">
    <w:abstractNumId w:val="29"/>
  </w:num>
  <w:num w:numId="5" w16cid:durableId="370958551">
    <w:abstractNumId w:val="6"/>
  </w:num>
  <w:num w:numId="6" w16cid:durableId="1275406135">
    <w:abstractNumId w:val="2"/>
  </w:num>
  <w:num w:numId="7" w16cid:durableId="662583993">
    <w:abstractNumId w:val="7"/>
  </w:num>
  <w:num w:numId="8" w16cid:durableId="1155295347">
    <w:abstractNumId w:val="5"/>
  </w:num>
  <w:num w:numId="9" w16cid:durableId="1565990058">
    <w:abstractNumId w:val="17"/>
  </w:num>
  <w:num w:numId="10" w16cid:durableId="130754891">
    <w:abstractNumId w:val="11"/>
  </w:num>
  <w:num w:numId="11" w16cid:durableId="1595238753">
    <w:abstractNumId w:val="14"/>
  </w:num>
  <w:num w:numId="12" w16cid:durableId="417095498">
    <w:abstractNumId w:val="27"/>
  </w:num>
  <w:num w:numId="13" w16cid:durableId="222913018">
    <w:abstractNumId w:val="22"/>
  </w:num>
  <w:num w:numId="14" w16cid:durableId="669140171">
    <w:abstractNumId w:val="23"/>
  </w:num>
  <w:num w:numId="15" w16cid:durableId="2047871540">
    <w:abstractNumId w:val="20"/>
  </w:num>
  <w:num w:numId="16" w16cid:durableId="1110659486">
    <w:abstractNumId w:val="4"/>
  </w:num>
  <w:num w:numId="17" w16cid:durableId="2099060270">
    <w:abstractNumId w:val="13"/>
  </w:num>
  <w:num w:numId="18" w16cid:durableId="1866484406">
    <w:abstractNumId w:val="28"/>
  </w:num>
  <w:num w:numId="19" w16cid:durableId="2129735523">
    <w:abstractNumId w:val="26"/>
  </w:num>
  <w:num w:numId="20" w16cid:durableId="1925407329">
    <w:abstractNumId w:val="1"/>
  </w:num>
  <w:num w:numId="21" w16cid:durableId="955714367">
    <w:abstractNumId w:val="21"/>
  </w:num>
  <w:num w:numId="22" w16cid:durableId="362097667">
    <w:abstractNumId w:val="9"/>
  </w:num>
  <w:num w:numId="23" w16cid:durableId="1657802184">
    <w:abstractNumId w:val="10"/>
  </w:num>
  <w:num w:numId="24" w16cid:durableId="252248759">
    <w:abstractNumId w:val="19"/>
  </w:num>
  <w:num w:numId="25" w16cid:durableId="648170788">
    <w:abstractNumId w:val="12"/>
  </w:num>
  <w:num w:numId="26" w16cid:durableId="1137798971">
    <w:abstractNumId w:val="8"/>
  </w:num>
  <w:num w:numId="27" w16cid:durableId="656302178">
    <w:abstractNumId w:val="25"/>
  </w:num>
  <w:num w:numId="28" w16cid:durableId="1609653910">
    <w:abstractNumId w:val="15"/>
  </w:num>
  <w:num w:numId="29" w16cid:durableId="1696729350">
    <w:abstractNumId w:val="16"/>
  </w:num>
  <w:num w:numId="30" w16cid:durableId="9231040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01AD5"/>
    <w:rsid w:val="00007255"/>
    <w:rsid w:val="00011EB3"/>
    <w:rsid w:val="0001222E"/>
    <w:rsid w:val="00013654"/>
    <w:rsid w:val="00013B74"/>
    <w:rsid w:val="00015261"/>
    <w:rsid w:val="00015E36"/>
    <w:rsid w:val="00020302"/>
    <w:rsid w:val="000210D4"/>
    <w:rsid w:val="0002216E"/>
    <w:rsid w:val="0003524D"/>
    <w:rsid w:val="0003686C"/>
    <w:rsid w:val="000371AF"/>
    <w:rsid w:val="000406F4"/>
    <w:rsid w:val="00041DC1"/>
    <w:rsid w:val="0004436F"/>
    <w:rsid w:val="00051154"/>
    <w:rsid w:val="00052FEB"/>
    <w:rsid w:val="00053F4E"/>
    <w:rsid w:val="00054F8B"/>
    <w:rsid w:val="000555C1"/>
    <w:rsid w:val="0005663F"/>
    <w:rsid w:val="0006007D"/>
    <w:rsid w:val="0006074C"/>
    <w:rsid w:val="00063016"/>
    <w:rsid w:val="00064099"/>
    <w:rsid w:val="00064A07"/>
    <w:rsid w:val="00066795"/>
    <w:rsid w:val="00073B94"/>
    <w:rsid w:val="00076AF6"/>
    <w:rsid w:val="00080E0D"/>
    <w:rsid w:val="00081E5C"/>
    <w:rsid w:val="000859C0"/>
    <w:rsid w:val="00085CF2"/>
    <w:rsid w:val="0008768A"/>
    <w:rsid w:val="0008774D"/>
    <w:rsid w:val="00090842"/>
    <w:rsid w:val="0009195A"/>
    <w:rsid w:val="00092A67"/>
    <w:rsid w:val="00092B21"/>
    <w:rsid w:val="000965B9"/>
    <w:rsid w:val="000965D9"/>
    <w:rsid w:val="000974FE"/>
    <w:rsid w:val="000A31FD"/>
    <w:rsid w:val="000A34A4"/>
    <w:rsid w:val="000B1705"/>
    <w:rsid w:val="000B7D10"/>
    <w:rsid w:val="000C2D7C"/>
    <w:rsid w:val="000C5717"/>
    <w:rsid w:val="000D03B4"/>
    <w:rsid w:val="000D10E5"/>
    <w:rsid w:val="000D44D5"/>
    <w:rsid w:val="000D75B2"/>
    <w:rsid w:val="000E372C"/>
    <w:rsid w:val="000F3F5B"/>
    <w:rsid w:val="000F5DDB"/>
    <w:rsid w:val="00101376"/>
    <w:rsid w:val="0010232F"/>
    <w:rsid w:val="00104B5A"/>
    <w:rsid w:val="0010757B"/>
    <w:rsid w:val="00107DDC"/>
    <w:rsid w:val="001121F5"/>
    <w:rsid w:val="00113A81"/>
    <w:rsid w:val="00115F35"/>
    <w:rsid w:val="0011619A"/>
    <w:rsid w:val="00120683"/>
    <w:rsid w:val="00124812"/>
    <w:rsid w:val="00126763"/>
    <w:rsid w:val="001334EF"/>
    <w:rsid w:val="00135594"/>
    <w:rsid w:val="001400DC"/>
    <w:rsid w:val="00140CE1"/>
    <w:rsid w:val="0014334F"/>
    <w:rsid w:val="00145904"/>
    <w:rsid w:val="00145B6A"/>
    <w:rsid w:val="0015189A"/>
    <w:rsid w:val="00154C57"/>
    <w:rsid w:val="001554D1"/>
    <w:rsid w:val="0015613C"/>
    <w:rsid w:val="001600FF"/>
    <w:rsid w:val="001619E1"/>
    <w:rsid w:val="00164ABC"/>
    <w:rsid w:val="0016622C"/>
    <w:rsid w:val="00166C01"/>
    <w:rsid w:val="00172F69"/>
    <w:rsid w:val="00174139"/>
    <w:rsid w:val="0017474D"/>
    <w:rsid w:val="0017539C"/>
    <w:rsid w:val="00175AC2"/>
    <w:rsid w:val="0017609F"/>
    <w:rsid w:val="00176B3B"/>
    <w:rsid w:val="00176F47"/>
    <w:rsid w:val="00177E2E"/>
    <w:rsid w:val="001848C5"/>
    <w:rsid w:val="0019041F"/>
    <w:rsid w:val="00196919"/>
    <w:rsid w:val="001A08D2"/>
    <w:rsid w:val="001A2B42"/>
    <w:rsid w:val="001A3154"/>
    <w:rsid w:val="001A7D1D"/>
    <w:rsid w:val="001B1393"/>
    <w:rsid w:val="001B51DD"/>
    <w:rsid w:val="001C0D3D"/>
    <w:rsid w:val="001C2C24"/>
    <w:rsid w:val="001C2EFA"/>
    <w:rsid w:val="001C593C"/>
    <w:rsid w:val="001C628E"/>
    <w:rsid w:val="001D2588"/>
    <w:rsid w:val="001D7CDC"/>
    <w:rsid w:val="001E0F7B"/>
    <w:rsid w:val="001E289C"/>
    <w:rsid w:val="001E583F"/>
    <w:rsid w:val="001F3566"/>
    <w:rsid w:val="001F5569"/>
    <w:rsid w:val="001F74C4"/>
    <w:rsid w:val="0020487B"/>
    <w:rsid w:val="002119FD"/>
    <w:rsid w:val="002130E0"/>
    <w:rsid w:val="00213124"/>
    <w:rsid w:val="00214C36"/>
    <w:rsid w:val="002160CE"/>
    <w:rsid w:val="00221B4C"/>
    <w:rsid w:val="00221F46"/>
    <w:rsid w:val="0022413B"/>
    <w:rsid w:val="00224DBA"/>
    <w:rsid w:val="00236120"/>
    <w:rsid w:val="00242D55"/>
    <w:rsid w:val="00243EFC"/>
    <w:rsid w:val="00251E2F"/>
    <w:rsid w:val="00257567"/>
    <w:rsid w:val="00261268"/>
    <w:rsid w:val="00264425"/>
    <w:rsid w:val="00265875"/>
    <w:rsid w:val="00271B6D"/>
    <w:rsid w:val="0027303B"/>
    <w:rsid w:val="002774FE"/>
    <w:rsid w:val="00277DEA"/>
    <w:rsid w:val="0028081B"/>
    <w:rsid w:val="0028109B"/>
    <w:rsid w:val="00285793"/>
    <w:rsid w:val="00285A15"/>
    <w:rsid w:val="00285BDD"/>
    <w:rsid w:val="00286308"/>
    <w:rsid w:val="002875F1"/>
    <w:rsid w:val="002916B4"/>
    <w:rsid w:val="00297056"/>
    <w:rsid w:val="002970BC"/>
    <w:rsid w:val="002A0615"/>
    <w:rsid w:val="002A133E"/>
    <w:rsid w:val="002A2188"/>
    <w:rsid w:val="002B1F58"/>
    <w:rsid w:val="002B2960"/>
    <w:rsid w:val="002B44C5"/>
    <w:rsid w:val="002C1C7A"/>
    <w:rsid w:val="002C3F32"/>
    <w:rsid w:val="002C54E2"/>
    <w:rsid w:val="002D4ECB"/>
    <w:rsid w:val="002E4E53"/>
    <w:rsid w:val="002F3C52"/>
    <w:rsid w:val="002F7EDD"/>
    <w:rsid w:val="0030160F"/>
    <w:rsid w:val="00305129"/>
    <w:rsid w:val="00305C54"/>
    <w:rsid w:val="00320223"/>
    <w:rsid w:val="00322D0D"/>
    <w:rsid w:val="00326C3E"/>
    <w:rsid w:val="003333BC"/>
    <w:rsid w:val="00333E95"/>
    <w:rsid w:val="00347667"/>
    <w:rsid w:val="003529FD"/>
    <w:rsid w:val="0035374F"/>
    <w:rsid w:val="00357C9C"/>
    <w:rsid w:val="00360664"/>
    <w:rsid w:val="00361465"/>
    <w:rsid w:val="00362B89"/>
    <w:rsid w:val="003634FE"/>
    <w:rsid w:val="00364BEA"/>
    <w:rsid w:val="00367032"/>
    <w:rsid w:val="00367633"/>
    <w:rsid w:val="00376A04"/>
    <w:rsid w:val="00383C22"/>
    <w:rsid w:val="003868BE"/>
    <w:rsid w:val="00386A4A"/>
    <w:rsid w:val="003877F5"/>
    <w:rsid w:val="00390FA6"/>
    <w:rsid w:val="00391664"/>
    <w:rsid w:val="003936D3"/>
    <w:rsid w:val="003942D4"/>
    <w:rsid w:val="003958A8"/>
    <w:rsid w:val="00395B75"/>
    <w:rsid w:val="00397922"/>
    <w:rsid w:val="003A0375"/>
    <w:rsid w:val="003B0B5B"/>
    <w:rsid w:val="003B1F76"/>
    <w:rsid w:val="003B29C2"/>
    <w:rsid w:val="003B4FAF"/>
    <w:rsid w:val="003C1876"/>
    <w:rsid w:val="003C204A"/>
    <w:rsid w:val="003C2533"/>
    <w:rsid w:val="003C35F6"/>
    <w:rsid w:val="003C4B38"/>
    <w:rsid w:val="003C6C41"/>
    <w:rsid w:val="003C732D"/>
    <w:rsid w:val="003D5424"/>
    <w:rsid w:val="003D5A7F"/>
    <w:rsid w:val="003E1CDF"/>
    <w:rsid w:val="003E2100"/>
    <w:rsid w:val="003F0228"/>
    <w:rsid w:val="003F0937"/>
    <w:rsid w:val="003F0B9F"/>
    <w:rsid w:val="003F46F3"/>
    <w:rsid w:val="003F4E16"/>
    <w:rsid w:val="003F57C2"/>
    <w:rsid w:val="003F6821"/>
    <w:rsid w:val="00402208"/>
    <w:rsid w:val="0040435A"/>
    <w:rsid w:val="00406C66"/>
    <w:rsid w:val="004100DF"/>
    <w:rsid w:val="00416A24"/>
    <w:rsid w:val="00420CC7"/>
    <w:rsid w:val="00420ED1"/>
    <w:rsid w:val="00426F98"/>
    <w:rsid w:val="00431642"/>
    <w:rsid w:val="00431D9E"/>
    <w:rsid w:val="00433CE8"/>
    <w:rsid w:val="00433E94"/>
    <w:rsid w:val="00434A5C"/>
    <w:rsid w:val="00436FB0"/>
    <w:rsid w:val="004372AD"/>
    <w:rsid w:val="004437F4"/>
    <w:rsid w:val="004514E2"/>
    <w:rsid w:val="00452D98"/>
    <w:rsid w:val="00453079"/>
    <w:rsid w:val="004544D9"/>
    <w:rsid w:val="00455A8C"/>
    <w:rsid w:val="004638B3"/>
    <w:rsid w:val="00463BB7"/>
    <w:rsid w:val="004701B5"/>
    <w:rsid w:val="00472BAD"/>
    <w:rsid w:val="00472C4B"/>
    <w:rsid w:val="00472DF5"/>
    <w:rsid w:val="00475D18"/>
    <w:rsid w:val="004763AE"/>
    <w:rsid w:val="00476E84"/>
    <w:rsid w:val="0047769C"/>
    <w:rsid w:val="00481C78"/>
    <w:rsid w:val="00481DCE"/>
    <w:rsid w:val="0048278A"/>
    <w:rsid w:val="00484009"/>
    <w:rsid w:val="00486FAE"/>
    <w:rsid w:val="00490E72"/>
    <w:rsid w:val="00491157"/>
    <w:rsid w:val="00491BA9"/>
    <w:rsid w:val="004921C8"/>
    <w:rsid w:val="0049356B"/>
    <w:rsid w:val="0049369C"/>
    <w:rsid w:val="00494A31"/>
    <w:rsid w:val="00495615"/>
    <w:rsid w:val="00495B0B"/>
    <w:rsid w:val="004A1B8B"/>
    <w:rsid w:val="004A1D46"/>
    <w:rsid w:val="004B19EF"/>
    <w:rsid w:val="004B24CE"/>
    <w:rsid w:val="004D007E"/>
    <w:rsid w:val="004D1851"/>
    <w:rsid w:val="004D599D"/>
    <w:rsid w:val="004E0CE9"/>
    <w:rsid w:val="004E2EA5"/>
    <w:rsid w:val="004E3AEB"/>
    <w:rsid w:val="004E775B"/>
    <w:rsid w:val="004F3E71"/>
    <w:rsid w:val="004F5944"/>
    <w:rsid w:val="0050223C"/>
    <w:rsid w:val="00502E4C"/>
    <w:rsid w:val="00504A9F"/>
    <w:rsid w:val="00504ED7"/>
    <w:rsid w:val="00512087"/>
    <w:rsid w:val="0052118F"/>
    <w:rsid w:val="00523A89"/>
    <w:rsid w:val="005243FF"/>
    <w:rsid w:val="00525FD0"/>
    <w:rsid w:val="005359B1"/>
    <w:rsid w:val="00537071"/>
    <w:rsid w:val="005424FE"/>
    <w:rsid w:val="00547095"/>
    <w:rsid w:val="00551F9E"/>
    <w:rsid w:val="00554269"/>
    <w:rsid w:val="00556DFB"/>
    <w:rsid w:val="00560E5F"/>
    <w:rsid w:val="00564FBC"/>
    <w:rsid w:val="00574963"/>
    <w:rsid w:val="005800BC"/>
    <w:rsid w:val="00581180"/>
    <w:rsid w:val="00582442"/>
    <w:rsid w:val="0058427A"/>
    <w:rsid w:val="005859E3"/>
    <w:rsid w:val="005960A5"/>
    <w:rsid w:val="00597047"/>
    <w:rsid w:val="005A03C0"/>
    <w:rsid w:val="005A5837"/>
    <w:rsid w:val="005A740F"/>
    <w:rsid w:val="005A7875"/>
    <w:rsid w:val="005A7DB0"/>
    <w:rsid w:val="005B43A1"/>
    <w:rsid w:val="005C27EA"/>
    <w:rsid w:val="005C39CB"/>
    <w:rsid w:val="005C4E2C"/>
    <w:rsid w:val="005C649B"/>
    <w:rsid w:val="005C7284"/>
    <w:rsid w:val="005D2AAE"/>
    <w:rsid w:val="005D39FC"/>
    <w:rsid w:val="005E6D12"/>
    <w:rsid w:val="005F3269"/>
    <w:rsid w:val="00601C68"/>
    <w:rsid w:val="00605C11"/>
    <w:rsid w:val="0061071E"/>
    <w:rsid w:val="00610CBB"/>
    <w:rsid w:val="00612895"/>
    <w:rsid w:val="00613617"/>
    <w:rsid w:val="0061600B"/>
    <w:rsid w:val="00617AAA"/>
    <w:rsid w:val="006239F9"/>
    <w:rsid w:val="00623AE3"/>
    <w:rsid w:val="00624073"/>
    <w:rsid w:val="00624784"/>
    <w:rsid w:val="00624DB0"/>
    <w:rsid w:val="006336DB"/>
    <w:rsid w:val="006349A3"/>
    <w:rsid w:val="0064737F"/>
    <w:rsid w:val="00651D69"/>
    <w:rsid w:val="00651FAA"/>
    <w:rsid w:val="00652F87"/>
    <w:rsid w:val="006535F1"/>
    <w:rsid w:val="0065557D"/>
    <w:rsid w:val="006570F3"/>
    <w:rsid w:val="00660D50"/>
    <w:rsid w:val="00661AD0"/>
    <w:rsid w:val="00662984"/>
    <w:rsid w:val="00664A40"/>
    <w:rsid w:val="00667444"/>
    <w:rsid w:val="006678C1"/>
    <w:rsid w:val="006713C4"/>
    <w:rsid w:val="006716BB"/>
    <w:rsid w:val="00683A19"/>
    <w:rsid w:val="00692A40"/>
    <w:rsid w:val="00692DE5"/>
    <w:rsid w:val="00692E30"/>
    <w:rsid w:val="006944E8"/>
    <w:rsid w:val="006A2F4B"/>
    <w:rsid w:val="006A3766"/>
    <w:rsid w:val="006A4D94"/>
    <w:rsid w:val="006A5D77"/>
    <w:rsid w:val="006A6858"/>
    <w:rsid w:val="006B1859"/>
    <w:rsid w:val="006B6680"/>
    <w:rsid w:val="006B6DCC"/>
    <w:rsid w:val="006B77F1"/>
    <w:rsid w:val="006C1FDB"/>
    <w:rsid w:val="006C43A2"/>
    <w:rsid w:val="006D0901"/>
    <w:rsid w:val="006D675B"/>
    <w:rsid w:val="006D7C35"/>
    <w:rsid w:val="006E0F2A"/>
    <w:rsid w:val="006E2370"/>
    <w:rsid w:val="006F14FC"/>
    <w:rsid w:val="006F2DEF"/>
    <w:rsid w:val="006F5167"/>
    <w:rsid w:val="00700335"/>
    <w:rsid w:val="0070199A"/>
    <w:rsid w:val="00702817"/>
    <w:rsid w:val="00702DEF"/>
    <w:rsid w:val="00706861"/>
    <w:rsid w:val="00706EE9"/>
    <w:rsid w:val="00707930"/>
    <w:rsid w:val="00711EDA"/>
    <w:rsid w:val="00717560"/>
    <w:rsid w:val="00722551"/>
    <w:rsid w:val="0072678D"/>
    <w:rsid w:val="00733035"/>
    <w:rsid w:val="007356A8"/>
    <w:rsid w:val="00744A0C"/>
    <w:rsid w:val="007453B9"/>
    <w:rsid w:val="00745534"/>
    <w:rsid w:val="0075051B"/>
    <w:rsid w:val="00752280"/>
    <w:rsid w:val="007528E3"/>
    <w:rsid w:val="00753285"/>
    <w:rsid w:val="007539EA"/>
    <w:rsid w:val="00753C60"/>
    <w:rsid w:val="00765C89"/>
    <w:rsid w:val="007674A0"/>
    <w:rsid w:val="00770E7A"/>
    <w:rsid w:val="0077110E"/>
    <w:rsid w:val="0077420F"/>
    <w:rsid w:val="00774C7E"/>
    <w:rsid w:val="00776BC4"/>
    <w:rsid w:val="0078713C"/>
    <w:rsid w:val="0079035E"/>
    <w:rsid w:val="00793188"/>
    <w:rsid w:val="00794D34"/>
    <w:rsid w:val="007A0312"/>
    <w:rsid w:val="007A3FCD"/>
    <w:rsid w:val="007B19CF"/>
    <w:rsid w:val="007B21A7"/>
    <w:rsid w:val="007C01D4"/>
    <w:rsid w:val="007C75B9"/>
    <w:rsid w:val="007D01AF"/>
    <w:rsid w:val="007D0CA4"/>
    <w:rsid w:val="007D46CF"/>
    <w:rsid w:val="007E0A57"/>
    <w:rsid w:val="007E73AA"/>
    <w:rsid w:val="007F258E"/>
    <w:rsid w:val="007F3CAF"/>
    <w:rsid w:val="007F5F31"/>
    <w:rsid w:val="008005EE"/>
    <w:rsid w:val="008043DA"/>
    <w:rsid w:val="008075B6"/>
    <w:rsid w:val="008079C7"/>
    <w:rsid w:val="0081326B"/>
    <w:rsid w:val="00813E5E"/>
    <w:rsid w:val="0081571F"/>
    <w:rsid w:val="00816AE5"/>
    <w:rsid w:val="008233AE"/>
    <w:rsid w:val="00825402"/>
    <w:rsid w:val="008275C8"/>
    <w:rsid w:val="0083581B"/>
    <w:rsid w:val="00844CCF"/>
    <w:rsid w:val="0084546D"/>
    <w:rsid w:val="008464FA"/>
    <w:rsid w:val="00857C0A"/>
    <w:rsid w:val="00861E0B"/>
    <w:rsid w:val="00863874"/>
    <w:rsid w:val="00864AFF"/>
    <w:rsid w:val="00865005"/>
    <w:rsid w:val="00865925"/>
    <w:rsid w:val="0086635A"/>
    <w:rsid w:val="008701DE"/>
    <w:rsid w:val="00870E74"/>
    <w:rsid w:val="0087121D"/>
    <w:rsid w:val="0087600B"/>
    <w:rsid w:val="008810EF"/>
    <w:rsid w:val="00886167"/>
    <w:rsid w:val="008872B2"/>
    <w:rsid w:val="008905FC"/>
    <w:rsid w:val="008907D0"/>
    <w:rsid w:val="00891462"/>
    <w:rsid w:val="00892377"/>
    <w:rsid w:val="00894F58"/>
    <w:rsid w:val="008A2BD6"/>
    <w:rsid w:val="008A3D47"/>
    <w:rsid w:val="008B0648"/>
    <w:rsid w:val="008B4A6A"/>
    <w:rsid w:val="008B7583"/>
    <w:rsid w:val="008B7C92"/>
    <w:rsid w:val="008C7E27"/>
    <w:rsid w:val="008D1E65"/>
    <w:rsid w:val="008D40BB"/>
    <w:rsid w:val="008D5172"/>
    <w:rsid w:val="008E2244"/>
    <w:rsid w:val="008E62FE"/>
    <w:rsid w:val="008F1089"/>
    <w:rsid w:val="008F13EF"/>
    <w:rsid w:val="008F7448"/>
    <w:rsid w:val="008F7999"/>
    <w:rsid w:val="00900ADC"/>
    <w:rsid w:val="0090147A"/>
    <w:rsid w:val="00904CA8"/>
    <w:rsid w:val="0090591C"/>
    <w:rsid w:val="00906CE2"/>
    <w:rsid w:val="00910659"/>
    <w:rsid w:val="0091625E"/>
    <w:rsid w:val="00916E07"/>
    <w:rsid w:val="009173EF"/>
    <w:rsid w:val="00923036"/>
    <w:rsid w:val="00926C72"/>
    <w:rsid w:val="009271B5"/>
    <w:rsid w:val="00932906"/>
    <w:rsid w:val="009337C0"/>
    <w:rsid w:val="009378F4"/>
    <w:rsid w:val="00940FE6"/>
    <w:rsid w:val="009418AF"/>
    <w:rsid w:val="00954C49"/>
    <w:rsid w:val="00961B0B"/>
    <w:rsid w:val="00962D33"/>
    <w:rsid w:val="00964A3D"/>
    <w:rsid w:val="00966D83"/>
    <w:rsid w:val="0097252B"/>
    <w:rsid w:val="00974BAB"/>
    <w:rsid w:val="0097646A"/>
    <w:rsid w:val="009768AF"/>
    <w:rsid w:val="0097741F"/>
    <w:rsid w:val="00982901"/>
    <w:rsid w:val="009842A1"/>
    <w:rsid w:val="00984C9B"/>
    <w:rsid w:val="00987A07"/>
    <w:rsid w:val="00987A08"/>
    <w:rsid w:val="00987E73"/>
    <w:rsid w:val="009910A1"/>
    <w:rsid w:val="00993A7C"/>
    <w:rsid w:val="00994A0A"/>
    <w:rsid w:val="009A4B72"/>
    <w:rsid w:val="009A76A8"/>
    <w:rsid w:val="009B0259"/>
    <w:rsid w:val="009B38C3"/>
    <w:rsid w:val="009B3964"/>
    <w:rsid w:val="009B4C0B"/>
    <w:rsid w:val="009C3838"/>
    <w:rsid w:val="009C3C36"/>
    <w:rsid w:val="009C543A"/>
    <w:rsid w:val="009C7900"/>
    <w:rsid w:val="009D1D3D"/>
    <w:rsid w:val="009D3BE5"/>
    <w:rsid w:val="009D3EA3"/>
    <w:rsid w:val="009D4D54"/>
    <w:rsid w:val="009D6E7D"/>
    <w:rsid w:val="009D73C0"/>
    <w:rsid w:val="009E17BD"/>
    <w:rsid w:val="009E247F"/>
    <w:rsid w:val="009E485A"/>
    <w:rsid w:val="009E51C0"/>
    <w:rsid w:val="009E7023"/>
    <w:rsid w:val="009F44FE"/>
    <w:rsid w:val="009F5A5F"/>
    <w:rsid w:val="00A04CEC"/>
    <w:rsid w:val="00A0722C"/>
    <w:rsid w:val="00A109AF"/>
    <w:rsid w:val="00A134D4"/>
    <w:rsid w:val="00A21C9D"/>
    <w:rsid w:val="00A254D7"/>
    <w:rsid w:val="00A2654F"/>
    <w:rsid w:val="00A27F92"/>
    <w:rsid w:val="00A32257"/>
    <w:rsid w:val="00A36D20"/>
    <w:rsid w:val="00A45537"/>
    <w:rsid w:val="00A514A4"/>
    <w:rsid w:val="00A52204"/>
    <w:rsid w:val="00A55622"/>
    <w:rsid w:val="00A56E79"/>
    <w:rsid w:val="00A57542"/>
    <w:rsid w:val="00A61419"/>
    <w:rsid w:val="00A65308"/>
    <w:rsid w:val="00A66A82"/>
    <w:rsid w:val="00A73B70"/>
    <w:rsid w:val="00A775CA"/>
    <w:rsid w:val="00A813ED"/>
    <w:rsid w:val="00A822F9"/>
    <w:rsid w:val="00A83502"/>
    <w:rsid w:val="00A90D94"/>
    <w:rsid w:val="00A91CD5"/>
    <w:rsid w:val="00A930DD"/>
    <w:rsid w:val="00A941B3"/>
    <w:rsid w:val="00A94BAB"/>
    <w:rsid w:val="00A9602C"/>
    <w:rsid w:val="00AA36E6"/>
    <w:rsid w:val="00AB1869"/>
    <w:rsid w:val="00AC00A5"/>
    <w:rsid w:val="00AC5D63"/>
    <w:rsid w:val="00AC66DB"/>
    <w:rsid w:val="00AC7299"/>
    <w:rsid w:val="00AD15B3"/>
    <w:rsid w:val="00AD3606"/>
    <w:rsid w:val="00AD4375"/>
    <w:rsid w:val="00AD4A3D"/>
    <w:rsid w:val="00AD4C77"/>
    <w:rsid w:val="00AD631C"/>
    <w:rsid w:val="00AD657A"/>
    <w:rsid w:val="00AE10D4"/>
    <w:rsid w:val="00AE24FA"/>
    <w:rsid w:val="00AF6E49"/>
    <w:rsid w:val="00B04A67"/>
    <w:rsid w:val="00B0583C"/>
    <w:rsid w:val="00B139A0"/>
    <w:rsid w:val="00B13A8C"/>
    <w:rsid w:val="00B14FFA"/>
    <w:rsid w:val="00B16B78"/>
    <w:rsid w:val="00B20298"/>
    <w:rsid w:val="00B230FD"/>
    <w:rsid w:val="00B33C0F"/>
    <w:rsid w:val="00B40A81"/>
    <w:rsid w:val="00B44910"/>
    <w:rsid w:val="00B46FF4"/>
    <w:rsid w:val="00B5109F"/>
    <w:rsid w:val="00B5387B"/>
    <w:rsid w:val="00B57805"/>
    <w:rsid w:val="00B601D4"/>
    <w:rsid w:val="00B60267"/>
    <w:rsid w:val="00B60B27"/>
    <w:rsid w:val="00B71C90"/>
    <w:rsid w:val="00B72267"/>
    <w:rsid w:val="00B7246B"/>
    <w:rsid w:val="00B74CEE"/>
    <w:rsid w:val="00B7687D"/>
    <w:rsid w:val="00B76EB6"/>
    <w:rsid w:val="00B7737B"/>
    <w:rsid w:val="00B81EDB"/>
    <w:rsid w:val="00B824C8"/>
    <w:rsid w:val="00B84B9D"/>
    <w:rsid w:val="00B9131F"/>
    <w:rsid w:val="00B9164D"/>
    <w:rsid w:val="00B97AF1"/>
    <w:rsid w:val="00BB0646"/>
    <w:rsid w:val="00BB2FE6"/>
    <w:rsid w:val="00BB4C1A"/>
    <w:rsid w:val="00BB64E6"/>
    <w:rsid w:val="00BC251A"/>
    <w:rsid w:val="00BC4A20"/>
    <w:rsid w:val="00BD032B"/>
    <w:rsid w:val="00BD3449"/>
    <w:rsid w:val="00BD49C2"/>
    <w:rsid w:val="00BD4EF4"/>
    <w:rsid w:val="00BE01C6"/>
    <w:rsid w:val="00BE2640"/>
    <w:rsid w:val="00BE3053"/>
    <w:rsid w:val="00BE35EA"/>
    <w:rsid w:val="00BF1FDE"/>
    <w:rsid w:val="00C00740"/>
    <w:rsid w:val="00C01189"/>
    <w:rsid w:val="00C03AF7"/>
    <w:rsid w:val="00C0458D"/>
    <w:rsid w:val="00C13138"/>
    <w:rsid w:val="00C148DF"/>
    <w:rsid w:val="00C201F0"/>
    <w:rsid w:val="00C21225"/>
    <w:rsid w:val="00C25595"/>
    <w:rsid w:val="00C26440"/>
    <w:rsid w:val="00C269DF"/>
    <w:rsid w:val="00C2728F"/>
    <w:rsid w:val="00C31B78"/>
    <w:rsid w:val="00C374DE"/>
    <w:rsid w:val="00C415A3"/>
    <w:rsid w:val="00C452BA"/>
    <w:rsid w:val="00C475FF"/>
    <w:rsid w:val="00C47AD4"/>
    <w:rsid w:val="00C52D81"/>
    <w:rsid w:val="00C55198"/>
    <w:rsid w:val="00C564D2"/>
    <w:rsid w:val="00C60396"/>
    <w:rsid w:val="00C62FC2"/>
    <w:rsid w:val="00C6452A"/>
    <w:rsid w:val="00C6520B"/>
    <w:rsid w:val="00C66BD2"/>
    <w:rsid w:val="00C66CAB"/>
    <w:rsid w:val="00C808D1"/>
    <w:rsid w:val="00C813A9"/>
    <w:rsid w:val="00C814D7"/>
    <w:rsid w:val="00C83E80"/>
    <w:rsid w:val="00C84806"/>
    <w:rsid w:val="00C85D1A"/>
    <w:rsid w:val="00C9159C"/>
    <w:rsid w:val="00C92034"/>
    <w:rsid w:val="00C9307B"/>
    <w:rsid w:val="00CA05D7"/>
    <w:rsid w:val="00CA6393"/>
    <w:rsid w:val="00CA6A9A"/>
    <w:rsid w:val="00CA7995"/>
    <w:rsid w:val="00CB18FF"/>
    <w:rsid w:val="00CB1C32"/>
    <w:rsid w:val="00CB1F4E"/>
    <w:rsid w:val="00CB2580"/>
    <w:rsid w:val="00CB393A"/>
    <w:rsid w:val="00CB4E53"/>
    <w:rsid w:val="00CC10A2"/>
    <w:rsid w:val="00CC4FEB"/>
    <w:rsid w:val="00CC5084"/>
    <w:rsid w:val="00CD0C08"/>
    <w:rsid w:val="00CD1647"/>
    <w:rsid w:val="00CD4FF8"/>
    <w:rsid w:val="00CE03FB"/>
    <w:rsid w:val="00CE358F"/>
    <w:rsid w:val="00CE433C"/>
    <w:rsid w:val="00CE5654"/>
    <w:rsid w:val="00CE6B9A"/>
    <w:rsid w:val="00CE6FB9"/>
    <w:rsid w:val="00CF0161"/>
    <w:rsid w:val="00CF33F3"/>
    <w:rsid w:val="00CF4A2B"/>
    <w:rsid w:val="00D024CA"/>
    <w:rsid w:val="00D026CA"/>
    <w:rsid w:val="00D03BD2"/>
    <w:rsid w:val="00D06183"/>
    <w:rsid w:val="00D14409"/>
    <w:rsid w:val="00D228B2"/>
    <w:rsid w:val="00D22C42"/>
    <w:rsid w:val="00D24FF1"/>
    <w:rsid w:val="00D30217"/>
    <w:rsid w:val="00D3176E"/>
    <w:rsid w:val="00D31E22"/>
    <w:rsid w:val="00D321B0"/>
    <w:rsid w:val="00D34ECB"/>
    <w:rsid w:val="00D368F9"/>
    <w:rsid w:val="00D444B1"/>
    <w:rsid w:val="00D45D15"/>
    <w:rsid w:val="00D56907"/>
    <w:rsid w:val="00D57561"/>
    <w:rsid w:val="00D65041"/>
    <w:rsid w:val="00D67CC5"/>
    <w:rsid w:val="00D70609"/>
    <w:rsid w:val="00D75072"/>
    <w:rsid w:val="00D75C3C"/>
    <w:rsid w:val="00D8320E"/>
    <w:rsid w:val="00D87DAC"/>
    <w:rsid w:val="00D9365C"/>
    <w:rsid w:val="00D938B2"/>
    <w:rsid w:val="00D95215"/>
    <w:rsid w:val="00DA0A5E"/>
    <w:rsid w:val="00DA27F7"/>
    <w:rsid w:val="00DA462B"/>
    <w:rsid w:val="00DA47E7"/>
    <w:rsid w:val="00DA7FE1"/>
    <w:rsid w:val="00DB1936"/>
    <w:rsid w:val="00DB384B"/>
    <w:rsid w:val="00DB69BE"/>
    <w:rsid w:val="00DC2088"/>
    <w:rsid w:val="00DC30E2"/>
    <w:rsid w:val="00DC4272"/>
    <w:rsid w:val="00DC6766"/>
    <w:rsid w:val="00DC79D0"/>
    <w:rsid w:val="00DD3EED"/>
    <w:rsid w:val="00DE2380"/>
    <w:rsid w:val="00DE2984"/>
    <w:rsid w:val="00DE532B"/>
    <w:rsid w:val="00DE580C"/>
    <w:rsid w:val="00DF0189"/>
    <w:rsid w:val="00E030F6"/>
    <w:rsid w:val="00E06FD5"/>
    <w:rsid w:val="00E07412"/>
    <w:rsid w:val="00E10E80"/>
    <w:rsid w:val="00E11C41"/>
    <w:rsid w:val="00E124F0"/>
    <w:rsid w:val="00E12641"/>
    <w:rsid w:val="00E139C6"/>
    <w:rsid w:val="00E1749E"/>
    <w:rsid w:val="00E179E7"/>
    <w:rsid w:val="00E207F1"/>
    <w:rsid w:val="00E227F3"/>
    <w:rsid w:val="00E25C94"/>
    <w:rsid w:val="00E25FBF"/>
    <w:rsid w:val="00E34900"/>
    <w:rsid w:val="00E36111"/>
    <w:rsid w:val="00E36377"/>
    <w:rsid w:val="00E41509"/>
    <w:rsid w:val="00E4312D"/>
    <w:rsid w:val="00E54260"/>
    <w:rsid w:val="00E543F5"/>
    <w:rsid w:val="00E545C6"/>
    <w:rsid w:val="00E60F04"/>
    <w:rsid w:val="00E64E82"/>
    <w:rsid w:val="00E65B24"/>
    <w:rsid w:val="00E75448"/>
    <w:rsid w:val="00E80EB9"/>
    <w:rsid w:val="00E8220A"/>
    <w:rsid w:val="00E83D26"/>
    <w:rsid w:val="00E854E4"/>
    <w:rsid w:val="00E8609C"/>
    <w:rsid w:val="00E86DBF"/>
    <w:rsid w:val="00E94E56"/>
    <w:rsid w:val="00E969AF"/>
    <w:rsid w:val="00EA256C"/>
    <w:rsid w:val="00EB0D6F"/>
    <w:rsid w:val="00EB19F6"/>
    <w:rsid w:val="00EB1DB8"/>
    <w:rsid w:val="00EB2232"/>
    <w:rsid w:val="00EB7502"/>
    <w:rsid w:val="00EC0716"/>
    <w:rsid w:val="00EC3803"/>
    <w:rsid w:val="00EC5337"/>
    <w:rsid w:val="00ED0BEE"/>
    <w:rsid w:val="00EE18E3"/>
    <w:rsid w:val="00EE222B"/>
    <w:rsid w:val="00EE49E8"/>
    <w:rsid w:val="00EE5067"/>
    <w:rsid w:val="00EE728F"/>
    <w:rsid w:val="00EF186B"/>
    <w:rsid w:val="00EF34FE"/>
    <w:rsid w:val="00EF5834"/>
    <w:rsid w:val="00EF656C"/>
    <w:rsid w:val="00EF69C5"/>
    <w:rsid w:val="00F01D6E"/>
    <w:rsid w:val="00F12833"/>
    <w:rsid w:val="00F16BAB"/>
    <w:rsid w:val="00F17305"/>
    <w:rsid w:val="00F2150A"/>
    <w:rsid w:val="00F22569"/>
    <w:rsid w:val="00F231D8"/>
    <w:rsid w:val="00F25367"/>
    <w:rsid w:val="00F2575E"/>
    <w:rsid w:val="00F25CAD"/>
    <w:rsid w:val="00F26C8E"/>
    <w:rsid w:val="00F30948"/>
    <w:rsid w:val="00F31D7C"/>
    <w:rsid w:val="00F44C00"/>
    <w:rsid w:val="00F45D2C"/>
    <w:rsid w:val="00F45F35"/>
    <w:rsid w:val="00F467A3"/>
    <w:rsid w:val="00F46C5F"/>
    <w:rsid w:val="00F51268"/>
    <w:rsid w:val="00F519A8"/>
    <w:rsid w:val="00F53FF5"/>
    <w:rsid w:val="00F57EA9"/>
    <w:rsid w:val="00F610CA"/>
    <w:rsid w:val="00F632C0"/>
    <w:rsid w:val="00F641E1"/>
    <w:rsid w:val="00F657C9"/>
    <w:rsid w:val="00F73AB1"/>
    <w:rsid w:val="00F740CE"/>
    <w:rsid w:val="00F76863"/>
    <w:rsid w:val="00F80CA1"/>
    <w:rsid w:val="00F84149"/>
    <w:rsid w:val="00F8417F"/>
    <w:rsid w:val="00F91E46"/>
    <w:rsid w:val="00F947B7"/>
    <w:rsid w:val="00F94A63"/>
    <w:rsid w:val="00F95873"/>
    <w:rsid w:val="00F96C8B"/>
    <w:rsid w:val="00FA1C28"/>
    <w:rsid w:val="00FA3090"/>
    <w:rsid w:val="00FA7A87"/>
    <w:rsid w:val="00FB1279"/>
    <w:rsid w:val="00FB647D"/>
    <w:rsid w:val="00FB6B76"/>
    <w:rsid w:val="00FB6DDA"/>
    <w:rsid w:val="00FB7596"/>
    <w:rsid w:val="00FB76AB"/>
    <w:rsid w:val="00FC0F13"/>
    <w:rsid w:val="00FC24D1"/>
    <w:rsid w:val="00FC688A"/>
    <w:rsid w:val="00FD35C7"/>
    <w:rsid w:val="00FE0D99"/>
    <w:rsid w:val="00FE3C31"/>
    <w:rsid w:val="00FE4077"/>
    <w:rsid w:val="00FE500D"/>
    <w:rsid w:val="00FE77D2"/>
    <w:rsid w:val="00FF39B1"/>
    <w:rsid w:val="00FF3C8A"/>
    <w:rsid w:val="00FF4BF0"/>
    <w:rsid w:val="00FF587E"/>
    <w:rsid w:val="0699D9F7"/>
    <w:rsid w:val="0A3BCE5A"/>
    <w:rsid w:val="11EC75C6"/>
    <w:rsid w:val="1380DB0D"/>
    <w:rsid w:val="2E855BB7"/>
    <w:rsid w:val="3D6D6DCC"/>
    <w:rsid w:val="48AFFE68"/>
    <w:rsid w:val="4B1D93CE"/>
    <w:rsid w:val="4E6F5DF8"/>
    <w:rsid w:val="500A6FC6"/>
    <w:rsid w:val="52C1CF06"/>
    <w:rsid w:val="596F7B82"/>
    <w:rsid w:val="5DB62AC2"/>
    <w:rsid w:val="5DDE76D7"/>
    <w:rsid w:val="67677DAC"/>
    <w:rsid w:val="67D85B71"/>
    <w:rsid w:val="6963B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DA2C7"/>
  <w15:docId w15:val="{3FD3207D-C0B2-4F8C-B09C-58FB277D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31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C813A9"/>
    <w:pPr>
      <w:framePr w:hSpace="181" w:wrap="around" w:vAnchor="page" w:hAnchor="page" w:x="1589" w:y="2314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36FB0"/>
    <w:pPr>
      <w:spacing w:before="40" w:after="40"/>
    </w:pPr>
    <w:rPr>
      <w:sz w:val="20"/>
      <w:lang w:val="en-US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customStyle="1" w:styleId="normaltextrun">
    <w:name w:val="normaltextrun"/>
    <w:basedOn w:val="DefaultParagraphFont"/>
    <w:rsid w:val="00825402"/>
  </w:style>
  <w:style w:type="character" w:customStyle="1" w:styleId="eop">
    <w:name w:val="eop"/>
    <w:basedOn w:val="DefaultParagraphFont"/>
    <w:rsid w:val="00825402"/>
  </w:style>
  <w:style w:type="paragraph" w:styleId="CommentText">
    <w:name w:val="annotation text"/>
    <w:basedOn w:val="Normal"/>
    <w:link w:val="CommentTextChar"/>
    <w:semiHidden/>
    <w:unhideWhenUsed/>
    <w:rsid w:val="007C75B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75B9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C75B9"/>
    <w:rPr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F17305"/>
    <w:pPr>
      <w:spacing w:before="0" w:after="200"/>
    </w:pPr>
    <w:rPr>
      <w:i/>
      <w:iCs/>
      <w:color w:val="1F497D" w:themeColor="text2"/>
      <w:sz w:val="18"/>
      <w:szCs w:val="18"/>
    </w:rPr>
  </w:style>
  <w:style w:type="table" w:styleId="PlainTable1">
    <w:name w:val="Plain Table 1"/>
    <w:basedOn w:val="TableNormal"/>
    <w:uiPriority w:val="41"/>
    <w:rsid w:val="00D302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CL-C-0049/en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itu.int/md/S26-CL-C-0049/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L-C-0057/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CL-C-0057/en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50e10f4973fb8c33128ea71e835d6bdc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A2C9C-8ADA-420B-B73C-479384479E9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4c22657-7647-457b-a399-8471255bb1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8F23A-63A6-4386-A898-AEB0FE777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D5BD6-1D85-456B-8404-896B68A25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562</Words>
  <Characters>3563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on ITU’s implementation of recommendations from the Joint Inspection Unit of the United Nations (JIU)</vt:lpstr>
    </vt:vector>
  </TitlesOfParts>
  <Manager>General Secretariat</Manager>
  <Company>International Telecommunication Union (ITU)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ITU’s implementation of recommendations from the Joint Inspection Unit of the United Nations (JIU)</dc:title>
  <dc:subject>ITU Council 2026</dc:subject>
  <cp:keywords>C26; C2026; Council 2026; PP26</cp:keywords>
  <dc:description/>
  <cp:lastPrinted>2000-07-18T22:30:00Z</cp:lastPrinted>
  <dcterms:created xsi:type="dcterms:W3CDTF">2026-04-10T15:58:00Z</dcterms:created>
  <dcterms:modified xsi:type="dcterms:W3CDTF">2026-04-10T15:59:00Z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