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6719BFA8" w14:textId="77777777" w:rsidTr="12FC2AA8">
        <w:trPr>
          <w:cantSplit/>
          <w:trHeight w:val="23"/>
        </w:trPr>
        <w:tc>
          <w:tcPr>
            <w:tcW w:w="3969" w:type="dxa"/>
            <w:vMerge w:val="restart"/>
            <w:tcMar>
              <w:left w:w="0" w:type="dxa"/>
            </w:tcMar>
          </w:tcPr>
          <w:p w14:paraId="59F10C9D" w14:textId="1595ADB0"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F7DC5CB" w14:textId="26704D85"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CA0A45">
              <w:rPr>
                <w:b/>
              </w:rPr>
              <w:t>INF/</w:t>
            </w:r>
            <w:r w:rsidR="0075766A">
              <w:rPr>
                <w:b/>
              </w:rPr>
              <w:t>13</w:t>
            </w:r>
          </w:p>
        </w:tc>
      </w:tr>
      <w:tr w:rsidR="00AD3606" w:rsidRPr="00C0458D" w14:paraId="7DBDBE7B" w14:textId="77777777" w:rsidTr="12FC2AA8">
        <w:trPr>
          <w:cantSplit/>
        </w:trPr>
        <w:tc>
          <w:tcPr>
            <w:tcW w:w="3969" w:type="dxa"/>
            <w:vMerge/>
          </w:tcPr>
          <w:p w14:paraId="61DA71BC"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144A341B" w14:textId="2BF4338A" w:rsidR="00AD3606" w:rsidRPr="00C0458D" w:rsidRDefault="000C3260" w:rsidP="00954C49">
            <w:pPr>
              <w:tabs>
                <w:tab w:val="left" w:pos="851"/>
              </w:tabs>
              <w:spacing w:before="0"/>
              <w:jc w:val="right"/>
              <w:rPr>
                <w:b/>
              </w:rPr>
            </w:pPr>
            <w:r>
              <w:rPr>
                <w:b/>
              </w:rPr>
              <w:t>10 April</w:t>
            </w:r>
            <w:r w:rsidR="000511BD">
              <w:rPr>
                <w:b/>
              </w:rPr>
              <w:t xml:space="preserve"> 2026</w:t>
            </w:r>
          </w:p>
        </w:tc>
      </w:tr>
      <w:tr w:rsidR="00AD3606" w:rsidRPr="00C0458D" w14:paraId="20D60D94" w14:textId="77777777" w:rsidTr="12FC2AA8">
        <w:trPr>
          <w:cantSplit/>
          <w:trHeight w:val="23"/>
        </w:trPr>
        <w:tc>
          <w:tcPr>
            <w:tcW w:w="3969" w:type="dxa"/>
            <w:vMerge/>
          </w:tcPr>
          <w:p w14:paraId="73416A3E"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F95CC94" w14:textId="5222CBA9" w:rsidR="00AD3606" w:rsidRPr="00C0458D" w:rsidRDefault="00AD3606" w:rsidP="12FC2AA8">
            <w:pPr>
              <w:tabs>
                <w:tab w:val="left" w:pos="851"/>
              </w:tabs>
              <w:spacing w:before="0" w:line="240" w:lineRule="atLeast"/>
              <w:jc w:val="right"/>
              <w:rPr>
                <w:b/>
                <w:bCs/>
              </w:rPr>
            </w:pPr>
            <w:r w:rsidRPr="12FC2AA8">
              <w:rPr>
                <w:b/>
                <w:bCs/>
              </w:rPr>
              <w:t>English</w:t>
            </w:r>
            <w:r w:rsidR="445E947D" w:rsidRPr="12FC2AA8">
              <w:rPr>
                <w:b/>
                <w:bCs/>
              </w:rPr>
              <w:t xml:space="preserve"> only</w:t>
            </w:r>
          </w:p>
        </w:tc>
      </w:tr>
      <w:tr w:rsidR="00472BAD" w:rsidRPr="00C0458D" w14:paraId="1949EA04" w14:textId="77777777" w:rsidTr="12FC2AA8">
        <w:trPr>
          <w:cantSplit/>
          <w:trHeight w:val="23"/>
        </w:trPr>
        <w:tc>
          <w:tcPr>
            <w:tcW w:w="3969" w:type="dxa"/>
          </w:tcPr>
          <w:p w14:paraId="4ED3A900" w14:textId="77777777" w:rsidR="00472BAD" w:rsidRPr="00C0458D" w:rsidRDefault="00472BAD" w:rsidP="00954C49">
            <w:pPr>
              <w:tabs>
                <w:tab w:val="left" w:pos="851"/>
              </w:tabs>
              <w:spacing w:line="240" w:lineRule="atLeast"/>
              <w:rPr>
                <w:b/>
              </w:rPr>
            </w:pPr>
          </w:p>
        </w:tc>
        <w:tc>
          <w:tcPr>
            <w:tcW w:w="5245" w:type="dxa"/>
          </w:tcPr>
          <w:p w14:paraId="290754B8" w14:textId="77777777" w:rsidR="00472BAD" w:rsidRPr="00C0458D" w:rsidRDefault="00472BAD" w:rsidP="00954C49">
            <w:pPr>
              <w:tabs>
                <w:tab w:val="left" w:pos="851"/>
              </w:tabs>
              <w:spacing w:before="0" w:line="240" w:lineRule="atLeast"/>
              <w:jc w:val="right"/>
              <w:rPr>
                <w:b/>
              </w:rPr>
            </w:pPr>
          </w:p>
        </w:tc>
      </w:tr>
      <w:tr w:rsidR="00AD3606" w:rsidRPr="00C0458D" w14:paraId="6EA9E901" w14:textId="77777777" w:rsidTr="12FC2AA8">
        <w:trPr>
          <w:cantSplit/>
        </w:trPr>
        <w:tc>
          <w:tcPr>
            <w:tcW w:w="9214" w:type="dxa"/>
            <w:gridSpan w:val="2"/>
            <w:tcMar>
              <w:left w:w="0" w:type="dxa"/>
            </w:tcMar>
          </w:tcPr>
          <w:p w14:paraId="43A366C2" w14:textId="2358C768" w:rsidR="00AD3606" w:rsidRPr="00C0458D" w:rsidRDefault="00CA0A45" w:rsidP="00954C49">
            <w:pPr>
              <w:pStyle w:val="Source"/>
              <w:framePr w:hSpace="0" w:wrap="auto" w:vAnchor="margin" w:hAnchor="text" w:yAlign="inline"/>
            </w:pPr>
            <w:bookmarkStart w:id="8" w:name="dsource" w:colFirst="0" w:colLast="0"/>
            <w:bookmarkEnd w:id="7"/>
            <w:r>
              <w:t xml:space="preserve">Note </w:t>
            </w:r>
            <w:r w:rsidR="00AD3606" w:rsidRPr="00C0458D">
              <w:t>by the Secretary-General</w:t>
            </w:r>
          </w:p>
        </w:tc>
      </w:tr>
      <w:tr w:rsidR="00AD3606" w:rsidRPr="00C0458D" w14:paraId="0CFD56CF" w14:textId="77777777" w:rsidTr="12FC2AA8">
        <w:trPr>
          <w:cantSplit/>
        </w:trPr>
        <w:tc>
          <w:tcPr>
            <w:tcW w:w="9214" w:type="dxa"/>
            <w:gridSpan w:val="2"/>
            <w:tcMar>
              <w:left w:w="0" w:type="dxa"/>
            </w:tcMar>
          </w:tcPr>
          <w:p w14:paraId="075CC4FA" w14:textId="2DED4CA8" w:rsidR="00AD3606" w:rsidRPr="00576DDC" w:rsidRDefault="00576DDC" w:rsidP="00954C49">
            <w:pPr>
              <w:pStyle w:val="Subtitle"/>
              <w:framePr w:hSpace="0" w:wrap="auto" w:hAnchor="text" w:xAlign="left" w:yAlign="inline"/>
              <w:rPr>
                <w:caps/>
              </w:rPr>
            </w:pPr>
            <w:bookmarkStart w:id="9" w:name="dtitle1" w:colFirst="0" w:colLast="0"/>
            <w:bookmarkEnd w:id="8"/>
            <w:r w:rsidRPr="00576DDC">
              <w:rPr>
                <w:caps/>
              </w:rPr>
              <w:t xml:space="preserve">Guidelines to support delegations in the preparation of policy statements for </w:t>
            </w:r>
            <w:r>
              <w:rPr>
                <w:caps/>
              </w:rPr>
              <w:t xml:space="preserve">the </w:t>
            </w:r>
            <w:r w:rsidR="0075766A">
              <w:rPr>
                <w:caps/>
              </w:rPr>
              <w:t xml:space="preserve">2026 </w:t>
            </w:r>
            <w:r>
              <w:rPr>
                <w:caps/>
              </w:rPr>
              <w:t>plenipotentiary conference</w:t>
            </w:r>
          </w:p>
        </w:tc>
      </w:tr>
      <w:tr w:rsidR="00AD3606" w:rsidRPr="00C0458D" w14:paraId="701D4568" w14:textId="77777777" w:rsidTr="12FC2AA8">
        <w:trPr>
          <w:cantSplit/>
        </w:trPr>
        <w:tc>
          <w:tcPr>
            <w:tcW w:w="9214" w:type="dxa"/>
            <w:gridSpan w:val="2"/>
            <w:tcBorders>
              <w:top w:val="single" w:sz="4" w:space="0" w:color="auto"/>
              <w:bottom w:val="single" w:sz="4" w:space="0" w:color="auto"/>
            </w:tcBorders>
            <w:tcMar>
              <w:left w:w="0" w:type="dxa"/>
            </w:tcMar>
          </w:tcPr>
          <w:p w14:paraId="6DF7E836" w14:textId="77777777" w:rsidR="00AD3606" w:rsidRPr="00C0458D" w:rsidRDefault="00F16BAB" w:rsidP="00954C49">
            <w:pPr>
              <w:spacing w:before="160"/>
              <w:rPr>
                <w:b/>
                <w:bCs/>
                <w:sz w:val="26"/>
                <w:szCs w:val="26"/>
              </w:rPr>
            </w:pPr>
            <w:r w:rsidRPr="00C0458D">
              <w:rPr>
                <w:b/>
                <w:bCs/>
                <w:sz w:val="26"/>
                <w:szCs w:val="26"/>
              </w:rPr>
              <w:t>Purpose</w:t>
            </w:r>
          </w:p>
          <w:p w14:paraId="5A94557A" w14:textId="6316FB2E" w:rsidR="00AD3606" w:rsidRPr="00E302FE" w:rsidRDefault="00687557" w:rsidP="00E302FE">
            <w:pPr>
              <w:tabs>
                <w:tab w:val="clear" w:pos="567"/>
                <w:tab w:val="clear" w:pos="1134"/>
                <w:tab w:val="clear" w:pos="1701"/>
                <w:tab w:val="clear" w:pos="2268"/>
                <w:tab w:val="clear" w:pos="2835"/>
              </w:tabs>
              <w:overflowPunct/>
              <w:autoSpaceDE/>
              <w:autoSpaceDN/>
              <w:adjustRightInd/>
              <w:spacing w:before="0" w:line="300" w:lineRule="atLeast"/>
              <w:jc w:val="both"/>
              <w:textAlignment w:val="auto"/>
              <w:rPr>
                <w:rFonts w:asciiTheme="minorHAnsi" w:hAnsiTheme="minorHAnsi" w:cstheme="minorHAnsi"/>
                <w:szCs w:val="24"/>
                <w:lang w:eastAsia="en-GB"/>
              </w:rPr>
            </w:pPr>
            <w:r w:rsidRPr="00E302FE">
              <w:rPr>
                <w:rFonts w:asciiTheme="minorHAnsi" w:hAnsiTheme="minorHAnsi" w:cstheme="minorHAnsi"/>
                <w:szCs w:val="24"/>
              </w:rPr>
              <w:t>As part of the preparations for the Plenipotentiary Conference 2026 (PP</w:t>
            </w:r>
            <w:r w:rsidRPr="00E302FE">
              <w:rPr>
                <w:rFonts w:asciiTheme="minorHAnsi" w:hAnsiTheme="minorHAnsi" w:cstheme="minorHAnsi"/>
                <w:szCs w:val="24"/>
              </w:rPr>
              <w:noBreakHyphen/>
              <w:t xml:space="preserve">26), guidelines </w:t>
            </w:r>
            <w:r w:rsidR="00846617">
              <w:rPr>
                <w:rFonts w:asciiTheme="minorHAnsi" w:hAnsiTheme="minorHAnsi" w:cstheme="minorHAnsi"/>
                <w:szCs w:val="24"/>
              </w:rPr>
              <w:t>have been</w:t>
            </w:r>
            <w:r w:rsidRPr="00E302FE">
              <w:rPr>
                <w:rFonts w:asciiTheme="minorHAnsi" w:hAnsiTheme="minorHAnsi" w:cstheme="minorHAnsi"/>
                <w:szCs w:val="24"/>
              </w:rPr>
              <w:t xml:space="preserve"> developed to </w:t>
            </w:r>
            <w:r w:rsidR="00DA671D" w:rsidRPr="00E302FE">
              <w:rPr>
                <w:rFonts w:asciiTheme="minorHAnsi" w:hAnsiTheme="minorHAnsi" w:cstheme="minorHAnsi"/>
                <w:szCs w:val="24"/>
              </w:rPr>
              <w:t>support</w:t>
            </w:r>
            <w:r w:rsidRPr="00E302FE">
              <w:rPr>
                <w:rFonts w:asciiTheme="minorHAnsi" w:hAnsiTheme="minorHAnsi" w:cstheme="minorHAnsi"/>
                <w:szCs w:val="24"/>
              </w:rPr>
              <w:t xml:space="preserve"> delegations in preparing the policy statements to be delivered at the </w:t>
            </w:r>
            <w:r w:rsidR="009855F1">
              <w:rPr>
                <w:rFonts w:asciiTheme="minorHAnsi" w:hAnsiTheme="minorHAnsi" w:cstheme="minorHAnsi"/>
                <w:szCs w:val="24"/>
              </w:rPr>
              <w:t>C</w:t>
            </w:r>
            <w:r w:rsidRPr="00E302FE">
              <w:rPr>
                <w:rFonts w:asciiTheme="minorHAnsi" w:hAnsiTheme="minorHAnsi" w:cstheme="minorHAnsi"/>
                <w:szCs w:val="24"/>
              </w:rPr>
              <w:t>onference</w:t>
            </w:r>
            <w:r w:rsidRPr="00E302FE">
              <w:rPr>
                <w:rFonts w:asciiTheme="minorHAnsi" w:hAnsiTheme="minorHAnsi" w:cstheme="minorHAnsi"/>
                <w:szCs w:val="24"/>
                <w:lang w:eastAsia="en-GB"/>
              </w:rPr>
              <w:t>.</w:t>
            </w:r>
          </w:p>
          <w:p w14:paraId="07A01EE3"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4CD9DB8" w14:textId="6336B6F6" w:rsidR="00722551" w:rsidRDefault="00CA0A45" w:rsidP="00954C49">
            <w:r w:rsidRPr="00CA0A45">
              <w:t xml:space="preserve">This document is transmitted to the Council </w:t>
            </w:r>
            <w:r w:rsidRPr="00CA0A45">
              <w:rPr>
                <w:b/>
                <w:bCs/>
              </w:rPr>
              <w:t>for information</w:t>
            </w:r>
            <w:r w:rsidRPr="00CA0A45">
              <w:t>.</w:t>
            </w:r>
          </w:p>
          <w:p w14:paraId="7DDC342D" w14:textId="77777777" w:rsidR="00C0458D" w:rsidRDefault="00C0458D" w:rsidP="00954C49">
            <w:r>
              <w:t>_______________</w:t>
            </w:r>
          </w:p>
          <w:p w14:paraId="03CAA4BA" w14:textId="77777777" w:rsidR="00AD3606" w:rsidRPr="00C0458D" w:rsidRDefault="00AD3606" w:rsidP="00954C49">
            <w:pPr>
              <w:spacing w:before="160"/>
              <w:rPr>
                <w:b/>
                <w:bCs/>
                <w:sz w:val="26"/>
                <w:szCs w:val="26"/>
              </w:rPr>
            </w:pPr>
            <w:r w:rsidRPr="00C0458D">
              <w:rPr>
                <w:b/>
                <w:bCs/>
                <w:sz w:val="26"/>
                <w:szCs w:val="26"/>
              </w:rPr>
              <w:t>References</w:t>
            </w:r>
          </w:p>
          <w:p w14:paraId="101E2926" w14:textId="4F9A6566" w:rsidR="00AD3606" w:rsidRPr="00722551" w:rsidRDefault="003E04AB" w:rsidP="00954C49">
            <w:pPr>
              <w:spacing w:after="160"/>
              <w:rPr>
                <w:i/>
                <w:iCs/>
                <w:sz w:val="22"/>
                <w:szCs w:val="22"/>
              </w:rPr>
            </w:pPr>
            <w:hyperlink r:id="rId11" w:history="1">
              <w:r w:rsidRPr="00D33FF9">
                <w:rPr>
                  <w:rStyle w:val="Hyperlink"/>
                  <w:i/>
                  <w:iCs/>
                  <w:sz w:val="22"/>
                  <w:szCs w:val="22"/>
                </w:rPr>
                <w:t>PP-26 website</w:t>
              </w:r>
            </w:hyperlink>
          </w:p>
        </w:tc>
      </w:tr>
    </w:tbl>
    <w:p w14:paraId="2DFCA63C"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0822496"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5B6938E9" w14:textId="121378D8" w:rsidR="00E224C3" w:rsidRPr="00E224C3" w:rsidRDefault="00E224C3" w:rsidP="005D6471">
      <w:pPr>
        <w:pStyle w:val="Annextitle"/>
        <w:rPr>
          <w:sz w:val="18"/>
          <w:szCs w:val="18"/>
        </w:rPr>
      </w:pPr>
      <w:r w:rsidRPr="00E224C3">
        <w:rPr>
          <w:lang w:val="en-US"/>
        </w:rPr>
        <w:lastRenderedPageBreak/>
        <w:t xml:space="preserve">Guidelines to support delegations in the preparation of </w:t>
      </w:r>
      <w:r w:rsidR="005D6471">
        <w:rPr>
          <w:lang w:val="en-US"/>
        </w:rPr>
        <w:br/>
      </w:r>
      <w:r w:rsidRPr="00E224C3">
        <w:rPr>
          <w:lang w:val="en-US"/>
        </w:rPr>
        <w:t>policy statements for PP</w:t>
      </w:r>
      <w:r w:rsidRPr="00E224C3">
        <w:rPr>
          <w:lang w:val="en-US"/>
        </w:rPr>
        <w:noBreakHyphen/>
        <w:t>26</w:t>
      </w:r>
    </w:p>
    <w:p w14:paraId="6EB9191C" w14:textId="46660A96" w:rsidR="00E224C3" w:rsidRPr="00E224C3" w:rsidRDefault="00E224C3" w:rsidP="005D6471">
      <w:pPr>
        <w:pStyle w:val="Headingb"/>
        <w:rPr>
          <w:sz w:val="18"/>
          <w:szCs w:val="18"/>
        </w:rPr>
      </w:pPr>
      <w:r w:rsidRPr="00E224C3">
        <w:rPr>
          <w:lang w:val="en-US"/>
        </w:rPr>
        <w:t>Introduction</w:t>
      </w:r>
    </w:p>
    <w:p w14:paraId="4E05388A" w14:textId="716C1D7A" w:rsidR="00E224C3" w:rsidRPr="00E224C3" w:rsidRDefault="50AA2161" w:rsidP="005D6471">
      <w:pPr>
        <w:jc w:val="both"/>
        <w:rPr>
          <w:sz w:val="18"/>
          <w:szCs w:val="18"/>
        </w:rPr>
      </w:pPr>
      <w:r w:rsidRPr="4EA9A47A">
        <w:rPr>
          <w:lang w:val="en-US"/>
        </w:rPr>
        <w:t>In 2026, ITU Member States will</w:t>
      </w:r>
      <w:r w:rsidR="2B81FEA0" w:rsidRPr="4EA9A47A">
        <w:rPr>
          <w:lang w:val="en-US"/>
        </w:rPr>
        <w:t xml:space="preserve"> </w:t>
      </w:r>
      <w:r w:rsidRPr="4EA9A47A">
        <w:rPr>
          <w:lang w:val="en-US"/>
        </w:rPr>
        <w:t>convene</w:t>
      </w:r>
      <w:r w:rsidR="2B81FEA0" w:rsidRPr="4EA9A47A">
        <w:rPr>
          <w:lang w:val="en-US"/>
        </w:rPr>
        <w:t xml:space="preserve"> </w:t>
      </w:r>
      <w:r w:rsidRPr="4EA9A47A">
        <w:rPr>
          <w:lang w:val="en-US"/>
        </w:rPr>
        <w:t>for the Plenipotentiary Conference (PP26), the Union’s highest decision</w:t>
      </w:r>
      <w:r w:rsidR="07538943" w:rsidRPr="4EA9A47A">
        <w:rPr>
          <w:lang w:val="en-US"/>
        </w:rPr>
        <w:t>-</w:t>
      </w:r>
      <w:r w:rsidRPr="4EA9A47A">
        <w:rPr>
          <w:lang w:val="en-US"/>
        </w:rPr>
        <w:t>making body. The Conference</w:t>
      </w:r>
      <w:r w:rsidR="2B81FEA0" w:rsidRPr="4EA9A47A">
        <w:rPr>
          <w:lang w:val="en-US"/>
        </w:rPr>
        <w:t xml:space="preserve"> </w:t>
      </w:r>
      <w:r w:rsidRPr="4EA9A47A">
        <w:rPr>
          <w:lang w:val="en-US"/>
        </w:rPr>
        <w:t>provides an opportunity for governments</w:t>
      </w:r>
      <w:r w:rsidR="2B81FEA0" w:rsidRPr="4EA9A47A">
        <w:rPr>
          <w:lang w:val="en-US"/>
        </w:rPr>
        <w:t xml:space="preserve"> </w:t>
      </w:r>
      <w:r w:rsidRPr="4EA9A47A">
        <w:rPr>
          <w:lang w:val="en-US"/>
        </w:rPr>
        <w:t>to renew their shared vision for the future of telecommunications and digital development and to shape the priorities of the Union for the coming strategic cycle.</w:t>
      </w:r>
    </w:p>
    <w:p w14:paraId="3956D93B" w14:textId="60656680" w:rsidR="00E224C3" w:rsidRPr="00E224C3" w:rsidRDefault="00E224C3" w:rsidP="005D6471">
      <w:pPr>
        <w:jc w:val="both"/>
        <w:rPr>
          <w:rFonts w:cstheme="minorHAnsi"/>
          <w:sz w:val="18"/>
          <w:szCs w:val="18"/>
        </w:rPr>
      </w:pPr>
      <w:r w:rsidRPr="00E224C3">
        <w:rPr>
          <w:rFonts w:cstheme="minorHAnsi"/>
          <w:lang w:val="en-US"/>
        </w:rPr>
        <w:t>Under the theme “Together for a connected, digital future”,</w:t>
      </w:r>
      <w:r w:rsidR="00E302FE">
        <w:rPr>
          <w:rFonts w:cstheme="minorHAnsi"/>
          <w:lang w:val="en-US"/>
        </w:rPr>
        <w:t xml:space="preserve"> </w:t>
      </w:r>
      <w:r w:rsidRPr="00E224C3">
        <w:rPr>
          <w:rFonts w:cstheme="minorHAnsi"/>
          <w:lang w:val="en-US"/>
        </w:rPr>
        <w:t>PP</w:t>
      </w:r>
      <w:r w:rsidR="00E302FE">
        <w:rPr>
          <w:rFonts w:cstheme="minorHAnsi"/>
          <w:lang w:val="en-US"/>
        </w:rPr>
        <w:t>-</w:t>
      </w:r>
      <w:r w:rsidRPr="00E224C3">
        <w:rPr>
          <w:rFonts w:cstheme="minorHAnsi"/>
          <w:lang w:val="en-US"/>
        </w:rPr>
        <w:t>26 builds on the achievements of the ITU Strategic Plan 2024–2027 —particularly progress towards universal connectivity and sustainable digital transformation— while setting the direction for the Strategic Plan 2028</w:t>
      </w:r>
      <w:r w:rsidR="00736492">
        <w:rPr>
          <w:rFonts w:cstheme="minorHAnsi"/>
          <w:lang w:val="en-US"/>
        </w:rPr>
        <w:t>-</w:t>
      </w:r>
      <w:r w:rsidRPr="00E224C3">
        <w:rPr>
          <w:rFonts w:cstheme="minorHAnsi"/>
          <w:lang w:val="en-US"/>
        </w:rPr>
        <w:t>2031.</w:t>
      </w:r>
    </w:p>
    <w:p w14:paraId="53D870C4" w14:textId="786C9F51" w:rsidR="00E224C3" w:rsidRPr="00E224C3" w:rsidRDefault="50AA2161" w:rsidP="005D6471">
      <w:pPr>
        <w:jc w:val="both"/>
        <w:rPr>
          <w:sz w:val="18"/>
          <w:szCs w:val="18"/>
        </w:rPr>
      </w:pPr>
      <w:r w:rsidRPr="4EA9A47A">
        <w:rPr>
          <w:lang w:val="en-US"/>
        </w:rPr>
        <w:t>The theme reflects the growing recognition that digital technologies are</w:t>
      </w:r>
      <w:r w:rsidR="2B81FEA0" w:rsidRPr="4EA9A47A">
        <w:rPr>
          <w:lang w:val="en-US"/>
        </w:rPr>
        <w:t xml:space="preserve"> </w:t>
      </w:r>
      <w:r w:rsidRPr="4EA9A47A">
        <w:rPr>
          <w:lang w:val="en-US"/>
        </w:rPr>
        <w:t>essential</w:t>
      </w:r>
      <w:r w:rsidR="2B81FEA0" w:rsidRPr="4EA9A47A">
        <w:rPr>
          <w:lang w:val="en-US"/>
        </w:rPr>
        <w:t xml:space="preserve"> </w:t>
      </w:r>
      <w:r w:rsidRPr="4EA9A47A">
        <w:rPr>
          <w:lang w:val="en-US"/>
        </w:rPr>
        <w:t>infrastructure for modern societies and economies. Achieving a connected digital future requires collective leadership, forward</w:t>
      </w:r>
      <w:r w:rsidR="313F89D6" w:rsidRPr="4EA9A47A">
        <w:rPr>
          <w:lang w:val="en-US"/>
        </w:rPr>
        <w:t>-</w:t>
      </w:r>
      <w:r w:rsidRPr="4EA9A47A">
        <w:rPr>
          <w:lang w:val="en-US"/>
        </w:rPr>
        <w:t>looking policies and strengthened international cooperation to ensure that connectivity and digital transformation are inclusive, resilient,</w:t>
      </w:r>
      <w:r w:rsidR="2B81FEA0" w:rsidRPr="4EA9A47A">
        <w:rPr>
          <w:lang w:val="en-US"/>
        </w:rPr>
        <w:t xml:space="preserve"> </w:t>
      </w:r>
      <w:r w:rsidRPr="4EA9A47A">
        <w:rPr>
          <w:lang w:val="en-US"/>
        </w:rPr>
        <w:t>secure</w:t>
      </w:r>
      <w:r w:rsidR="2B81FEA0" w:rsidRPr="4EA9A47A">
        <w:rPr>
          <w:lang w:val="en-US"/>
        </w:rPr>
        <w:t xml:space="preserve"> </w:t>
      </w:r>
      <w:r w:rsidRPr="4EA9A47A">
        <w:rPr>
          <w:lang w:val="en-US"/>
        </w:rPr>
        <w:t>and sustainable.</w:t>
      </w:r>
    </w:p>
    <w:p w14:paraId="316B0238" w14:textId="25F0F7DA" w:rsidR="00E224C3" w:rsidRPr="00E224C3" w:rsidRDefault="00E224C3" w:rsidP="37E743BE">
      <w:pPr>
        <w:jc w:val="both"/>
        <w:rPr>
          <w:rFonts w:cstheme="minorBidi"/>
          <w:sz w:val="18"/>
          <w:szCs w:val="18"/>
        </w:rPr>
      </w:pPr>
      <w:r w:rsidRPr="37E743BE">
        <w:rPr>
          <w:rFonts w:cstheme="minorBidi"/>
          <w:lang w:val="en-US"/>
        </w:rPr>
        <w:t xml:space="preserve">In this context, policy statements delivered by </w:t>
      </w:r>
      <w:r w:rsidR="6A915A11" w:rsidRPr="37E743BE">
        <w:rPr>
          <w:rFonts w:eastAsia="Calibri" w:cs="Calibri"/>
          <w:color w:val="2F2F2F"/>
          <w:szCs w:val="24"/>
          <w:lang w:val="en-US"/>
        </w:rPr>
        <w:t>high-ranking delegates from ITU Member States</w:t>
      </w:r>
      <w:r w:rsidR="6A915A11" w:rsidRPr="37E743BE">
        <w:rPr>
          <w:rFonts w:eastAsia="Calibri" w:cs="Calibri"/>
          <w:szCs w:val="24"/>
          <w:lang w:val="en-US"/>
        </w:rPr>
        <w:t xml:space="preserve"> </w:t>
      </w:r>
      <w:r w:rsidRPr="37E743BE">
        <w:rPr>
          <w:rFonts w:cstheme="minorBidi"/>
          <w:lang w:val="en-US"/>
        </w:rPr>
        <w:t>during the opening week of PP</w:t>
      </w:r>
      <w:r w:rsidR="00E302FE" w:rsidRPr="37E743BE">
        <w:rPr>
          <w:rFonts w:cstheme="minorBidi"/>
          <w:lang w:val="en-US"/>
        </w:rPr>
        <w:t>-</w:t>
      </w:r>
      <w:r w:rsidRPr="37E743BE">
        <w:rPr>
          <w:rFonts w:cstheme="minorBidi"/>
          <w:lang w:val="en-US"/>
        </w:rPr>
        <w:t>26 will contribute to shaping the strategic dialogue of the Conference.</w:t>
      </w:r>
    </w:p>
    <w:p w14:paraId="7140F136" w14:textId="3C7427AE" w:rsidR="00E224C3" w:rsidRPr="00E224C3" w:rsidRDefault="00E224C3" w:rsidP="005D6471">
      <w:pPr>
        <w:pStyle w:val="Headingb"/>
        <w:rPr>
          <w:sz w:val="18"/>
          <w:szCs w:val="18"/>
        </w:rPr>
      </w:pPr>
      <w:r w:rsidRPr="00E224C3">
        <w:rPr>
          <w:lang w:val="en-US"/>
        </w:rPr>
        <w:t>Policy statements at PP</w:t>
      </w:r>
      <w:r w:rsidR="00E302FE">
        <w:rPr>
          <w:lang w:val="en-US"/>
        </w:rPr>
        <w:t>-</w:t>
      </w:r>
      <w:r w:rsidRPr="00E224C3">
        <w:rPr>
          <w:lang w:val="en-US"/>
        </w:rPr>
        <w:t>26</w:t>
      </w:r>
    </w:p>
    <w:p w14:paraId="6372A0C6" w14:textId="3118AEEC" w:rsidR="00E224C3" w:rsidRDefault="50AA2161" w:rsidP="37E743BE">
      <w:pPr>
        <w:jc w:val="both"/>
        <w:rPr>
          <w:rStyle w:val="eop"/>
          <w:rFonts w:asciiTheme="minorHAnsi" w:hAnsiTheme="minorHAnsi" w:cstheme="minorBidi"/>
          <w:sz w:val="22"/>
          <w:szCs w:val="22"/>
        </w:rPr>
      </w:pPr>
      <w:r w:rsidRPr="37E743BE">
        <w:rPr>
          <w:lang w:val="en-US"/>
        </w:rPr>
        <w:t xml:space="preserve">During the first week of the Conference, </w:t>
      </w:r>
      <w:r w:rsidR="3E68CC15" w:rsidRPr="37E743BE">
        <w:rPr>
          <w:rFonts w:eastAsia="Calibri" w:cs="Calibri"/>
          <w:color w:val="2F2F2F"/>
          <w:szCs w:val="24"/>
          <w:lang w:val="en-US"/>
        </w:rPr>
        <w:t xml:space="preserve">high-ranking delegates from ITU Member </w:t>
      </w:r>
      <w:proofErr w:type="gramStart"/>
      <w:r w:rsidR="3E68CC15" w:rsidRPr="37E743BE">
        <w:rPr>
          <w:rFonts w:eastAsia="Calibri" w:cs="Calibri"/>
          <w:color w:val="2F2F2F"/>
          <w:szCs w:val="24"/>
          <w:lang w:val="en-US"/>
        </w:rPr>
        <w:t>States</w:t>
      </w:r>
      <w:r w:rsidR="3E68CC15" w:rsidRPr="37E743BE">
        <w:rPr>
          <w:rFonts w:eastAsia="Calibri" w:cs="Calibri"/>
          <w:szCs w:val="24"/>
          <w:lang w:val="en-US"/>
        </w:rPr>
        <w:t xml:space="preserve"> </w:t>
      </w:r>
      <w:r w:rsidRPr="37E743BE">
        <w:rPr>
          <w:lang w:val="en-US"/>
        </w:rPr>
        <w:t xml:space="preserve"> will</w:t>
      </w:r>
      <w:proofErr w:type="gramEnd"/>
      <w:r w:rsidRPr="37E743BE">
        <w:rPr>
          <w:lang w:val="en-US"/>
        </w:rPr>
        <w:t xml:space="preserve"> be invited to deliver policy statements in Plenary. These statements</w:t>
      </w:r>
      <w:r w:rsidR="2B81FEA0" w:rsidRPr="37E743BE">
        <w:rPr>
          <w:lang w:val="en-US"/>
        </w:rPr>
        <w:t xml:space="preserve"> </w:t>
      </w:r>
      <w:r w:rsidRPr="37E743BE">
        <w:rPr>
          <w:lang w:val="en-US"/>
        </w:rPr>
        <w:t>provide</w:t>
      </w:r>
      <w:r w:rsidR="2B81FEA0" w:rsidRPr="37E743BE">
        <w:rPr>
          <w:lang w:val="en-US"/>
        </w:rPr>
        <w:t xml:space="preserve"> </w:t>
      </w:r>
      <w:r w:rsidRPr="37E743BE">
        <w:rPr>
          <w:lang w:val="en-US"/>
        </w:rPr>
        <w:t>an opportunity to:</w:t>
      </w:r>
    </w:p>
    <w:p w14:paraId="18B274D1" w14:textId="28E1226C" w:rsidR="00E302FE" w:rsidRDefault="005D6471" w:rsidP="005D6471">
      <w:pPr>
        <w:pStyle w:val="enumlev1"/>
        <w:rPr>
          <w:lang w:val="en-US"/>
        </w:rPr>
      </w:pPr>
      <w:r>
        <w:rPr>
          <w:lang w:val="en-US"/>
        </w:rPr>
        <w:t>–</w:t>
      </w:r>
      <w:r>
        <w:rPr>
          <w:lang w:val="en-US"/>
        </w:rPr>
        <w:tab/>
      </w:r>
      <w:r w:rsidR="00E224C3" w:rsidRPr="00E224C3">
        <w:rPr>
          <w:lang w:val="en-US"/>
        </w:rPr>
        <w:t>Highlight national progress and achievements since PP</w:t>
      </w:r>
      <w:r w:rsidR="00E224C3" w:rsidRPr="00E224C3">
        <w:rPr>
          <w:lang w:val="en-US"/>
        </w:rPr>
        <w:noBreakHyphen/>
        <w:t>22</w:t>
      </w:r>
    </w:p>
    <w:p w14:paraId="2817450C" w14:textId="3922D502" w:rsidR="00E302FE" w:rsidRDefault="005D6471" w:rsidP="00F23510">
      <w:pPr>
        <w:pStyle w:val="enumlev1"/>
        <w:jc w:val="both"/>
        <w:rPr>
          <w:lang w:val="en-US"/>
        </w:rPr>
      </w:pPr>
      <w:r>
        <w:rPr>
          <w:lang w:val="en-US"/>
        </w:rPr>
        <w:t>–</w:t>
      </w:r>
      <w:r>
        <w:rPr>
          <w:lang w:val="en-US"/>
        </w:rPr>
        <w:tab/>
      </w:r>
      <w:r w:rsidR="00E224C3" w:rsidRPr="00E224C3">
        <w:rPr>
          <w:lang w:val="en-US"/>
        </w:rPr>
        <w:t>Share national strategies and priorities for the next phase of digital development</w:t>
      </w:r>
    </w:p>
    <w:p w14:paraId="4F8E76EF" w14:textId="7B40DF24" w:rsidR="00E302FE" w:rsidRDefault="005D6471" w:rsidP="00F23510">
      <w:pPr>
        <w:pStyle w:val="enumlev1"/>
        <w:jc w:val="both"/>
        <w:rPr>
          <w:lang w:val="en-US"/>
        </w:rPr>
      </w:pPr>
      <w:r>
        <w:rPr>
          <w:lang w:val="en-US"/>
        </w:rPr>
        <w:t>–</w:t>
      </w:r>
      <w:r>
        <w:rPr>
          <w:lang w:val="en-US"/>
        </w:rPr>
        <w:tab/>
      </w:r>
      <w:r w:rsidR="00E224C3" w:rsidRPr="00E224C3">
        <w:rPr>
          <w:lang w:val="en-US"/>
        </w:rPr>
        <w:t>Identify</w:t>
      </w:r>
      <w:r w:rsidR="00E302FE">
        <w:rPr>
          <w:lang w:val="en-US"/>
        </w:rPr>
        <w:t xml:space="preserve"> </w:t>
      </w:r>
      <w:r w:rsidR="00E224C3" w:rsidRPr="00E224C3">
        <w:rPr>
          <w:lang w:val="en-US"/>
        </w:rPr>
        <w:t>emerging opportunities and challenges in the evolving digital landscape and</w:t>
      </w:r>
    </w:p>
    <w:p w14:paraId="3F8EA505" w14:textId="3E312B00" w:rsidR="00E224C3" w:rsidRDefault="005D6471" w:rsidP="00F23510">
      <w:pPr>
        <w:pStyle w:val="enumlev1"/>
        <w:jc w:val="both"/>
        <w:rPr>
          <w:lang w:val="en-US"/>
        </w:rPr>
      </w:pPr>
      <w:r>
        <w:rPr>
          <w:lang w:val="en-US"/>
        </w:rPr>
        <w:t>–</w:t>
      </w:r>
      <w:r>
        <w:rPr>
          <w:lang w:val="en-US"/>
        </w:rPr>
        <w:tab/>
      </w:r>
      <w:r w:rsidR="00E224C3" w:rsidRPr="00E224C3">
        <w:rPr>
          <w:lang w:val="en-US"/>
        </w:rPr>
        <w:t>Provide perspectives on how international cooperation, including through ITU, can best support Member States.</w:t>
      </w:r>
    </w:p>
    <w:p w14:paraId="5E5D8988" w14:textId="1E01E00D" w:rsidR="00E224C3" w:rsidRDefault="50AA2161" w:rsidP="005D6471">
      <w:pPr>
        <w:jc w:val="both"/>
        <w:rPr>
          <w:lang w:val="en-US"/>
        </w:rPr>
      </w:pPr>
      <w:r w:rsidRPr="37E743BE">
        <w:rPr>
          <w:lang w:val="en-US"/>
        </w:rPr>
        <w:t>To support a forward</w:t>
      </w:r>
      <w:r w:rsidR="5C544561" w:rsidRPr="37E743BE">
        <w:rPr>
          <w:lang w:val="en-US"/>
        </w:rPr>
        <w:t>-</w:t>
      </w:r>
      <w:r w:rsidRPr="37E743BE">
        <w:rPr>
          <w:lang w:val="en-US"/>
        </w:rPr>
        <w:t xml:space="preserve">looking dialogue, Member States may wish to frame their interventions around the two strategic goals </w:t>
      </w:r>
      <w:r w:rsidR="39EEBB15" w:rsidRPr="37E743BE">
        <w:rPr>
          <w:lang w:val="en-US"/>
        </w:rPr>
        <w:t xml:space="preserve">in the Strategic Plan </w:t>
      </w:r>
      <w:r w:rsidRPr="37E743BE">
        <w:rPr>
          <w:lang w:val="en-US"/>
        </w:rPr>
        <w:t>of the Union:</w:t>
      </w:r>
    </w:p>
    <w:p w14:paraId="457202A5" w14:textId="73C594EE" w:rsidR="00E224C3" w:rsidRDefault="00F23510" w:rsidP="00F23510">
      <w:pPr>
        <w:pStyle w:val="enumlev1"/>
        <w:jc w:val="both"/>
        <w:rPr>
          <w:lang w:val="en-US"/>
        </w:rPr>
      </w:pPr>
      <w:r>
        <w:rPr>
          <w:lang w:val="en-US"/>
        </w:rPr>
        <w:tab/>
      </w:r>
      <w:r w:rsidR="50AA2161" w:rsidRPr="4EA9A47A">
        <w:rPr>
          <w:lang w:val="en-US"/>
        </w:rPr>
        <w:t>Goal 1 – Universal Connectivity: Enable and foster universal access to affordable, high</w:t>
      </w:r>
      <w:r w:rsidR="4FC3E769" w:rsidRPr="4EA9A47A">
        <w:rPr>
          <w:lang w:val="en-US"/>
        </w:rPr>
        <w:t>-</w:t>
      </w:r>
      <w:r w:rsidR="50AA2161" w:rsidRPr="4EA9A47A">
        <w:rPr>
          <w:lang w:val="en-US"/>
        </w:rPr>
        <w:t>quality</w:t>
      </w:r>
      <w:r w:rsidR="2B81FEA0" w:rsidRPr="4EA9A47A">
        <w:rPr>
          <w:lang w:val="en-US"/>
        </w:rPr>
        <w:t xml:space="preserve"> </w:t>
      </w:r>
      <w:r w:rsidR="50AA2161" w:rsidRPr="4EA9A47A">
        <w:rPr>
          <w:lang w:val="en-US"/>
        </w:rPr>
        <w:t>and secure telecommunications/ICTs.</w:t>
      </w:r>
    </w:p>
    <w:p w14:paraId="41DC3E6C" w14:textId="3B8A7F62" w:rsidR="00E224C3" w:rsidRDefault="00F23510" w:rsidP="00F23510">
      <w:pPr>
        <w:pStyle w:val="enumlev1"/>
        <w:jc w:val="both"/>
        <w:rPr>
          <w:rFonts w:cstheme="minorHAnsi"/>
          <w:lang w:val="en-US"/>
        </w:rPr>
      </w:pPr>
      <w:r>
        <w:rPr>
          <w:rFonts w:cstheme="minorHAnsi"/>
          <w:lang w:val="en-US"/>
        </w:rPr>
        <w:tab/>
      </w:r>
      <w:r w:rsidR="00E224C3" w:rsidRPr="00E224C3">
        <w:rPr>
          <w:rFonts w:cstheme="minorHAnsi"/>
          <w:lang w:val="en-US"/>
        </w:rPr>
        <w:t>Goal 2 – Sustainable Digital Transformation: Foster</w:t>
      </w:r>
      <w:r w:rsidR="00E302FE">
        <w:rPr>
          <w:rFonts w:cstheme="minorHAnsi"/>
          <w:lang w:val="en-US"/>
        </w:rPr>
        <w:t xml:space="preserve"> </w:t>
      </w:r>
      <w:r w:rsidR="00E224C3" w:rsidRPr="00E224C3">
        <w:rPr>
          <w:rFonts w:cstheme="minorHAnsi"/>
          <w:lang w:val="en-US"/>
        </w:rPr>
        <w:t>equitable</w:t>
      </w:r>
      <w:r w:rsidR="00E302FE">
        <w:rPr>
          <w:rFonts w:cstheme="minorHAnsi"/>
          <w:lang w:val="en-US"/>
        </w:rPr>
        <w:t xml:space="preserve"> </w:t>
      </w:r>
      <w:r w:rsidR="00E224C3" w:rsidRPr="00E224C3">
        <w:rPr>
          <w:rFonts w:cstheme="minorHAnsi"/>
          <w:lang w:val="en-US"/>
        </w:rPr>
        <w:t>and inclusive use of telecommunications/ICTs to empower people and societies for sustainable development.</w:t>
      </w:r>
    </w:p>
    <w:p w14:paraId="39537DD7" w14:textId="73EA9FDD" w:rsidR="00E224C3" w:rsidRPr="00736492" w:rsidRDefault="00E224C3" w:rsidP="00F23510">
      <w:pPr>
        <w:jc w:val="both"/>
        <w:rPr>
          <w:spacing w:val="-2"/>
          <w:sz w:val="18"/>
          <w:szCs w:val="18"/>
        </w:rPr>
      </w:pPr>
      <w:r w:rsidRPr="00736492">
        <w:rPr>
          <w:spacing w:val="-2"/>
          <w:lang w:val="en-US"/>
        </w:rPr>
        <w:t>Together, these goals support the shared ambition of building a connected digital future for all.</w:t>
      </w:r>
    </w:p>
    <w:p w14:paraId="530F7B51" w14:textId="5755E153" w:rsidR="00E224C3" w:rsidRPr="00E224C3" w:rsidRDefault="00E224C3" w:rsidP="005D6471">
      <w:pPr>
        <w:pStyle w:val="Headingb"/>
        <w:rPr>
          <w:sz w:val="18"/>
          <w:szCs w:val="18"/>
        </w:rPr>
      </w:pPr>
      <w:r w:rsidRPr="00E224C3">
        <w:rPr>
          <w:lang w:val="en-US"/>
        </w:rPr>
        <w:t>Key areas shaping the digital future</w:t>
      </w:r>
    </w:p>
    <w:p w14:paraId="13FAC6F1" w14:textId="14B20904" w:rsidR="00E224C3" w:rsidRPr="00736492" w:rsidRDefault="00E224C3" w:rsidP="00F23510">
      <w:pPr>
        <w:jc w:val="both"/>
        <w:rPr>
          <w:spacing w:val="-2"/>
          <w:lang w:val="en-US"/>
        </w:rPr>
      </w:pPr>
      <w:r w:rsidRPr="00736492">
        <w:rPr>
          <w:spacing w:val="-2"/>
          <w:lang w:val="en-US"/>
        </w:rPr>
        <w:t>As countries advance towards universal connectivity and inclusive digital transformation, several priority areas are</w:t>
      </w:r>
      <w:r w:rsidR="00E302FE" w:rsidRPr="00736492">
        <w:rPr>
          <w:spacing w:val="-2"/>
          <w:lang w:val="en-US"/>
        </w:rPr>
        <w:t xml:space="preserve"> </w:t>
      </w:r>
      <w:r w:rsidRPr="00736492">
        <w:rPr>
          <w:spacing w:val="-2"/>
          <w:lang w:val="en-US"/>
        </w:rPr>
        <w:t>emerging</w:t>
      </w:r>
      <w:r w:rsidR="00E302FE" w:rsidRPr="00736492">
        <w:rPr>
          <w:spacing w:val="-2"/>
          <w:lang w:val="en-US"/>
        </w:rPr>
        <w:t xml:space="preserve"> </w:t>
      </w:r>
      <w:r w:rsidRPr="00736492">
        <w:rPr>
          <w:spacing w:val="-2"/>
          <w:lang w:val="en-US"/>
        </w:rPr>
        <w:t>across national digital strategies. Ministers may wish to reflect on how these evolving areas are shaping national policies and international cooperation.</w:t>
      </w:r>
    </w:p>
    <w:p w14:paraId="16AED056" w14:textId="0BD619A5" w:rsidR="00E224C3" w:rsidRPr="00E224C3" w:rsidRDefault="00E224C3" w:rsidP="00F23510">
      <w:pPr>
        <w:pStyle w:val="Heading1"/>
        <w:rPr>
          <w:sz w:val="18"/>
          <w:szCs w:val="18"/>
        </w:rPr>
      </w:pPr>
      <w:r w:rsidRPr="00E224C3">
        <w:rPr>
          <w:lang w:val="en-US"/>
        </w:rPr>
        <w:lastRenderedPageBreak/>
        <w:t>1</w:t>
      </w:r>
      <w:r w:rsidR="00F23510">
        <w:rPr>
          <w:lang w:val="en-US"/>
        </w:rPr>
        <w:tab/>
      </w:r>
      <w:r w:rsidRPr="00E224C3">
        <w:rPr>
          <w:lang w:val="en-US"/>
        </w:rPr>
        <w:t>Expanding connectivity infrastructure and investment</w:t>
      </w:r>
    </w:p>
    <w:p w14:paraId="4B7B4357" w14:textId="25F03A65" w:rsidR="00E224C3" w:rsidRPr="00E224C3" w:rsidRDefault="00E224C3" w:rsidP="003A77BE">
      <w:pPr>
        <w:jc w:val="both"/>
        <w:rPr>
          <w:sz w:val="18"/>
          <w:szCs w:val="18"/>
        </w:rPr>
      </w:pPr>
      <w:r w:rsidRPr="00E224C3">
        <w:rPr>
          <w:lang w:val="en-US"/>
        </w:rPr>
        <w:t>Achieving universal connectivity will require continued investment in infrastructure, including</w:t>
      </w:r>
      <w:r w:rsidR="00E302FE">
        <w:rPr>
          <w:lang w:val="en-US"/>
        </w:rPr>
        <w:t xml:space="preserve"> </w:t>
      </w:r>
      <w:r w:rsidRPr="00E224C3">
        <w:rPr>
          <w:lang w:val="en-US"/>
        </w:rPr>
        <w:t>digital</w:t>
      </w:r>
      <w:r w:rsidR="00E302FE">
        <w:rPr>
          <w:lang w:val="en-US"/>
        </w:rPr>
        <w:t xml:space="preserve"> </w:t>
      </w:r>
      <w:r w:rsidRPr="00E224C3">
        <w:rPr>
          <w:lang w:val="en-US"/>
        </w:rPr>
        <w:t>networks, international</w:t>
      </w:r>
      <w:r w:rsidR="00E302FE">
        <w:rPr>
          <w:lang w:val="en-US"/>
        </w:rPr>
        <w:t xml:space="preserve"> </w:t>
      </w:r>
      <w:r w:rsidRPr="00E224C3">
        <w:rPr>
          <w:lang w:val="en-US"/>
        </w:rPr>
        <w:t>connectivity</w:t>
      </w:r>
      <w:r w:rsidR="00E302FE">
        <w:rPr>
          <w:lang w:val="en-US"/>
        </w:rPr>
        <w:t xml:space="preserve"> </w:t>
      </w:r>
      <w:r w:rsidRPr="00E224C3">
        <w:rPr>
          <w:lang w:val="en-US"/>
        </w:rPr>
        <w:t>and future</w:t>
      </w:r>
      <w:r w:rsidR="00E302FE">
        <w:rPr>
          <w:lang w:val="en-US"/>
        </w:rPr>
        <w:t>-</w:t>
      </w:r>
      <w:r w:rsidRPr="00E224C3">
        <w:rPr>
          <w:lang w:val="en-US"/>
        </w:rPr>
        <w:t>generation communication systems. Policy statements may highlight national efforts to expand broadband infrastructure, attract investment in digital</w:t>
      </w:r>
      <w:r w:rsidR="00E302FE">
        <w:rPr>
          <w:lang w:val="en-US"/>
        </w:rPr>
        <w:t xml:space="preserve"> </w:t>
      </w:r>
      <w:r w:rsidRPr="00E224C3">
        <w:rPr>
          <w:lang w:val="en-US"/>
        </w:rPr>
        <w:t>networks</w:t>
      </w:r>
      <w:r w:rsidR="00E302FE">
        <w:rPr>
          <w:lang w:val="en-US"/>
        </w:rPr>
        <w:t xml:space="preserve"> </w:t>
      </w:r>
      <w:r w:rsidRPr="00E224C3">
        <w:rPr>
          <w:lang w:val="en-US"/>
        </w:rPr>
        <w:t>and promote innovative connectivity solutions to reach underserved areas.</w:t>
      </w:r>
    </w:p>
    <w:p w14:paraId="52D3411D" w14:textId="619A9C99" w:rsidR="00E224C3" w:rsidRPr="00E224C3" w:rsidRDefault="00E224C3" w:rsidP="00F23510">
      <w:pPr>
        <w:pStyle w:val="Heading1"/>
        <w:rPr>
          <w:sz w:val="18"/>
          <w:szCs w:val="18"/>
        </w:rPr>
      </w:pPr>
      <w:r w:rsidRPr="00E224C3">
        <w:rPr>
          <w:lang w:val="en-US"/>
        </w:rPr>
        <w:t>2</w:t>
      </w:r>
      <w:r w:rsidR="00F23510">
        <w:rPr>
          <w:lang w:val="en-US"/>
        </w:rPr>
        <w:tab/>
      </w:r>
      <w:r w:rsidRPr="00E224C3">
        <w:rPr>
          <w:lang w:val="en-US"/>
        </w:rPr>
        <w:t>Strengthening the resilience of infrastructure</w:t>
      </w:r>
    </w:p>
    <w:p w14:paraId="0D75CD94" w14:textId="73E5D037" w:rsidR="00E224C3" w:rsidRPr="003A77BE" w:rsidRDefault="23FC587A" w:rsidP="369F7F45">
      <w:pPr>
        <w:jc w:val="both"/>
        <w:rPr>
          <w:rFonts w:asciiTheme="minorHAnsi" w:hAnsiTheme="minorHAnsi" w:cstheme="minorBidi"/>
        </w:rPr>
      </w:pPr>
      <w:r w:rsidRPr="37E743BE">
        <w:rPr>
          <w:rFonts w:asciiTheme="minorHAnsi" w:hAnsiTheme="minorHAnsi" w:cstheme="minorBidi"/>
          <w:lang w:val="en-US"/>
        </w:rPr>
        <w:t>Digital networks have become critical infrastructure for societies and economies. Ensuring their resilience and continuity of service is increasingly important</w:t>
      </w:r>
      <w:r w:rsidR="7D122BE4" w:rsidRPr="37E743BE">
        <w:rPr>
          <w:rFonts w:asciiTheme="minorHAnsi" w:hAnsiTheme="minorHAnsi" w:cstheme="minorBidi"/>
          <w:lang w:val="en-US"/>
        </w:rPr>
        <w:t xml:space="preserve">, </w:t>
      </w:r>
      <w:r w:rsidRPr="37E743BE">
        <w:rPr>
          <w:rFonts w:asciiTheme="minorHAnsi" w:hAnsiTheme="minorHAnsi" w:cstheme="minorBidi"/>
          <w:lang w:val="en-US"/>
        </w:rPr>
        <w:t>Member States may wish to share experiences related to strengthening network resilience, protecting critical</w:t>
      </w:r>
      <w:r w:rsidR="00736492">
        <w:rPr>
          <w:rFonts w:asciiTheme="minorHAnsi" w:hAnsiTheme="minorHAnsi" w:cstheme="minorBidi"/>
          <w:lang w:val="en-US"/>
        </w:rPr>
        <w:t xml:space="preserve"> </w:t>
      </w:r>
      <w:r w:rsidRPr="37E743BE">
        <w:rPr>
          <w:rFonts w:asciiTheme="minorHAnsi" w:hAnsiTheme="minorHAnsi" w:cstheme="minorBidi"/>
          <w:lang w:val="en-US"/>
        </w:rPr>
        <w:t>infrastructure</w:t>
      </w:r>
      <w:r w:rsidR="00736492">
        <w:rPr>
          <w:rFonts w:asciiTheme="minorHAnsi" w:hAnsiTheme="minorHAnsi" w:cstheme="minorBidi"/>
          <w:lang w:val="en-US"/>
        </w:rPr>
        <w:t xml:space="preserve"> </w:t>
      </w:r>
      <w:r w:rsidRPr="37E743BE">
        <w:rPr>
          <w:rFonts w:asciiTheme="minorHAnsi" w:hAnsiTheme="minorHAnsi" w:cstheme="minorBidi"/>
          <w:lang w:val="en-US"/>
        </w:rPr>
        <w:t>and ensuring reliable international connectivity.</w:t>
      </w:r>
    </w:p>
    <w:p w14:paraId="7B5C6AA6" w14:textId="09841791" w:rsidR="00E224C3" w:rsidRPr="00E224C3" w:rsidRDefault="50AA2161" w:rsidP="00F23510">
      <w:pPr>
        <w:pStyle w:val="Heading1"/>
        <w:rPr>
          <w:color w:val="365F91"/>
          <w:sz w:val="18"/>
          <w:szCs w:val="18"/>
        </w:rPr>
      </w:pPr>
      <w:r w:rsidRPr="4EA9A47A">
        <w:rPr>
          <w:lang w:val="en-US"/>
        </w:rPr>
        <w:t>3</w:t>
      </w:r>
      <w:r w:rsidR="00F23510">
        <w:rPr>
          <w:lang w:val="en-US"/>
        </w:rPr>
        <w:tab/>
      </w:r>
      <w:r w:rsidRPr="4EA9A47A">
        <w:rPr>
          <w:lang w:val="en-US"/>
        </w:rPr>
        <w:t xml:space="preserve">Ensuring reliable emergency </w:t>
      </w:r>
      <w:r w:rsidR="6BE422FF" w:rsidRPr="4EA9A47A">
        <w:rPr>
          <w:lang w:val="en-US"/>
        </w:rPr>
        <w:t xml:space="preserve">and humanitarian </w:t>
      </w:r>
      <w:r w:rsidRPr="4EA9A47A">
        <w:rPr>
          <w:lang w:val="en-US"/>
        </w:rPr>
        <w:t>communications</w:t>
      </w:r>
    </w:p>
    <w:p w14:paraId="237451E0" w14:textId="6E4E559C" w:rsidR="00E224C3" w:rsidRPr="003A77BE" w:rsidRDefault="00E224C3" w:rsidP="003A77BE">
      <w:pPr>
        <w:jc w:val="both"/>
        <w:rPr>
          <w:rFonts w:asciiTheme="minorHAnsi" w:hAnsiTheme="minorHAnsi" w:cstheme="minorHAnsi"/>
          <w:szCs w:val="24"/>
        </w:rPr>
      </w:pPr>
      <w:r w:rsidRPr="003A77BE">
        <w:rPr>
          <w:rFonts w:asciiTheme="minorHAnsi" w:hAnsiTheme="minorHAnsi" w:cstheme="minorHAnsi"/>
          <w:szCs w:val="24"/>
          <w:lang w:val="en-US"/>
        </w:rPr>
        <w:t>Telecommunications play a vital role in disaster preparedness,</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response</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and recovery. Robust emergency communication systems enable governments to deliver early warnings, coordinate</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response</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and</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maintain</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essential communications during crises.</w:t>
      </w:r>
      <w:r w:rsidR="00E302FE" w:rsidRPr="003A77BE">
        <w:rPr>
          <w:rFonts w:asciiTheme="minorHAnsi" w:hAnsiTheme="minorHAnsi" w:cstheme="minorHAnsi"/>
          <w:szCs w:val="24"/>
          <w:lang w:val="en-US"/>
        </w:rPr>
        <w:t xml:space="preserve"> </w:t>
      </w:r>
      <w:r w:rsidRPr="003A77BE">
        <w:rPr>
          <w:rFonts w:asciiTheme="minorHAnsi" w:hAnsiTheme="minorHAnsi" w:cstheme="minorHAnsi"/>
          <w:szCs w:val="24"/>
          <w:lang w:val="en-US"/>
        </w:rPr>
        <w:t>Ministers may highlight national initiatives aimed at strengthening emergency communication capabilities.</w:t>
      </w:r>
    </w:p>
    <w:p w14:paraId="4075C3AF" w14:textId="178DA9B7" w:rsidR="00E224C3" w:rsidRPr="00E224C3" w:rsidRDefault="50AA2161" w:rsidP="00F23510">
      <w:pPr>
        <w:pStyle w:val="Heading1"/>
        <w:rPr>
          <w:color w:val="365F91"/>
          <w:sz w:val="18"/>
          <w:szCs w:val="18"/>
        </w:rPr>
      </w:pPr>
      <w:r w:rsidRPr="4EA9A47A">
        <w:rPr>
          <w:lang w:val="en-US"/>
        </w:rPr>
        <w:t>4</w:t>
      </w:r>
      <w:r w:rsidR="00F23510">
        <w:rPr>
          <w:lang w:val="en-US"/>
        </w:rPr>
        <w:tab/>
      </w:r>
      <w:r w:rsidRPr="4EA9A47A">
        <w:rPr>
          <w:lang w:val="en-US"/>
        </w:rPr>
        <w:t>Advancing space</w:t>
      </w:r>
      <w:r w:rsidR="7BA59EF5" w:rsidRPr="4EA9A47A">
        <w:rPr>
          <w:lang w:val="en-US"/>
        </w:rPr>
        <w:t>-</w:t>
      </w:r>
      <w:r w:rsidRPr="4EA9A47A">
        <w:rPr>
          <w:lang w:val="en-US"/>
        </w:rPr>
        <w:t>based connectivity and sustainability</w:t>
      </w:r>
    </w:p>
    <w:p w14:paraId="00E0EB17" w14:textId="7204B046" w:rsidR="00E224C3" w:rsidRPr="003A77BE" w:rsidRDefault="54B092F4" w:rsidP="369F7F45">
      <w:pPr>
        <w:jc w:val="both"/>
        <w:rPr>
          <w:rStyle w:val="eop"/>
          <w:rFonts w:asciiTheme="minorHAnsi" w:hAnsiTheme="minorHAnsi" w:cstheme="minorBidi"/>
        </w:rPr>
      </w:pPr>
      <w:r w:rsidRPr="369F7F45">
        <w:rPr>
          <w:rFonts w:asciiTheme="minorHAnsi" w:hAnsiTheme="minorHAnsi" w:cstheme="minorBidi"/>
          <w:lang w:val="en-US"/>
        </w:rPr>
        <w:t>Space technologies are increasingly important in expanding connectivity and supporting critical services worldwide. As the use of satellite systems grows, ensuring sustainable and responsible use of space resources and strengthening the integration of terrestrial and non</w:t>
      </w:r>
      <w:r w:rsidR="73ADCD6D" w:rsidRPr="369F7F45">
        <w:rPr>
          <w:rFonts w:asciiTheme="minorHAnsi" w:hAnsiTheme="minorHAnsi" w:cstheme="minorBidi"/>
          <w:lang w:val="en-US"/>
        </w:rPr>
        <w:t>-</w:t>
      </w:r>
      <w:r w:rsidRPr="369F7F45">
        <w:rPr>
          <w:rFonts w:asciiTheme="minorHAnsi" w:hAnsiTheme="minorHAnsi" w:cstheme="minorBidi"/>
          <w:lang w:val="en-US"/>
        </w:rPr>
        <w:t>terrestrial networks are becoming global priorities</w:t>
      </w:r>
      <w:r w:rsidR="3F7146F8" w:rsidRPr="369F7F45">
        <w:rPr>
          <w:rFonts w:asciiTheme="minorHAnsi" w:hAnsiTheme="minorHAnsi" w:cstheme="minorBidi"/>
          <w:lang w:val="en-US"/>
        </w:rPr>
        <w:t xml:space="preserve">, as reflected in </w:t>
      </w:r>
      <w:r w:rsidR="6EEC0874" w:rsidRPr="369F7F45">
        <w:rPr>
          <w:rFonts w:asciiTheme="minorHAnsi" w:hAnsiTheme="minorHAnsi" w:cstheme="minorBidi"/>
          <w:lang w:val="en-US"/>
        </w:rPr>
        <w:t>ITU-R Preparatory Studies for t</w:t>
      </w:r>
      <w:r w:rsidR="3F7146F8" w:rsidRPr="369F7F45">
        <w:rPr>
          <w:rFonts w:asciiTheme="minorHAnsi" w:hAnsiTheme="minorHAnsi" w:cstheme="minorBidi"/>
          <w:lang w:val="en-US"/>
        </w:rPr>
        <w:t>he World Radiocommunication Conference to convene in 2027 (WRC-27).</w:t>
      </w:r>
    </w:p>
    <w:p w14:paraId="4FA79504" w14:textId="01B1881C" w:rsidR="00E224C3" w:rsidRPr="00E224C3" w:rsidRDefault="00E224C3" w:rsidP="00F23510">
      <w:pPr>
        <w:pStyle w:val="Heading1"/>
        <w:rPr>
          <w:sz w:val="18"/>
          <w:szCs w:val="18"/>
        </w:rPr>
      </w:pPr>
      <w:r w:rsidRPr="00E224C3">
        <w:rPr>
          <w:lang w:val="en-US"/>
        </w:rPr>
        <w:t>5</w:t>
      </w:r>
      <w:r w:rsidR="003A77BE">
        <w:rPr>
          <w:lang w:val="en-US"/>
        </w:rPr>
        <w:tab/>
      </w:r>
      <w:r w:rsidRPr="00E224C3">
        <w:rPr>
          <w:lang w:val="en-US"/>
        </w:rPr>
        <w:t>Harnessing emerging technologies for development</w:t>
      </w:r>
    </w:p>
    <w:p w14:paraId="6B0C951D" w14:textId="3B1BCEB3" w:rsidR="00E224C3" w:rsidRPr="003A77BE" w:rsidRDefault="23FC587A" w:rsidP="369F7F45">
      <w:pPr>
        <w:jc w:val="both"/>
        <w:rPr>
          <w:rStyle w:val="eop"/>
          <w:rFonts w:asciiTheme="minorHAnsi" w:hAnsiTheme="minorHAnsi" w:cstheme="minorBidi"/>
        </w:rPr>
      </w:pPr>
      <w:r w:rsidRPr="369F7F45">
        <w:rPr>
          <w:rFonts w:asciiTheme="minorHAnsi" w:hAnsiTheme="minorHAnsi" w:cstheme="minorBidi"/>
          <w:lang w:val="en-US"/>
        </w:rPr>
        <w:t>Emerging technologies —including artificial intelligence and other advanced digital innovations— are transforming economies and societies. Their responsible deployment</w:t>
      </w:r>
      <w:r w:rsidR="764568ED" w:rsidRPr="369F7F45">
        <w:rPr>
          <w:rFonts w:asciiTheme="minorHAnsi" w:hAnsiTheme="minorHAnsi" w:cstheme="minorBidi"/>
          <w:lang w:val="en-US"/>
        </w:rPr>
        <w:t xml:space="preserve"> </w:t>
      </w:r>
      <w:r w:rsidRPr="369F7F45">
        <w:rPr>
          <w:rFonts w:asciiTheme="minorHAnsi" w:hAnsiTheme="minorHAnsi" w:cstheme="minorBidi"/>
          <w:lang w:val="en-US"/>
        </w:rPr>
        <w:t>and standardization</w:t>
      </w:r>
      <w:r w:rsidR="764568ED" w:rsidRPr="369F7F45">
        <w:rPr>
          <w:rFonts w:asciiTheme="minorHAnsi" w:hAnsiTheme="minorHAnsi" w:cstheme="minorBidi"/>
          <w:lang w:val="en-US"/>
        </w:rPr>
        <w:t xml:space="preserve"> </w:t>
      </w:r>
      <w:r w:rsidRPr="369F7F45">
        <w:rPr>
          <w:rFonts w:asciiTheme="minorHAnsi" w:hAnsiTheme="minorHAnsi" w:cstheme="minorBidi"/>
          <w:lang w:val="en-US"/>
        </w:rPr>
        <w:t>offer significant opportunities to accelerate digital transformation and support sustainable development.</w:t>
      </w:r>
      <w:r w:rsidR="5F847F7F" w:rsidRPr="369F7F45">
        <w:rPr>
          <w:rFonts w:asciiTheme="minorHAnsi" w:hAnsiTheme="minorHAnsi" w:cstheme="minorBidi"/>
          <w:lang w:val="en-US"/>
        </w:rPr>
        <w:t xml:space="preserve"> Ministers may highlight national initiatives </w:t>
      </w:r>
      <w:r w:rsidR="15337E37" w:rsidRPr="369F7F45">
        <w:rPr>
          <w:rFonts w:asciiTheme="minorHAnsi" w:hAnsiTheme="minorHAnsi" w:cstheme="minorBidi"/>
          <w:lang w:val="en-US"/>
        </w:rPr>
        <w:t>aimed at</w:t>
      </w:r>
      <w:r w:rsidR="5F847F7F" w:rsidRPr="369F7F45">
        <w:rPr>
          <w:rFonts w:asciiTheme="minorHAnsi" w:hAnsiTheme="minorHAnsi" w:cstheme="minorBidi"/>
          <w:lang w:val="en-US"/>
        </w:rPr>
        <w:t xml:space="preserve"> achiev</w:t>
      </w:r>
      <w:r w:rsidR="0CF80765" w:rsidRPr="369F7F45">
        <w:rPr>
          <w:rFonts w:asciiTheme="minorHAnsi" w:hAnsiTheme="minorHAnsi" w:cstheme="minorBidi"/>
          <w:lang w:val="en-US"/>
        </w:rPr>
        <w:t>ing d</w:t>
      </w:r>
      <w:r w:rsidR="5F847F7F" w:rsidRPr="369F7F45">
        <w:rPr>
          <w:rFonts w:asciiTheme="minorHAnsi" w:hAnsiTheme="minorHAnsi" w:cstheme="minorBidi"/>
          <w:lang w:val="en-US"/>
        </w:rPr>
        <w:t>igital transformation</w:t>
      </w:r>
      <w:r w:rsidR="6472F3C5" w:rsidRPr="369F7F45">
        <w:rPr>
          <w:rFonts w:asciiTheme="minorHAnsi" w:hAnsiTheme="minorHAnsi" w:cstheme="minorBidi"/>
          <w:lang w:val="en-US"/>
        </w:rPr>
        <w:t xml:space="preserve"> for development</w:t>
      </w:r>
      <w:r w:rsidR="76E229CB" w:rsidRPr="369F7F45">
        <w:rPr>
          <w:rStyle w:val="eop"/>
          <w:rFonts w:asciiTheme="minorHAnsi" w:hAnsiTheme="minorHAnsi" w:cstheme="minorBidi"/>
        </w:rPr>
        <w:t>.</w:t>
      </w:r>
    </w:p>
    <w:p w14:paraId="5CC17CF5" w14:textId="763405D7" w:rsidR="00E224C3" w:rsidRPr="00E224C3" w:rsidRDefault="00E224C3" w:rsidP="003A77BE">
      <w:pPr>
        <w:pStyle w:val="Headingb"/>
        <w:rPr>
          <w:sz w:val="18"/>
          <w:szCs w:val="18"/>
        </w:rPr>
      </w:pPr>
      <w:r w:rsidRPr="00E224C3">
        <w:rPr>
          <w:lang w:val="en-US"/>
        </w:rPr>
        <w:t>Logistics</w:t>
      </w:r>
    </w:p>
    <w:p w14:paraId="0B7A3450" w14:textId="34D57E4C" w:rsidR="00E224C3" w:rsidRPr="003A77BE" w:rsidRDefault="188FB77F" w:rsidP="37E743BE">
      <w:pPr>
        <w:jc w:val="both"/>
        <w:rPr>
          <w:rFonts w:asciiTheme="minorHAnsi" w:hAnsiTheme="minorHAnsi" w:cstheme="minorBidi"/>
        </w:rPr>
      </w:pPr>
      <w:r w:rsidRPr="37E743BE">
        <w:rPr>
          <w:rFonts w:asciiTheme="minorHAnsi" w:hAnsiTheme="minorHAnsi" w:cstheme="minorBidi"/>
          <w:lang w:val="en-US"/>
        </w:rPr>
        <w:t xml:space="preserve">Speaking slots can be requested online </w:t>
      </w:r>
      <w:r w:rsidR="039EB75B" w:rsidRPr="37E743BE">
        <w:rPr>
          <w:rFonts w:asciiTheme="minorHAnsi" w:hAnsiTheme="minorHAnsi" w:cstheme="minorBidi"/>
          <w:lang w:val="en-US"/>
        </w:rPr>
        <w:t>through</w:t>
      </w:r>
      <w:r w:rsidRPr="37E743BE">
        <w:rPr>
          <w:rFonts w:asciiTheme="minorHAnsi" w:hAnsiTheme="minorHAnsi" w:cstheme="minorBidi"/>
          <w:lang w:val="en-US"/>
        </w:rPr>
        <w:t xml:space="preserve"> the PP</w:t>
      </w:r>
      <w:r w:rsidR="043CF82A" w:rsidRPr="37E743BE">
        <w:rPr>
          <w:rFonts w:asciiTheme="minorHAnsi" w:hAnsiTheme="minorHAnsi" w:cstheme="minorBidi"/>
          <w:lang w:val="en-US"/>
        </w:rPr>
        <w:t>-26</w:t>
      </w:r>
      <w:r w:rsidRPr="37E743BE">
        <w:rPr>
          <w:rFonts w:asciiTheme="minorHAnsi" w:hAnsiTheme="minorHAnsi" w:cstheme="minorBidi"/>
          <w:lang w:val="en-US"/>
        </w:rPr>
        <w:t xml:space="preserve"> website</w:t>
      </w:r>
      <w:r w:rsidR="1F63D44C" w:rsidRPr="37E743BE">
        <w:rPr>
          <w:rFonts w:asciiTheme="minorHAnsi" w:hAnsiTheme="minorHAnsi" w:cstheme="minorBidi"/>
          <w:lang w:val="en-US"/>
        </w:rPr>
        <w:t xml:space="preserve"> as from</w:t>
      </w:r>
      <w:r w:rsidR="150A1884" w:rsidRPr="37E743BE">
        <w:rPr>
          <w:rFonts w:asciiTheme="minorHAnsi" w:hAnsiTheme="minorHAnsi" w:cstheme="minorBidi"/>
          <w:lang w:val="en-US"/>
        </w:rPr>
        <w:t xml:space="preserve"> early July</w:t>
      </w:r>
      <w:r w:rsidR="039EB75B" w:rsidRPr="37E743BE">
        <w:rPr>
          <w:rFonts w:asciiTheme="minorHAnsi" w:hAnsiTheme="minorHAnsi" w:cstheme="minorBidi"/>
          <w:lang w:val="en-US"/>
        </w:rPr>
        <w:t>.</w:t>
      </w:r>
      <w:r w:rsidR="661856C9" w:rsidRPr="37E743BE">
        <w:rPr>
          <w:rFonts w:asciiTheme="minorHAnsi" w:hAnsiTheme="minorHAnsi" w:cstheme="minorBidi"/>
          <w:lang w:val="en-US"/>
        </w:rPr>
        <w:t xml:space="preserve"> </w:t>
      </w:r>
      <w:r w:rsidRPr="37E743BE">
        <w:rPr>
          <w:rFonts w:asciiTheme="minorHAnsi" w:hAnsiTheme="minorHAnsi" w:cstheme="minorBidi"/>
          <w:lang w:val="en-US"/>
        </w:rPr>
        <w:t xml:space="preserve">Member States </w:t>
      </w:r>
      <w:r w:rsidR="043CF82A" w:rsidRPr="37E743BE">
        <w:rPr>
          <w:rFonts w:asciiTheme="minorHAnsi" w:hAnsiTheme="minorHAnsi" w:cstheme="minorBidi"/>
          <w:lang w:val="en-US"/>
        </w:rPr>
        <w:t>can</w:t>
      </w:r>
      <w:r w:rsidR="29ADCB12" w:rsidRPr="37E743BE">
        <w:rPr>
          <w:rFonts w:asciiTheme="minorHAnsi" w:hAnsiTheme="minorHAnsi" w:cstheme="minorBidi"/>
          <w:lang w:val="en-US"/>
        </w:rPr>
        <w:t xml:space="preserve"> </w:t>
      </w:r>
      <w:r w:rsidRPr="37E743BE">
        <w:rPr>
          <w:rFonts w:asciiTheme="minorHAnsi" w:hAnsiTheme="minorHAnsi" w:cstheme="minorBidi"/>
          <w:lang w:val="en-US"/>
        </w:rPr>
        <w:t>indicate</w:t>
      </w:r>
      <w:r w:rsidR="29ADCB12" w:rsidRPr="37E743BE">
        <w:rPr>
          <w:rFonts w:asciiTheme="minorHAnsi" w:hAnsiTheme="minorHAnsi" w:cstheme="minorBidi"/>
          <w:lang w:val="en-US"/>
        </w:rPr>
        <w:t xml:space="preserve"> </w:t>
      </w:r>
      <w:r w:rsidRPr="37E743BE">
        <w:rPr>
          <w:rFonts w:asciiTheme="minorHAnsi" w:hAnsiTheme="minorHAnsi" w:cstheme="minorBidi"/>
          <w:lang w:val="en-US"/>
        </w:rPr>
        <w:t xml:space="preserve">three preferred dates and times. Policy statements will be delivered </w:t>
      </w:r>
      <w:r w:rsidR="679314F7" w:rsidRPr="37E743BE">
        <w:rPr>
          <w:rFonts w:asciiTheme="minorHAnsi" w:hAnsiTheme="minorHAnsi" w:cstheme="minorBidi"/>
          <w:lang w:val="en-US"/>
        </w:rPr>
        <w:t>during the first week</w:t>
      </w:r>
      <w:r w:rsidRPr="37E743BE">
        <w:rPr>
          <w:rFonts w:asciiTheme="minorHAnsi" w:hAnsiTheme="minorHAnsi" w:cstheme="minorBidi"/>
          <w:lang w:val="en-US"/>
        </w:rPr>
        <w:t>. Slots are distributed on a first</w:t>
      </w:r>
      <w:r w:rsidR="7FE4155D" w:rsidRPr="37E743BE">
        <w:rPr>
          <w:rFonts w:asciiTheme="minorHAnsi" w:hAnsiTheme="minorHAnsi" w:cstheme="minorBidi"/>
          <w:lang w:val="en-US"/>
        </w:rPr>
        <w:t>-</w:t>
      </w:r>
      <w:r w:rsidRPr="37E743BE">
        <w:rPr>
          <w:rFonts w:asciiTheme="minorHAnsi" w:hAnsiTheme="minorHAnsi" w:cstheme="minorBidi"/>
          <w:lang w:val="en-US"/>
        </w:rPr>
        <w:t>come, first</w:t>
      </w:r>
      <w:r w:rsidR="4C41CB79" w:rsidRPr="37E743BE">
        <w:rPr>
          <w:rFonts w:asciiTheme="minorHAnsi" w:hAnsiTheme="minorHAnsi" w:cstheme="minorBidi"/>
          <w:lang w:val="en-US"/>
        </w:rPr>
        <w:t>-</w:t>
      </w:r>
      <w:r w:rsidRPr="37E743BE">
        <w:rPr>
          <w:rFonts w:asciiTheme="minorHAnsi" w:hAnsiTheme="minorHAnsi" w:cstheme="minorBidi"/>
          <w:lang w:val="en-US"/>
        </w:rPr>
        <w:t>served basis, with priority given to higher government officials such as Ministers.</w:t>
      </w:r>
      <w:r w:rsidR="3555C203" w:rsidRPr="37E743BE">
        <w:rPr>
          <w:rFonts w:asciiTheme="minorHAnsi" w:hAnsiTheme="minorHAnsi" w:cstheme="minorBidi"/>
          <w:lang w:val="en-US"/>
        </w:rPr>
        <w:t xml:space="preserve"> </w:t>
      </w:r>
      <w:r w:rsidRPr="37E743BE">
        <w:rPr>
          <w:rFonts w:asciiTheme="minorHAnsi" w:hAnsiTheme="minorHAnsi" w:cstheme="minorBidi"/>
          <w:lang w:val="en-US"/>
        </w:rPr>
        <w:t>Policy statements are limited to one speaker per delegation and should not exceed three minutes</w:t>
      </w:r>
      <w:r w:rsidR="519E0835" w:rsidRPr="37E743BE">
        <w:rPr>
          <w:rFonts w:asciiTheme="minorHAnsi" w:hAnsiTheme="minorHAnsi" w:cstheme="minorBidi"/>
          <w:lang w:val="en-US"/>
        </w:rPr>
        <w:t xml:space="preserve"> for </w:t>
      </w:r>
      <w:r w:rsidR="77C737E0" w:rsidRPr="37E743BE">
        <w:rPr>
          <w:rFonts w:asciiTheme="minorHAnsi" w:hAnsiTheme="minorHAnsi" w:cstheme="minorBidi"/>
          <w:lang w:val="en-US"/>
        </w:rPr>
        <w:t>Ministers</w:t>
      </w:r>
      <w:r w:rsidR="29A0C5CB" w:rsidRPr="37E743BE">
        <w:rPr>
          <w:rFonts w:asciiTheme="minorHAnsi" w:hAnsiTheme="minorHAnsi" w:cstheme="minorBidi"/>
          <w:lang w:val="en-US"/>
        </w:rPr>
        <w:t xml:space="preserve"> and two minutes for other </w:t>
      </w:r>
      <w:r w:rsidR="1AF50963" w:rsidRPr="37E743BE">
        <w:rPr>
          <w:rFonts w:eastAsia="Calibri" w:cs="Calibri"/>
          <w:color w:val="2F2F2F"/>
          <w:szCs w:val="24"/>
          <w:lang w:val="en-US"/>
        </w:rPr>
        <w:t>high-ranking delegates</w:t>
      </w:r>
      <w:r w:rsidRPr="37E743BE">
        <w:rPr>
          <w:rFonts w:asciiTheme="minorHAnsi" w:hAnsiTheme="minorHAnsi" w:cstheme="minorBidi"/>
          <w:lang w:val="en-US"/>
        </w:rPr>
        <w:t xml:space="preserve">. </w:t>
      </w:r>
      <w:r w:rsidR="1B2160FA" w:rsidRPr="37E743BE">
        <w:rPr>
          <w:rFonts w:asciiTheme="minorHAnsi" w:hAnsiTheme="minorHAnsi" w:cstheme="minorBidi"/>
          <w:lang w:val="en-US"/>
        </w:rPr>
        <w:t>S</w:t>
      </w:r>
      <w:r w:rsidRPr="37E743BE">
        <w:rPr>
          <w:rFonts w:asciiTheme="minorHAnsi" w:hAnsiTheme="minorHAnsi" w:cstheme="minorBidi"/>
          <w:lang w:val="en-US"/>
        </w:rPr>
        <w:t>peaker</w:t>
      </w:r>
      <w:r w:rsidR="1B2160FA" w:rsidRPr="37E743BE">
        <w:rPr>
          <w:rFonts w:asciiTheme="minorHAnsi" w:hAnsiTheme="minorHAnsi" w:cstheme="minorBidi"/>
          <w:lang w:val="en-US"/>
        </w:rPr>
        <w:t>s</w:t>
      </w:r>
      <w:r w:rsidR="29ADCB12" w:rsidRPr="37E743BE">
        <w:rPr>
          <w:rFonts w:asciiTheme="minorHAnsi" w:hAnsiTheme="minorHAnsi" w:cstheme="minorBidi"/>
          <w:lang w:val="en-US"/>
        </w:rPr>
        <w:t xml:space="preserve"> </w:t>
      </w:r>
      <w:r w:rsidRPr="37E743BE">
        <w:rPr>
          <w:rFonts w:asciiTheme="minorHAnsi" w:hAnsiTheme="minorHAnsi" w:cstheme="minorBidi"/>
          <w:lang w:val="en-US"/>
        </w:rPr>
        <w:t>will deliver the</w:t>
      </w:r>
      <w:r w:rsidR="1B2160FA" w:rsidRPr="37E743BE">
        <w:rPr>
          <w:rFonts w:asciiTheme="minorHAnsi" w:hAnsiTheme="minorHAnsi" w:cstheme="minorBidi"/>
          <w:lang w:val="en-US"/>
        </w:rPr>
        <w:t>ir</w:t>
      </w:r>
      <w:r w:rsidRPr="37E743BE">
        <w:rPr>
          <w:rFonts w:asciiTheme="minorHAnsi" w:hAnsiTheme="minorHAnsi" w:cstheme="minorBidi"/>
          <w:lang w:val="en-US"/>
        </w:rPr>
        <w:t xml:space="preserve"> statement</w:t>
      </w:r>
      <w:r w:rsidR="1B2160FA" w:rsidRPr="37E743BE">
        <w:rPr>
          <w:rFonts w:asciiTheme="minorHAnsi" w:hAnsiTheme="minorHAnsi" w:cstheme="minorBidi"/>
          <w:lang w:val="en-US"/>
        </w:rPr>
        <w:t>s</w:t>
      </w:r>
      <w:r w:rsidRPr="37E743BE">
        <w:rPr>
          <w:rFonts w:asciiTheme="minorHAnsi" w:hAnsiTheme="minorHAnsi" w:cstheme="minorBidi"/>
          <w:lang w:val="en-US"/>
        </w:rPr>
        <w:t xml:space="preserve"> from the podium.</w:t>
      </w:r>
    </w:p>
    <w:p w14:paraId="6A3590CA" w14:textId="67AFFA8F" w:rsidR="00E224C3" w:rsidRPr="003A77BE" w:rsidRDefault="00E224C3" w:rsidP="003A77BE">
      <w:pPr>
        <w:pStyle w:val="Headingb"/>
        <w:rPr>
          <w:lang w:val="en-US"/>
        </w:rPr>
      </w:pPr>
      <w:r w:rsidRPr="003A77BE">
        <w:rPr>
          <w:lang w:val="en-US"/>
        </w:rPr>
        <w:t>Submission of statements</w:t>
      </w:r>
    </w:p>
    <w:p w14:paraId="114BECF3" w14:textId="7D5AF835" w:rsidR="007A3FCD" w:rsidRPr="003A77BE" w:rsidRDefault="50AA2161" w:rsidP="37E743BE">
      <w:pPr>
        <w:jc w:val="both"/>
        <w:rPr>
          <w:rFonts w:asciiTheme="minorHAnsi" w:hAnsiTheme="minorHAnsi" w:cstheme="minorBidi"/>
          <w:lang w:val="en-US"/>
        </w:rPr>
      </w:pPr>
      <w:r w:rsidRPr="37E743BE">
        <w:rPr>
          <w:rFonts w:asciiTheme="minorHAnsi" w:hAnsiTheme="minorHAnsi" w:cstheme="minorBidi"/>
          <w:lang w:val="en-US"/>
        </w:rPr>
        <w:t xml:space="preserve">Delegations </w:t>
      </w:r>
      <w:r w:rsidR="294B9884" w:rsidRPr="37E743BE">
        <w:rPr>
          <w:rFonts w:asciiTheme="minorHAnsi" w:hAnsiTheme="minorHAnsi" w:cstheme="minorBidi"/>
          <w:lang w:val="en-US"/>
        </w:rPr>
        <w:t xml:space="preserve">will be </w:t>
      </w:r>
      <w:r w:rsidRPr="37E743BE">
        <w:rPr>
          <w:rFonts w:asciiTheme="minorHAnsi" w:hAnsiTheme="minorHAnsi" w:cstheme="minorBidi"/>
          <w:lang w:val="en-US"/>
        </w:rPr>
        <w:t>invited to</w:t>
      </w:r>
      <w:r w:rsidR="2B81FEA0" w:rsidRPr="37E743BE">
        <w:rPr>
          <w:rFonts w:asciiTheme="minorHAnsi" w:hAnsiTheme="minorHAnsi" w:cstheme="minorBidi"/>
          <w:lang w:val="en-US"/>
        </w:rPr>
        <w:t xml:space="preserve"> </w:t>
      </w:r>
      <w:r w:rsidRPr="37E743BE">
        <w:rPr>
          <w:rFonts w:asciiTheme="minorHAnsi" w:hAnsiTheme="minorHAnsi" w:cstheme="minorBidi"/>
          <w:lang w:val="en-US"/>
        </w:rPr>
        <w:t>submit</w:t>
      </w:r>
      <w:r w:rsidR="2B81FEA0" w:rsidRPr="37E743BE">
        <w:rPr>
          <w:rFonts w:asciiTheme="minorHAnsi" w:hAnsiTheme="minorHAnsi" w:cstheme="minorBidi"/>
          <w:lang w:val="en-US"/>
        </w:rPr>
        <w:t xml:space="preserve"> </w:t>
      </w:r>
      <w:r w:rsidRPr="37E743BE">
        <w:rPr>
          <w:rFonts w:asciiTheme="minorHAnsi" w:hAnsiTheme="minorHAnsi" w:cstheme="minorBidi"/>
          <w:lang w:val="en-US"/>
        </w:rPr>
        <w:t>their statements in writing to</w:t>
      </w:r>
      <w:r w:rsidR="2B81FEA0" w:rsidRPr="37E743BE">
        <w:rPr>
          <w:rFonts w:asciiTheme="minorHAnsi" w:hAnsiTheme="minorHAnsi" w:cstheme="minorBidi"/>
          <w:lang w:val="en-US"/>
        </w:rPr>
        <w:t xml:space="preserve"> </w:t>
      </w:r>
      <w:hyperlink r:id="rId12">
        <w:proofErr w:type="spellStart"/>
        <w:r w:rsidR="2B81FEA0" w:rsidRPr="37E743BE">
          <w:rPr>
            <w:rStyle w:val="Hyperlink"/>
            <w:rFonts w:asciiTheme="minorHAnsi" w:hAnsiTheme="minorHAnsi" w:cstheme="minorBidi"/>
            <w:lang w:val="en-US"/>
          </w:rPr>
          <w:t>ppstatements@itu.int</w:t>
        </w:r>
        <w:proofErr w:type="spellEnd"/>
      </w:hyperlink>
      <w:r w:rsidR="2B81FEA0" w:rsidRPr="37E743BE">
        <w:rPr>
          <w:rFonts w:asciiTheme="minorHAnsi" w:hAnsiTheme="minorHAnsi" w:cstheme="minorBidi"/>
          <w:color w:val="0000FF"/>
          <w:lang w:val="en-US"/>
        </w:rPr>
        <w:t xml:space="preserve"> </w:t>
      </w:r>
      <w:r w:rsidRPr="37E743BE">
        <w:rPr>
          <w:rFonts w:asciiTheme="minorHAnsi" w:hAnsiTheme="minorHAnsi" w:cstheme="minorBidi"/>
          <w:lang w:val="en-US"/>
        </w:rPr>
        <w:t xml:space="preserve">and </w:t>
      </w:r>
      <w:r w:rsidR="2AF859F1" w:rsidRPr="37E743BE">
        <w:rPr>
          <w:rFonts w:asciiTheme="minorHAnsi" w:hAnsiTheme="minorHAnsi" w:cstheme="minorBidi"/>
          <w:lang w:val="en-US"/>
        </w:rPr>
        <w:t>will be</w:t>
      </w:r>
      <w:r w:rsidRPr="37E743BE">
        <w:rPr>
          <w:rFonts w:asciiTheme="minorHAnsi" w:hAnsiTheme="minorHAnsi" w:cstheme="minorBidi"/>
          <w:lang w:val="en-US"/>
        </w:rPr>
        <w:t xml:space="preserve"> encouraged to include a short quote that could be highlighted through ITU </w:t>
      </w:r>
      <w:r w:rsidRPr="37E743BE">
        <w:rPr>
          <w:rFonts w:asciiTheme="minorHAnsi" w:hAnsiTheme="minorHAnsi" w:cstheme="minorBidi"/>
          <w:lang w:val="en-US"/>
        </w:rPr>
        <w:lastRenderedPageBreak/>
        <w:t>communication channels. After delivery, statements will be made available on the PP website.</w:t>
      </w:r>
      <w:r w:rsidR="2E1A696D" w:rsidRPr="37E743BE">
        <w:rPr>
          <w:rFonts w:asciiTheme="minorHAnsi" w:hAnsiTheme="minorHAnsi" w:cstheme="minorBidi"/>
          <w:lang w:val="en-US"/>
        </w:rPr>
        <w:t xml:space="preserve"> </w:t>
      </w:r>
      <w:r w:rsidRPr="37E743BE">
        <w:rPr>
          <w:rFonts w:asciiTheme="minorHAnsi" w:hAnsiTheme="minorHAnsi" w:cstheme="minorBidi"/>
          <w:lang w:val="en-US"/>
        </w:rPr>
        <w:t xml:space="preserve">Delegations are reminded that the official hashtags include #Plenipot, #ConnectedByITU and #DigitalLifelines, and </w:t>
      </w:r>
      <w:r w:rsidR="203AA8BC" w:rsidRPr="37E743BE">
        <w:rPr>
          <w:rFonts w:asciiTheme="minorHAnsi" w:hAnsiTheme="minorHAnsi" w:cstheme="minorBidi"/>
          <w:lang w:val="en-US"/>
        </w:rPr>
        <w:t xml:space="preserve">will </w:t>
      </w:r>
      <w:r w:rsidR="00736492" w:rsidRPr="37E743BE">
        <w:rPr>
          <w:rFonts w:asciiTheme="minorHAnsi" w:hAnsiTheme="minorHAnsi" w:cstheme="minorBidi"/>
          <w:lang w:val="en-US"/>
        </w:rPr>
        <w:t>be encouraged</w:t>
      </w:r>
      <w:r w:rsidRPr="37E743BE">
        <w:rPr>
          <w:rFonts w:asciiTheme="minorHAnsi" w:hAnsiTheme="minorHAnsi" w:cstheme="minorBidi"/>
          <w:lang w:val="en-US"/>
        </w:rPr>
        <w:t xml:space="preserve"> to promote their national statements through their own communication channels.</w:t>
      </w:r>
    </w:p>
    <w:p w14:paraId="6E350321" w14:textId="77777777" w:rsidR="003A77BE" w:rsidRDefault="003A77BE" w:rsidP="003A77BE">
      <w:pPr>
        <w:jc w:val="both"/>
        <w:rPr>
          <w:rFonts w:asciiTheme="minorHAnsi" w:hAnsiTheme="minorHAnsi" w:cstheme="minorBidi"/>
          <w:sz w:val="22"/>
          <w:szCs w:val="22"/>
          <w:lang w:val="en-US"/>
        </w:rPr>
      </w:pPr>
    </w:p>
    <w:p w14:paraId="1D6E3139" w14:textId="4A051317" w:rsidR="00E302FE" w:rsidRPr="00313301" w:rsidRDefault="00E302FE" w:rsidP="00E302FE">
      <w:pPr>
        <w:pStyle w:val="paragraph"/>
        <w:spacing w:before="240" w:beforeAutospacing="0" w:after="0" w:afterAutospacing="0"/>
        <w:jc w:val="center"/>
        <w:textAlignment w:val="baseline"/>
        <w:rPr>
          <w:rFonts w:asciiTheme="minorHAnsi" w:hAnsiTheme="minorHAnsi" w:cstheme="minorHAnsi"/>
          <w:sz w:val="18"/>
          <w:szCs w:val="18"/>
        </w:rPr>
      </w:pPr>
      <w:r>
        <w:rPr>
          <w:rFonts w:asciiTheme="minorHAnsi" w:hAnsiTheme="minorHAnsi" w:cstheme="minorHAnsi"/>
          <w:sz w:val="22"/>
          <w:szCs w:val="22"/>
          <w:lang w:val="en-US"/>
        </w:rPr>
        <w:t>________________</w:t>
      </w:r>
    </w:p>
    <w:sectPr w:rsidR="00E302FE" w:rsidRPr="00313301"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4D43" w14:textId="77777777" w:rsidR="00BE2A57" w:rsidRDefault="00BE2A57">
      <w:r>
        <w:separator/>
      </w:r>
    </w:p>
  </w:endnote>
  <w:endnote w:type="continuationSeparator" w:id="0">
    <w:p w14:paraId="542F3857" w14:textId="77777777" w:rsidR="00BE2A57" w:rsidRDefault="00BE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220ACC" w14:textId="77777777">
      <w:trPr>
        <w:jc w:val="center"/>
      </w:trPr>
      <w:tc>
        <w:tcPr>
          <w:tcW w:w="1803" w:type="dxa"/>
          <w:vAlign w:val="center"/>
        </w:tcPr>
        <w:p w14:paraId="61038E60" w14:textId="5A7B3EAC" w:rsidR="00EE49E8" w:rsidRDefault="00EE49E8" w:rsidP="00EE49E8">
          <w:pPr>
            <w:pStyle w:val="Header"/>
            <w:jc w:val="left"/>
            <w:rPr>
              <w:noProof/>
            </w:rPr>
          </w:pPr>
        </w:p>
      </w:tc>
      <w:tc>
        <w:tcPr>
          <w:tcW w:w="8261" w:type="dxa"/>
        </w:tcPr>
        <w:p w14:paraId="6079E3B9" w14:textId="79FBA7E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CA0A45">
            <w:rPr>
              <w:bCs/>
            </w:rPr>
            <w:t>INF/</w:t>
          </w:r>
          <w:r w:rsidR="00E302FE">
            <w:rPr>
              <w:bCs/>
            </w:rPr>
            <w:t>13</w:t>
          </w:r>
          <w:r>
            <w:rPr>
              <w:bCs/>
            </w:rPr>
            <w:tab/>
          </w:r>
          <w:r>
            <w:fldChar w:fldCharType="begin"/>
          </w:r>
          <w:r>
            <w:instrText>PAGE</w:instrText>
          </w:r>
          <w:r>
            <w:fldChar w:fldCharType="separate"/>
          </w:r>
          <w:r>
            <w:t>1</w:t>
          </w:r>
          <w:r>
            <w:rPr>
              <w:noProof/>
            </w:rPr>
            <w:fldChar w:fldCharType="end"/>
          </w:r>
        </w:p>
      </w:tc>
    </w:tr>
  </w:tbl>
  <w:p w14:paraId="1804FEB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971759E" w14:textId="77777777" w:rsidTr="006B77F1">
      <w:trPr>
        <w:jc w:val="center"/>
      </w:trPr>
      <w:tc>
        <w:tcPr>
          <w:tcW w:w="1803" w:type="dxa"/>
          <w:vAlign w:val="center"/>
        </w:tcPr>
        <w:p w14:paraId="0366AF2F"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155B44F7" w14:textId="59A6442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CA0A45">
            <w:rPr>
              <w:bCs/>
            </w:rPr>
            <w:t>INF/</w:t>
          </w:r>
          <w:r w:rsidR="00E302FE">
            <w:rPr>
              <w:bCs/>
            </w:rPr>
            <w:t>13</w:t>
          </w:r>
          <w:r>
            <w:rPr>
              <w:bCs/>
            </w:rPr>
            <w:tab/>
          </w:r>
          <w:r>
            <w:fldChar w:fldCharType="begin"/>
          </w:r>
          <w:r>
            <w:instrText>PAGE</w:instrText>
          </w:r>
          <w:r>
            <w:fldChar w:fldCharType="separate"/>
          </w:r>
          <w:r>
            <w:t>1</w:t>
          </w:r>
          <w:r>
            <w:rPr>
              <w:noProof/>
            </w:rPr>
            <w:fldChar w:fldCharType="end"/>
          </w:r>
        </w:p>
      </w:tc>
    </w:tr>
  </w:tbl>
  <w:p w14:paraId="40BA2FF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3C4B" w14:textId="77777777" w:rsidR="00BE2A57" w:rsidRDefault="00BE2A57">
      <w:r>
        <w:t>____________________</w:t>
      </w:r>
    </w:p>
  </w:footnote>
  <w:footnote w:type="continuationSeparator" w:id="0">
    <w:p w14:paraId="5FD8333D" w14:textId="77777777" w:rsidR="00BE2A57" w:rsidRDefault="00BE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EFDD" w14:textId="77777777" w:rsidR="00AD3606" w:rsidRPr="00512087" w:rsidRDefault="00512087" w:rsidP="0049369C">
    <w:pPr>
      <w:pStyle w:val="Header"/>
    </w:pPr>
    <w:r>
      <w:rPr>
        <w:noProof/>
      </w:rPr>
      <w:drawing>
        <wp:inline distT="0" distB="0" distL="0" distR="0" wp14:anchorId="6A841841" wp14:editId="68A3751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4E02EF"/>
    <w:multiLevelType w:val="hybridMultilevel"/>
    <w:tmpl w:val="E532538E"/>
    <w:lvl w:ilvl="0" w:tplc="046C06C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44959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45"/>
    <w:rsid w:val="00002A9D"/>
    <w:rsid w:val="000210D4"/>
    <w:rsid w:val="000215DF"/>
    <w:rsid w:val="000305B0"/>
    <w:rsid w:val="000407EC"/>
    <w:rsid w:val="000511BD"/>
    <w:rsid w:val="0006007D"/>
    <w:rsid w:val="00063016"/>
    <w:rsid w:val="00066795"/>
    <w:rsid w:val="00076AF6"/>
    <w:rsid w:val="000774CC"/>
    <w:rsid w:val="00082F63"/>
    <w:rsid w:val="00085CF2"/>
    <w:rsid w:val="000A7F94"/>
    <w:rsid w:val="000B1705"/>
    <w:rsid w:val="000C3260"/>
    <w:rsid w:val="000C6D02"/>
    <w:rsid w:val="000D580F"/>
    <w:rsid w:val="000D75B2"/>
    <w:rsid w:val="000E372C"/>
    <w:rsid w:val="000F46C1"/>
    <w:rsid w:val="000F5DDB"/>
    <w:rsid w:val="001121F5"/>
    <w:rsid w:val="00133D0B"/>
    <w:rsid w:val="001400DC"/>
    <w:rsid w:val="00140CE1"/>
    <w:rsid w:val="0015189A"/>
    <w:rsid w:val="00166AA1"/>
    <w:rsid w:val="0017539C"/>
    <w:rsid w:val="00175AC2"/>
    <w:rsid w:val="0017609F"/>
    <w:rsid w:val="00176F47"/>
    <w:rsid w:val="001A3154"/>
    <w:rsid w:val="001A6479"/>
    <w:rsid w:val="001A7D1D"/>
    <w:rsid w:val="001B51DD"/>
    <w:rsid w:val="001C628E"/>
    <w:rsid w:val="001E0F7B"/>
    <w:rsid w:val="001F5569"/>
    <w:rsid w:val="0020487B"/>
    <w:rsid w:val="00207407"/>
    <w:rsid w:val="002119FD"/>
    <w:rsid w:val="002130E0"/>
    <w:rsid w:val="00214A13"/>
    <w:rsid w:val="00214DBD"/>
    <w:rsid w:val="00221F46"/>
    <w:rsid w:val="00224763"/>
    <w:rsid w:val="00264425"/>
    <w:rsid w:val="00265875"/>
    <w:rsid w:val="0027303B"/>
    <w:rsid w:val="00277DEA"/>
    <w:rsid w:val="0028109B"/>
    <w:rsid w:val="002916B4"/>
    <w:rsid w:val="002A0615"/>
    <w:rsid w:val="002A133E"/>
    <w:rsid w:val="002A2188"/>
    <w:rsid w:val="002B1F58"/>
    <w:rsid w:val="002C1C7A"/>
    <w:rsid w:val="002C3F32"/>
    <w:rsid w:val="002C54E2"/>
    <w:rsid w:val="002D5D99"/>
    <w:rsid w:val="0030160F"/>
    <w:rsid w:val="00303326"/>
    <w:rsid w:val="00303BEE"/>
    <w:rsid w:val="00313301"/>
    <w:rsid w:val="00320223"/>
    <w:rsid w:val="00322D0D"/>
    <w:rsid w:val="003338D9"/>
    <w:rsid w:val="00361465"/>
    <w:rsid w:val="003877F5"/>
    <w:rsid w:val="003936D3"/>
    <w:rsid w:val="003942D4"/>
    <w:rsid w:val="003958A8"/>
    <w:rsid w:val="003A57D9"/>
    <w:rsid w:val="003A77BE"/>
    <w:rsid w:val="003B29C2"/>
    <w:rsid w:val="003B4FAF"/>
    <w:rsid w:val="003C2533"/>
    <w:rsid w:val="003D5A7F"/>
    <w:rsid w:val="003D7652"/>
    <w:rsid w:val="003E04AB"/>
    <w:rsid w:val="003F0228"/>
    <w:rsid w:val="0040435A"/>
    <w:rsid w:val="00416A24"/>
    <w:rsid w:val="00431D9E"/>
    <w:rsid w:val="00433CE8"/>
    <w:rsid w:val="00434A5C"/>
    <w:rsid w:val="00453079"/>
    <w:rsid w:val="004544D9"/>
    <w:rsid w:val="00465C35"/>
    <w:rsid w:val="00465C5A"/>
    <w:rsid w:val="00472BAD"/>
    <w:rsid w:val="00476EF0"/>
    <w:rsid w:val="00484009"/>
    <w:rsid w:val="00490E72"/>
    <w:rsid w:val="00491157"/>
    <w:rsid w:val="00491BA9"/>
    <w:rsid w:val="004921C8"/>
    <w:rsid w:val="0049369C"/>
    <w:rsid w:val="004950BA"/>
    <w:rsid w:val="00495615"/>
    <w:rsid w:val="00495B0B"/>
    <w:rsid w:val="004A1B8B"/>
    <w:rsid w:val="004A6E28"/>
    <w:rsid w:val="004A72A9"/>
    <w:rsid w:val="004D1851"/>
    <w:rsid w:val="004D599D"/>
    <w:rsid w:val="004E2EA5"/>
    <w:rsid w:val="004E3AEB"/>
    <w:rsid w:val="004E4307"/>
    <w:rsid w:val="004E6900"/>
    <w:rsid w:val="0050223C"/>
    <w:rsid w:val="005116B7"/>
    <w:rsid w:val="00512087"/>
    <w:rsid w:val="00523C31"/>
    <w:rsid w:val="005243FF"/>
    <w:rsid w:val="00531F52"/>
    <w:rsid w:val="00550036"/>
    <w:rsid w:val="00564FBC"/>
    <w:rsid w:val="00576DDC"/>
    <w:rsid w:val="00576E9C"/>
    <w:rsid w:val="005800BC"/>
    <w:rsid w:val="0058125A"/>
    <w:rsid w:val="00582442"/>
    <w:rsid w:val="005A0629"/>
    <w:rsid w:val="005A296F"/>
    <w:rsid w:val="005D5392"/>
    <w:rsid w:val="005D6471"/>
    <w:rsid w:val="005F0DC6"/>
    <w:rsid w:val="005F3269"/>
    <w:rsid w:val="005F7CD9"/>
    <w:rsid w:val="0061071E"/>
    <w:rsid w:val="00611FC0"/>
    <w:rsid w:val="00623AE3"/>
    <w:rsid w:val="00637D34"/>
    <w:rsid w:val="0064737F"/>
    <w:rsid w:val="006535F1"/>
    <w:rsid w:val="0065557D"/>
    <w:rsid w:val="00660D50"/>
    <w:rsid w:val="00661B10"/>
    <w:rsid w:val="00662984"/>
    <w:rsid w:val="00664A40"/>
    <w:rsid w:val="006716BB"/>
    <w:rsid w:val="00687557"/>
    <w:rsid w:val="00692522"/>
    <w:rsid w:val="006927F5"/>
    <w:rsid w:val="006A2F4B"/>
    <w:rsid w:val="006A7487"/>
    <w:rsid w:val="006B1859"/>
    <w:rsid w:val="006B6680"/>
    <w:rsid w:val="006B6DCC"/>
    <w:rsid w:val="006B77F1"/>
    <w:rsid w:val="006C2E59"/>
    <w:rsid w:val="006D63BB"/>
    <w:rsid w:val="00702DEF"/>
    <w:rsid w:val="00706861"/>
    <w:rsid w:val="00722551"/>
    <w:rsid w:val="00732A1C"/>
    <w:rsid w:val="00736492"/>
    <w:rsid w:val="007366FD"/>
    <w:rsid w:val="0075051B"/>
    <w:rsid w:val="0075766A"/>
    <w:rsid w:val="00765C89"/>
    <w:rsid w:val="0077110E"/>
    <w:rsid w:val="00787E43"/>
    <w:rsid w:val="00793188"/>
    <w:rsid w:val="00794D34"/>
    <w:rsid w:val="00797DD7"/>
    <w:rsid w:val="007A001A"/>
    <w:rsid w:val="007A3FCD"/>
    <w:rsid w:val="007B19CF"/>
    <w:rsid w:val="007B4423"/>
    <w:rsid w:val="007D01AF"/>
    <w:rsid w:val="007D7A2E"/>
    <w:rsid w:val="007E37B6"/>
    <w:rsid w:val="00813E5E"/>
    <w:rsid w:val="0083581B"/>
    <w:rsid w:val="0084546D"/>
    <w:rsid w:val="00846617"/>
    <w:rsid w:val="00847CAA"/>
    <w:rsid w:val="00854C4C"/>
    <w:rsid w:val="0086023A"/>
    <w:rsid w:val="00863874"/>
    <w:rsid w:val="00864AFF"/>
    <w:rsid w:val="00865925"/>
    <w:rsid w:val="008877D3"/>
    <w:rsid w:val="008B4A6A"/>
    <w:rsid w:val="008C7E27"/>
    <w:rsid w:val="008D04A8"/>
    <w:rsid w:val="008F641C"/>
    <w:rsid w:val="008F7448"/>
    <w:rsid w:val="0090147A"/>
    <w:rsid w:val="009173EF"/>
    <w:rsid w:val="00921C14"/>
    <w:rsid w:val="00932906"/>
    <w:rsid w:val="00951136"/>
    <w:rsid w:val="00954C49"/>
    <w:rsid w:val="00961B0B"/>
    <w:rsid w:val="00962D33"/>
    <w:rsid w:val="009637EC"/>
    <w:rsid w:val="009642DC"/>
    <w:rsid w:val="009716B2"/>
    <w:rsid w:val="009832AC"/>
    <w:rsid w:val="009842A1"/>
    <w:rsid w:val="009855F1"/>
    <w:rsid w:val="009A76A8"/>
    <w:rsid w:val="009B38C3"/>
    <w:rsid w:val="009C6ECE"/>
    <w:rsid w:val="009E17BD"/>
    <w:rsid w:val="009E485A"/>
    <w:rsid w:val="009E4A16"/>
    <w:rsid w:val="009E5B2B"/>
    <w:rsid w:val="00A04CEC"/>
    <w:rsid w:val="00A109AF"/>
    <w:rsid w:val="00A228F4"/>
    <w:rsid w:val="00A27F92"/>
    <w:rsid w:val="00A32257"/>
    <w:rsid w:val="00A36D20"/>
    <w:rsid w:val="00A514A4"/>
    <w:rsid w:val="00A55622"/>
    <w:rsid w:val="00A83502"/>
    <w:rsid w:val="00A94BAB"/>
    <w:rsid w:val="00AB3071"/>
    <w:rsid w:val="00AC78BE"/>
    <w:rsid w:val="00AD15B3"/>
    <w:rsid w:val="00AD3606"/>
    <w:rsid w:val="00AD4A3D"/>
    <w:rsid w:val="00AD517B"/>
    <w:rsid w:val="00AF6D7C"/>
    <w:rsid w:val="00AF6E49"/>
    <w:rsid w:val="00AF705F"/>
    <w:rsid w:val="00B017ED"/>
    <w:rsid w:val="00B04A67"/>
    <w:rsid w:val="00B0583C"/>
    <w:rsid w:val="00B30AF2"/>
    <w:rsid w:val="00B319BA"/>
    <w:rsid w:val="00B40A81"/>
    <w:rsid w:val="00B44910"/>
    <w:rsid w:val="00B54760"/>
    <w:rsid w:val="00B72267"/>
    <w:rsid w:val="00B76EB6"/>
    <w:rsid w:val="00B7737B"/>
    <w:rsid w:val="00B824C8"/>
    <w:rsid w:val="00B84B9D"/>
    <w:rsid w:val="00B9131F"/>
    <w:rsid w:val="00B94B14"/>
    <w:rsid w:val="00BB0646"/>
    <w:rsid w:val="00BC251A"/>
    <w:rsid w:val="00BC4A20"/>
    <w:rsid w:val="00BD032B"/>
    <w:rsid w:val="00BD4578"/>
    <w:rsid w:val="00BE01C6"/>
    <w:rsid w:val="00BE2640"/>
    <w:rsid w:val="00BE2A57"/>
    <w:rsid w:val="00BF1FDE"/>
    <w:rsid w:val="00C01090"/>
    <w:rsid w:val="00C01189"/>
    <w:rsid w:val="00C0458D"/>
    <w:rsid w:val="00C12A23"/>
    <w:rsid w:val="00C374DE"/>
    <w:rsid w:val="00C478F3"/>
    <w:rsid w:val="00C47AD4"/>
    <w:rsid w:val="00C52D81"/>
    <w:rsid w:val="00C55198"/>
    <w:rsid w:val="00C5605F"/>
    <w:rsid w:val="00C6520B"/>
    <w:rsid w:val="00C855DE"/>
    <w:rsid w:val="00C8719E"/>
    <w:rsid w:val="00CA0A45"/>
    <w:rsid w:val="00CA5EAC"/>
    <w:rsid w:val="00CA6393"/>
    <w:rsid w:val="00CA7995"/>
    <w:rsid w:val="00CB18FF"/>
    <w:rsid w:val="00CB7013"/>
    <w:rsid w:val="00CB7A09"/>
    <w:rsid w:val="00CD0C08"/>
    <w:rsid w:val="00CE03FB"/>
    <w:rsid w:val="00CE433C"/>
    <w:rsid w:val="00CF0161"/>
    <w:rsid w:val="00CF33F3"/>
    <w:rsid w:val="00CF4A2B"/>
    <w:rsid w:val="00D024CA"/>
    <w:rsid w:val="00D06183"/>
    <w:rsid w:val="00D20574"/>
    <w:rsid w:val="00D22C42"/>
    <w:rsid w:val="00D27593"/>
    <w:rsid w:val="00D33FF9"/>
    <w:rsid w:val="00D6100E"/>
    <w:rsid w:val="00D61959"/>
    <w:rsid w:val="00D65041"/>
    <w:rsid w:val="00DA671D"/>
    <w:rsid w:val="00DB1936"/>
    <w:rsid w:val="00DB384B"/>
    <w:rsid w:val="00DD6F0A"/>
    <w:rsid w:val="00DE1FCD"/>
    <w:rsid w:val="00DE532B"/>
    <w:rsid w:val="00DF0189"/>
    <w:rsid w:val="00DF5C70"/>
    <w:rsid w:val="00E06FD5"/>
    <w:rsid w:val="00E10E80"/>
    <w:rsid w:val="00E124F0"/>
    <w:rsid w:val="00E224C3"/>
    <w:rsid w:val="00E227F3"/>
    <w:rsid w:val="00E254F2"/>
    <w:rsid w:val="00E302FE"/>
    <w:rsid w:val="00E45B0A"/>
    <w:rsid w:val="00E46E82"/>
    <w:rsid w:val="00E47C0E"/>
    <w:rsid w:val="00E506F8"/>
    <w:rsid w:val="00E545C6"/>
    <w:rsid w:val="00E60F04"/>
    <w:rsid w:val="00E65B24"/>
    <w:rsid w:val="00E854E4"/>
    <w:rsid w:val="00E86DBF"/>
    <w:rsid w:val="00E92717"/>
    <w:rsid w:val="00E969AF"/>
    <w:rsid w:val="00EA2391"/>
    <w:rsid w:val="00EB0D6F"/>
    <w:rsid w:val="00EB2232"/>
    <w:rsid w:val="00EC1C0A"/>
    <w:rsid w:val="00EC45E7"/>
    <w:rsid w:val="00EC5337"/>
    <w:rsid w:val="00ED6EC4"/>
    <w:rsid w:val="00EE49E8"/>
    <w:rsid w:val="00F00159"/>
    <w:rsid w:val="00F16BAB"/>
    <w:rsid w:val="00F2150A"/>
    <w:rsid w:val="00F231D8"/>
    <w:rsid w:val="00F23510"/>
    <w:rsid w:val="00F24263"/>
    <w:rsid w:val="00F42A46"/>
    <w:rsid w:val="00F44C00"/>
    <w:rsid w:val="00F45D2C"/>
    <w:rsid w:val="00F46C5F"/>
    <w:rsid w:val="00F55B08"/>
    <w:rsid w:val="00F632C0"/>
    <w:rsid w:val="00F641E1"/>
    <w:rsid w:val="00F717C5"/>
    <w:rsid w:val="00F94A63"/>
    <w:rsid w:val="00FA1C28"/>
    <w:rsid w:val="00FB1279"/>
    <w:rsid w:val="00FB6B76"/>
    <w:rsid w:val="00FB7596"/>
    <w:rsid w:val="00FC0395"/>
    <w:rsid w:val="00FE4077"/>
    <w:rsid w:val="00FE500D"/>
    <w:rsid w:val="00FE6F90"/>
    <w:rsid w:val="00FE77D2"/>
    <w:rsid w:val="00FF00E4"/>
    <w:rsid w:val="00FF39B1"/>
    <w:rsid w:val="01D7D12A"/>
    <w:rsid w:val="039EB75B"/>
    <w:rsid w:val="043CF82A"/>
    <w:rsid w:val="07538943"/>
    <w:rsid w:val="07F215BC"/>
    <w:rsid w:val="0B6C277E"/>
    <w:rsid w:val="0CF80765"/>
    <w:rsid w:val="0D44E994"/>
    <w:rsid w:val="0E376620"/>
    <w:rsid w:val="0FA2BF7F"/>
    <w:rsid w:val="1035DB97"/>
    <w:rsid w:val="12ACCDBF"/>
    <w:rsid w:val="12B2A625"/>
    <w:rsid w:val="12FC2AA8"/>
    <w:rsid w:val="13B53AAB"/>
    <w:rsid w:val="141B24DD"/>
    <w:rsid w:val="14F883B7"/>
    <w:rsid w:val="150A1884"/>
    <w:rsid w:val="1527DA4A"/>
    <w:rsid w:val="15337E37"/>
    <w:rsid w:val="188FB77F"/>
    <w:rsid w:val="1A52701A"/>
    <w:rsid w:val="1AB3C208"/>
    <w:rsid w:val="1AF50963"/>
    <w:rsid w:val="1B2160FA"/>
    <w:rsid w:val="1F63D44C"/>
    <w:rsid w:val="203AA8BC"/>
    <w:rsid w:val="222A488B"/>
    <w:rsid w:val="23FC587A"/>
    <w:rsid w:val="294B9884"/>
    <w:rsid w:val="29699723"/>
    <w:rsid w:val="29A0C5CB"/>
    <w:rsid w:val="29ADCB12"/>
    <w:rsid w:val="2AF859F1"/>
    <w:rsid w:val="2B81FEA0"/>
    <w:rsid w:val="2BD6EAEE"/>
    <w:rsid w:val="2CB306FC"/>
    <w:rsid w:val="2CB4974B"/>
    <w:rsid w:val="2E1A696D"/>
    <w:rsid w:val="30BEC6DB"/>
    <w:rsid w:val="3130E48B"/>
    <w:rsid w:val="313F89D6"/>
    <w:rsid w:val="31838604"/>
    <w:rsid w:val="323646B8"/>
    <w:rsid w:val="340BAA19"/>
    <w:rsid w:val="3555C203"/>
    <w:rsid w:val="369F7F45"/>
    <w:rsid w:val="377B62F0"/>
    <w:rsid w:val="378CE494"/>
    <w:rsid w:val="37E743BE"/>
    <w:rsid w:val="39EEBB15"/>
    <w:rsid w:val="3A0569D8"/>
    <w:rsid w:val="3CDBDFA8"/>
    <w:rsid w:val="3CDDE7D4"/>
    <w:rsid w:val="3DF20444"/>
    <w:rsid w:val="3E68CC15"/>
    <w:rsid w:val="3F7146F8"/>
    <w:rsid w:val="40F5D113"/>
    <w:rsid w:val="41148BFE"/>
    <w:rsid w:val="436FC71E"/>
    <w:rsid w:val="43755540"/>
    <w:rsid w:val="443DDE19"/>
    <w:rsid w:val="445E947D"/>
    <w:rsid w:val="44933ADF"/>
    <w:rsid w:val="45000C80"/>
    <w:rsid w:val="46FAFC5B"/>
    <w:rsid w:val="49893527"/>
    <w:rsid w:val="4C41CB79"/>
    <w:rsid w:val="4E22E600"/>
    <w:rsid w:val="4EA9A47A"/>
    <w:rsid w:val="4F42F19B"/>
    <w:rsid w:val="4FC3E769"/>
    <w:rsid w:val="509085E8"/>
    <w:rsid w:val="50AA2161"/>
    <w:rsid w:val="519E0835"/>
    <w:rsid w:val="5319D602"/>
    <w:rsid w:val="54B092F4"/>
    <w:rsid w:val="5580F04C"/>
    <w:rsid w:val="57AAD214"/>
    <w:rsid w:val="5C544561"/>
    <w:rsid w:val="5E4E65BE"/>
    <w:rsid w:val="5E6F6238"/>
    <w:rsid w:val="5EF8AACC"/>
    <w:rsid w:val="5F847F7F"/>
    <w:rsid w:val="61A8DD2F"/>
    <w:rsid w:val="62CA29DE"/>
    <w:rsid w:val="6472F3C5"/>
    <w:rsid w:val="6573B222"/>
    <w:rsid w:val="661856C9"/>
    <w:rsid w:val="679314F7"/>
    <w:rsid w:val="68CE419E"/>
    <w:rsid w:val="691D92C4"/>
    <w:rsid w:val="69CFC101"/>
    <w:rsid w:val="69FCDF52"/>
    <w:rsid w:val="6A142A43"/>
    <w:rsid w:val="6A915A11"/>
    <w:rsid w:val="6BE422FF"/>
    <w:rsid w:val="6CD06A77"/>
    <w:rsid w:val="6EEC0874"/>
    <w:rsid w:val="6FEC4B72"/>
    <w:rsid w:val="714668F9"/>
    <w:rsid w:val="7146A312"/>
    <w:rsid w:val="7164FE6C"/>
    <w:rsid w:val="730CE5B4"/>
    <w:rsid w:val="733AA738"/>
    <w:rsid w:val="738E5775"/>
    <w:rsid w:val="73ADCD6D"/>
    <w:rsid w:val="743CE9E2"/>
    <w:rsid w:val="764568ED"/>
    <w:rsid w:val="76E229CB"/>
    <w:rsid w:val="77C737E0"/>
    <w:rsid w:val="7BA59EF5"/>
    <w:rsid w:val="7D122BE4"/>
    <w:rsid w:val="7EE6A6B1"/>
    <w:rsid w:val="7F4F9447"/>
    <w:rsid w:val="7FE41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3810"/>
  <w15:docId w15:val="{FEE0C195-028F-414C-AB66-D6929B21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paragraph">
    <w:name w:val="paragraph"/>
    <w:basedOn w:val="Normal"/>
    <w:rsid w:val="00E224C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op">
    <w:name w:val="eop"/>
    <w:basedOn w:val="DefaultParagraphFont"/>
    <w:rsid w:val="00E224C3"/>
  </w:style>
  <w:style w:type="character" w:customStyle="1" w:styleId="scxw56403223">
    <w:name w:val="scxw56403223"/>
    <w:basedOn w:val="DefaultParagraphFont"/>
    <w:rsid w:val="00E224C3"/>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338D9"/>
    <w:rPr>
      <w:b/>
      <w:bCs/>
    </w:rPr>
  </w:style>
  <w:style w:type="character" w:customStyle="1" w:styleId="CommentSubjectChar">
    <w:name w:val="Comment Subject Char"/>
    <w:basedOn w:val="CommentTextChar"/>
    <w:link w:val="CommentSubject"/>
    <w:semiHidden/>
    <w:rsid w:val="003338D9"/>
    <w:rPr>
      <w:rFonts w:ascii="Calibri" w:hAnsi="Calibri"/>
      <w:b/>
      <w:bCs/>
      <w:lang w:val="en-GB" w:eastAsia="en-US"/>
    </w:rPr>
  </w:style>
  <w:style w:type="character" w:styleId="Mention">
    <w:name w:val="Mention"/>
    <w:basedOn w:val="DefaultParagraphFont"/>
    <w:uiPriority w:val="99"/>
    <w:unhideWhenUsed/>
    <w:rsid w:val="003338D9"/>
    <w:rPr>
      <w:color w:val="2B579A"/>
      <w:shd w:val="clear" w:color="auto" w:fill="E1DFDD"/>
    </w:rPr>
  </w:style>
  <w:style w:type="paragraph" w:styleId="Revision">
    <w:name w:val="Revision"/>
    <w:hidden/>
    <w:uiPriority w:val="99"/>
    <w:semiHidden/>
    <w:rsid w:val="00B5476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statements@itu.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itu.int/2026/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50e10f4973fb8c33128ea71e835d6bdc">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0BF0C-D7D7-40D6-8848-3EC6335B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33E5-BF8B-4300-A370-91048D84B9D0}">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a4c22657-7647-457b-a399-8471255bb166"/>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282D932-6778-4D7C-885B-CCDFC6BEC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848</Words>
  <Characters>5785</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Guidelines to support delegations in the preparation of policy statements for the 2026 Plenipotentiary Conference</vt:lpstr>
    </vt:vector>
  </TitlesOfParts>
  <Manager>General Secretariat</Manager>
  <Company>International Telecommunication Union (ITU)</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to support delegations in the preparation of policy statements for the 2026 Plenipotentiary Conference</dc:title>
  <dc:subject>ITU Council 2026</dc:subject>
  <cp:keywords>C26; C2026; Council 2026; PP26</cp:keywords>
  <dc:description/>
  <cp:lastPrinted>2000-07-18T22:30:00Z</cp:lastPrinted>
  <dcterms:created xsi:type="dcterms:W3CDTF">2026-04-10T11:23:00Z</dcterms:created>
  <dcterms:modified xsi:type="dcterms:W3CDTF">2026-04-10T11:25:00Z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