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C2460C" w:rsidRPr="00C2460C" w14:paraId="72ABEEFB" w14:textId="77777777" w:rsidTr="192E875C">
        <w:trPr>
          <w:cantSplit/>
          <w:trHeight w:val="23"/>
        </w:trPr>
        <w:tc>
          <w:tcPr>
            <w:tcW w:w="3969" w:type="dxa"/>
            <w:vMerge w:val="restart"/>
            <w:tcMar>
              <w:left w:w="0" w:type="dxa"/>
            </w:tcMar>
          </w:tcPr>
          <w:p w14:paraId="297A33D5" w14:textId="2D2ABFA4" w:rsidR="00C2460C" w:rsidRPr="00C0458D" w:rsidRDefault="00C2460C">
            <w:pPr>
              <w:tabs>
                <w:tab w:val="left" w:pos="851"/>
              </w:tabs>
              <w:spacing w:before="0" w:line="240" w:lineRule="atLeast"/>
              <w:rPr>
                <w:b/>
              </w:rPr>
            </w:pPr>
            <w:bookmarkStart w:id="0" w:name="dmeeting" w:colFirst="0" w:colLast="0"/>
            <w:bookmarkStart w:id="1" w:name="dnum" w:colFirst="1" w:colLast="1"/>
            <w:bookmarkStart w:id="2" w:name="_Hlk133421839"/>
          </w:p>
        </w:tc>
        <w:tc>
          <w:tcPr>
            <w:tcW w:w="5245" w:type="dxa"/>
          </w:tcPr>
          <w:p w14:paraId="50233B6F" w14:textId="149BCE5B" w:rsidR="00C2460C" w:rsidRPr="00C2460C" w:rsidRDefault="00C2460C">
            <w:pPr>
              <w:tabs>
                <w:tab w:val="left" w:pos="851"/>
              </w:tabs>
              <w:spacing w:before="0" w:line="240" w:lineRule="atLeast"/>
              <w:jc w:val="right"/>
              <w:rPr>
                <w:b/>
                <w:lang w:val="fr-CH"/>
              </w:rPr>
            </w:pPr>
            <w:r w:rsidRPr="00C2460C">
              <w:rPr>
                <w:b/>
                <w:lang w:val="fr-CH"/>
              </w:rPr>
              <w:t xml:space="preserve">Document </w:t>
            </w:r>
            <w:proofErr w:type="spellStart"/>
            <w:r w:rsidRPr="00FB5AA8">
              <w:rPr>
                <w:b/>
                <w:lang w:val="fr-CH"/>
              </w:rPr>
              <w:t>C26</w:t>
            </w:r>
            <w:proofErr w:type="spellEnd"/>
            <w:r w:rsidRPr="00FB5AA8">
              <w:rPr>
                <w:b/>
                <w:lang w:val="fr-CH"/>
              </w:rPr>
              <w:t>/</w:t>
            </w:r>
            <w:proofErr w:type="spellStart"/>
            <w:r w:rsidRPr="00FB5AA8">
              <w:rPr>
                <w:b/>
                <w:lang w:val="fr-CH"/>
              </w:rPr>
              <w:t>INF</w:t>
            </w:r>
            <w:proofErr w:type="spellEnd"/>
            <w:r w:rsidRPr="00FB5AA8">
              <w:rPr>
                <w:b/>
                <w:lang w:val="fr-CH"/>
              </w:rPr>
              <w:t>/10</w:t>
            </w:r>
            <w:r w:rsidRPr="00C2460C">
              <w:rPr>
                <w:b/>
                <w:lang w:val="fr-CH"/>
              </w:rPr>
              <w:t>-E</w:t>
            </w:r>
          </w:p>
        </w:tc>
      </w:tr>
      <w:tr w:rsidR="00C2460C" w:rsidRPr="00C0458D" w14:paraId="57167DA2" w14:textId="77777777" w:rsidTr="192E875C">
        <w:trPr>
          <w:cantSplit/>
        </w:trPr>
        <w:tc>
          <w:tcPr>
            <w:tcW w:w="3969" w:type="dxa"/>
            <w:vMerge/>
          </w:tcPr>
          <w:p w14:paraId="48FC1555" w14:textId="77777777" w:rsidR="00C2460C" w:rsidRPr="00C2460C" w:rsidRDefault="00C2460C">
            <w:pPr>
              <w:tabs>
                <w:tab w:val="left" w:pos="851"/>
              </w:tabs>
              <w:spacing w:line="240" w:lineRule="atLeast"/>
              <w:rPr>
                <w:b/>
                <w:lang w:val="fr-CH"/>
              </w:rPr>
            </w:pPr>
            <w:bookmarkStart w:id="3" w:name="ddate" w:colFirst="1" w:colLast="1"/>
            <w:bookmarkEnd w:id="0"/>
            <w:bookmarkEnd w:id="1"/>
          </w:p>
        </w:tc>
        <w:tc>
          <w:tcPr>
            <w:tcW w:w="5245" w:type="dxa"/>
          </w:tcPr>
          <w:p w14:paraId="09CB4B5A" w14:textId="4B129650" w:rsidR="00C2460C" w:rsidRPr="00C0458D" w:rsidRDefault="004268AF">
            <w:pPr>
              <w:tabs>
                <w:tab w:val="left" w:pos="851"/>
              </w:tabs>
              <w:spacing w:before="0"/>
              <w:jc w:val="right"/>
              <w:rPr>
                <w:b/>
              </w:rPr>
            </w:pPr>
            <w:r>
              <w:rPr>
                <w:b/>
              </w:rPr>
              <w:t>10 April</w:t>
            </w:r>
            <w:r w:rsidR="00C2460C">
              <w:rPr>
                <w:b/>
              </w:rPr>
              <w:t xml:space="preserve"> 2026</w:t>
            </w:r>
          </w:p>
        </w:tc>
      </w:tr>
      <w:tr w:rsidR="00C2460C" w:rsidRPr="00C0458D" w14:paraId="3E443E98" w14:textId="77777777" w:rsidTr="192E875C">
        <w:trPr>
          <w:cantSplit/>
          <w:trHeight w:val="23"/>
        </w:trPr>
        <w:tc>
          <w:tcPr>
            <w:tcW w:w="3969" w:type="dxa"/>
            <w:vMerge/>
          </w:tcPr>
          <w:p w14:paraId="14DE83B3" w14:textId="77777777" w:rsidR="00C2460C" w:rsidRPr="00C0458D" w:rsidRDefault="00C2460C">
            <w:pPr>
              <w:tabs>
                <w:tab w:val="left" w:pos="851"/>
              </w:tabs>
              <w:spacing w:line="240" w:lineRule="atLeast"/>
              <w:rPr>
                <w:b/>
              </w:rPr>
            </w:pPr>
            <w:bookmarkStart w:id="4" w:name="dorlang" w:colFirst="1" w:colLast="1"/>
            <w:bookmarkEnd w:id="3"/>
          </w:p>
        </w:tc>
        <w:tc>
          <w:tcPr>
            <w:tcW w:w="5245" w:type="dxa"/>
          </w:tcPr>
          <w:p w14:paraId="376F2752" w14:textId="69BE819B" w:rsidR="00C2460C" w:rsidRPr="00C0458D" w:rsidRDefault="00C2460C">
            <w:pPr>
              <w:tabs>
                <w:tab w:val="left" w:pos="851"/>
              </w:tabs>
              <w:spacing w:before="0" w:line="240" w:lineRule="atLeast"/>
              <w:jc w:val="right"/>
              <w:rPr>
                <w:b/>
              </w:rPr>
            </w:pPr>
            <w:r w:rsidRPr="00C0458D">
              <w:rPr>
                <w:b/>
              </w:rPr>
              <w:t>English</w:t>
            </w:r>
            <w:r w:rsidR="004268AF">
              <w:rPr>
                <w:b/>
              </w:rPr>
              <w:t xml:space="preserve"> only</w:t>
            </w:r>
          </w:p>
        </w:tc>
      </w:tr>
      <w:tr w:rsidR="00C2460C" w:rsidRPr="00C0458D" w14:paraId="03D8815B" w14:textId="77777777" w:rsidTr="192E875C">
        <w:trPr>
          <w:cantSplit/>
          <w:trHeight w:val="23"/>
        </w:trPr>
        <w:tc>
          <w:tcPr>
            <w:tcW w:w="3969" w:type="dxa"/>
          </w:tcPr>
          <w:p w14:paraId="5B2223D6" w14:textId="77777777" w:rsidR="00C2460C" w:rsidRPr="00C0458D" w:rsidRDefault="00C2460C">
            <w:pPr>
              <w:tabs>
                <w:tab w:val="left" w:pos="851"/>
              </w:tabs>
              <w:spacing w:line="240" w:lineRule="atLeast"/>
              <w:rPr>
                <w:b/>
              </w:rPr>
            </w:pPr>
          </w:p>
        </w:tc>
        <w:tc>
          <w:tcPr>
            <w:tcW w:w="5245" w:type="dxa"/>
          </w:tcPr>
          <w:p w14:paraId="47C5A1AF" w14:textId="77777777" w:rsidR="00C2460C" w:rsidRPr="00C0458D" w:rsidRDefault="00C2460C">
            <w:pPr>
              <w:tabs>
                <w:tab w:val="left" w:pos="851"/>
              </w:tabs>
              <w:spacing w:before="0" w:line="240" w:lineRule="atLeast"/>
              <w:jc w:val="right"/>
              <w:rPr>
                <w:b/>
              </w:rPr>
            </w:pPr>
          </w:p>
        </w:tc>
      </w:tr>
      <w:tr w:rsidR="00C2460C" w:rsidRPr="00C0458D" w14:paraId="79490E13" w14:textId="77777777" w:rsidTr="192E875C">
        <w:trPr>
          <w:cantSplit/>
        </w:trPr>
        <w:tc>
          <w:tcPr>
            <w:tcW w:w="9214" w:type="dxa"/>
            <w:gridSpan w:val="2"/>
            <w:tcMar>
              <w:left w:w="0" w:type="dxa"/>
            </w:tcMar>
          </w:tcPr>
          <w:p w14:paraId="23E73E2D" w14:textId="53054B28" w:rsidR="00C2460C" w:rsidRPr="00C0458D" w:rsidRDefault="0009624B">
            <w:pPr>
              <w:pStyle w:val="Source"/>
              <w:framePr w:hSpace="0" w:wrap="auto" w:vAnchor="margin" w:hAnchor="text" w:yAlign="inline"/>
            </w:pPr>
            <w:bookmarkStart w:id="5" w:name="dsource" w:colFirst="0" w:colLast="0"/>
            <w:bookmarkEnd w:id="4"/>
            <w:r>
              <w:t>Note</w:t>
            </w:r>
            <w:r w:rsidR="00C2460C" w:rsidRPr="00C0458D">
              <w:t xml:space="preserve"> by the Secretary-General</w:t>
            </w:r>
          </w:p>
        </w:tc>
      </w:tr>
      <w:tr w:rsidR="00C2460C" w:rsidRPr="00C0458D" w14:paraId="6433C224" w14:textId="77777777" w:rsidTr="192E875C">
        <w:trPr>
          <w:cantSplit/>
        </w:trPr>
        <w:tc>
          <w:tcPr>
            <w:tcW w:w="9214" w:type="dxa"/>
            <w:gridSpan w:val="2"/>
            <w:tcMar>
              <w:left w:w="0" w:type="dxa"/>
            </w:tcMar>
          </w:tcPr>
          <w:p w14:paraId="02ADE4EB" w14:textId="785AFBA0" w:rsidR="00C2460C" w:rsidRPr="00176F47" w:rsidRDefault="00C2460C">
            <w:pPr>
              <w:pStyle w:val="Subtitle"/>
              <w:framePr w:hSpace="0" w:wrap="auto" w:hAnchor="text" w:xAlign="left" w:yAlign="inline"/>
            </w:pPr>
            <w:bookmarkStart w:id="6" w:name="dtitle1"/>
            <w:bookmarkEnd w:id="5"/>
            <w:r>
              <w:t>REVIEW OF THE ITU REGIONAL PRESENCE</w:t>
            </w:r>
          </w:p>
        </w:tc>
      </w:tr>
      <w:tr w:rsidR="00C2460C" w:rsidRPr="00C0458D" w14:paraId="075F2946" w14:textId="77777777" w:rsidTr="192E875C">
        <w:trPr>
          <w:cantSplit/>
        </w:trPr>
        <w:tc>
          <w:tcPr>
            <w:tcW w:w="9214" w:type="dxa"/>
            <w:gridSpan w:val="2"/>
            <w:tcBorders>
              <w:top w:val="single" w:sz="4" w:space="0" w:color="auto"/>
              <w:bottom w:val="single" w:sz="4" w:space="0" w:color="auto"/>
            </w:tcBorders>
            <w:tcMar>
              <w:left w:w="0" w:type="dxa"/>
            </w:tcMar>
          </w:tcPr>
          <w:p w14:paraId="30ABD6D1" w14:textId="77777777" w:rsidR="00C2460C" w:rsidRPr="00C0458D" w:rsidRDefault="00C2460C">
            <w:pPr>
              <w:spacing w:before="160"/>
              <w:rPr>
                <w:b/>
                <w:bCs/>
                <w:sz w:val="26"/>
                <w:szCs w:val="26"/>
              </w:rPr>
            </w:pPr>
            <w:r w:rsidRPr="00C0458D">
              <w:rPr>
                <w:b/>
                <w:bCs/>
                <w:sz w:val="26"/>
                <w:szCs w:val="26"/>
              </w:rPr>
              <w:t>Purpose</w:t>
            </w:r>
          </w:p>
          <w:p w14:paraId="4B5CE472" w14:textId="355C25CA" w:rsidR="00C2460C" w:rsidRPr="00C0458D" w:rsidRDefault="00395EEB" w:rsidP="00395EEB">
            <w:pPr>
              <w:jc w:val="both"/>
            </w:pPr>
            <w:r w:rsidRPr="6562F7C8">
              <w:rPr>
                <w:rFonts w:asciiTheme="minorHAnsi" w:hAnsiTheme="minorHAnsi" w:cstheme="minorBidi"/>
              </w:rPr>
              <w:t xml:space="preserve">This review, undertaken at the request of the ITU Council and guided by Resolution 25 (Rev. Bucharest, 2022), provides a comprehensive assessment of the effectiveness, relevance, and strategic alignment of ITU’s regional presence. Drawing on an extensive evidence base—including desk </w:t>
            </w:r>
            <w:r>
              <w:rPr>
                <w:rFonts w:asciiTheme="minorHAnsi" w:hAnsiTheme="minorHAnsi" w:cstheme="minorBidi"/>
              </w:rPr>
              <w:t xml:space="preserve">research, </w:t>
            </w:r>
            <w:r w:rsidRPr="6562F7C8">
              <w:rPr>
                <w:rFonts w:asciiTheme="minorHAnsi" w:hAnsiTheme="minorHAnsi" w:cstheme="minorBidi"/>
              </w:rPr>
              <w:t>surveys, st</w:t>
            </w:r>
            <w:r>
              <w:rPr>
                <w:rFonts w:asciiTheme="minorHAnsi" w:hAnsiTheme="minorHAnsi" w:cstheme="minorBidi"/>
              </w:rPr>
              <w:t xml:space="preserve">akeholder </w:t>
            </w:r>
            <w:r w:rsidRPr="6562F7C8">
              <w:rPr>
                <w:rFonts w:asciiTheme="minorHAnsi" w:hAnsiTheme="minorHAnsi" w:cstheme="minorBidi"/>
              </w:rPr>
              <w:t xml:space="preserve">consultations, and structured interviews with Regional Telecommunication Organizations—the review </w:t>
            </w:r>
            <w:r>
              <w:rPr>
                <w:rFonts w:asciiTheme="minorHAnsi" w:hAnsiTheme="minorHAnsi" w:cstheme="minorBidi"/>
              </w:rPr>
              <w:t>includes 27</w:t>
            </w:r>
            <w:r w:rsidR="00EB5808">
              <w:rPr>
                <w:rFonts w:asciiTheme="minorHAnsi" w:hAnsiTheme="minorHAnsi" w:cstheme="minorBidi"/>
              </w:rPr>
              <w:t xml:space="preserve"> key performance indicator (</w:t>
            </w:r>
            <w:proofErr w:type="spellStart"/>
            <w:r w:rsidRPr="6562F7C8">
              <w:rPr>
                <w:rFonts w:asciiTheme="minorHAnsi" w:hAnsiTheme="minorHAnsi" w:cstheme="minorBidi"/>
              </w:rPr>
              <w:t>KPI</w:t>
            </w:r>
            <w:proofErr w:type="spellEnd"/>
            <w:r w:rsidR="00EB5808">
              <w:rPr>
                <w:rFonts w:asciiTheme="minorHAnsi" w:hAnsiTheme="minorHAnsi" w:cstheme="minorBidi"/>
              </w:rPr>
              <w:t>)</w:t>
            </w:r>
            <w:r w:rsidRPr="6562F7C8">
              <w:rPr>
                <w:rFonts w:asciiTheme="minorHAnsi" w:hAnsiTheme="minorHAnsi" w:cstheme="minorBidi"/>
              </w:rPr>
              <w:t xml:space="preserve"> assessments, </w:t>
            </w:r>
            <w:r>
              <w:rPr>
                <w:rFonts w:asciiTheme="minorHAnsi" w:hAnsiTheme="minorHAnsi" w:cstheme="minorBidi"/>
              </w:rPr>
              <w:t xml:space="preserve">and analysis across </w:t>
            </w:r>
            <w:r w:rsidRPr="6562F7C8">
              <w:rPr>
                <w:rFonts w:asciiTheme="minorHAnsi" w:hAnsiTheme="minorHAnsi" w:cstheme="minorBidi"/>
              </w:rPr>
              <w:t>12 Scope of Work</w:t>
            </w:r>
            <w:r w:rsidR="00EB5808">
              <w:rPr>
                <w:rFonts w:asciiTheme="minorHAnsi" w:hAnsiTheme="minorHAnsi" w:cstheme="minorBidi"/>
              </w:rPr>
              <w:t xml:space="preserve"> (SoW)</w:t>
            </w:r>
            <w:r w:rsidRPr="6562F7C8">
              <w:rPr>
                <w:rFonts w:asciiTheme="minorHAnsi" w:hAnsiTheme="minorHAnsi" w:cstheme="minorBidi"/>
              </w:rPr>
              <w:t xml:space="preserve"> dimensions</w:t>
            </w:r>
            <w:r>
              <w:rPr>
                <w:rFonts w:asciiTheme="minorHAnsi" w:hAnsiTheme="minorHAnsi" w:cstheme="minorBidi"/>
              </w:rPr>
              <w:t xml:space="preserve">. The findings </w:t>
            </w:r>
            <w:r w:rsidRPr="6562F7C8">
              <w:rPr>
                <w:rFonts w:asciiTheme="minorHAnsi" w:hAnsiTheme="minorHAnsi" w:cstheme="minorBidi"/>
              </w:rPr>
              <w:t>present a detailed picture of a regional system that is highly valued, trusted, and operationally vital.</w:t>
            </w:r>
            <w:r w:rsidRPr="6562F7C8">
              <w:rPr>
                <w:rFonts w:asciiTheme="minorHAnsi" w:eastAsia="Batang" w:hAnsiTheme="minorHAnsi" w:cstheme="minorBidi"/>
              </w:rPr>
              <w:t xml:space="preserve"> The report includes the background and context of the Review, the methodology as specified by Council as well as the detailed findings </w:t>
            </w:r>
            <w:r>
              <w:rPr>
                <w:rFonts w:asciiTheme="minorHAnsi" w:eastAsia="Batang" w:hAnsiTheme="minorHAnsi" w:cstheme="minorBidi"/>
              </w:rPr>
              <w:t xml:space="preserve">patterns in the findings </w:t>
            </w:r>
            <w:r w:rsidRPr="6562F7C8">
              <w:rPr>
                <w:rFonts w:asciiTheme="minorHAnsi" w:eastAsia="Batang" w:hAnsiTheme="minorHAnsi" w:cstheme="minorBidi"/>
              </w:rPr>
              <w:t>emanating from the Review</w:t>
            </w:r>
            <w:r>
              <w:rPr>
                <w:rFonts w:asciiTheme="minorHAnsi" w:eastAsia="Batang" w:hAnsiTheme="minorHAnsi" w:cstheme="minorBidi"/>
              </w:rPr>
              <w:t>.</w:t>
            </w:r>
          </w:p>
          <w:p w14:paraId="45B4BF0F" w14:textId="77777777" w:rsidR="00C2460C" w:rsidRDefault="00C2460C">
            <w:pPr>
              <w:spacing w:before="160"/>
              <w:rPr>
                <w:b/>
                <w:bCs/>
                <w:sz w:val="26"/>
                <w:szCs w:val="26"/>
              </w:rPr>
            </w:pPr>
            <w:r w:rsidRPr="00C0458D">
              <w:rPr>
                <w:b/>
                <w:bCs/>
                <w:sz w:val="26"/>
                <w:szCs w:val="26"/>
              </w:rPr>
              <w:t>Action required by the Council</w:t>
            </w:r>
          </w:p>
          <w:p w14:paraId="05E7D16C" w14:textId="33164AB6" w:rsidR="00C2460C" w:rsidRPr="00453079" w:rsidRDefault="00C2460C" w:rsidP="00C2460C">
            <w:pPr>
              <w:spacing w:before="160"/>
              <w:rPr>
                <w:szCs w:val="24"/>
              </w:rPr>
            </w:pPr>
            <w:r w:rsidRPr="00C2460C">
              <w:rPr>
                <w:szCs w:val="24"/>
              </w:rPr>
              <w:t xml:space="preserve">This document is transmitted to the Council </w:t>
            </w:r>
            <w:r w:rsidRPr="00C2460C">
              <w:rPr>
                <w:b/>
                <w:bCs/>
                <w:szCs w:val="24"/>
              </w:rPr>
              <w:t>for information</w:t>
            </w:r>
            <w:r w:rsidRPr="00C2460C">
              <w:rPr>
                <w:szCs w:val="24"/>
              </w:rPr>
              <w:t>.</w:t>
            </w:r>
          </w:p>
          <w:p w14:paraId="2959E118" w14:textId="77777777" w:rsidR="00C2460C" w:rsidRDefault="00C2460C">
            <w:r>
              <w:t>_______________</w:t>
            </w:r>
          </w:p>
          <w:p w14:paraId="781D2CC8" w14:textId="77777777" w:rsidR="00C2460C" w:rsidRPr="00C0458D" w:rsidRDefault="00C2460C">
            <w:pPr>
              <w:spacing w:before="160"/>
              <w:rPr>
                <w:b/>
                <w:bCs/>
                <w:sz w:val="26"/>
                <w:szCs w:val="26"/>
              </w:rPr>
            </w:pPr>
            <w:r w:rsidRPr="00C0458D">
              <w:rPr>
                <w:b/>
                <w:bCs/>
                <w:sz w:val="26"/>
                <w:szCs w:val="26"/>
              </w:rPr>
              <w:t>References</w:t>
            </w:r>
          </w:p>
          <w:p w14:paraId="124BF769" w14:textId="6983C048" w:rsidR="00C2460C" w:rsidRPr="00722551" w:rsidRDefault="00C2460C">
            <w:pPr>
              <w:spacing w:after="160"/>
              <w:rPr>
                <w:i/>
                <w:iCs/>
                <w:sz w:val="22"/>
                <w:szCs w:val="22"/>
              </w:rPr>
            </w:pPr>
            <w:r>
              <w:rPr>
                <w:i/>
                <w:iCs/>
                <w:sz w:val="22"/>
                <w:szCs w:val="22"/>
              </w:rPr>
              <w:t xml:space="preserve">Council </w:t>
            </w:r>
            <w:r w:rsidR="006704DF">
              <w:rPr>
                <w:i/>
                <w:iCs/>
                <w:sz w:val="22"/>
                <w:szCs w:val="22"/>
              </w:rPr>
              <w:t xml:space="preserve">Document </w:t>
            </w:r>
            <w:hyperlink r:id="rId11" w:history="1">
              <w:proofErr w:type="spellStart"/>
              <w:r w:rsidRPr="00C2460C">
                <w:rPr>
                  <w:rStyle w:val="Hyperlink"/>
                  <w:i/>
                  <w:iCs/>
                  <w:sz w:val="22"/>
                  <w:szCs w:val="22"/>
                </w:rPr>
                <w:t>C26</w:t>
              </w:r>
              <w:proofErr w:type="spellEnd"/>
              <w:r w:rsidRPr="00C2460C">
                <w:rPr>
                  <w:rStyle w:val="Hyperlink"/>
                  <w:i/>
                  <w:iCs/>
                  <w:sz w:val="22"/>
                  <w:szCs w:val="22"/>
                </w:rPr>
                <w:t>/24</w:t>
              </w:r>
            </w:hyperlink>
          </w:p>
        </w:tc>
      </w:tr>
      <w:bookmarkEnd w:id="2"/>
      <w:bookmarkEnd w:id="6"/>
    </w:tbl>
    <w:p w14:paraId="59CCEB0D" w14:textId="37FD7907" w:rsidR="009C6B21" w:rsidRDefault="009C6B2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40"/>
          <w:szCs w:val="40"/>
          <w:lang w:val="en-US"/>
        </w:rPr>
      </w:pPr>
      <w:r>
        <w:rPr>
          <w:rFonts w:asciiTheme="minorHAnsi" w:hAnsiTheme="minorHAnsi" w:cstheme="minorHAnsi"/>
          <w:b/>
          <w:bCs/>
          <w:sz w:val="40"/>
          <w:szCs w:val="40"/>
          <w:lang w:val="en-US"/>
        </w:rPr>
        <w:br w:type="page"/>
      </w:r>
    </w:p>
    <w:p w14:paraId="48993119" w14:textId="77777777" w:rsidR="00250529" w:rsidRPr="00986D12" w:rsidRDefault="00250529" w:rsidP="00507BF5">
      <w:pPr>
        <w:spacing w:before="0" w:after="160" w:line="278" w:lineRule="auto"/>
        <w:jc w:val="center"/>
        <w:rPr>
          <w:rFonts w:asciiTheme="minorHAnsi" w:hAnsiTheme="minorHAnsi" w:cstheme="minorHAnsi"/>
          <w:b/>
          <w:bCs/>
          <w:sz w:val="40"/>
          <w:szCs w:val="40"/>
          <w:lang w:val="en-US"/>
        </w:rPr>
      </w:pPr>
    </w:p>
    <w:p w14:paraId="25623228" w14:textId="77777777" w:rsidR="00250529" w:rsidRPr="00986D12" w:rsidRDefault="00250529" w:rsidP="00507BF5">
      <w:pPr>
        <w:spacing w:before="0" w:after="160" w:line="278" w:lineRule="auto"/>
        <w:jc w:val="center"/>
        <w:rPr>
          <w:rFonts w:asciiTheme="minorHAnsi" w:hAnsiTheme="minorHAnsi" w:cstheme="minorHAnsi"/>
          <w:b/>
          <w:bCs/>
          <w:sz w:val="40"/>
          <w:szCs w:val="40"/>
          <w:lang w:val="en-US"/>
        </w:rPr>
      </w:pPr>
    </w:p>
    <w:p w14:paraId="772D7AFB" w14:textId="77777777" w:rsidR="00DE0D07" w:rsidRDefault="00DE0D07" w:rsidP="00507BF5">
      <w:pPr>
        <w:spacing w:before="0" w:after="160" w:line="278" w:lineRule="auto"/>
        <w:jc w:val="center"/>
        <w:rPr>
          <w:rFonts w:asciiTheme="minorHAnsi" w:hAnsiTheme="minorHAnsi" w:cstheme="minorHAnsi"/>
          <w:b/>
          <w:bCs/>
          <w:sz w:val="40"/>
          <w:szCs w:val="40"/>
          <w:lang w:val="en-US"/>
        </w:rPr>
      </w:pPr>
    </w:p>
    <w:p w14:paraId="67710CC7" w14:textId="77777777" w:rsidR="00DE0D07" w:rsidRDefault="00DE0D07" w:rsidP="00507BF5">
      <w:pPr>
        <w:spacing w:before="0" w:after="160" w:line="278" w:lineRule="auto"/>
        <w:jc w:val="center"/>
        <w:rPr>
          <w:rFonts w:asciiTheme="minorHAnsi" w:hAnsiTheme="minorHAnsi" w:cstheme="minorHAnsi"/>
          <w:b/>
          <w:bCs/>
          <w:sz w:val="40"/>
          <w:szCs w:val="40"/>
          <w:lang w:val="en-US"/>
        </w:rPr>
      </w:pPr>
    </w:p>
    <w:p w14:paraId="432AF99B" w14:textId="38205AFC" w:rsidR="00250529" w:rsidRPr="00986D12" w:rsidRDefault="00250529" w:rsidP="00507BF5">
      <w:pPr>
        <w:spacing w:before="0" w:after="160" w:line="278" w:lineRule="auto"/>
        <w:jc w:val="center"/>
        <w:rPr>
          <w:rFonts w:asciiTheme="minorHAnsi" w:hAnsiTheme="minorHAnsi" w:cstheme="minorHAnsi"/>
          <w:b/>
          <w:sz w:val="40"/>
          <w:szCs w:val="40"/>
          <w:lang w:val="en-US"/>
        </w:rPr>
      </w:pPr>
      <w:r w:rsidRPr="00986D12">
        <w:rPr>
          <w:rFonts w:asciiTheme="minorHAnsi" w:hAnsiTheme="minorHAnsi" w:cstheme="minorHAnsi"/>
          <w:b/>
          <w:bCs/>
          <w:sz w:val="40"/>
          <w:szCs w:val="40"/>
          <w:lang w:val="en-US"/>
        </w:rPr>
        <w:t xml:space="preserve">Review of </w:t>
      </w:r>
      <w:r w:rsidRPr="00986D12">
        <w:rPr>
          <w:rFonts w:asciiTheme="minorHAnsi" w:hAnsiTheme="minorHAnsi" w:cstheme="minorHAnsi"/>
          <w:b/>
          <w:sz w:val="40"/>
          <w:szCs w:val="40"/>
          <w:lang w:val="en-US"/>
        </w:rPr>
        <w:t xml:space="preserve">the </w:t>
      </w:r>
      <w:r w:rsidRPr="00986D12">
        <w:rPr>
          <w:rFonts w:asciiTheme="minorHAnsi" w:hAnsiTheme="minorHAnsi" w:cstheme="minorHAnsi"/>
          <w:b/>
          <w:bCs/>
          <w:sz w:val="40"/>
          <w:szCs w:val="40"/>
          <w:lang w:val="en-US"/>
        </w:rPr>
        <w:t>ITU Regional Presence</w:t>
      </w:r>
    </w:p>
    <w:p w14:paraId="62B67750" w14:textId="77777777" w:rsidR="00250529" w:rsidRPr="00986D12" w:rsidRDefault="00250529">
      <w:pPr>
        <w:spacing w:before="0" w:after="160" w:line="278" w:lineRule="auto"/>
        <w:rPr>
          <w:rFonts w:asciiTheme="minorHAnsi" w:hAnsiTheme="minorHAnsi" w:cstheme="minorHAnsi"/>
          <w:lang w:val="en-US"/>
        </w:rPr>
      </w:pPr>
      <w:r w:rsidRPr="00986D12">
        <w:rPr>
          <w:rFonts w:asciiTheme="minorHAnsi" w:hAnsiTheme="minorHAnsi" w:cstheme="minorHAnsi"/>
          <w:lang w:val="en-US"/>
        </w:rPr>
        <w:br/>
      </w:r>
    </w:p>
    <w:p w14:paraId="0D0C2742" w14:textId="77777777" w:rsidR="00250529" w:rsidRPr="00986D12" w:rsidRDefault="00250529">
      <w:pPr>
        <w:spacing w:before="0" w:after="160" w:line="278" w:lineRule="auto"/>
        <w:rPr>
          <w:rFonts w:asciiTheme="minorHAnsi" w:hAnsiTheme="minorHAnsi" w:cstheme="minorHAnsi"/>
          <w:lang w:val="en-US"/>
        </w:rPr>
      </w:pPr>
    </w:p>
    <w:p w14:paraId="264AD7BC" w14:textId="77777777" w:rsidR="00250529" w:rsidRPr="00986D12" w:rsidRDefault="00250529" w:rsidP="00507BF5">
      <w:pPr>
        <w:spacing w:before="0" w:after="160" w:line="278" w:lineRule="auto"/>
        <w:rPr>
          <w:rFonts w:asciiTheme="minorHAnsi" w:hAnsiTheme="minorHAnsi" w:cstheme="minorHAnsi"/>
          <w:lang w:val="en-US"/>
        </w:rPr>
      </w:pPr>
    </w:p>
    <w:p w14:paraId="20430916" w14:textId="77777777" w:rsidR="00250529" w:rsidRPr="00986D12" w:rsidRDefault="00250529">
      <w:pPr>
        <w:spacing w:before="0" w:after="160" w:line="278" w:lineRule="auto"/>
        <w:rPr>
          <w:rFonts w:asciiTheme="minorHAnsi" w:hAnsiTheme="minorHAnsi" w:cstheme="minorHAnsi"/>
          <w:lang w:val="en-US"/>
        </w:rPr>
      </w:pPr>
    </w:p>
    <w:p w14:paraId="46C056E6" w14:textId="77777777" w:rsidR="00250529" w:rsidRPr="00986D12" w:rsidRDefault="00250529">
      <w:pPr>
        <w:spacing w:before="0" w:after="160" w:line="278" w:lineRule="auto"/>
        <w:rPr>
          <w:rFonts w:asciiTheme="minorHAnsi" w:hAnsiTheme="minorHAnsi" w:cstheme="minorHAnsi"/>
          <w:lang w:val="en-US"/>
        </w:rPr>
      </w:pPr>
    </w:p>
    <w:p w14:paraId="5BD2A173" w14:textId="77777777" w:rsidR="00250529" w:rsidRPr="00986D12" w:rsidRDefault="00250529">
      <w:pPr>
        <w:spacing w:before="0" w:after="160" w:line="278" w:lineRule="auto"/>
        <w:rPr>
          <w:rFonts w:asciiTheme="minorHAnsi" w:hAnsiTheme="minorHAnsi" w:cstheme="minorHAnsi"/>
          <w:lang w:val="en-US"/>
        </w:rPr>
      </w:pPr>
    </w:p>
    <w:p w14:paraId="3A88A832" w14:textId="77777777" w:rsidR="00250529" w:rsidRPr="00986D12" w:rsidRDefault="00250529">
      <w:pPr>
        <w:spacing w:before="0" w:after="160" w:line="278" w:lineRule="auto"/>
        <w:rPr>
          <w:rFonts w:asciiTheme="minorHAnsi" w:hAnsiTheme="minorHAnsi" w:cstheme="minorHAnsi"/>
          <w:lang w:val="en-US"/>
        </w:rPr>
      </w:pPr>
    </w:p>
    <w:p w14:paraId="27A963D4" w14:textId="77777777" w:rsidR="00250529" w:rsidRPr="00986D12" w:rsidRDefault="00250529">
      <w:pPr>
        <w:spacing w:before="0" w:after="160" w:line="278" w:lineRule="auto"/>
        <w:rPr>
          <w:rFonts w:asciiTheme="minorHAnsi" w:hAnsiTheme="minorHAnsi" w:cstheme="minorHAnsi"/>
          <w:lang w:val="en-US"/>
        </w:rPr>
      </w:pPr>
    </w:p>
    <w:p w14:paraId="28677171" w14:textId="77777777" w:rsidR="00250529" w:rsidRPr="00986D12" w:rsidRDefault="00250529">
      <w:pPr>
        <w:spacing w:before="0" w:after="160" w:line="278" w:lineRule="auto"/>
        <w:rPr>
          <w:rFonts w:asciiTheme="minorHAnsi" w:hAnsiTheme="minorHAnsi" w:cstheme="minorHAnsi"/>
          <w:lang w:val="en-US"/>
        </w:rPr>
      </w:pPr>
    </w:p>
    <w:p w14:paraId="2377C316" w14:textId="77777777" w:rsidR="00250529" w:rsidRPr="00986D12" w:rsidRDefault="00250529">
      <w:pPr>
        <w:spacing w:before="0" w:after="160" w:line="278" w:lineRule="auto"/>
        <w:rPr>
          <w:rFonts w:asciiTheme="minorHAnsi" w:hAnsiTheme="minorHAnsi" w:cstheme="minorHAnsi"/>
          <w:lang w:val="en-US"/>
        </w:rPr>
      </w:pPr>
    </w:p>
    <w:p w14:paraId="4483DDF6" w14:textId="77777777" w:rsidR="00250529" w:rsidRPr="00986D12" w:rsidRDefault="00250529">
      <w:pPr>
        <w:spacing w:before="0" w:after="160" w:line="278" w:lineRule="auto"/>
        <w:rPr>
          <w:rFonts w:asciiTheme="minorHAnsi" w:hAnsiTheme="minorHAnsi" w:cstheme="minorHAnsi"/>
          <w:lang w:val="en-US"/>
        </w:rPr>
      </w:pPr>
    </w:p>
    <w:p w14:paraId="11E6FE56" w14:textId="77777777" w:rsidR="00250529" w:rsidRPr="00986D12" w:rsidRDefault="00250529">
      <w:pPr>
        <w:spacing w:before="0" w:after="160" w:line="278" w:lineRule="auto"/>
        <w:rPr>
          <w:rFonts w:asciiTheme="minorHAnsi" w:hAnsiTheme="minorHAnsi" w:cstheme="minorHAnsi"/>
          <w:lang w:val="en-US"/>
        </w:rPr>
      </w:pPr>
    </w:p>
    <w:p w14:paraId="65B7E628" w14:textId="77777777" w:rsidR="00250529" w:rsidRPr="00986D12" w:rsidRDefault="00250529">
      <w:pPr>
        <w:spacing w:before="0" w:after="160" w:line="278" w:lineRule="auto"/>
        <w:rPr>
          <w:rFonts w:asciiTheme="minorHAnsi" w:hAnsiTheme="minorHAnsi" w:cstheme="minorHAnsi"/>
          <w:lang w:val="en-US"/>
        </w:rPr>
      </w:pPr>
    </w:p>
    <w:p w14:paraId="5B058038" w14:textId="77777777" w:rsidR="00250529" w:rsidRPr="00986D12" w:rsidRDefault="00250529" w:rsidP="00507BF5">
      <w:pPr>
        <w:spacing w:before="0" w:after="160" w:line="278" w:lineRule="auto"/>
        <w:jc w:val="center"/>
        <w:rPr>
          <w:rFonts w:asciiTheme="minorHAnsi" w:hAnsiTheme="minorHAnsi" w:cstheme="minorHAnsi"/>
          <w:lang w:val="en-US"/>
        </w:rPr>
      </w:pPr>
      <w:r w:rsidRPr="00986D12">
        <w:rPr>
          <w:rFonts w:asciiTheme="minorHAnsi" w:hAnsiTheme="minorHAnsi" w:cstheme="minorHAnsi"/>
          <w:lang w:val="en-US"/>
        </w:rPr>
        <w:t>March 2026</w:t>
      </w:r>
    </w:p>
    <w:p w14:paraId="7D14CF90" w14:textId="77777777" w:rsidR="00250529" w:rsidRPr="00986D12" w:rsidRDefault="00250529" w:rsidP="00507BF5">
      <w:pPr>
        <w:spacing w:before="0" w:after="160" w:line="278" w:lineRule="auto"/>
        <w:jc w:val="center"/>
        <w:rPr>
          <w:rFonts w:asciiTheme="minorHAnsi" w:hAnsiTheme="minorHAnsi" w:cstheme="minorHAnsi"/>
          <w:lang w:val="en-US"/>
        </w:rPr>
      </w:pPr>
    </w:p>
    <w:p w14:paraId="226BC4BF" w14:textId="77777777" w:rsidR="00250529" w:rsidRPr="00986D12" w:rsidRDefault="00250529" w:rsidP="00507BF5">
      <w:pPr>
        <w:spacing w:before="0" w:after="160" w:line="278" w:lineRule="auto"/>
        <w:jc w:val="center"/>
        <w:rPr>
          <w:rFonts w:asciiTheme="minorHAnsi" w:hAnsiTheme="minorHAnsi" w:cstheme="minorHAnsi"/>
          <w:lang w:val="en-US"/>
        </w:rPr>
      </w:pPr>
    </w:p>
    <w:p w14:paraId="1B678990" w14:textId="77777777" w:rsidR="00250529" w:rsidRPr="00986D12" w:rsidRDefault="00250529" w:rsidP="00507BF5">
      <w:pPr>
        <w:spacing w:before="0" w:after="160" w:line="278" w:lineRule="auto"/>
        <w:jc w:val="center"/>
        <w:rPr>
          <w:rFonts w:asciiTheme="minorHAnsi" w:hAnsiTheme="minorHAnsi" w:cstheme="minorHAnsi"/>
          <w:lang w:val="en-US"/>
        </w:rPr>
      </w:pPr>
      <w:r w:rsidRPr="00986D12">
        <w:rPr>
          <w:rFonts w:asciiTheme="minorHAnsi" w:hAnsiTheme="minorHAnsi" w:cstheme="minorHAnsi"/>
          <w:noProof/>
          <w:lang w:val="fr-FR"/>
        </w:rPr>
        <w:drawing>
          <wp:inline distT="0" distB="0" distL="0" distR="0" wp14:anchorId="2AADD32C" wp14:editId="698B0F4E">
            <wp:extent cx="712653" cy="785648"/>
            <wp:effectExtent l="0" t="0" r="0" b="0"/>
            <wp:docPr id="954620593" name="Picture 95462059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4545" cy="798758"/>
                    </a:xfrm>
                    <a:prstGeom prst="rect">
                      <a:avLst/>
                    </a:prstGeom>
                  </pic:spPr>
                </pic:pic>
              </a:graphicData>
            </a:graphic>
          </wp:inline>
        </w:drawing>
      </w:r>
      <w:r w:rsidRPr="00986D12">
        <w:rPr>
          <w:rFonts w:asciiTheme="minorHAnsi" w:hAnsiTheme="minorHAnsi" w:cstheme="minorHAnsi"/>
          <w:lang w:val="en-US"/>
        </w:rPr>
        <w:br w:type="page"/>
      </w:r>
    </w:p>
    <w:p w14:paraId="6E15194C" w14:textId="77777777" w:rsidR="00250529" w:rsidRDefault="00250529" w:rsidP="00507BF5">
      <w:pPr>
        <w:rPr>
          <w:b/>
          <w:sz w:val="28"/>
          <w:szCs w:val="22"/>
        </w:rPr>
      </w:pPr>
      <w:r w:rsidRPr="00E16FD3">
        <w:rPr>
          <w:b/>
          <w:sz w:val="28"/>
          <w:szCs w:val="22"/>
        </w:rPr>
        <w:lastRenderedPageBreak/>
        <w:t>Table of contents</w:t>
      </w:r>
    </w:p>
    <w:p w14:paraId="3939A928" w14:textId="5424F9E9" w:rsidR="006704DF" w:rsidRDefault="00123647">
      <w:pPr>
        <w:pStyle w:val="TOC1"/>
        <w:tabs>
          <w:tab w:val="right" w:leader="dot" w:pos="9061"/>
        </w:tabs>
        <w:rPr>
          <w:rFonts w:eastAsiaTheme="minorEastAsia" w:cstheme="minorBidi"/>
          <w:b w:val="0"/>
          <w:bCs w:val="0"/>
          <w:noProof/>
          <w:kern w:val="2"/>
          <w:lang w:eastAsia="zh-CN"/>
          <w14:ligatures w14:val="standardContextual"/>
        </w:rPr>
      </w:pPr>
      <w:r>
        <w:rPr>
          <w:rFonts w:cstheme="minorHAnsi"/>
          <w:b w:val="0"/>
          <w:bCs w:val="0"/>
          <w:caps/>
          <w:noProof/>
          <w:lang w:val="en-US"/>
        </w:rPr>
        <w:fldChar w:fldCharType="begin"/>
      </w:r>
      <w:r>
        <w:rPr>
          <w:rFonts w:cstheme="minorHAnsi"/>
          <w:b w:val="0"/>
          <w:bCs w:val="0"/>
          <w:caps/>
          <w:noProof/>
          <w:lang w:val="en-US"/>
        </w:rPr>
        <w:instrText xml:space="preserve"> TOC \h \z \t "Heading 1,1,Heading 2,2,Heading 3,3" </w:instrText>
      </w:r>
      <w:r>
        <w:rPr>
          <w:rFonts w:cstheme="minorHAnsi"/>
          <w:b w:val="0"/>
          <w:bCs w:val="0"/>
          <w:caps/>
          <w:noProof/>
          <w:lang w:val="en-US"/>
        </w:rPr>
        <w:fldChar w:fldCharType="separate"/>
      </w:r>
      <w:hyperlink w:anchor="_Toc225261074" w:history="1">
        <w:r w:rsidR="006704DF" w:rsidRPr="0060374A">
          <w:rPr>
            <w:rStyle w:val="Hyperlink"/>
            <w:noProof/>
          </w:rPr>
          <w:t>Introduction</w:t>
        </w:r>
        <w:r w:rsidR="006704DF">
          <w:rPr>
            <w:noProof/>
            <w:webHidden/>
          </w:rPr>
          <w:tab/>
        </w:r>
        <w:r w:rsidR="006704DF">
          <w:rPr>
            <w:noProof/>
            <w:webHidden/>
          </w:rPr>
          <w:fldChar w:fldCharType="begin"/>
        </w:r>
        <w:r w:rsidR="006704DF">
          <w:rPr>
            <w:noProof/>
            <w:webHidden/>
          </w:rPr>
          <w:instrText xml:space="preserve"> PAGEREF _Toc225261074 \h </w:instrText>
        </w:r>
        <w:r w:rsidR="006704DF">
          <w:rPr>
            <w:noProof/>
            <w:webHidden/>
          </w:rPr>
        </w:r>
        <w:r w:rsidR="006704DF">
          <w:rPr>
            <w:noProof/>
            <w:webHidden/>
          </w:rPr>
          <w:fldChar w:fldCharType="separate"/>
        </w:r>
        <w:r w:rsidR="00C3333A">
          <w:rPr>
            <w:noProof/>
            <w:webHidden/>
          </w:rPr>
          <w:t>4</w:t>
        </w:r>
        <w:r w:rsidR="006704DF">
          <w:rPr>
            <w:noProof/>
            <w:webHidden/>
          </w:rPr>
          <w:fldChar w:fldCharType="end"/>
        </w:r>
      </w:hyperlink>
    </w:p>
    <w:p w14:paraId="741B2730" w14:textId="1426A941" w:rsidR="006704DF" w:rsidRDefault="006704DF">
      <w:pPr>
        <w:pStyle w:val="TOC1"/>
        <w:tabs>
          <w:tab w:val="right" w:leader="dot" w:pos="9061"/>
        </w:tabs>
        <w:rPr>
          <w:rFonts w:eastAsiaTheme="minorEastAsia" w:cstheme="minorBidi"/>
          <w:b w:val="0"/>
          <w:bCs w:val="0"/>
          <w:noProof/>
          <w:kern w:val="2"/>
          <w:lang w:eastAsia="zh-CN"/>
          <w14:ligatures w14:val="standardContextual"/>
        </w:rPr>
      </w:pPr>
      <w:hyperlink w:anchor="_Toc225261075" w:history="1">
        <w:r w:rsidRPr="0060374A">
          <w:rPr>
            <w:rStyle w:val="Hyperlink"/>
            <w:noProof/>
          </w:rPr>
          <w:t>Key findings</w:t>
        </w:r>
        <w:r>
          <w:rPr>
            <w:noProof/>
            <w:webHidden/>
          </w:rPr>
          <w:tab/>
        </w:r>
        <w:r>
          <w:rPr>
            <w:noProof/>
            <w:webHidden/>
          </w:rPr>
          <w:fldChar w:fldCharType="begin"/>
        </w:r>
        <w:r>
          <w:rPr>
            <w:noProof/>
            <w:webHidden/>
          </w:rPr>
          <w:instrText xml:space="preserve"> PAGEREF _Toc225261075 \h </w:instrText>
        </w:r>
        <w:r>
          <w:rPr>
            <w:noProof/>
            <w:webHidden/>
          </w:rPr>
        </w:r>
        <w:r>
          <w:rPr>
            <w:noProof/>
            <w:webHidden/>
          </w:rPr>
          <w:fldChar w:fldCharType="separate"/>
        </w:r>
        <w:r w:rsidR="00C3333A">
          <w:rPr>
            <w:noProof/>
            <w:webHidden/>
          </w:rPr>
          <w:t>4</w:t>
        </w:r>
        <w:r>
          <w:rPr>
            <w:noProof/>
            <w:webHidden/>
          </w:rPr>
          <w:fldChar w:fldCharType="end"/>
        </w:r>
      </w:hyperlink>
    </w:p>
    <w:p w14:paraId="50BB5D77" w14:textId="74CC2B0B"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76" w:history="1">
        <w:r w:rsidRPr="0060374A">
          <w:rPr>
            <w:rStyle w:val="Hyperlink"/>
            <w:noProof/>
          </w:rPr>
          <w:t>Areas of strengths</w:t>
        </w:r>
        <w:r>
          <w:rPr>
            <w:noProof/>
            <w:webHidden/>
          </w:rPr>
          <w:tab/>
        </w:r>
        <w:r>
          <w:rPr>
            <w:noProof/>
            <w:webHidden/>
          </w:rPr>
          <w:fldChar w:fldCharType="begin"/>
        </w:r>
        <w:r>
          <w:rPr>
            <w:noProof/>
            <w:webHidden/>
          </w:rPr>
          <w:instrText xml:space="preserve"> PAGEREF _Toc225261076 \h </w:instrText>
        </w:r>
        <w:r>
          <w:rPr>
            <w:noProof/>
            <w:webHidden/>
          </w:rPr>
        </w:r>
        <w:r>
          <w:rPr>
            <w:noProof/>
            <w:webHidden/>
          </w:rPr>
          <w:fldChar w:fldCharType="separate"/>
        </w:r>
        <w:r w:rsidR="00C3333A">
          <w:rPr>
            <w:noProof/>
            <w:webHidden/>
          </w:rPr>
          <w:t>4</w:t>
        </w:r>
        <w:r>
          <w:rPr>
            <w:noProof/>
            <w:webHidden/>
          </w:rPr>
          <w:fldChar w:fldCharType="end"/>
        </w:r>
      </w:hyperlink>
    </w:p>
    <w:p w14:paraId="3EFD6FFA" w14:textId="42676C80"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77" w:history="1">
        <w:r w:rsidRPr="0060374A">
          <w:rPr>
            <w:rStyle w:val="Hyperlink"/>
            <w:noProof/>
          </w:rPr>
          <w:t>Strong overall satisfaction with regional activities</w:t>
        </w:r>
        <w:r>
          <w:rPr>
            <w:noProof/>
            <w:webHidden/>
          </w:rPr>
          <w:tab/>
        </w:r>
        <w:r>
          <w:rPr>
            <w:noProof/>
            <w:webHidden/>
          </w:rPr>
          <w:fldChar w:fldCharType="begin"/>
        </w:r>
        <w:r>
          <w:rPr>
            <w:noProof/>
            <w:webHidden/>
          </w:rPr>
          <w:instrText xml:space="preserve"> PAGEREF _Toc225261077 \h </w:instrText>
        </w:r>
        <w:r>
          <w:rPr>
            <w:noProof/>
            <w:webHidden/>
          </w:rPr>
        </w:r>
        <w:r>
          <w:rPr>
            <w:noProof/>
            <w:webHidden/>
          </w:rPr>
          <w:fldChar w:fldCharType="separate"/>
        </w:r>
        <w:r w:rsidR="00C3333A">
          <w:rPr>
            <w:noProof/>
            <w:webHidden/>
          </w:rPr>
          <w:t>4</w:t>
        </w:r>
        <w:r>
          <w:rPr>
            <w:noProof/>
            <w:webHidden/>
          </w:rPr>
          <w:fldChar w:fldCharType="end"/>
        </w:r>
      </w:hyperlink>
    </w:p>
    <w:p w14:paraId="1BBDAA2E" w14:textId="59B6240B"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78" w:history="1">
        <w:r w:rsidRPr="0060374A">
          <w:rPr>
            <w:rStyle w:val="Hyperlink"/>
            <w:noProof/>
          </w:rPr>
          <w:t>Strong engagement with Member States and stakeholders</w:t>
        </w:r>
        <w:r>
          <w:rPr>
            <w:noProof/>
            <w:webHidden/>
          </w:rPr>
          <w:tab/>
        </w:r>
        <w:r>
          <w:rPr>
            <w:noProof/>
            <w:webHidden/>
          </w:rPr>
          <w:fldChar w:fldCharType="begin"/>
        </w:r>
        <w:r>
          <w:rPr>
            <w:noProof/>
            <w:webHidden/>
          </w:rPr>
          <w:instrText xml:space="preserve"> PAGEREF _Toc225261078 \h </w:instrText>
        </w:r>
        <w:r>
          <w:rPr>
            <w:noProof/>
            <w:webHidden/>
          </w:rPr>
        </w:r>
        <w:r>
          <w:rPr>
            <w:noProof/>
            <w:webHidden/>
          </w:rPr>
          <w:fldChar w:fldCharType="separate"/>
        </w:r>
        <w:r w:rsidR="00C3333A">
          <w:rPr>
            <w:noProof/>
            <w:webHidden/>
          </w:rPr>
          <w:t>5</w:t>
        </w:r>
        <w:r>
          <w:rPr>
            <w:noProof/>
            <w:webHidden/>
          </w:rPr>
          <w:fldChar w:fldCharType="end"/>
        </w:r>
      </w:hyperlink>
    </w:p>
    <w:p w14:paraId="563670D0" w14:textId="2D0D6E78"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79" w:history="1">
        <w:r w:rsidRPr="0060374A">
          <w:rPr>
            <w:rStyle w:val="Hyperlink"/>
            <w:noProof/>
          </w:rPr>
          <w:t>Effective dissemination of information and knowledge</w:t>
        </w:r>
        <w:r>
          <w:rPr>
            <w:noProof/>
            <w:webHidden/>
          </w:rPr>
          <w:tab/>
        </w:r>
        <w:r>
          <w:rPr>
            <w:noProof/>
            <w:webHidden/>
          </w:rPr>
          <w:fldChar w:fldCharType="begin"/>
        </w:r>
        <w:r>
          <w:rPr>
            <w:noProof/>
            <w:webHidden/>
          </w:rPr>
          <w:instrText xml:space="preserve"> PAGEREF _Toc225261079 \h </w:instrText>
        </w:r>
        <w:r>
          <w:rPr>
            <w:noProof/>
            <w:webHidden/>
          </w:rPr>
        </w:r>
        <w:r>
          <w:rPr>
            <w:noProof/>
            <w:webHidden/>
          </w:rPr>
          <w:fldChar w:fldCharType="separate"/>
        </w:r>
        <w:r w:rsidR="00C3333A">
          <w:rPr>
            <w:noProof/>
            <w:webHidden/>
          </w:rPr>
          <w:t>5</w:t>
        </w:r>
        <w:r>
          <w:rPr>
            <w:noProof/>
            <w:webHidden/>
          </w:rPr>
          <w:fldChar w:fldCharType="end"/>
        </w:r>
      </w:hyperlink>
    </w:p>
    <w:p w14:paraId="0192CE0F" w14:textId="1593AE9D"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0" w:history="1">
        <w:r w:rsidRPr="0060374A">
          <w:rPr>
            <w:rStyle w:val="Hyperlink"/>
            <w:noProof/>
          </w:rPr>
          <w:t>Strong contribution to awareness-raising and capacity development</w:t>
        </w:r>
        <w:r>
          <w:rPr>
            <w:noProof/>
            <w:webHidden/>
          </w:rPr>
          <w:tab/>
        </w:r>
        <w:r>
          <w:rPr>
            <w:noProof/>
            <w:webHidden/>
          </w:rPr>
          <w:fldChar w:fldCharType="begin"/>
        </w:r>
        <w:r>
          <w:rPr>
            <w:noProof/>
            <w:webHidden/>
          </w:rPr>
          <w:instrText xml:space="preserve"> PAGEREF _Toc225261080 \h </w:instrText>
        </w:r>
        <w:r>
          <w:rPr>
            <w:noProof/>
            <w:webHidden/>
          </w:rPr>
        </w:r>
        <w:r>
          <w:rPr>
            <w:noProof/>
            <w:webHidden/>
          </w:rPr>
          <w:fldChar w:fldCharType="separate"/>
        </w:r>
        <w:r w:rsidR="00C3333A">
          <w:rPr>
            <w:noProof/>
            <w:webHidden/>
          </w:rPr>
          <w:t>6</w:t>
        </w:r>
        <w:r>
          <w:rPr>
            <w:noProof/>
            <w:webHidden/>
          </w:rPr>
          <w:fldChar w:fldCharType="end"/>
        </w:r>
      </w:hyperlink>
    </w:p>
    <w:p w14:paraId="77F7B78A" w14:textId="37970BE0"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1" w:history="1">
        <w:r w:rsidRPr="0060374A">
          <w:rPr>
            <w:rStyle w:val="Hyperlink"/>
            <w:noProof/>
          </w:rPr>
          <w:t>Credible convening platform for regional dialogue</w:t>
        </w:r>
        <w:r>
          <w:rPr>
            <w:noProof/>
            <w:webHidden/>
          </w:rPr>
          <w:tab/>
        </w:r>
        <w:r>
          <w:rPr>
            <w:noProof/>
            <w:webHidden/>
          </w:rPr>
          <w:fldChar w:fldCharType="begin"/>
        </w:r>
        <w:r>
          <w:rPr>
            <w:noProof/>
            <w:webHidden/>
          </w:rPr>
          <w:instrText xml:space="preserve"> PAGEREF _Toc225261081 \h </w:instrText>
        </w:r>
        <w:r>
          <w:rPr>
            <w:noProof/>
            <w:webHidden/>
          </w:rPr>
        </w:r>
        <w:r>
          <w:rPr>
            <w:noProof/>
            <w:webHidden/>
          </w:rPr>
          <w:fldChar w:fldCharType="separate"/>
        </w:r>
        <w:r w:rsidR="00C3333A">
          <w:rPr>
            <w:noProof/>
            <w:webHidden/>
          </w:rPr>
          <w:t>6</w:t>
        </w:r>
        <w:r>
          <w:rPr>
            <w:noProof/>
            <w:webHidden/>
          </w:rPr>
          <w:fldChar w:fldCharType="end"/>
        </w:r>
      </w:hyperlink>
    </w:p>
    <w:p w14:paraId="75491BC5" w14:textId="39241941"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2" w:history="1">
        <w:r w:rsidRPr="0060374A">
          <w:rPr>
            <w:rStyle w:val="Hyperlink"/>
            <w:noProof/>
          </w:rPr>
          <w:t>Strong foundation for partnership-based delivery</w:t>
        </w:r>
        <w:r>
          <w:rPr>
            <w:noProof/>
            <w:webHidden/>
          </w:rPr>
          <w:tab/>
        </w:r>
        <w:r>
          <w:rPr>
            <w:noProof/>
            <w:webHidden/>
          </w:rPr>
          <w:fldChar w:fldCharType="begin"/>
        </w:r>
        <w:r>
          <w:rPr>
            <w:noProof/>
            <w:webHidden/>
          </w:rPr>
          <w:instrText xml:space="preserve"> PAGEREF _Toc225261082 \h </w:instrText>
        </w:r>
        <w:r>
          <w:rPr>
            <w:noProof/>
            <w:webHidden/>
          </w:rPr>
        </w:r>
        <w:r>
          <w:rPr>
            <w:noProof/>
            <w:webHidden/>
          </w:rPr>
          <w:fldChar w:fldCharType="separate"/>
        </w:r>
        <w:r w:rsidR="00C3333A">
          <w:rPr>
            <w:noProof/>
            <w:webHidden/>
          </w:rPr>
          <w:t>6</w:t>
        </w:r>
        <w:r>
          <w:rPr>
            <w:noProof/>
            <w:webHidden/>
          </w:rPr>
          <w:fldChar w:fldCharType="end"/>
        </w:r>
      </w:hyperlink>
    </w:p>
    <w:p w14:paraId="10BB5CDD" w14:textId="5EE38E37"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3" w:history="1">
        <w:r w:rsidRPr="0060374A">
          <w:rPr>
            <w:rStyle w:val="Hyperlink"/>
            <w:noProof/>
          </w:rPr>
          <w:t>Regional presence and implementation of ITU plans (Strategic and Kigali Action Plans)</w:t>
        </w:r>
        <w:r>
          <w:rPr>
            <w:noProof/>
            <w:webHidden/>
          </w:rPr>
          <w:tab/>
        </w:r>
        <w:r>
          <w:rPr>
            <w:noProof/>
            <w:webHidden/>
          </w:rPr>
          <w:fldChar w:fldCharType="begin"/>
        </w:r>
        <w:r>
          <w:rPr>
            <w:noProof/>
            <w:webHidden/>
          </w:rPr>
          <w:instrText xml:space="preserve"> PAGEREF _Toc225261083 \h </w:instrText>
        </w:r>
        <w:r>
          <w:rPr>
            <w:noProof/>
            <w:webHidden/>
          </w:rPr>
        </w:r>
        <w:r>
          <w:rPr>
            <w:noProof/>
            <w:webHidden/>
          </w:rPr>
          <w:fldChar w:fldCharType="separate"/>
        </w:r>
        <w:r w:rsidR="00C3333A">
          <w:rPr>
            <w:noProof/>
            <w:webHidden/>
          </w:rPr>
          <w:t>7</w:t>
        </w:r>
        <w:r>
          <w:rPr>
            <w:noProof/>
            <w:webHidden/>
          </w:rPr>
          <w:fldChar w:fldCharType="end"/>
        </w:r>
      </w:hyperlink>
    </w:p>
    <w:p w14:paraId="7EE64D58" w14:textId="4813829A"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4" w:history="1">
        <w:r w:rsidRPr="0060374A">
          <w:rPr>
            <w:rStyle w:val="Hyperlink"/>
            <w:noProof/>
          </w:rPr>
          <w:t>Positive internal recognition of regional value</w:t>
        </w:r>
        <w:r>
          <w:rPr>
            <w:noProof/>
            <w:webHidden/>
          </w:rPr>
          <w:tab/>
        </w:r>
        <w:r>
          <w:rPr>
            <w:noProof/>
            <w:webHidden/>
          </w:rPr>
          <w:fldChar w:fldCharType="begin"/>
        </w:r>
        <w:r>
          <w:rPr>
            <w:noProof/>
            <w:webHidden/>
          </w:rPr>
          <w:instrText xml:space="preserve"> PAGEREF _Toc225261084 \h </w:instrText>
        </w:r>
        <w:r>
          <w:rPr>
            <w:noProof/>
            <w:webHidden/>
          </w:rPr>
        </w:r>
        <w:r>
          <w:rPr>
            <w:noProof/>
            <w:webHidden/>
          </w:rPr>
          <w:fldChar w:fldCharType="separate"/>
        </w:r>
        <w:r w:rsidR="00C3333A">
          <w:rPr>
            <w:noProof/>
            <w:webHidden/>
          </w:rPr>
          <w:t>7</w:t>
        </w:r>
        <w:r>
          <w:rPr>
            <w:noProof/>
            <w:webHidden/>
          </w:rPr>
          <w:fldChar w:fldCharType="end"/>
        </w:r>
      </w:hyperlink>
    </w:p>
    <w:p w14:paraId="6432189C" w14:textId="75D7C5A3"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85" w:history="1">
        <w:r w:rsidRPr="0060374A">
          <w:rPr>
            <w:rStyle w:val="Hyperlink"/>
            <w:noProof/>
          </w:rPr>
          <w:t>Areas for improvement</w:t>
        </w:r>
        <w:r>
          <w:rPr>
            <w:noProof/>
            <w:webHidden/>
          </w:rPr>
          <w:tab/>
        </w:r>
        <w:r>
          <w:rPr>
            <w:noProof/>
            <w:webHidden/>
          </w:rPr>
          <w:fldChar w:fldCharType="begin"/>
        </w:r>
        <w:r>
          <w:rPr>
            <w:noProof/>
            <w:webHidden/>
          </w:rPr>
          <w:instrText xml:space="preserve"> PAGEREF _Toc225261085 \h </w:instrText>
        </w:r>
        <w:r>
          <w:rPr>
            <w:noProof/>
            <w:webHidden/>
          </w:rPr>
        </w:r>
        <w:r>
          <w:rPr>
            <w:noProof/>
            <w:webHidden/>
          </w:rPr>
          <w:fldChar w:fldCharType="separate"/>
        </w:r>
        <w:r w:rsidR="00C3333A">
          <w:rPr>
            <w:noProof/>
            <w:webHidden/>
          </w:rPr>
          <w:t>7</w:t>
        </w:r>
        <w:r>
          <w:rPr>
            <w:noProof/>
            <w:webHidden/>
          </w:rPr>
          <w:fldChar w:fldCharType="end"/>
        </w:r>
      </w:hyperlink>
    </w:p>
    <w:p w14:paraId="70E70B62" w14:textId="79FF7EC6"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6" w:history="1">
        <w:r w:rsidRPr="0060374A">
          <w:rPr>
            <w:rStyle w:val="Hyperlink"/>
            <w:noProof/>
          </w:rPr>
          <w:t>Aligning resources with operational expectations</w:t>
        </w:r>
        <w:r>
          <w:rPr>
            <w:noProof/>
            <w:webHidden/>
          </w:rPr>
          <w:tab/>
        </w:r>
        <w:r>
          <w:rPr>
            <w:noProof/>
            <w:webHidden/>
          </w:rPr>
          <w:fldChar w:fldCharType="begin"/>
        </w:r>
        <w:r>
          <w:rPr>
            <w:noProof/>
            <w:webHidden/>
          </w:rPr>
          <w:instrText xml:space="preserve"> PAGEREF _Toc225261086 \h </w:instrText>
        </w:r>
        <w:r>
          <w:rPr>
            <w:noProof/>
            <w:webHidden/>
          </w:rPr>
        </w:r>
        <w:r>
          <w:rPr>
            <w:noProof/>
            <w:webHidden/>
          </w:rPr>
          <w:fldChar w:fldCharType="separate"/>
        </w:r>
        <w:r w:rsidR="00C3333A">
          <w:rPr>
            <w:noProof/>
            <w:webHidden/>
          </w:rPr>
          <w:t>7</w:t>
        </w:r>
        <w:r>
          <w:rPr>
            <w:noProof/>
            <w:webHidden/>
          </w:rPr>
          <w:fldChar w:fldCharType="end"/>
        </w:r>
      </w:hyperlink>
    </w:p>
    <w:p w14:paraId="6AACB253" w14:textId="4FC39099"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7" w:history="1">
        <w:r w:rsidRPr="0060374A">
          <w:rPr>
            <w:rStyle w:val="Hyperlink"/>
            <w:noProof/>
          </w:rPr>
          <w:t>Strengthening recruitment processes and staffing continuity</w:t>
        </w:r>
        <w:r>
          <w:rPr>
            <w:noProof/>
            <w:webHidden/>
          </w:rPr>
          <w:tab/>
        </w:r>
        <w:r>
          <w:rPr>
            <w:noProof/>
            <w:webHidden/>
          </w:rPr>
          <w:fldChar w:fldCharType="begin"/>
        </w:r>
        <w:r>
          <w:rPr>
            <w:noProof/>
            <w:webHidden/>
          </w:rPr>
          <w:instrText xml:space="preserve"> PAGEREF _Toc225261087 \h </w:instrText>
        </w:r>
        <w:r>
          <w:rPr>
            <w:noProof/>
            <w:webHidden/>
          </w:rPr>
        </w:r>
        <w:r>
          <w:rPr>
            <w:noProof/>
            <w:webHidden/>
          </w:rPr>
          <w:fldChar w:fldCharType="separate"/>
        </w:r>
        <w:r w:rsidR="00C3333A">
          <w:rPr>
            <w:noProof/>
            <w:webHidden/>
          </w:rPr>
          <w:t>8</w:t>
        </w:r>
        <w:r>
          <w:rPr>
            <w:noProof/>
            <w:webHidden/>
          </w:rPr>
          <w:fldChar w:fldCharType="end"/>
        </w:r>
      </w:hyperlink>
    </w:p>
    <w:p w14:paraId="7E420093" w14:textId="416DDC0C"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8" w:history="1">
        <w:r w:rsidRPr="0060374A">
          <w:rPr>
            <w:rStyle w:val="Hyperlink"/>
            <w:noProof/>
          </w:rPr>
          <w:t>Enhancing partnership implementation and resource mobilization</w:t>
        </w:r>
        <w:r>
          <w:rPr>
            <w:noProof/>
            <w:webHidden/>
          </w:rPr>
          <w:tab/>
        </w:r>
        <w:r>
          <w:rPr>
            <w:noProof/>
            <w:webHidden/>
          </w:rPr>
          <w:fldChar w:fldCharType="begin"/>
        </w:r>
        <w:r>
          <w:rPr>
            <w:noProof/>
            <w:webHidden/>
          </w:rPr>
          <w:instrText xml:space="preserve"> PAGEREF _Toc225261088 \h </w:instrText>
        </w:r>
        <w:r>
          <w:rPr>
            <w:noProof/>
            <w:webHidden/>
          </w:rPr>
        </w:r>
        <w:r>
          <w:rPr>
            <w:noProof/>
            <w:webHidden/>
          </w:rPr>
          <w:fldChar w:fldCharType="separate"/>
        </w:r>
        <w:r w:rsidR="00C3333A">
          <w:rPr>
            <w:noProof/>
            <w:webHidden/>
          </w:rPr>
          <w:t>8</w:t>
        </w:r>
        <w:r>
          <w:rPr>
            <w:noProof/>
            <w:webHidden/>
          </w:rPr>
          <w:fldChar w:fldCharType="end"/>
        </w:r>
      </w:hyperlink>
    </w:p>
    <w:p w14:paraId="451D1338" w14:textId="1D7EE409"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089" w:history="1">
        <w:r w:rsidRPr="0060374A">
          <w:rPr>
            <w:rStyle w:val="Hyperlink"/>
            <w:noProof/>
          </w:rPr>
          <w:t>Improving transparency and reporting on regional operations</w:t>
        </w:r>
        <w:r>
          <w:rPr>
            <w:noProof/>
            <w:webHidden/>
          </w:rPr>
          <w:tab/>
        </w:r>
        <w:r>
          <w:rPr>
            <w:noProof/>
            <w:webHidden/>
          </w:rPr>
          <w:fldChar w:fldCharType="begin"/>
        </w:r>
        <w:r>
          <w:rPr>
            <w:noProof/>
            <w:webHidden/>
          </w:rPr>
          <w:instrText xml:space="preserve"> PAGEREF _Toc225261089 \h </w:instrText>
        </w:r>
        <w:r>
          <w:rPr>
            <w:noProof/>
            <w:webHidden/>
          </w:rPr>
        </w:r>
        <w:r>
          <w:rPr>
            <w:noProof/>
            <w:webHidden/>
          </w:rPr>
          <w:fldChar w:fldCharType="separate"/>
        </w:r>
        <w:r w:rsidR="00C3333A">
          <w:rPr>
            <w:noProof/>
            <w:webHidden/>
          </w:rPr>
          <w:t>8</w:t>
        </w:r>
        <w:r>
          <w:rPr>
            <w:noProof/>
            <w:webHidden/>
          </w:rPr>
          <w:fldChar w:fldCharType="end"/>
        </w:r>
      </w:hyperlink>
    </w:p>
    <w:p w14:paraId="07772317" w14:textId="469F6BD0"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0" w:history="1">
        <w:r w:rsidRPr="0060374A">
          <w:rPr>
            <w:rStyle w:val="Hyperlink"/>
            <w:noProof/>
          </w:rPr>
          <w:t>SWOT analysis</w:t>
        </w:r>
        <w:r>
          <w:rPr>
            <w:noProof/>
            <w:webHidden/>
          </w:rPr>
          <w:tab/>
        </w:r>
        <w:r>
          <w:rPr>
            <w:noProof/>
            <w:webHidden/>
          </w:rPr>
          <w:fldChar w:fldCharType="begin"/>
        </w:r>
        <w:r>
          <w:rPr>
            <w:noProof/>
            <w:webHidden/>
          </w:rPr>
          <w:instrText xml:space="preserve"> PAGEREF _Toc225261090 \h </w:instrText>
        </w:r>
        <w:r>
          <w:rPr>
            <w:noProof/>
            <w:webHidden/>
          </w:rPr>
        </w:r>
        <w:r>
          <w:rPr>
            <w:noProof/>
            <w:webHidden/>
          </w:rPr>
          <w:fldChar w:fldCharType="separate"/>
        </w:r>
        <w:r w:rsidR="00C3333A">
          <w:rPr>
            <w:noProof/>
            <w:webHidden/>
          </w:rPr>
          <w:t>8</w:t>
        </w:r>
        <w:r>
          <w:rPr>
            <w:noProof/>
            <w:webHidden/>
          </w:rPr>
          <w:fldChar w:fldCharType="end"/>
        </w:r>
      </w:hyperlink>
    </w:p>
    <w:p w14:paraId="0089D15F" w14:textId="1FE9EFEB"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1" w:history="1">
        <w:r w:rsidRPr="0060374A">
          <w:rPr>
            <w:rStyle w:val="Hyperlink"/>
            <w:noProof/>
          </w:rPr>
          <w:t>Conclusion</w:t>
        </w:r>
        <w:r>
          <w:rPr>
            <w:noProof/>
            <w:webHidden/>
          </w:rPr>
          <w:tab/>
        </w:r>
        <w:r>
          <w:rPr>
            <w:noProof/>
            <w:webHidden/>
          </w:rPr>
          <w:fldChar w:fldCharType="begin"/>
        </w:r>
        <w:r>
          <w:rPr>
            <w:noProof/>
            <w:webHidden/>
          </w:rPr>
          <w:instrText xml:space="preserve"> PAGEREF _Toc225261091 \h </w:instrText>
        </w:r>
        <w:r>
          <w:rPr>
            <w:noProof/>
            <w:webHidden/>
          </w:rPr>
        </w:r>
        <w:r>
          <w:rPr>
            <w:noProof/>
            <w:webHidden/>
          </w:rPr>
          <w:fldChar w:fldCharType="separate"/>
        </w:r>
        <w:r w:rsidR="00C3333A">
          <w:rPr>
            <w:noProof/>
            <w:webHidden/>
          </w:rPr>
          <w:t>10</w:t>
        </w:r>
        <w:r>
          <w:rPr>
            <w:noProof/>
            <w:webHidden/>
          </w:rPr>
          <w:fldChar w:fldCharType="end"/>
        </w:r>
      </w:hyperlink>
    </w:p>
    <w:p w14:paraId="4231DCD6" w14:textId="75A78D72" w:rsidR="006704DF" w:rsidRDefault="006704DF">
      <w:pPr>
        <w:pStyle w:val="TOC1"/>
        <w:tabs>
          <w:tab w:val="right" w:leader="dot" w:pos="9061"/>
        </w:tabs>
        <w:rPr>
          <w:rFonts w:eastAsiaTheme="minorEastAsia" w:cstheme="minorBidi"/>
          <w:b w:val="0"/>
          <w:bCs w:val="0"/>
          <w:noProof/>
          <w:kern w:val="2"/>
          <w:lang w:eastAsia="zh-CN"/>
          <w14:ligatures w14:val="standardContextual"/>
        </w:rPr>
      </w:pPr>
      <w:hyperlink w:anchor="_Toc225261092" w:history="1">
        <w:r w:rsidRPr="0060374A">
          <w:rPr>
            <w:rStyle w:val="Hyperlink"/>
            <w:noProof/>
          </w:rPr>
          <w:t>Background</w:t>
        </w:r>
        <w:r>
          <w:rPr>
            <w:noProof/>
            <w:webHidden/>
          </w:rPr>
          <w:tab/>
        </w:r>
        <w:r>
          <w:rPr>
            <w:noProof/>
            <w:webHidden/>
          </w:rPr>
          <w:fldChar w:fldCharType="begin"/>
        </w:r>
        <w:r>
          <w:rPr>
            <w:noProof/>
            <w:webHidden/>
          </w:rPr>
          <w:instrText xml:space="preserve"> PAGEREF _Toc225261092 \h </w:instrText>
        </w:r>
        <w:r>
          <w:rPr>
            <w:noProof/>
            <w:webHidden/>
          </w:rPr>
        </w:r>
        <w:r>
          <w:rPr>
            <w:noProof/>
            <w:webHidden/>
          </w:rPr>
          <w:fldChar w:fldCharType="separate"/>
        </w:r>
        <w:r w:rsidR="00C3333A">
          <w:rPr>
            <w:noProof/>
            <w:webHidden/>
          </w:rPr>
          <w:t>10</w:t>
        </w:r>
        <w:r>
          <w:rPr>
            <w:noProof/>
            <w:webHidden/>
          </w:rPr>
          <w:fldChar w:fldCharType="end"/>
        </w:r>
      </w:hyperlink>
    </w:p>
    <w:p w14:paraId="0DF1E7D8" w14:textId="330D60F0"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3" w:history="1">
        <w:r w:rsidRPr="0060374A">
          <w:rPr>
            <w:rStyle w:val="Hyperlink"/>
            <w:noProof/>
          </w:rPr>
          <w:t>Structure of the review, timeline, and deliverables</w:t>
        </w:r>
        <w:r>
          <w:rPr>
            <w:noProof/>
            <w:webHidden/>
          </w:rPr>
          <w:tab/>
        </w:r>
        <w:r>
          <w:rPr>
            <w:noProof/>
            <w:webHidden/>
          </w:rPr>
          <w:fldChar w:fldCharType="begin"/>
        </w:r>
        <w:r>
          <w:rPr>
            <w:noProof/>
            <w:webHidden/>
          </w:rPr>
          <w:instrText xml:space="preserve"> PAGEREF _Toc225261093 \h </w:instrText>
        </w:r>
        <w:r>
          <w:rPr>
            <w:noProof/>
            <w:webHidden/>
          </w:rPr>
        </w:r>
        <w:r>
          <w:rPr>
            <w:noProof/>
            <w:webHidden/>
          </w:rPr>
          <w:fldChar w:fldCharType="separate"/>
        </w:r>
        <w:r w:rsidR="00C3333A">
          <w:rPr>
            <w:noProof/>
            <w:webHidden/>
          </w:rPr>
          <w:t>11</w:t>
        </w:r>
        <w:r>
          <w:rPr>
            <w:noProof/>
            <w:webHidden/>
          </w:rPr>
          <w:fldChar w:fldCharType="end"/>
        </w:r>
      </w:hyperlink>
    </w:p>
    <w:p w14:paraId="14581034" w14:textId="7253C654"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4" w:history="1">
        <w:r w:rsidRPr="0060374A">
          <w:rPr>
            <w:rStyle w:val="Hyperlink"/>
            <w:noProof/>
          </w:rPr>
          <w:t>Work carried out by the BDT</w:t>
        </w:r>
        <w:r>
          <w:rPr>
            <w:noProof/>
            <w:webHidden/>
          </w:rPr>
          <w:tab/>
        </w:r>
        <w:r>
          <w:rPr>
            <w:noProof/>
            <w:webHidden/>
          </w:rPr>
          <w:fldChar w:fldCharType="begin"/>
        </w:r>
        <w:r>
          <w:rPr>
            <w:noProof/>
            <w:webHidden/>
          </w:rPr>
          <w:instrText xml:space="preserve"> PAGEREF _Toc225261094 \h </w:instrText>
        </w:r>
        <w:r>
          <w:rPr>
            <w:noProof/>
            <w:webHidden/>
          </w:rPr>
        </w:r>
        <w:r>
          <w:rPr>
            <w:noProof/>
            <w:webHidden/>
          </w:rPr>
          <w:fldChar w:fldCharType="separate"/>
        </w:r>
        <w:r w:rsidR="00C3333A">
          <w:rPr>
            <w:noProof/>
            <w:webHidden/>
          </w:rPr>
          <w:t>12</w:t>
        </w:r>
        <w:r>
          <w:rPr>
            <w:noProof/>
            <w:webHidden/>
          </w:rPr>
          <w:fldChar w:fldCharType="end"/>
        </w:r>
      </w:hyperlink>
    </w:p>
    <w:p w14:paraId="1172605A" w14:textId="595FAC0D" w:rsidR="006704DF" w:rsidRDefault="006704DF">
      <w:pPr>
        <w:pStyle w:val="TOC1"/>
        <w:tabs>
          <w:tab w:val="right" w:leader="dot" w:pos="9061"/>
        </w:tabs>
        <w:rPr>
          <w:rFonts w:eastAsiaTheme="minorEastAsia" w:cstheme="minorBidi"/>
          <w:b w:val="0"/>
          <w:bCs w:val="0"/>
          <w:noProof/>
          <w:kern w:val="2"/>
          <w:lang w:eastAsia="zh-CN"/>
          <w14:ligatures w14:val="standardContextual"/>
        </w:rPr>
      </w:pPr>
      <w:hyperlink w:anchor="_Toc225261095" w:history="1">
        <w:r w:rsidRPr="0060374A">
          <w:rPr>
            <w:rStyle w:val="Hyperlink"/>
            <w:noProof/>
          </w:rPr>
          <w:t>Methodology</w:t>
        </w:r>
        <w:r>
          <w:rPr>
            <w:noProof/>
            <w:webHidden/>
          </w:rPr>
          <w:tab/>
        </w:r>
        <w:r>
          <w:rPr>
            <w:noProof/>
            <w:webHidden/>
          </w:rPr>
          <w:fldChar w:fldCharType="begin"/>
        </w:r>
        <w:r>
          <w:rPr>
            <w:noProof/>
            <w:webHidden/>
          </w:rPr>
          <w:instrText xml:space="preserve"> PAGEREF _Toc225261095 \h </w:instrText>
        </w:r>
        <w:r>
          <w:rPr>
            <w:noProof/>
            <w:webHidden/>
          </w:rPr>
        </w:r>
        <w:r>
          <w:rPr>
            <w:noProof/>
            <w:webHidden/>
          </w:rPr>
          <w:fldChar w:fldCharType="separate"/>
        </w:r>
        <w:r w:rsidR="00C3333A">
          <w:rPr>
            <w:noProof/>
            <w:webHidden/>
          </w:rPr>
          <w:t>12</w:t>
        </w:r>
        <w:r>
          <w:rPr>
            <w:noProof/>
            <w:webHidden/>
          </w:rPr>
          <w:fldChar w:fldCharType="end"/>
        </w:r>
      </w:hyperlink>
    </w:p>
    <w:p w14:paraId="6BE71EC8" w14:textId="123BDB1E"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6" w:history="1">
        <w:r w:rsidRPr="0060374A">
          <w:rPr>
            <w:rStyle w:val="Hyperlink"/>
            <w:noProof/>
          </w:rPr>
          <w:t>Membership Survey</w:t>
        </w:r>
        <w:r>
          <w:rPr>
            <w:noProof/>
            <w:webHidden/>
          </w:rPr>
          <w:tab/>
        </w:r>
        <w:r>
          <w:rPr>
            <w:noProof/>
            <w:webHidden/>
          </w:rPr>
          <w:fldChar w:fldCharType="begin"/>
        </w:r>
        <w:r>
          <w:rPr>
            <w:noProof/>
            <w:webHidden/>
          </w:rPr>
          <w:instrText xml:space="preserve"> PAGEREF _Toc225261096 \h </w:instrText>
        </w:r>
        <w:r>
          <w:rPr>
            <w:noProof/>
            <w:webHidden/>
          </w:rPr>
        </w:r>
        <w:r>
          <w:rPr>
            <w:noProof/>
            <w:webHidden/>
          </w:rPr>
          <w:fldChar w:fldCharType="separate"/>
        </w:r>
        <w:r w:rsidR="00C3333A">
          <w:rPr>
            <w:noProof/>
            <w:webHidden/>
          </w:rPr>
          <w:t>13</w:t>
        </w:r>
        <w:r>
          <w:rPr>
            <w:noProof/>
            <w:webHidden/>
          </w:rPr>
          <w:fldChar w:fldCharType="end"/>
        </w:r>
      </w:hyperlink>
    </w:p>
    <w:p w14:paraId="1C94C071" w14:textId="47A7D44D"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7" w:history="1">
        <w:r w:rsidRPr="0060374A">
          <w:rPr>
            <w:rStyle w:val="Hyperlink"/>
            <w:noProof/>
          </w:rPr>
          <w:t>Stakeholder Consultations</w:t>
        </w:r>
        <w:r>
          <w:rPr>
            <w:noProof/>
            <w:webHidden/>
          </w:rPr>
          <w:tab/>
        </w:r>
        <w:r>
          <w:rPr>
            <w:noProof/>
            <w:webHidden/>
          </w:rPr>
          <w:fldChar w:fldCharType="begin"/>
        </w:r>
        <w:r>
          <w:rPr>
            <w:noProof/>
            <w:webHidden/>
          </w:rPr>
          <w:instrText xml:space="preserve"> PAGEREF _Toc225261097 \h </w:instrText>
        </w:r>
        <w:r>
          <w:rPr>
            <w:noProof/>
            <w:webHidden/>
          </w:rPr>
        </w:r>
        <w:r>
          <w:rPr>
            <w:noProof/>
            <w:webHidden/>
          </w:rPr>
          <w:fldChar w:fldCharType="separate"/>
        </w:r>
        <w:r w:rsidR="00C3333A">
          <w:rPr>
            <w:noProof/>
            <w:webHidden/>
          </w:rPr>
          <w:t>14</w:t>
        </w:r>
        <w:r>
          <w:rPr>
            <w:noProof/>
            <w:webHidden/>
          </w:rPr>
          <w:fldChar w:fldCharType="end"/>
        </w:r>
      </w:hyperlink>
    </w:p>
    <w:p w14:paraId="11A7642E" w14:textId="2FDEBE97"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8" w:history="1">
        <w:r w:rsidRPr="0060374A">
          <w:rPr>
            <w:rStyle w:val="Hyperlink"/>
            <w:noProof/>
          </w:rPr>
          <w:t>Internal Assessment Survey (staff survey)</w:t>
        </w:r>
        <w:r>
          <w:rPr>
            <w:noProof/>
            <w:webHidden/>
          </w:rPr>
          <w:tab/>
        </w:r>
        <w:r>
          <w:rPr>
            <w:noProof/>
            <w:webHidden/>
          </w:rPr>
          <w:fldChar w:fldCharType="begin"/>
        </w:r>
        <w:r>
          <w:rPr>
            <w:noProof/>
            <w:webHidden/>
          </w:rPr>
          <w:instrText xml:space="preserve"> PAGEREF _Toc225261098 \h </w:instrText>
        </w:r>
        <w:r>
          <w:rPr>
            <w:noProof/>
            <w:webHidden/>
          </w:rPr>
        </w:r>
        <w:r>
          <w:rPr>
            <w:noProof/>
            <w:webHidden/>
          </w:rPr>
          <w:fldChar w:fldCharType="separate"/>
        </w:r>
        <w:r w:rsidR="00C3333A">
          <w:rPr>
            <w:noProof/>
            <w:webHidden/>
          </w:rPr>
          <w:t>15</w:t>
        </w:r>
        <w:r>
          <w:rPr>
            <w:noProof/>
            <w:webHidden/>
          </w:rPr>
          <w:fldChar w:fldCharType="end"/>
        </w:r>
      </w:hyperlink>
    </w:p>
    <w:p w14:paraId="5DBAE3DE" w14:textId="2A1A0215"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099" w:history="1">
        <w:r w:rsidRPr="0060374A">
          <w:rPr>
            <w:rStyle w:val="Hyperlink"/>
            <w:noProof/>
          </w:rPr>
          <w:t>Document Analysis</w:t>
        </w:r>
        <w:r>
          <w:rPr>
            <w:noProof/>
            <w:webHidden/>
          </w:rPr>
          <w:tab/>
        </w:r>
        <w:r>
          <w:rPr>
            <w:noProof/>
            <w:webHidden/>
          </w:rPr>
          <w:fldChar w:fldCharType="begin"/>
        </w:r>
        <w:r>
          <w:rPr>
            <w:noProof/>
            <w:webHidden/>
          </w:rPr>
          <w:instrText xml:space="preserve"> PAGEREF _Toc225261099 \h </w:instrText>
        </w:r>
        <w:r>
          <w:rPr>
            <w:noProof/>
            <w:webHidden/>
          </w:rPr>
        </w:r>
        <w:r>
          <w:rPr>
            <w:noProof/>
            <w:webHidden/>
          </w:rPr>
          <w:fldChar w:fldCharType="separate"/>
        </w:r>
        <w:r w:rsidR="00C3333A">
          <w:rPr>
            <w:noProof/>
            <w:webHidden/>
          </w:rPr>
          <w:t>16</w:t>
        </w:r>
        <w:r>
          <w:rPr>
            <w:noProof/>
            <w:webHidden/>
          </w:rPr>
          <w:fldChar w:fldCharType="end"/>
        </w:r>
      </w:hyperlink>
    </w:p>
    <w:p w14:paraId="65C4AD76" w14:textId="0D5A1202" w:rsidR="006704DF" w:rsidRDefault="006704DF">
      <w:pPr>
        <w:pStyle w:val="TOC1"/>
        <w:tabs>
          <w:tab w:val="right" w:leader="dot" w:pos="9061"/>
        </w:tabs>
        <w:rPr>
          <w:rFonts w:eastAsiaTheme="minorEastAsia" w:cstheme="minorBidi"/>
          <w:b w:val="0"/>
          <w:bCs w:val="0"/>
          <w:noProof/>
          <w:kern w:val="2"/>
          <w:lang w:eastAsia="zh-CN"/>
          <w14:ligatures w14:val="standardContextual"/>
        </w:rPr>
      </w:pPr>
      <w:hyperlink w:anchor="_Toc225261100" w:history="1">
        <w:r w:rsidRPr="0060374A">
          <w:rPr>
            <w:rStyle w:val="Hyperlink"/>
            <w:noProof/>
          </w:rPr>
          <w:t>Findings per Scope of Work</w:t>
        </w:r>
        <w:r>
          <w:rPr>
            <w:noProof/>
            <w:webHidden/>
          </w:rPr>
          <w:tab/>
        </w:r>
        <w:r>
          <w:rPr>
            <w:noProof/>
            <w:webHidden/>
          </w:rPr>
          <w:fldChar w:fldCharType="begin"/>
        </w:r>
        <w:r>
          <w:rPr>
            <w:noProof/>
            <w:webHidden/>
          </w:rPr>
          <w:instrText xml:space="preserve"> PAGEREF _Toc225261100 \h </w:instrText>
        </w:r>
        <w:r>
          <w:rPr>
            <w:noProof/>
            <w:webHidden/>
          </w:rPr>
        </w:r>
        <w:r>
          <w:rPr>
            <w:noProof/>
            <w:webHidden/>
          </w:rPr>
          <w:fldChar w:fldCharType="separate"/>
        </w:r>
        <w:r w:rsidR="00C3333A">
          <w:rPr>
            <w:noProof/>
            <w:webHidden/>
          </w:rPr>
          <w:t>17</w:t>
        </w:r>
        <w:r>
          <w:rPr>
            <w:noProof/>
            <w:webHidden/>
          </w:rPr>
          <w:fldChar w:fldCharType="end"/>
        </w:r>
      </w:hyperlink>
    </w:p>
    <w:p w14:paraId="453F84B3" w14:textId="4355FEB9" w:rsidR="006704DF" w:rsidRDefault="006704DF">
      <w:pPr>
        <w:pStyle w:val="TOC1"/>
        <w:tabs>
          <w:tab w:val="right" w:leader="dot" w:pos="9061"/>
        </w:tabs>
        <w:rPr>
          <w:rFonts w:eastAsiaTheme="minorEastAsia" w:cstheme="minorBidi"/>
          <w:b w:val="0"/>
          <w:bCs w:val="0"/>
          <w:noProof/>
          <w:kern w:val="2"/>
          <w:lang w:eastAsia="zh-CN"/>
          <w14:ligatures w14:val="standardContextual"/>
        </w:rPr>
      </w:pPr>
      <w:hyperlink w:anchor="_Toc225261101" w:history="1">
        <w:r w:rsidRPr="0060374A">
          <w:rPr>
            <w:rStyle w:val="Hyperlink"/>
            <w:noProof/>
          </w:rPr>
          <w:t>Annexes</w:t>
        </w:r>
      </w:hyperlink>
    </w:p>
    <w:p w14:paraId="30D29208" w14:textId="52D6C54B"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102" w:history="1">
        <w:r w:rsidRPr="0060374A">
          <w:rPr>
            <w:rStyle w:val="Hyperlink"/>
            <w:noProof/>
          </w:rPr>
          <w:t>Annex A. KPIs</w:t>
        </w:r>
        <w:r>
          <w:rPr>
            <w:noProof/>
            <w:webHidden/>
          </w:rPr>
          <w:tab/>
        </w:r>
        <w:r>
          <w:rPr>
            <w:noProof/>
            <w:webHidden/>
          </w:rPr>
          <w:fldChar w:fldCharType="begin"/>
        </w:r>
        <w:r>
          <w:rPr>
            <w:noProof/>
            <w:webHidden/>
          </w:rPr>
          <w:instrText xml:space="preserve"> PAGEREF _Toc225261102 \h </w:instrText>
        </w:r>
        <w:r>
          <w:rPr>
            <w:noProof/>
            <w:webHidden/>
          </w:rPr>
        </w:r>
        <w:r>
          <w:rPr>
            <w:noProof/>
            <w:webHidden/>
          </w:rPr>
          <w:fldChar w:fldCharType="separate"/>
        </w:r>
        <w:r w:rsidR="00C3333A">
          <w:rPr>
            <w:noProof/>
            <w:webHidden/>
          </w:rPr>
          <w:t>37</w:t>
        </w:r>
        <w:r>
          <w:rPr>
            <w:noProof/>
            <w:webHidden/>
          </w:rPr>
          <w:fldChar w:fldCharType="end"/>
        </w:r>
      </w:hyperlink>
    </w:p>
    <w:p w14:paraId="19390FEE" w14:textId="7E72CFB3"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103" w:history="1">
        <w:r w:rsidRPr="0060374A">
          <w:rPr>
            <w:rStyle w:val="Hyperlink"/>
            <w:noProof/>
          </w:rPr>
          <w:t>Annex B. Membership Survey Results</w:t>
        </w:r>
        <w:r>
          <w:rPr>
            <w:noProof/>
            <w:webHidden/>
          </w:rPr>
          <w:tab/>
        </w:r>
        <w:r>
          <w:rPr>
            <w:noProof/>
            <w:webHidden/>
          </w:rPr>
          <w:fldChar w:fldCharType="begin"/>
        </w:r>
        <w:r>
          <w:rPr>
            <w:noProof/>
            <w:webHidden/>
          </w:rPr>
          <w:instrText xml:space="preserve"> PAGEREF _Toc225261103 \h </w:instrText>
        </w:r>
        <w:r>
          <w:rPr>
            <w:noProof/>
            <w:webHidden/>
          </w:rPr>
        </w:r>
        <w:r>
          <w:rPr>
            <w:noProof/>
            <w:webHidden/>
          </w:rPr>
          <w:fldChar w:fldCharType="separate"/>
        </w:r>
        <w:r w:rsidR="00C3333A">
          <w:rPr>
            <w:noProof/>
            <w:webHidden/>
          </w:rPr>
          <w:t>90</w:t>
        </w:r>
        <w:r>
          <w:rPr>
            <w:noProof/>
            <w:webHidden/>
          </w:rPr>
          <w:fldChar w:fldCharType="end"/>
        </w:r>
      </w:hyperlink>
    </w:p>
    <w:p w14:paraId="3D24DAD4" w14:textId="462A0041"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104" w:history="1">
        <w:r w:rsidRPr="0060374A">
          <w:rPr>
            <w:rStyle w:val="Hyperlink"/>
            <w:noProof/>
          </w:rPr>
          <w:t>Annex C. Stakeholder Consultation</w:t>
        </w:r>
        <w:r>
          <w:rPr>
            <w:noProof/>
            <w:webHidden/>
          </w:rPr>
          <w:tab/>
        </w:r>
        <w:r>
          <w:rPr>
            <w:noProof/>
            <w:webHidden/>
          </w:rPr>
          <w:fldChar w:fldCharType="begin"/>
        </w:r>
        <w:r>
          <w:rPr>
            <w:noProof/>
            <w:webHidden/>
          </w:rPr>
          <w:instrText xml:space="preserve"> PAGEREF _Toc225261104 \h </w:instrText>
        </w:r>
        <w:r>
          <w:rPr>
            <w:noProof/>
            <w:webHidden/>
          </w:rPr>
        </w:r>
        <w:r>
          <w:rPr>
            <w:noProof/>
            <w:webHidden/>
          </w:rPr>
          <w:fldChar w:fldCharType="separate"/>
        </w:r>
        <w:r w:rsidR="00C3333A">
          <w:rPr>
            <w:noProof/>
            <w:webHidden/>
          </w:rPr>
          <w:t>90</w:t>
        </w:r>
        <w:r>
          <w:rPr>
            <w:noProof/>
            <w:webHidden/>
          </w:rPr>
          <w:fldChar w:fldCharType="end"/>
        </w:r>
      </w:hyperlink>
    </w:p>
    <w:p w14:paraId="49EBC7CA" w14:textId="3942142B"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105" w:history="1">
        <w:r w:rsidRPr="0060374A">
          <w:rPr>
            <w:rStyle w:val="Hyperlink"/>
            <w:noProof/>
          </w:rPr>
          <w:t>Annex C1. Summary of the WTDC-25 Special Session on the ITU Regional Presence Review</w:t>
        </w:r>
        <w:r>
          <w:rPr>
            <w:noProof/>
            <w:webHidden/>
          </w:rPr>
          <w:tab/>
        </w:r>
        <w:r>
          <w:rPr>
            <w:noProof/>
            <w:webHidden/>
          </w:rPr>
          <w:fldChar w:fldCharType="begin"/>
        </w:r>
        <w:r>
          <w:rPr>
            <w:noProof/>
            <w:webHidden/>
          </w:rPr>
          <w:instrText xml:space="preserve"> PAGEREF _Toc225261105 \h </w:instrText>
        </w:r>
        <w:r>
          <w:rPr>
            <w:noProof/>
            <w:webHidden/>
          </w:rPr>
        </w:r>
        <w:r>
          <w:rPr>
            <w:noProof/>
            <w:webHidden/>
          </w:rPr>
          <w:fldChar w:fldCharType="separate"/>
        </w:r>
        <w:r w:rsidR="00C3333A">
          <w:rPr>
            <w:noProof/>
            <w:webHidden/>
          </w:rPr>
          <w:t>90</w:t>
        </w:r>
        <w:r>
          <w:rPr>
            <w:noProof/>
            <w:webHidden/>
          </w:rPr>
          <w:fldChar w:fldCharType="end"/>
        </w:r>
      </w:hyperlink>
    </w:p>
    <w:p w14:paraId="755C62E0" w14:textId="186F4B9F"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106" w:history="1">
        <w:r w:rsidRPr="0060374A">
          <w:rPr>
            <w:rStyle w:val="Hyperlink"/>
            <w:noProof/>
          </w:rPr>
          <w:t>Annex C2. Internal Assessment Survey Responses</w:t>
        </w:r>
        <w:r>
          <w:rPr>
            <w:noProof/>
            <w:webHidden/>
          </w:rPr>
          <w:tab/>
        </w:r>
        <w:r>
          <w:rPr>
            <w:noProof/>
            <w:webHidden/>
          </w:rPr>
          <w:fldChar w:fldCharType="begin"/>
        </w:r>
        <w:r>
          <w:rPr>
            <w:noProof/>
            <w:webHidden/>
          </w:rPr>
          <w:instrText xml:space="preserve"> PAGEREF _Toc225261106 \h </w:instrText>
        </w:r>
        <w:r>
          <w:rPr>
            <w:noProof/>
            <w:webHidden/>
          </w:rPr>
        </w:r>
        <w:r>
          <w:rPr>
            <w:noProof/>
            <w:webHidden/>
          </w:rPr>
          <w:fldChar w:fldCharType="separate"/>
        </w:r>
        <w:r w:rsidR="00C3333A">
          <w:rPr>
            <w:noProof/>
            <w:webHidden/>
          </w:rPr>
          <w:t>91</w:t>
        </w:r>
        <w:r>
          <w:rPr>
            <w:noProof/>
            <w:webHidden/>
          </w:rPr>
          <w:fldChar w:fldCharType="end"/>
        </w:r>
      </w:hyperlink>
    </w:p>
    <w:p w14:paraId="744A2B0D" w14:textId="14F16AA1" w:rsidR="006704DF" w:rsidRDefault="006704DF">
      <w:pPr>
        <w:pStyle w:val="TOC3"/>
        <w:tabs>
          <w:tab w:val="right" w:leader="dot" w:pos="9061"/>
        </w:tabs>
        <w:rPr>
          <w:rFonts w:eastAsiaTheme="minorEastAsia" w:cstheme="minorBidi"/>
          <w:bCs w:val="0"/>
          <w:noProof/>
          <w:kern w:val="2"/>
          <w:sz w:val="24"/>
          <w:lang w:eastAsia="zh-CN"/>
          <w14:ligatures w14:val="standardContextual"/>
        </w:rPr>
      </w:pPr>
      <w:hyperlink w:anchor="_Toc225261107" w:history="1">
        <w:r w:rsidRPr="0060374A">
          <w:rPr>
            <w:rStyle w:val="Hyperlink"/>
            <w:noProof/>
          </w:rPr>
          <w:t>Annex C3. Interview with RTOs</w:t>
        </w:r>
        <w:r>
          <w:rPr>
            <w:noProof/>
            <w:webHidden/>
          </w:rPr>
          <w:tab/>
        </w:r>
        <w:r>
          <w:rPr>
            <w:noProof/>
            <w:webHidden/>
          </w:rPr>
          <w:fldChar w:fldCharType="begin"/>
        </w:r>
        <w:r>
          <w:rPr>
            <w:noProof/>
            <w:webHidden/>
          </w:rPr>
          <w:instrText xml:space="preserve"> PAGEREF _Toc225261107 \h </w:instrText>
        </w:r>
        <w:r>
          <w:rPr>
            <w:noProof/>
            <w:webHidden/>
          </w:rPr>
        </w:r>
        <w:r>
          <w:rPr>
            <w:noProof/>
            <w:webHidden/>
          </w:rPr>
          <w:fldChar w:fldCharType="separate"/>
        </w:r>
        <w:r w:rsidR="00C3333A">
          <w:rPr>
            <w:noProof/>
            <w:webHidden/>
          </w:rPr>
          <w:t>96</w:t>
        </w:r>
        <w:r>
          <w:rPr>
            <w:noProof/>
            <w:webHidden/>
          </w:rPr>
          <w:fldChar w:fldCharType="end"/>
        </w:r>
      </w:hyperlink>
    </w:p>
    <w:p w14:paraId="5C627F57" w14:textId="1DF1E103" w:rsidR="006704DF" w:rsidRDefault="006704DF">
      <w:pPr>
        <w:pStyle w:val="TOC2"/>
        <w:tabs>
          <w:tab w:val="right" w:leader="dot" w:pos="9061"/>
        </w:tabs>
        <w:rPr>
          <w:rFonts w:eastAsiaTheme="minorEastAsia" w:cstheme="minorBidi"/>
          <w:b w:val="0"/>
          <w:noProof/>
          <w:kern w:val="2"/>
          <w:sz w:val="24"/>
          <w:lang w:eastAsia="zh-CN"/>
          <w14:ligatures w14:val="standardContextual"/>
        </w:rPr>
      </w:pPr>
      <w:hyperlink w:anchor="_Toc225261108" w:history="1">
        <w:r w:rsidRPr="0060374A">
          <w:rPr>
            <w:rStyle w:val="Hyperlink"/>
            <w:noProof/>
          </w:rPr>
          <w:t>Annex D. Benchmarking</w:t>
        </w:r>
        <w:r>
          <w:rPr>
            <w:noProof/>
            <w:webHidden/>
          </w:rPr>
          <w:tab/>
        </w:r>
        <w:r>
          <w:rPr>
            <w:noProof/>
            <w:webHidden/>
          </w:rPr>
          <w:fldChar w:fldCharType="begin"/>
        </w:r>
        <w:r>
          <w:rPr>
            <w:noProof/>
            <w:webHidden/>
          </w:rPr>
          <w:instrText xml:space="preserve"> PAGEREF _Toc225261108 \h </w:instrText>
        </w:r>
        <w:r>
          <w:rPr>
            <w:noProof/>
            <w:webHidden/>
          </w:rPr>
        </w:r>
        <w:r>
          <w:rPr>
            <w:noProof/>
            <w:webHidden/>
          </w:rPr>
          <w:fldChar w:fldCharType="separate"/>
        </w:r>
        <w:r w:rsidR="00C3333A">
          <w:rPr>
            <w:noProof/>
            <w:webHidden/>
          </w:rPr>
          <w:t>110</w:t>
        </w:r>
        <w:r>
          <w:rPr>
            <w:noProof/>
            <w:webHidden/>
          </w:rPr>
          <w:fldChar w:fldCharType="end"/>
        </w:r>
      </w:hyperlink>
    </w:p>
    <w:p w14:paraId="3138E853" w14:textId="49BC22EB" w:rsidR="00250529" w:rsidRPr="00986D12" w:rsidRDefault="00123647">
      <w:pPr>
        <w:spacing w:before="0" w:after="160" w:line="278" w:lineRule="auto"/>
        <w:rPr>
          <w:rFonts w:asciiTheme="minorHAnsi" w:hAnsiTheme="minorHAnsi" w:cstheme="minorHAnsi"/>
          <w:lang w:val="en-US"/>
        </w:rPr>
      </w:pPr>
      <w:r>
        <w:rPr>
          <w:rFonts w:asciiTheme="minorHAnsi" w:hAnsiTheme="minorHAnsi" w:cstheme="minorHAnsi"/>
          <w:b/>
          <w:bCs/>
          <w:caps/>
          <w:noProof/>
          <w:szCs w:val="24"/>
          <w:lang w:val="en-US"/>
        </w:rPr>
        <w:fldChar w:fldCharType="end"/>
      </w:r>
    </w:p>
    <w:p w14:paraId="6F359762" w14:textId="77777777" w:rsidR="00250529" w:rsidRPr="00986D12" w:rsidRDefault="00250529">
      <w:pPr>
        <w:spacing w:before="0" w:after="160" w:line="278" w:lineRule="auto"/>
        <w:rPr>
          <w:rFonts w:asciiTheme="minorHAnsi" w:eastAsiaTheme="majorEastAsia" w:hAnsiTheme="minorHAnsi" w:cstheme="minorHAnsi"/>
          <w:spacing w:val="-10"/>
          <w:kern w:val="28"/>
          <w:lang w:val="en-US"/>
        </w:rPr>
      </w:pPr>
      <w:r w:rsidRPr="00986D12">
        <w:rPr>
          <w:rFonts w:asciiTheme="minorHAnsi" w:hAnsiTheme="minorHAnsi" w:cstheme="minorHAnsi"/>
          <w:lang w:val="en-US"/>
        </w:rPr>
        <w:br w:type="page"/>
      </w:r>
    </w:p>
    <w:p w14:paraId="75FD85A2" w14:textId="7A3A0A44" w:rsidR="00250529" w:rsidRPr="00986D12" w:rsidRDefault="00E0505F" w:rsidP="000E12EC">
      <w:pPr>
        <w:pStyle w:val="Heading1"/>
      </w:pPr>
      <w:bookmarkStart w:id="7" w:name="_Toc225163547"/>
      <w:bookmarkStart w:id="8" w:name="_Toc225261074"/>
      <w:r w:rsidRPr="000E12EC">
        <w:lastRenderedPageBreak/>
        <w:t>Introduction</w:t>
      </w:r>
      <w:bookmarkEnd w:id="7"/>
      <w:bookmarkEnd w:id="8"/>
    </w:p>
    <w:p w14:paraId="061DD3FB" w14:textId="2B228A14" w:rsidR="00250529" w:rsidRPr="00986D12" w:rsidRDefault="00250529" w:rsidP="00986D12">
      <w:pPr>
        <w:jc w:val="both"/>
        <w:rPr>
          <w:rFonts w:asciiTheme="minorHAnsi" w:hAnsiTheme="minorHAnsi" w:cstheme="minorHAnsi"/>
        </w:rPr>
      </w:pPr>
      <w:r w:rsidRPr="0009624B">
        <w:rPr>
          <w:rFonts w:asciiTheme="minorHAnsi" w:hAnsiTheme="minorHAnsi" w:cstheme="minorBidi"/>
        </w:rPr>
        <w:t xml:space="preserve">The International Telecommunication Union’s Regional and Area Offices form a central pillar of the Union’s ability to deliver meaningful impact across the world. This review, undertaken at the request of the ITU Council and guided by Resolution 25 (Rev. Bucharest, 2022), provides a comprehensive assessment of the effectiveness, relevance, and strategic alignment of ITU’s regional presence. Drawing on an extensive evidence base—including desk </w:t>
      </w:r>
      <w:r w:rsidR="00E0734C" w:rsidRPr="0009624B">
        <w:rPr>
          <w:rFonts w:asciiTheme="minorHAnsi" w:hAnsiTheme="minorHAnsi" w:cstheme="minorBidi"/>
        </w:rPr>
        <w:t xml:space="preserve">research, </w:t>
      </w:r>
      <w:r w:rsidRPr="0009624B">
        <w:rPr>
          <w:rFonts w:asciiTheme="minorHAnsi" w:hAnsiTheme="minorHAnsi" w:cstheme="minorBidi"/>
        </w:rPr>
        <w:t>surveys, st</w:t>
      </w:r>
      <w:r w:rsidR="00E0734C" w:rsidRPr="0009624B">
        <w:rPr>
          <w:rFonts w:asciiTheme="minorHAnsi" w:hAnsiTheme="minorHAnsi" w:cstheme="minorBidi"/>
        </w:rPr>
        <w:t xml:space="preserve">akeholder </w:t>
      </w:r>
      <w:r w:rsidRPr="0009624B">
        <w:rPr>
          <w:rFonts w:asciiTheme="minorHAnsi" w:hAnsiTheme="minorHAnsi" w:cstheme="minorBidi"/>
        </w:rPr>
        <w:t xml:space="preserve">consultations, and structured interviews with Regional Telecommunication Organizations—the review </w:t>
      </w:r>
      <w:r w:rsidR="00EE2405" w:rsidRPr="0009624B">
        <w:rPr>
          <w:rFonts w:asciiTheme="minorHAnsi" w:hAnsiTheme="minorHAnsi" w:cstheme="minorBidi"/>
        </w:rPr>
        <w:t>includes 27</w:t>
      </w:r>
      <w:r w:rsidR="00E0734C" w:rsidRPr="0009624B">
        <w:rPr>
          <w:rFonts w:asciiTheme="minorHAnsi" w:hAnsiTheme="minorHAnsi" w:cstheme="minorBidi"/>
        </w:rPr>
        <w:t xml:space="preserve"> </w:t>
      </w:r>
      <w:r w:rsidR="00EB5808" w:rsidRPr="0009624B">
        <w:rPr>
          <w:rFonts w:asciiTheme="minorHAnsi" w:hAnsiTheme="minorHAnsi" w:cstheme="minorBidi"/>
        </w:rPr>
        <w:t>key performance indicator (</w:t>
      </w:r>
      <w:proofErr w:type="spellStart"/>
      <w:r w:rsidR="00E0734C" w:rsidRPr="0009624B">
        <w:rPr>
          <w:rFonts w:asciiTheme="minorHAnsi" w:hAnsiTheme="minorHAnsi" w:cstheme="minorBidi"/>
        </w:rPr>
        <w:t>KPI</w:t>
      </w:r>
      <w:proofErr w:type="spellEnd"/>
      <w:r w:rsidR="00EB5808" w:rsidRPr="0009624B">
        <w:rPr>
          <w:rFonts w:asciiTheme="minorHAnsi" w:hAnsiTheme="minorHAnsi" w:cstheme="minorBidi"/>
        </w:rPr>
        <w:t>)</w:t>
      </w:r>
      <w:r w:rsidR="00E0734C" w:rsidRPr="0009624B">
        <w:rPr>
          <w:rFonts w:asciiTheme="minorHAnsi" w:hAnsiTheme="minorHAnsi" w:cstheme="minorBidi"/>
        </w:rPr>
        <w:t xml:space="preserve"> assessments, </w:t>
      </w:r>
      <w:r w:rsidR="003D1D48" w:rsidRPr="0009624B">
        <w:rPr>
          <w:rFonts w:asciiTheme="minorHAnsi" w:hAnsiTheme="minorHAnsi" w:cstheme="minorBidi"/>
        </w:rPr>
        <w:t xml:space="preserve">and </w:t>
      </w:r>
      <w:r w:rsidR="0096738C" w:rsidRPr="0009624B">
        <w:rPr>
          <w:rFonts w:asciiTheme="minorHAnsi" w:hAnsiTheme="minorHAnsi" w:cstheme="minorBidi"/>
        </w:rPr>
        <w:t xml:space="preserve">analysis across </w:t>
      </w:r>
      <w:r w:rsidR="00E0734C" w:rsidRPr="0009624B">
        <w:rPr>
          <w:rFonts w:asciiTheme="minorHAnsi" w:hAnsiTheme="minorHAnsi" w:cstheme="minorBidi"/>
        </w:rPr>
        <w:t>12 Scope of Work</w:t>
      </w:r>
      <w:r w:rsidR="00EB5808" w:rsidRPr="0009624B">
        <w:rPr>
          <w:rFonts w:asciiTheme="minorHAnsi" w:hAnsiTheme="minorHAnsi" w:cstheme="minorBidi"/>
        </w:rPr>
        <w:t xml:space="preserve"> (SoW)</w:t>
      </w:r>
      <w:r w:rsidR="00E0734C" w:rsidRPr="0009624B">
        <w:rPr>
          <w:rFonts w:asciiTheme="minorHAnsi" w:hAnsiTheme="minorHAnsi" w:cstheme="minorBidi"/>
        </w:rPr>
        <w:t xml:space="preserve"> dimensions</w:t>
      </w:r>
      <w:r w:rsidR="0096738C" w:rsidRPr="0009624B">
        <w:rPr>
          <w:rFonts w:asciiTheme="minorHAnsi" w:hAnsiTheme="minorHAnsi" w:cstheme="minorBidi"/>
        </w:rPr>
        <w:t>. The findings</w:t>
      </w:r>
      <w:r w:rsidR="003D1D48" w:rsidRPr="0009624B">
        <w:rPr>
          <w:rFonts w:asciiTheme="minorHAnsi" w:hAnsiTheme="minorHAnsi" w:cstheme="minorBidi"/>
        </w:rPr>
        <w:t xml:space="preserve"> </w:t>
      </w:r>
      <w:r w:rsidRPr="0009624B">
        <w:rPr>
          <w:rFonts w:asciiTheme="minorHAnsi" w:hAnsiTheme="minorHAnsi" w:cstheme="minorBidi"/>
        </w:rPr>
        <w:t>present a detailed picture of a regional system that is highly valued, trusted, and operationally vital.</w:t>
      </w:r>
      <w:r w:rsidR="00D40D2E" w:rsidRPr="0009624B">
        <w:rPr>
          <w:rFonts w:asciiTheme="minorHAnsi" w:eastAsia="Batang" w:hAnsiTheme="minorHAnsi" w:cstheme="minorBidi"/>
        </w:rPr>
        <w:t xml:space="preserve"> The report includes the background and context of the Review, the methodology as specified by Council as well as the detailed findings </w:t>
      </w:r>
      <w:r w:rsidR="007D6D18" w:rsidRPr="0009624B">
        <w:rPr>
          <w:rFonts w:asciiTheme="minorHAnsi" w:eastAsia="Batang" w:hAnsiTheme="minorHAnsi" w:cstheme="minorBidi"/>
        </w:rPr>
        <w:t xml:space="preserve">patterns </w:t>
      </w:r>
      <w:r w:rsidR="001059DA" w:rsidRPr="0009624B">
        <w:rPr>
          <w:rFonts w:asciiTheme="minorHAnsi" w:eastAsia="Batang" w:hAnsiTheme="minorHAnsi" w:cstheme="minorBidi"/>
        </w:rPr>
        <w:t xml:space="preserve">in the findings </w:t>
      </w:r>
      <w:r w:rsidR="00D40D2E" w:rsidRPr="0009624B">
        <w:rPr>
          <w:rFonts w:asciiTheme="minorHAnsi" w:eastAsia="Batang" w:hAnsiTheme="minorHAnsi" w:cstheme="minorBidi"/>
        </w:rPr>
        <w:t>emanating from the Review</w:t>
      </w:r>
      <w:r w:rsidR="00392A72" w:rsidRPr="0009624B">
        <w:rPr>
          <w:rFonts w:asciiTheme="minorHAnsi" w:eastAsia="Batang" w:hAnsiTheme="minorHAnsi" w:cstheme="minorBidi"/>
        </w:rPr>
        <w:t>.</w:t>
      </w:r>
    </w:p>
    <w:p w14:paraId="26BBFD3C" w14:textId="77777777" w:rsidR="008D2B6E" w:rsidRDefault="008D2B6E" w:rsidP="000E12EC">
      <w:pPr>
        <w:pStyle w:val="Heading1"/>
      </w:pPr>
      <w:bookmarkStart w:id="9" w:name="_Toc225163548"/>
      <w:bookmarkStart w:id="10" w:name="_Toc225261075"/>
      <w:r>
        <w:t xml:space="preserve">Key </w:t>
      </w:r>
      <w:r w:rsidRPr="000E12EC">
        <w:t>findings</w:t>
      </w:r>
      <w:bookmarkEnd w:id="9"/>
      <w:bookmarkEnd w:id="10"/>
    </w:p>
    <w:p w14:paraId="4159F749" w14:textId="77777777" w:rsidR="00250529" w:rsidRPr="00986D12" w:rsidRDefault="00250529" w:rsidP="00507BF5">
      <w:pPr>
        <w:rPr>
          <w:rFonts w:asciiTheme="minorHAnsi" w:hAnsiTheme="minorHAnsi" w:cstheme="minorHAnsi"/>
        </w:rPr>
      </w:pPr>
      <w:r w:rsidRPr="00986D12">
        <w:rPr>
          <w:rFonts w:asciiTheme="minorHAnsi" w:hAnsiTheme="minorHAnsi" w:cstheme="minorHAnsi"/>
          <w:noProof/>
        </w:rPr>
        <w:drawing>
          <wp:inline distT="0" distB="0" distL="0" distR="0" wp14:anchorId="16D718C0" wp14:editId="54DD496D">
            <wp:extent cx="5731510" cy="3122930"/>
            <wp:effectExtent l="0" t="0" r="2540" b="1270"/>
            <wp:docPr id="1556820166" name="Picture 1" descr="The image depicts a comprehensive strategic review of ITU's regional presence, highlighting its high value, trust, satisfaction, geographic effectiveness, and diverse capacity-building initiati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0166" name="Picture 1" descr="The image depicts a comprehensive strategic review of ITU's regional presence, highlighting its high value, trust, satisfaction, geographic effectiveness, and diverse capacity-building initiativ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22930"/>
                    </a:xfrm>
                    <a:prstGeom prst="rect">
                      <a:avLst/>
                    </a:prstGeom>
                    <a:noFill/>
                    <a:ln>
                      <a:noFill/>
                    </a:ln>
                  </pic:spPr>
                </pic:pic>
              </a:graphicData>
            </a:graphic>
          </wp:inline>
        </w:drawing>
      </w:r>
    </w:p>
    <w:p w14:paraId="337080B7" w14:textId="74E0D429" w:rsidR="00250529" w:rsidRPr="00986D12" w:rsidRDefault="00473E75" w:rsidP="000E12EC">
      <w:pPr>
        <w:pStyle w:val="Heading2"/>
      </w:pPr>
      <w:bookmarkStart w:id="11" w:name="_Toc225163549"/>
      <w:bookmarkStart w:id="12" w:name="_Toc225261076"/>
      <w:r>
        <w:t xml:space="preserve">Areas of </w:t>
      </w:r>
      <w:r w:rsidRPr="000E12EC">
        <w:t>strengths</w:t>
      </w:r>
      <w:bookmarkEnd w:id="11"/>
      <w:bookmarkEnd w:id="12"/>
    </w:p>
    <w:p w14:paraId="7E06B41C"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13" w:name="_Toc225163550"/>
      <w:bookmarkStart w:id="14" w:name="_Toc225261077"/>
      <w:r w:rsidRPr="00986D12">
        <w:rPr>
          <w:rFonts w:asciiTheme="minorHAnsi" w:hAnsiTheme="minorHAnsi" w:cstheme="minorHAnsi"/>
        </w:rPr>
        <w:t>Strong overall satisfaction with regional activities</w:t>
      </w:r>
      <w:bookmarkEnd w:id="13"/>
      <w:bookmarkEnd w:id="14"/>
    </w:p>
    <w:p w14:paraId="623888E3" w14:textId="3D90E2F7" w:rsidR="00250529" w:rsidRPr="00986D12" w:rsidRDefault="00250529" w:rsidP="00986D12">
      <w:pPr>
        <w:jc w:val="both"/>
        <w:rPr>
          <w:rFonts w:asciiTheme="minorHAnsi" w:hAnsiTheme="minorHAnsi" w:cstheme="minorHAnsi"/>
        </w:rPr>
      </w:pPr>
      <w:r w:rsidRPr="00986D12">
        <w:rPr>
          <w:rFonts w:asciiTheme="minorHAnsi" w:hAnsiTheme="minorHAnsi" w:cstheme="minorHAnsi"/>
        </w:rPr>
        <w:t>Membership feedback indicates strong overall satisfaction with the activities carried out by ITU Regional and Area Offices. A clear majority of survey respondents agree that regional presence contributes to the delivery of ITU’s mandate and its impact on the ground, reflecting confidence in the role played by regional offices in translating global initiatives into regional and national contexts. Agreement with this statement reaches 71%, indicating that regional presence is widely perceived as an effective operational extension of ITU’s work.</w:t>
      </w:r>
      <w:r w:rsidR="009B6AEA">
        <w:rPr>
          <w:rStyle w:val="FootnoteReference"/>
          <w:rFonts w:cstheme="minorHAnsi"/>
        </w:rPr>
        <w:footnoteReference w:id="1"/>
      </w:r>
      <w:r w:rsidRPr="00986D12">
        <w:rPr>
          <w:rFonts w:asciiTheme="minorHAnsi" w:hAnsiTheme="minorHAnsi" w:cstheme="minorHAnsi"/>
        </w:rPr>
        <w:t xml:space="preserve"> Satisfaction with the current level of activities is also positive, with 60% expressing agreement that the </w:t>
      </w:r>
      <w:r w:rsidRPr="00986D12">
        <w:rPr>
          <w:rFonts w:asciiTheme="minorHAnsi" w:hAnsiTheme="minorHAnsi" w:cstheme="minorHAnsi"/>
        </w:rPr>
        <w:lastRenderedPageBreak/>
        <w:t xml:space="preserve">scale of regional activities meets expectations, while also suggesting that some members anticipate continued expansion or deepening of engagement. </w:t>
      </w:r>
    </w:p>
    <w:p w14:paraId="2DE849E7"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overall positive perception emerging from the Membership Survey is reinforced by stakeholder interviews. Discussions with Regional Telecommunication Organizations (RTOs) highlight satisfaction with the role of regional offices in facilitating dialogue, supporting regional initiatives and participating in regional coordination mechanisms. Interviewees describe cooperation with regional offices as constructive and responsive, confirming the positive perceptions reflected in the survey evidence. </w:t>
      </w:r>
    </w:p>
    <w:p w14:paraId="4367E9C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Together, these findings indicate that regional presence is widely perceived as a valuable component of ITU’s operational structure, contributing to the visibility and accessibility of the organization at regional level. </w:t>
      </w:r>
    </w:p>
    <w:p w14:paraId="048130DF"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15" w:name="_Toc225163551"/>
      <w:bookmarkStart w:id="16" w:name="_Toc225261078"/>
      <w:r w:rsidRPr="00986D12">
        <w:rPr>
          <w:rFonts w:asciiTheme="minorHAnsi" w:hAnsiTheme="minorHAnsi" w:cstheme="minorHAnsi"/>
        </w:rPr>
        <w:t>Strong engagement with Member States and stakeholders</w:t>
      </w:r>
      <w:bookmarkEnd w:id="15"/>
      <w:bookmarkEnd w:id="16"/>
    </w:p>
    <w:p w14:paraId="6B3C94DB"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evidence points to sustained engagement between regional offices and ITU membership. Consultation levels are high, with 74% of survey respondents reporting interaction with Regional or Area Offices during the reference period. These interactions demonstrate that regional offices function as active points of contact between the organization and its membership, supporting continuous dialogue and enabling Member States to engage with ITU activities and initiatives. </w:t>
      </w:r>
    </w:p>
    <w:p w14:paraId="0E277818"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Regional offices also play a central role in facilitating engagement with regional organizations and other institutional partners. Evidence from stakeholder interviews highlights regular operational interaction between regional offices and regional telecommunication organizations, including participation in regional meetings and technical discussions. These interactions contribute to aligning ITU activities with regional policy processes and institutional frameworks. </w:t>
      </w:r>
    </w:p>
    <w:p w14:paraId="1B36DEC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Participation data further illustrate the breadth of this engagement. Between 2022 and 2025, ITU organized more than 1,000 events and over 1,500 meetings across more than 100 host countries. Participation included Member States, sector members, academic institutions and international organizations, reflecting a broad and geographically diverse engagement landscape supported by regional presence. </w:t>
      </w:r>
    </w:p>
    <w:p w14:paraId="230E2D2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Participation in ITU events and activities is geographically broad and institutionally diverse, with 173 Member States and 124,120 unique participants engaged between 2022 and 2025. </w:t>
      </w:r>
    </w:p>
    <w:p w14:paraId="71E6DA00" w14:textId="77777777" w:rsidR="00250529" w:rsidRPr="00986D12" w:rsidRDefault="00250529" w:rsidP="00507BF5">
      <w:pPr>
        <w:rPr>
          <w:rFonts w:asciiTheme="minorHAnsi" w:hAnsiTheme="minorHAnsi" w:cstheme="minorHAnsi"/>
        </w:rPr>
      </w:pPr>
      <w:r w:rsidRPr="00986D12">
        <w:rPr>
          <w:rFonts w:asciiTheme="minorHAnsi" w:hAnsiTheme="minorHAnsi" w:cstheme="minorHAnsi"/>
        </w:rPr>
        <w:t xml:space="preserve">Fellowships demonstrate transparent, equitable, and gender-balanced allocation, further enabling inclusive participation. </w:t>
      </w:r>
    </w:p>
    <w:p w14:paraId="404631FA"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17" w:name="_Toc225163552"/>
      <w:bookmarkStart w:id="18" w:name="_Toc225261079"/>
      <w:r w:rsidRPr="00986D12">
        <w:rPr>
          <w:rFonts w:asciiTheme="minorHAnsi" w:hAnsiTheme="minorHAnsi" w:cstheme="minorHAnsi"/>
        </w:rPr>
        <w:t>Effective dissemination of information and knowledge</w:t>
      </w:r>
      <w:bookmarkEnd w:id="17"/>
      <w:bookmarkEnd w:id="18"/>
    </w:p>
    <w:p w14:paraId="5FF826F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One of the strongest areas of performance concerns the dissemination of information and knowledge. Survey responses show that 73% of respondents agree that regional offices effectively disseminate information and data, while 70% consider that technological platforms are effectively used to share relevant information with stakeholders. </w:t>
      </w:r>
    </w:p>
    <w:p w14:paraId="4DFB1E08"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These findings indicate that regional offices play an important role in ensuring that information produced by the organization reaches national stakeholders and regional </w:t>
      </w:r>
      <w:r w:rsidRPr="00986D12">
        <w:rPr>
          <w:rFonts w:asciiTheme="minorHAnsi" w:hAnsiTheme="minorHAnsi" w:cstheme="minorHAnsi"/>
        </w:rPr>
        <w:lastRenderedPageBreak/>
        <w:t xml:space="preserve">partners. The use of digital platforms and hybrid engagement formats has further expanded the ability of regional offices to maintain regular interaction with members and stakeholders across diverse geographic contexts. </w:t>
      </w:r>
    </w:p>
    <w:p w14:paraId="35BBE602"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dissemination function also contributes to policy dialogue and knowledge exchange. Regional offices facilitate discussions on regulatory and policy issues, support the exchange of experiences among countries and help communicate global ITU initiatives within regional contexts. </w:t>
      </w:r>
    </w:p>
    <w:p w14:paraId="0473B10C"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19" w:name="_Toc225163553"/>
      <w:bookmarkStart w:id="20" w:name="_Toc225261080"/>
      <w:r w:rsidRPr="00986D12">
        <w:rPr>
          <w:rFonts w:asciiTheme="minorHAnsi" w:hAnsiTheme="minorHAnsi" w:cstheme="minorHAnsi"/>
        </w:rPr>
        <w:t>Strong contribution to awareness-raising and capacity development</w:t>
      </w:r>
      <w:bookmarkEnd w:id="19"/>
      <w:bookmarkEnd w:id="20"/>
    </w:p>
    <w:p w14:paraId="655BD66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Regional presence also supports awareness-raising, skills development and capacity building among Member States. Survey results show that 67% of respondents agree that regional offices effectively contribute to building awareness, skills and capacity in relevant areas. </w:t>
      </w:r>
    </w:p>
    <w:p w14:paraId="0F3DEED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These activities take place through workshops, training events and policy dialogues organized across regions. Capacity-building initiatives help strengthen national expertise, support the implementation of ICT policies and enable stakeholders to participate more effectively in ITU processes. </w:t>
      </w:r>
    </w:p>
    <w:p w14:paraId="560150E7"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role of regional offices in facilitating knowledge exchange and training is complemented by the work of other ITU platforms, including digital training programmes and collaborative initiatives with partners. </w:t>
      </w:r>
    </w:p>
    <w:p w14:paraId="0B8985B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Regional Offices facilitate access to ITU Academy training:</w:t>
      </w:r>
    </w:p>
    <w:p w14:paraId="35DC52A4" w14:textId="106805BB" w:rsidR="00250529" w:rsidRPr="00461501" w:rsidRDefault="008C431B" w:rsidP="008C431B">
      <w:pPr>
        <w:pStyle w:val="Bulletlist"/>
        <w:numPr>
          <w:ilvl w:val="0"/>
          <w:numId w:val="0"/>
        </w:numPr>
        <w:ind w:left="720" w:hanging="360"/>
        <w:jc w:val="both"/>
        <w:rPr>
          <w:rFonts w:asciiTheme="minorHAnsi" w:hAnsiTheme="minorHAnsi" w:cstheme="minorBidi"/>
          <w:sz w:val="24"/>
          <w:szCs w:val="24"/>
        </w:rPr>
      </w:pPr>
      <w:r w:rsidRPr="00461501">
        <w:rPr>
          <w:rFonts w:ascii="Symbol" w:hAnsi="Symbol" w:cstheme="minorBidi"/>
          <w:sz w:val="24"/>
          <w:szCs w:val="24"/>
        </w:rPr>
        <w:t></w:t>
      </w:r>
      <w:r w:rsidRPr="00461501">
        <w:rPr>
          <w:rFonts w:ascii="Symbol" w:hAnsi="Symbol" w:cstheme="minorBidi"/>
          <w:sz w:val="24"/>
          <w:szCs w:val="24"/>
        </w:rPr>
        <w:tab/>
      </w:r>
      <w:r w:rsidR="00250529" w:rsidRPr="192E875C">
        <w:rPr>
          <w:rFonts w:asciiTheme="minorHAnsi" w:hAnsiTheme="minorHAnsi" w:cstheme="minorBidi"/>
          <w:sz w:val="24"/>
          <w:szCs w:val="24"/>
        </w:rPr>
        <w:t>12,333 participants attended instructor</w:t>
      </w:r>
      <w:r w:rsidR="1D375987" w:rsidRPr="192E875C">
        <w:rPr>
          <w:rFonts w:asciiTheme="minorHAnsi" w:hAnsiTheme="minorHAnsi" w:cstheme="minorBidi"/>
          <w:sz w:val="24"/>
          <w:szCs w:val="24"/>
        </w:rPr>
        <w:t>-</w:t>
      </w:r>
      <w:r w:rsidR="00250529" w:rsidRPr="192E875C">
        <w:rPr>
          <w:rFonts w:asciiTheme="minorHAnsi" w:hAnsiTheme="minorHAnsi" w:cstheme="minorBidi"/>
          <w:sz w:val="24"/>
          <w:szCs w:val="24"/>
        </w:rPr>
        <w:t>led training between 2023 and 2025.</w:t>
      </w:r>
    </w:p>
    <w:p w14:paraId="605B3325" w14:textId="1FBF7E96" w:rsidR="00250529" w:rsidRPr="00461501" w:rsidRDefault="008C431B" w:rsidP="008C431B">
      <w:pPr>
        <w:pStyle w:val="Bulletlist"/>
        <w:numPr>
          <w:ilvl w:val="0"/>
          <w:numId w:val="0"/>
        </w:numPr>
        <w:ind w:left="720" w:hanging="360"/>
        <w:jc w:val="both"/>
        <w:rPr>
          <w:rFonts w:asciiTheme="minorHAnsi" w:hAnsiTheme="minorHAnsi" w:cstheme="minorHAnsi"/>
          <w:sz w:val="24"/>
          <w:szCs w:val="24"/>
        </w:rPr>
      </w:pPr>
      <w:r w:rsidRPr="00461501">
        <w:rPr>
          <w:rFonts w:ascii="Symbol" w:hAnsi="Symbol" w:cstheme="minorHAnsi"/>
          <w:sz w:val="24"/>
          <w:szCs w:val="24"/>
        </w:rPr>
        <w:t></w:t>
      </w:r>
      <w:r w:rsidRPr="00461501">
        <w:rPr>
          <w:rFonts w:ascii="Symbol" w:hAnsi="Symbol" w:cstheme="minorHAnsi"/>
          <w:sz w:val="24"/>
          <w:szCs w:val="24"/>
        </w:rPr>
        <w:tab/>
      </w:r>
      <w:r w:rsidR="00250529" w:rsidRPr="00461501">
        <w:rPr>
          <w:rFonts w:asciiTheme="minorHAnsi" w:hAnsiTheme="minorHAnsi" w:cstheme="minorHAnsi"/>
          <w:sz w:val="24"/>
          <w:szCs w:val="24"/>
        </w:rPr>
        <w:t xml:space="preserve">79 region-specific courses ensured responsiveness to regional needs and contexts. </w:t>
      </w:r>
    </w:p>
    <w:p w14:paraId="25C5FCEB"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21" w:name="_Toc225163554"/>
      <w:bookmarkStart w:id="22" w:name="_Toc225261081"/>
      <w:r w:rsidRPr="00986D12">
        <w:rPr>
          <w:rFonts w:asciiTheme="minorHAnsi" w:hAnsiTheme="minorHAnsi" w:cstheme="minorHAnsi"/>
        </w:rPr>
        <w:t>Credible convening platform for regional dialogue</w:t>
      </w:r>
      <w:bookmarkEnd w:id="21"/>
      <w:bookmarkEnd w:id="22"/>
    </w:p>
    <w:p w14:paraId="37847B1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Regional offices also serve as credible convening platforms that connect national authorities, regional organizations and international partners. Evidence from stakeholder interviews highlights the importance of regional offices in facilitating dialogue among stakeholders and supporting coordination between regional initiatives and global ITU processes. </w:t>
      </w:r>
    </w:p>
    <w:p w14:paraId="70740D21"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Through participation in regional meetings and technical discussions, regional offices help maintain continuous dialogue with Member States and regional organizations. This convening role supports the alignment of regional priorities with global ICT policy developments and contributes to the visibility of ITU within regional institutional frameworks. </w:t>
      </w:r>
    </w:p>
    <w:p w14:paraId="2F28A60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ability of regional offices to bring together stakeholders from different sectors and institutional backgrounds also contributes to building collaborative networks that support regional initiatives and policy dialogue. </w:t>
      </w:r>
    </w:p>
    <w:p w14:paraId="4575F18C"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23" w:name="_Toc225163555"/>
      <w:bookmarkStart w:id="24" w:name="_Toc225261082"/>
      <w:r w:rsidRPr="00986D12">
        <w:rPr>
          <w:rFonts w:asciiTheme="minorHAnsi" w:hAnsiTheme="minorHAnsi" w:cstheme="minorHAnsi"/>
        </w:rPr>
        <w:t>Strong foundation for partnership-based delivery</w:t>
      </w:r>
      <w:bookmarkEnd w:id="23"/>
      <w:bookmarkEnd w:id="24"/>
    </w:p>
    <w:p w14:paraId="58C058A2" w14:textId="521423A4" w:rsidR="00250529" w:rsidRPr="00986D12" w:rsidRDefault="00250529" w:rsidP="192E875C">
      <w:pPr>
        <w:jc w:val="both"/>
        <w:rPr>
          <w:rFonts w:asciiTheme="minorHAnsi" w:hAnsiTheme="minorHAnsi" w:cstheme="minorBidi"/>
        </w:rPr>
      </w:pPr>
      <w:r w:rsidRPr="0009624B">
        <w:rPr>
          <w:rFonts w:asciiTheme="minorHAnsi" w:hAnsiTheme="minorHAnsi" w:cstheme="minorBidi"/>
        </w:rPr>
        <w:t xml:space="preserve">The evidence also highlights a strong basis for collaboration and partnership-based delivery of ITU initiatives. Survey responses indicate high levels of willingness </w:t>
      </w:r>
      <w:r w:rsidR="003B6F3A" w:rsidRPr="0009624B">
        <w:rPr>
          <w:rFonts w:asciiTheme="minorHAnsi" w:hAnsiTheme="minorHAnsi" w:cstheme="minorBidi"/>
        </w:rPr>
        <w:t>of</w:t>
      </w:r>
      <w:r w:rsidR="00EB5808" w:rsidRPr="0009624B">
        <w:rPr>
          <w:rFonts w:asciiTheme="minorHAnsi" w:hAnsiTheme="minorHAnsi" w:cstheme="minorBidi"/>
        </w:rPr>
        <w:t xml:space="preserve"> </w:t>
      </w:r>
      <w:r w:rsidRPr="0009624B">
        <w:rPr>
          <w:rFonts w:asciiTheme="minorHAnsi" w:hAnsiTheme="minorHAnsi" w:cstheme="minorBidi"/>
        </w:rPr>
        <w:t xml:space="preserve">membership to collaborate with </w:t>
      </w:r>
      <w:r w:rsidR="00EB5808" w:rsidRPr="0009624B">
        <w:rPr>
          <w:rFonts w:asciiTheme="minorHAnsi" w:hAnsiTheme="minorHAnsi" w:cstheme="minorBidi"/>
        </w:rPr>
        <w:t>the Regional and Area Offices</w:t>
      </w:r>
      <w:r w:rsidRPr="0009624B">
        <w:rPr>
          <w:rFonts w:asciiTheme="minorHAnsi" w:hAnsiTheme="minorHAnsi" w:cstheme="minorBidi"/>
        </w:rPr>
        <w:t>, reaching 82%</w:t>
      </w:r>
      <w:r w:rsidR="00247D7D" w:rsidRPr="0009624B">
        <w:rPr>
          <w:rFonts w:asciiTheme="minorHAnsi" w:hAnsiTheme="minorHAnsi" w:cstheme="minorBidi"/>
        </w:rPr>
        <w:t xml:space="preserve"> </w:t>
      </w:r>
      <w:r w:rsidR="00745EFD" w:rsidRPr="0009624B">
        <w:rPr>
          <w:rFonts w:asciiTheme="minorHAnsi" w:hAnsiTheme="minorHAnsi" w:cstheme="minorBidi"/>
        </w:rPr>
        <w:t>while 60</w:t>
      </w:r>
      <w:r w:rsidR="008477D7" w:rsidRPr="0009624B">
        <w:rPr>
          <w:rFonts w:asciiTheme="minorHAnsi" w:hAnsiTheme="minorHAnsi" w:cstheme="minorBidi"/>
        </w:rPr>
        <w:t>%</w:t>
      </w:r>
      <w:r w:rsidR="00745EFD" w:rsidRPr="0009624B">
        <w:rPr>
          <w:rFonts w:asciiTheme="minorHAnsi" w:hAnsiTheme="minorHAnsi" w:cstheme="minorBidi"/>
        </w:rPr>
        <w:t xml:space="preserve"> of respondents agree that key development partners are willing to collaborate with Regional and Area Offices.</w:t>
      </w:r>
    </w:p>
    <w:p w14:paraId="66151158"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lastRenderedPageBreak/>
        <w:t xml:space="preserve">These findings suggest that regional presence operates within a collaborative environment that supports joint initiatives and coordinated activities. Engagement with regional organizations, development partners and other stakeholders provides opportunities to implement projects and programmes that contribute to regional ICT development objectives. </w:t>
      </w:r>
    </w:p>
    <w:p w14:paraId="51475CA5" w14:textId="77777777" w:rsidR="00250529" w:rsidRPr="00986D12" w:rsidRDefault="00250529" w:rsidP="192E875C">
      <w:pPr>
        <w:jc w:val="both"/>
        <w:rPr>
          <w:rFonts w:asciiTheme="minorHAnsi" w:hAnsiTheme="minorHAnsi" w:cstheme="minorBidi"/>
        </w:rPr>
      </w:pPr>
      <w:r w:rsidRPr="192E875C">
        <w:rPr>
          <w:rFonts w:asciiTheme="minorHAnsi" w:hAnsiTheme="minorHAnsi" w:cstheme="minorBidi"/>
        </w:rPr>
        <w:t xml:space="preserve">Partnerships are closely linked to project implementation and resource mobilization. Evidence from SoW and </w:t>
      </w:r>
      <w:proofErr w:type="spellStart"/>
      <w:r w:rsidRPr="192E875C">
        <w:rPr>
          <w:rFonts w:asciiTheme="minorHAnsi" w:hAnsiTheme="minorHAnsi" w:cstheme="minorBidi"/>
        </w:rPr>
        <w:t>KPI</w:t>
      </w:r>
      <w:proofErr w:type="spellEnd"/>
      <w:r w:rsidRPr="192E875C">
        <w:rPr>
          <w:rFonts w:asciiTheme="minorHAnsi" w:hAnsiTheme="minorHAnsi" w:cstheme="minorBidi"/>
        </w:rPr>
        <w:t xml:space="preserve"> analyses indicates that regional offices play an active role in implementing regional initiatives and development projects supported by different funding mechanisms. </w:t>
      </w:r>
    </w:p>
    <w:p w14:paraId="39BA1390"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Overall, the combination of strong membership engagement, effective dissemination of knowledge and active collaboration with regional stakeholders indicates that regional presence provides a solid operational platform for the implementation of ITU activities at regional level. </w:t>
      </w:r>
    </w:p>
    <w:p w14:paraId="328D4B30"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25" w:name="_Toc225163556"/>
      <w:bookmarkStart w:id="26" w:name="_Toc225261083"/>
      <w:r w:rsidRPr="00986D12">
        <w:rPr>
          <w:rFonts w:asciiTheme="minorHAnsi" w:hAnsiTheme="minorHAnsi" w:cstheme="minorHAnsi"/>
        </w:rPr>
        <w:t>Regional presence and implementation of ITU plans (Strategic and Kigali Action Plans)</w:t>
      </w:r>
      <w:bookmarkEnd w:id="25"/>
      <w:bookmarkEnd w:id="26"/>
    </w:p>
    <w:p w14:paraId="718A3C0A" w14:textId="645A83D3" w:rsidR="00250529" w:rsidRPr="00986D12" w:rsidRDefault="00250529" w:rsidP="192E875C">
      <w:pPr>
        <w:jc w:val="both"/>
        <w:rPr>
          <w:rFonts w:asciiTheme="minorHAnsi" w:hAnsiTheme="minorHAnsi" w:cstheme="minorBidi"/>
        </w:rPr>
      </w:pPr>
      <w:r w:rsidRPr="192E875C">
        <w:rPr>
          <w:rFonts w:asciiTheme="minorHAnsi" w:hAnsiTheme="minorHAnsi" w:cstheme="minorBidi"/>
        </w:rPr>
        <w:t xml:space="preserve">Regional and Area Offices provide the operational backbone for delivering ITU’s programmes, regional initiatives, and capacity-building. </w:t>
      </w:r>
    </w:p>
    <w:p w14:paraId="5F2E3009"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Their support spans projects, technical assistance, policy dialogue, and regional events, all aligned with ITU’s strategic and financial frameworks. </w:t>
      </w:r>
    </w:p>
    <w:p w14:paraId="09F5B26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Regional events represent 36% of all global ITU events (2022–2025), demonstrating their substantial contribution to global implementation. </w:t>
      </w:r>
    </w:p>
    <w:p w14:paraId="31C9A076"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27" w:name="_Toc225163557"/>
      <w:bookmarkStart w:id="28" w:name="_Toc225261084"/>
      <w:r w:rsidRPr="00986D12">
        <w:rPr>
          <w:rFonts w:asciiTheme="minorHAnsi" w:hAnsiTheme="minorHAnsi" w:cstheme="minorHAnsi"/>
        </w:rPr>
        <w:t>Positive internal recognition of regional value</w:t>
      </w:r>
      <w:bookmarkEnd w:id="27"/>
      <w:bookmarkEnd w:id="28"/>
    </w:p>
    <w:p w14:paraId="1F1DAB8E" w14:textId="3499571B" w:rsidR="00250529" w:rsidRPr="00986D12" w:rsidRDefault="00250529" w:rsidP="192E875C">
      <w:pPr>
        <w:jc w:val="both"/>
        <w:rPr>
          <w:rFonts w:asciiTheme="minorHAnsi" w:hAnsiTheme="minorHAnsi" w:cstheme="minorBidi"/>
        </w:rPr>
      </w:pPr>
      <w:r w:rsidRPr="192E875C">
        <w:rPr>
          <w:rFonts w:asciiTheme="minorHAnsi" w:hAnsiTheme="minorHAnsi" w:cstheme="minorBidi"/>
        </w:rPr>
        <w:t>Staff recognize the contribution of the regional presence:</w:t>
      </w:r>
    </w:p>
    <w:p w14:paraId="504B3483" w14:textId="22DD52D5" w:rsidR="00250529" w:rsidRPr="0091095C" w:rsidRDefault="008C431B" w:rsidP="008C431B">
      <w:pPr>
        <w:pStyle w:val="Bulletlist"/>
        <w:numPr>
          <w:ilvl w:val="0"/>
          <w:numId w:val="0"/>
        </w:numPr>
        <w:ind w:left="720" w:hanging="360"/>
        <w:jc w:val="both"/>
        <w:rPr>
          <w:rFonts w:asciiTheme="minorHAnsi" w:eastAsia="Times New Roman" w:hAnsiTheme="minorHAnsi" w:cstheme="minorHAnsi"/>
          <w:sz w:val="24"/>
          <w:szCs w:val="20"/>
          <w:lang w:eastAsia="en-US"/>
        </w:rPr>
      </w:pPr>
      <w:r w:rsidRPr="0091095C">
        <w:rPr>
          <w:rFonts w:ascii="Symbol" w:eastAsia="Times New Roman" w:hAnsi="Symbol" w:cstheme="minorHAnsi"/>
          <w:sz w:val="24"/>
          <w:szCs w:val="20"/>
          <w:lang w:eastAsia="en-US"/>
        </w:rPr>
        <w:t></w:t>
      </w:r>
      <w:r w:rsidRPr="0091095C">
        <w:rPr>
          <w:rFonts w:ascii="Symbol" w:eastAsia="Times New Roman" w:hAnsi="Symbol" w:cstheme="minorHAnsi"/>
          <w:sz w:val="24"/>
          <w:szCs w:val="20"/>
          <w:lang w:eastAsia="en-US"/>
        </w:rPr>
        <w:tab/>
      </w:r>
      <w:r w:rsidR="00250529" w:rsidRPr="0091095C">
        <w:rPr>
          <w:rFonts w:asciiTheme="minorHAnsi" w:eastAsia="Times New Roman" w:hAnsiTheme="minorHAnsi" w:cstheme="minorHAnsi"/>
          <w:sz w:val="24"/>
          <w:szCs w:val="20"/>
          <w:lang w:eastAsia="en-US"/>
        </w:rPr>
        <w:t xml:space="preserve">82% believe that engagement of regional staff </w:t>
      </w:r>
      <w:r w:rsidR="0028088D">
        <w:rPr>
          <w:rFonts w:asciiTheme="minorHAnsi" w:eastAsia="Times New Roman" w:hAnsiTheme="minorHAnsi" w:cstheme="minorHAnsi"/>
          <w:sz w:val="24"/>
          <w:szCs w:val="20"/>
          <w:lang w:eastAsia="en-US"/>
        </w:rPr>
        <w:t xml:space="preserve">with regional stakeholders during </w:t>
      </w:r>
      <w:r w:rsidR="00250529" w:rsidRPr="0091095C">
        <w:rPr>
          <w:rFonts w:asciiTheme="minorHAnsi" w:eastAsia="Times New Roman" w:hAnsiTheme="minorHAnsi" w:cstheme="minorHAnsi"/>
          <w:sz w:val="24"/>
          <w:szCs w:val="20"/>
          <w:lang w:eastAsia="en-US"/>
        </w:rPr>
        <w:t>ITU events improves coordination and communication.</w:t>
      </w:r>
      <w:r w:rsidR="004577E1">
        <w:rPr>
          <w:rStyle w:val="FootnoteReference"/>
          <w:rFonts w:eastAsia="Times New Roman" w:cstheme="minorHAnsi"/>
          <w:szCs w:val="20"/>
          <w:lang w:eastAsia="en-US"/>
        </w:rPr>
        <w:footnoteReference w:id="2"/>
      </w:r>
    </w:p>
    <w:p w14:paraId="702A5BD4" w14:textId="1EB1B79A" w:rsidR="00250529" w:rsidRPr="0091095C" w:rsidRDefault="008C431B" w:rsidP="008C431B">
      <w:pPr>
        <w:pStyle w:val="Bulletlist"/>
        <w:numPr>
          <w:ilvl w:val="0"/>
          <w:numId w:val="0"/>
        </w:numPr>
        <w:ind w:left="720" w:hanging="360"/>
        <w:jc w:val="both"/>
        <w:rPr>
          <w:rFonts w:asciiTheme="minorHAnsi" w:eastAsia="Times New Roman" w:hAnsiTheme="minorHAnsi" w:cstheme="minorHAnsi"/>
          <w:sz w:val="24"/>
          <w:szCs w:val="20"/>
          <w:lang w:eastAsia="en-US"/>
        </w:rPr>
      </w:pPr>
      <w:r w:rsidRPr="0091095C">
        <w:rPr>
          <w:rFonts w:ascii="Symbol" w:eastAsia="Times New Roman" w:hAnsi="Symbol" w:cstheme="minorHAnsi"/>
          <w:sz w:val="24"/>
          <w:szCs w:val="20"/>
          <w:lang w:eastAsia="en-US"/>
        </w:rPr>
        <w:t></w:t>
      </w:r>
      <w:r w:rsidRPr="0091095C">
        <w:rPr>
          <w:rFonts w:ascii="Symbol" w:eastAsia="Times New Roman" w:hAnsi="Symbol" w:cstheme="minorHAnsi"/>
          <w:sz w:val="24"/>
          <w:szCs w:val="20"/>
          <w:lang w:eastAsia="en-US"/>
        </w:rPr>
        <w:tab/>
      </w:r>
      <w:r w:rsidR="00250529" w:rsidRPr="0091095C">
        <w:rPr>
          <w:rFonts w:asciiTheme="minorHAnsi" w:eastAsia="Times New Roman" w:hAnsiTheme="minorHAnsi" w:cstheme="minorHAnsi"/>
          <w:sz w:val="24"/>
          <w:szCs w:val="20"/>
          <w:lang w:eastAsia="en-US"/>
        </w:rPr>
        <w:t xml:space="preserve">Staff express strong support for enhanced training, mobility, and capacity to further strengthen regional delivery. </w:t>
      </w:r>
    </w:p>
    <w:p w14:paraId="2411D6D8" w14:textId="6D6F17F9" w:rsidR="00250529" w:rsidRPr="00986D12" w:rsidRDefault="00250529" w:rsidP="000E12EC">
      <w:pPr>
        <w:pStyle w:val="Heading2"/>
      </w:pPr>
      <w:bookmarkStart w:id="29" w:name="_Toc225163558"/>
      <w:bookmarkStart w:id="30" w:name="_Toc225261085"/>
      <w:r w:rsidRPr="00986D12">
        <w:t xml:space="preserve">Areas for </w:t>
      </w:r>
      <w:r w:rsidR="00461AA0" w:rsidRPr="000E12EC">
        <w:t>i</w:t>
      </w:r>
      <w:r w:rsidRPr="000E12EC">
        <w:t>mprovement</w:t>
      </w:r>
      <w:bookmarkEnd w:id="29"/>
      <w:bookmarkEnd w:id="30"/>
      <w:r w:rsidRPr="00986D12">
        <w:t xml:space="preserve"> </w:t>
      </w:r>
    </w:p>
    <w:p w14:paraId="5B6BD5A3"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31" w:name="_Toc225163559"/>
      <w:bookmarkStart w:id="32" w:name="_Toc225261086"/>
      <w:r w:rsidRPr="00986D12">
        <w:rPr>
          <w:rFonts w:asciiTheme="minorHAnsi" w:hAnsiTheme="minorHAnsi" w:cstheme="minorHAnsi"/>
        </w:rPr>
        <w:t>Aligning resources with operational expectations</w:t>
      </w:r>
      <w:bookmarkEnd w:id="31"/>
      <w:bookmarkEnd w:id="32"/>
    </w:p>
    <w:p w14:paraId="52EFBEC2"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While regional presence is widely valued, evidence suggests that the scale of operational expectations placed on regional offices may exceed available resources in some contexts. Survey responses and stakeholder feedback indicate strong support for strengthening regional presence through additional human and financial resources and expanded project activities. </w:t>
      </w:r>
    </w:p>
    <w:p w14:paraId="5275EB92"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Resource availability influences the pace and scale at which regional initiatives and projects can be implemented. Stakeholders note that predictable funding mechanisms and sufficient staffing capacity are important enabling factors for effective delivery of regional activities. </w:t>
      </w:r>
    </w:p>
    <w:p w14:paraId="10DB2ABD"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33" w:name="_Toc225163560"/>
      <w:bookmarkStart w:id="34" w:name="_Toc225261087"/>
      <w:r w:rsidRPr="00986D12">
        <w:rPr>
          <w:rFonts w:asciiTheme="minorHAnsi" w:hAnsiTheme="minorHAnsi" w:cstheme="minorHAnsi"/>
        </w:rPr>
        <w:lastRenderedPageBreak/>
        <w:t>Strengthening recruitment processes and staffing continuity</w:t>
      </w:r>
      <w:bookmarkEnd w:id="33"/>
      <w:bookmarkEnd w:id="34"/>
    </w:p>
    <w:p w14:paraId="43036150"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Recruitment processes for regional positions also emerge as an area where improvements could enhance operational capacity.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analyses identify recurring vacancies and recruitment timelines that may affect the ability of regional offices to deploy expertise in a timely manner. </w:t>
      </w:r>
    </w:p>
    <w:p w14:paraId="73B90CE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Survey responses similarly suggest moderate satisfaction with recruitment processes for project managers and technical experts, indicating scope for strengthening recruitment tools and staffing mobility mechanisms. Improving the efficiency of recruitment processes could help ensure that regional offices maintain adequate expertise to respond to operational demands. </w:t>
      </w:r>
    </w:p>
    <w:p w14:paraId="1D32029F" w14:textId="77777777" w:rsidR="00250529" w:rsidRPr="00986D12" w:rsidRDefault="00250529" w:rsidP="00250529">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35" w:name="_Toc225163561"/>
      <w:bookmarkStart w:id="36" w:name="_Toc225261088"/>
      <w:r w:rsidRPr="00986D12">
        <w:rPr>
          <w:rFonts w:asciiTheme="minorHAnsi" w:hAnsiTheme="minorHAnsi" w:cstheme="minorHAnsi"/>
        </w:rPr>
        <w:t>Enhancing partnership implementation and resource mobilization</w:t>
      </w:r>
      <w:bookmarkEnd w:id="35"/>
      <w:bookmarkEnd w:id="36"/>
    </w:p>
    <w:p w14:paraId="229B407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Although partnerships and collaboration are widely recognized as valuable components of regional presence, survey responses indicate more moderate assessments regarding the effectiveness of partnerships and resource mobilization support. Agreement levels in this area remain positive but lower than in other support functions, suggesting opportunities to further strengthen partnership mechanisms and project development processes. </w:t>
      </w:r>
    </w:p>
    <w:p w14:paraId="3905D420" w14:textId="75D27086"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Stakeholder interviews emphasize the importance of predictable financing arrangements and stronger coordination with regional organizations to translate partnership opportunities into concrete projects and funded initiatives. </w:t>
      </w:r>
      <w:r w:rsidR="00471429">
        <w:rPr>
          <w:rFonts w:asciiTheme="minorHAnsi" w:hAnsiTheme="minorHAnsi" w:cstheme="minorHAnsi"/>
        </w:rPr>
        <w:t>The findings indicate that s</w:t>
      </w:r>
      <w:r w:rsidRPr="00986D12">
        <w:rPr>
          <w:rFonts w:asciiTheme="minorHAnsi" w:hAnsiTheme="minorHAnsi" w:cstheme="minorHAnsi"/>
        </w:rPr>
        <w:t xml:space="preserve">trengthening partnership frameworks and improving coordination mechanisms could therefore support more consistent implementation of regional initiatives. </w:t>
      </w:r>
    </w:p>
    <w:p w14:paraId="2FA7ABDD" w14:textId="77777777" w:rsidR="00250529" w:rsidRPr="00986D12" w:rsidRDefault="00250529" w:rsidP="00986D12">
      <w:pPr>
        <w:pStyle w:val="Heading3"/>
        <w:numPr>
          <w:ilvl w:val="2"/>
          <w:numId w:val="0"/>
        </w:numPr>
        <w:tabs>
          <w:tab w:val="clear" w:pos="567"/>
          <w:tab w:val="clear" w:pos="1134"/>
          <w:tab w:val="clear" w:pos="1701"/>
          <w:tab w:val="clear" w:pos="2268"/>
          <w:tab w:val="clear" w:pos="2835"/>
        </w:tabs>
        <w:overflowPunct/>
        <w:autoSpaceDE/>
        <w:autoSpaceDN/>
        <w:adjustRightInd/>
        <w:spacing w:before="360" w:after="240"/>
        <w:ind w:left="505" w:hanging="505"/>
        <w:jc w:val="both"/>
        <w:textAlignment w:val="auto"/>
        <w:rPr>
          <w:rFonts w:asciiTheme="minorHAnsi" w:hAnsiTheme="minorHAnsi" w:cstheme="minorHAnsi"/>
        </w:rPr>
      </w:pPr>
      <w:bookmarkStart w:id="37" w:name="_Toc225163562"/>
      <w:bookmarkStart w:id="38" w:name="_Toc225261089"/>
      <w:r w:rsidRPr="00986D12">
        <w:rPr>
          <w:rFonts w:asciiTheme="minorHAnsi" w:hAnsiTheme="minorHAnsi" w:cstheme="minorHAnsi"/>
        </w:rPr>
        <w:t>Improving transparency and reporting on regional operations</w:t>
      </w:r>
      <w:bookmarkEnd w:id="37"/>
      <w:bookmarkEnd w:id="38"/>
    </w:p>
    <w:p w14:paraId="4E7907C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Evidence from surveys and stakeholder feedback also highlights the importance of improved data and reporting on staffing levels, financial resources and implementation activities. Respondents emphasize the value of better information on how regional offices deploy resources and implement projects. </w:t>
      </w:r>
    </w:p>
    <w:p w14:paraId="142BB2D0" w14:textId="211FD0E1" w:rsidR="00250529" w:rsidRPr="00986D12" w:rsidRDefault="00471429" w:rsidP="00986D12">
      <w:pPr>
        <w:jc w:val="both"/>
        <w:rPr>
          <w:rFonts w:asciiTheme="minorHAnsi" w:hAnsiTheme="minorHAnsi" w:cstheme="minorHAnsi"/>
        </w:rPr>
      </w:pPr>
      <w:r>
        <w:rPr>
          <w:rFonts w:asciiTheme="minorHAnsi" w:hAnsiTheme="minorHAnsi" w:cstheme="minorHAnsi"/>
        </w:rPr>
        <w:t>The findings indicate that s</w:t>
      </w:r>
      <w:r w:rsidR="00250529" w:rsidRPr="00986D12">
        <w:rPr>
          <w:rFonts w:asciiTheme="minorHAnsi" w:hAnsiTheme="minorHAnsi" w:cstheme="minorHAnsi"/>
        </w:rPr>
        <w:t xml:space="preserve">trengthening reporting and transparency mechanisms could enhance oversight, support strategic planning and deepen understanding of operational needs across regions. </w:t>
      </w:r>
    </w:p>
    <w:p w14:paraId="6B778969" w14:textId="2967B4EE" w:rsidR="00250529" w:rsidRDefault="00250529" w:rsidP="000E12EC">
      <w:pPr>
        <w:pStyle w:val="Heading2"/>
      </w:pPr>
      <w:bookmarkStart w:id="39" w:name="_Toc225163563"/>
      <w:bookmarkStart w:id="40" w:name="_Toc225261090"/>
      <w:r w:rsidRPr="00986D12">
        <w:t xml:space="preserve">SWOT </w:t>
      </w:r>
      <w:r w:rsidRPr="000E12EC">
        <w:t>analysis</w:t>
      </w:r>
      <w:bookmarkEnd w:id="39"/>
      <w:bookmarkEnd w:id="40"/>
    </w:p>
    <w:p w14:paraId="4D780219" w14:textId="76DC4DD6" w:rsidR="00DE14D7" w:rsidRDefault="00344D03" w:rsidP="008D1629">
      <w:r w:rsidRPr="00344D03">
        <w:t xml:space="preserve">A SWOT (Strengths, Weaknesses, Opportunities and Threats) analysis provides a structured synthesis of internal and external factors influencing performance. In this review, the SWOT analysis is derived from the consolidated findings across the 12 Scopes of Work and </w:t>
      </w:r>
      <w:r>
        <w:t xml:space="preserve">27 </w:t>
      </w:r>
      <w:proofErr w:type="spellStart"/>
      <w:r w:rsidRPr="00344D03">
        <w:t>KP</w:t>
      </w:r>
      <w:r>
        <w:t>Is</w:t>
      </w:r>
      <w:proofErr w:type="spellEnd"/>
      <w:r w:rsidRPr="00344D03">
        <w:t xml:space="preserve">, complemented by </w:t>
      </w:r>
      <w:r>
        <w:t xml:space="preserve">additional </w:t>
      </w:r>
      <w:r w:rsidRPr="00344D03">
        <w:t xml:space="preserve">evidence from the Membership Survey, stakeholder consultations </w:t>
      </w:r>
      <w:r w:rsidR="003F7BE7">
        <w:t>including i</w:t>
      </w:r>
      <w:r w:rsidR="003F7BE7" w:rsidRPr="00344D03">
        <w:t xml:space="preserve">nternal </w:t>
      </w:r>
      <w:r w:rsidR="003F7BE7">
        <w:t>a</w:t>
      </w:r>
      <w:r w:rsidR="003F7BE7" w:rsidRPr="00344D03">
        <w:t xml:space="preserve">ssessment, </w:t>
      </w:r>
      <w:r w:rsidRPr="00344D03">
        <w:t>and document analysis. It reflects recurring patterns and converging evidence identified throughout the review rather than standalone assessment.</w:t>
      </w:r>
    </w:p>
    <w:p w14:paraId="321B7F7D" w14:textId="77777777" w:rsidR="008C49B7" w:rsidRDefault="008C49B7" w:rsidP="008D1629"/>
    <w:p w14:paraId="7745D571" w14:textId="77777777" w:rsidR="00793031" w:rsidRDefault="00793031" w:rsidP="008D1629"/>
    <w:p w14:paraId="09A60256" w14:textId="77777777" w:rsidR="00793031" w:rsidRDefault="00793031" w:rsidP="008D1629"/>
    <w:p w14:paraId="34A68DCC" w14:textId="77777777" w:rsidR="008C49B7" w:rsidRDefault="008C49B7" w:rsidP="008D1629"/>
    <w:p w14:paraId="38550836" w14:textId="77777777" w:rsidR="008C49B7" w:rsidRDefault="008C49B7" w:rsidP="008D1629"/>
    <w:p w14:paraId="1A07ABB2" w14:textId="77777777" w:rsidR="008C49B7" w:rsidRDefault="008C49B7" w:rsidP="008D1629"/>
    <w:p w14:paraId="094435D6" w14:textId="77777777" w:rsidR="00793031" w:rsidRDefault="00793031" w:rsidP="008D1629"/>
    <w:p w14:paraId="25AE9D00" w14:textId="0D9425A0" w:rsidR="006B26CE" w:rsidRPr="00C630CC" w:rsidRDefault="002962AC" w:rsidP="001226FF">
      <w:pPr>
        <w:jc w:val="center"/>
        <w:rPr>
          <w:b/>
          <w:bCs/>
        </w:rPr>
      </w:pPr>
      <w:r w:rsidRPr="00C630CC">
        <w:rPr>
          <w:b/>
          <w:bCs/>
        </w:rPr>
        <w:t>SWOT analysis of regional presence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30"/>
        <w:gridCol w:w="4641"/>
      </w:tblGrid>
      <w:tr w:rsidR="002962AC" w:rsidRPr="00A852F0" w14:paraId="075AC62D" w14:textId="77777777" w:rsidTr="192E875C">
        <w:trPr>
          <w:trHeight w:val="454"/>
          <w:tblHeader/>
          <w:tblCellSpacing w:w="15" w:type="dxa"/>
        </w:trPr>
        <w:tc>
          <w:tcPr>
            <w:tcW w:w="0" w:type="auto"/>
            <w:shd w:val="clear" w:color="auto" w:fill="B8CCE4" w:themeFill="accent1" w:themeFillTint="66"/>
            <w:vAlign w:val="center"/>
            <w:hideMark/>
          </w:tcPr>
          <w:p w14:paraId="30D0015C" w14:textId="743278E3" w:rsidR="006B26CE" w:rsidRPr="00A852F0" w:rsidRDefault="004F4F5D" w:rsidP="00A852F0">
            <w:pPr>
              <w:pStyle w:val="ListParagraph"/>
              <w:numPr>
                <w:ilvl w:val="0"/>
                <w:numId w:val="0"/>
              </w:numPr>
              <w:spacing w:before="0" w:after="0"/>
              <w:ind w:left="360"/>
              <w:rPr>
                <w:rFonts w:asciiTheme="minorHAnsi" w:hAnsiTheme="minorHAnsi" w:cstheme="minorHAnsi"/>
                <w:b/>
              </w:rPr>
            </w:pPr>
            <w:r w:rsidRPr="00A852F0">
              <w:rPr>
                <w:rFonts w:asciiTheme="minorHAnsi" w:hAnsiTheme="minorHAnsi" w:cstheme="minorHAnsi"/>
                <w:noProof/>
              </w:rPr>
              <w:lastRenderedPageBreak/>
              <w:drawing>
                <wp:inline distT="0" distB="0" distL="0" distR="0" wp14:anchorId="4F5481D8" wp14:editId="78060C2A">
                  <wp:extent cx="202714" cy="180000"/>
                  <wp:effectExtent l="0" t="0" r="6985" b="0"/>
                  <wp:docPr id="8" name="Picture 7">
                    <a:extLst xmlns:a="http://schemas.openxmlformats.org/drawingml/2006/main">
                      <a:ext uri="{FF2B5EF4-FFF2-40B4-BE49-F238E27FC236}">
                        <a16:creationId xmlns:a16="http://schemas.microsoft.com/office/drawing/2014/main" id="{B1F76665-B6F6-AE69-4735-470CAEC14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1F76665-B6F6-AE69-4735-470CAEC1494C}"/>
                              </a:ext>
                            </a:extLst>
                          </pic:cNvPr>
                          <pic:cNvPicPr>
                            <a:picLocks noChangeAspect="1"/>
                          </pic:cNvPicPr>
                        </pic:nvPicPr>
                        <pic:blipFill>
                          <a:blip r:embed="rId14"/>
                          <a:srcRect l="17999" t="9028" r="58859" b="60149"/>
                          <a:stretch>
                            <a:fillRect/>
                          </a:stretch>
                        </pic:blipFill>
                        <pic:spPr>
                          <a:xfrm>
                            <a:off x="0" y="0"/>
                            <a:ext cx="202714" cy="180000"/>
                          </a:xfrm>
                          <a:prstGeom prst="rect">
                            <a:avLst/>
                          </a:prstGeom>
                        </pic:spPr>
                      </pic:pic>
                    </a:graphicData>
                  </a:graphic>
                </wp:inline>
              </w:drawing>
            </w:r>
            <w:r w:rsidRPr="00A852F0">
              <w:rPr>
                <w:rFonts w:asciiTheme="minorHAnsi" w:hAnsiTheme="minorHAnsi" w:cstheme="minorHAnsi"/>
                <w:b/>
                <w:sz w:val="20"/>
              </w:rPr>
              <w:t xml:space="preserve"> </w:t>
            </w:r>
            <w:r w:rsidR="006B26CE" w:rsidRPr="00A852F0">
              <w:rPr>
                <w:rFonts w:asciiTheme="minorHAnsi" w:hAnsiTheme="minorHAnsi" w:cstheme="minorHAnsi"/>
                <w:b/>
                <w:sz w:val="20"/>
              </w:rPr>
              <w:t>Strengths</w:t>
            </w:r>
          </w:p>
        </w:tc>
        <w:tc>
          <w:tcPr>
            <w:tcW w:w="0" w:type="auto"/>
            <w:shd w:val="clear" w:color="auto" w:fill="D9D9D9" w:themeFill="background1" w:themeFillShade="D9"/>
            <w:vAlign w:val="center"/>
            <w:hideMark/>
          </w:tcPr>
          <w:p w14:paraId="36D0E7D6" w14:textId="73B9243D" w:rsidR="006B26CE" w:rsidRPr="00A852F0" w:rsidRDefault="004F4F5D" w:rsidP="00A852F0">
            <w:pPr>
              <w:pStyle w:val="ListParagraph"/>
              <w:numPr>
                <w:ilvl w:val="0"/>
                <w:numId w:val="0"/>
              </w:numPr>
              <w:spacing w:before="0" w:after="0"/>
              <w:ind w:left="360"/>
              <w:rPr>
                <w:rFonts w:asciiTheme="minorHAnsi" w:hAnsiTheme="minorHAnsi" w:cstheme="minorHAnsi"/>
              </w:rPr>
            </w:pPr>
            <w:r w:rsidRPr="00A852F0">
              <w:rPr>
                <w:rFonts w:asciiTheme="minorHAnsi" w:hAnsiTheme="minorHAnsi" w:cstheme="minorHAnsi"/>
                <w:noProof/>
              </w:rPr>
              <w:drawing>
                <wp:inline distT="0" distB="0" distL="0" distR="0" wp14:anchorId="20B02568" wp14:editId="2097DA54">
                  <wp:extent cx="186816" cy="180000"/>
                  <wp:effectExtent l="0" t="0" r="3810" b="0"/>
                  <wp:docPr id="1913192802" name="Picture 6">
                    <a:extLst xmlns:a="http://schemas.openxmlformats.org/drawingml/2006/main">
                      <a:ext uri="{FF2B5EF4-FFF2-40B4-BE49-F238E27FC236}">
                        <a16:creationId xmlns:a16="http://schemas.microsoft.com/office/drawing/2014/main" id="{1F5E8083-76A2-7F31-5A7C-103772D8F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F5E8083-76A2-7F31-5A7C-103772D8F043}"/>
                              </a:ext>
                            </a:extLst>
                          </pic:cNvPr>
                          <pic:cNvPicPr>
                            <a:picLocks noChangeAspect="1"/>
                          </pic:cNvPicPr>
                        </pic:nvPicPr>
                        <pic:blipFill>
                          <a:blip r:embed="rId14"/>
                          <a:srcRect l="61604" t="11209" r="17818" b="59049"/>
                          <a:stretch>
                            <a:fillRect/>
                          </a:stretch>
                        </pic:blipFill>
                        <pic:spPr>
                          <a:xfrm>
                            <a:off x="0" y="0"/>
                            <a:ext cx="186816" cy="180000"/>
                          </a:xfrm>
                          <a:prstGeom prst="rect">
                            <a:avLst/>
                          </a:prstGeom>
                        </pic:spPr>
                      </pic:pic>
                    </a:graphicData>
                  </a:graphic>
                </wp:inline>
              </w:drawing>
            </w:r>
            <w:r w:rsidRPr="00A852F0">
              <w:rPr>
                <w:rFonts w:asciiTheme="minorHAnsi" w:hAnsiTheme="minorHAnsi" w:cstheme="minorHAnsi"/>
              </w:rPr>
              <w:t xml:space="preserve"> </w:t>
            </w:r>
            <w:r w:rsidR="006B26CE" w:rsidRPr="00A852F0">
              <w:rPr>
                <w:rFonts w:asciiTheme="minorHAnsi" w:hAnsiTheme="minorHAnsi" w:cstheme="minorHAnsi"/>
                <w:b/>
              </w:rPr>
              <w:t>Weaknesses</w:t>
            </w:r>
          </w:p>
        </w:tc>
      </w:tr>
      <w:tr w:rsidR="00A852F0" w:rsidRPr="00A852F0" w14:paraId="296E3EDE" w14:textId="77777777" w:rsidTr="192E875C">
        <w:trPr>
          <w:tblHeader/>
          <w:tblCellSpacing w:w="15" w:type="dxa"/>
        </w:trPr>
        <w:tc>
          <w:tcPr>
            <w:tcW w:w="0" w:type="auto"/>
            <w:hideMark/>
          </w:tcPr>
          <w:p w14:paraId="40716020" w14:textId="2B7766DB"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Regional presence enjoys strong membership support, with 71% agreeing that regional offices contribute effectively to delivering ITU’s mandate on the ground.</w:t>
            </w:r>
          </w:p>
          <w:p w14:paraId="588172CE" w14:textId="5C5493CE"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Regional offices maintain active engagement with Member States, with 74% of respondents reporting consultation with regional offices during the survey period. </w:t>
            </w:r>
          </w:p>
          <w:p w14:paraId="791E381A" w14:textId="15D4F487"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Dissemination of information and knowledge is widely valued, with 73% agreeing that regional offices effectively share information and data with stakeholders. </w:t>
            </w:r>
          </w:p>
          <w:p w14:paraId="175B3389" w14:textId="1078A4BB"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Regional presence facilitates extensive stakeholder engagement, reflected in more than 1,000 events and 1,500 meetings organized across 109 host countries between 2022 and 2025. </w:t>
            </w:r>
          </w:p>
          <w:p w14:paraId="20D4CC70" w14:textId="2FF7C47A" w:rsidR="006B26CE" w:rsidRPr="008C431B" w:rsidRDefault="008C431B" w:rsidP="008C431B">
            <w:pPr>
              <w:spacing w:before="0"/>
              <w:ind w:left="360" w:hanging="360"/>
              <w:rPr>
                <w:rFonts w:asciiTheme="minorHAnsi" w:hAnsiTheme="minorHAnsi" w:cstheme="minorBidi"/>
              </w:rPr>
            </w:pPr>
            <w:r w:rsidRPr="00A852F0">
              <w:rPr>
                <w:rFonts w:ascii="Symbol" w:eastAsia="Aptos" w:hAnsi="Symbol" w:cstheme="minorBidi"/>
                <w:kern w:val="2"/>
                <w:sz w:val="22"/>
                <w:szCs w:val="22"/>
                <w14:ligatures w14:val="standardContextual"/>
              </w:rPr>
              <w:t></w:t>
            </w:r>
            <w:r w:rsidRPr="00A852F0">
              <w:rPr>
                <w:rFonts w:ascii="Symbol" w:eastAsia="Aptos" w:hAnsi="Symbol" w:cstheme="minorBidi"/>
                <w:kern w:val="2"/>
                <w:sz w:val="22"/>
                <w:szCs w:val="22"/>
                <w14:ligatures w14:val="standardContextual"/>
              </w:rPr>
              <w:tab/>
            </w:r>
            <w:r w:rsidR="1794DC9A" w:rsidRPr="008C431B">
              <w:rPr>
                <w:rFonts w:asciiTheme="minorHAnsi" w:hAnsiTheme="minorHAnsi" w:cstheme="minorBidi"/>
              </w:rPr>
              <w:t xml:space="preserve">Strong collaborative foundations exist within the membership, with 82% of respondents expressing willingness to </w:t>
            </w:r>
            <w:r w:rsidR="1794DC9A" w:rsidRPr="008C431B">
              <w:rPr>
                <w:rFonts w:asciiTheme="minorHAnsi" w:hAnsiTheme="minorHAnsi" w:cstheme="minorBidi"/>
                <w:highlight w:val="yellow"/>
              </w:rPr>
              <w:t xml:space="preserve">collaborate with </w:t>
            </w:r>
            <w:r w:rsidR="009A7220" w:rsidRPr="008C431B">
              <w:rPr>
                <w:rFonts w:asciiTheme="minorHAnsi" w:hAnsiTheme="minorHAnsi" w:cstheme="minorBidi"/>
                <w:highlight w:val="yellow"/>
              </w:rPr>
              <w:t>Regional and Area Offices</w:t>
            </w:r>
          </w:p>
        </w:tc>
        <w:tc>
          <w:tcPr>
            <w:tcW w:w="0" w:type="auto"/>
            <w:hideMark/>
          </w:tcPr>
          <w:p w14:paraId="1EB3AAF9" w14:textId="11E6D3EE"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Operational expectations sometimes exceed available resources, with survey responses highlighting the need for additional staffing and financial capacity to strengthen regional presence. </w:t>
            </w:r>
          </w:p>
          <w:p w14:paraId="6DB2D477" w14:textId="659D0B50"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Recruitment timelines and recurring vacancies affect the ability of regional offices to fully deploy staffing resources. </w:t>
            </w:r>
          </w:p>
          <w:p w14:paraId="008DDA69" w14:textId="1666611B" w:rsidR="006B26CE" w:rsidRPr="008C431B" w:rsidRDefault="008C431B" w:rsidP="008C431B">
            <w:pPr>
              <w:spacing w:before="0"/>
              <w:ind w:left="360" w:hanging="360"/>
              <w:rPr>
                <w:rFonts w:asciiTheme="minorHAnsi" w:hAnsiTheme="minorHAnsi" w:cstheme="minorBidi"/>
              </w:rPr>
            </w:pPr>
            <w:r w:rsidRPr="00A852F0">
              <w:rPr>
                <w:rFonts w:ascii="Symbol" w:eastAsia="Aptos" w:hAnsi="Symbol" w:cstheme="minorBidi"/>
                <w:kern w:val="2"/>
                <w:sz w:val="22"/>
                <w:szCs w:val="22"/>
                <w14:ligatures w14:val="standardContextual"/>
              </w:rPr>
              <w:t></w:t>
            </w:r>
            <w:r w:rsidRPr="00A852F0">
              <w:rPr>
                <w:rFonts w:ascii="Symbol" w:eastAsia="Aptos" w:hAnsi="Symbol" w:cstheme="minorBidi"/>
                <w:kern w:val="2"/>
                <w:sz w:val="22"/>
                <w:szCs w:val="22"/>
                <w14:ligatures w14:val="standardContextual"/>
              </w:rPr>
              <w:tab/>
            </w:r>
            <w:r w:rsidR="1794DC9A" w:rsidRPr="008C431B">
              <w:rPr>
                <w:rFonts w:asciiTheme="minorHAnsi" w:hAnsiTheme="minorHAnsi" w:cstheme="minorBidi"/>
              </w:rPr>
              <w:t xml:space="preserve">Perceptions of the effectiveness of partnerships and resource mobilization remain moderate compared with other support functions. </w:t>
            </w:r>
          </w:p>
          <w:p w14:paraId="5D00A750" w14:textId="4F63E1F6" w:rsidR="006B26CE" w:rsidRPr="008C431B" w:rsidRDefault="008C431B" w:rsidP="008C431B">
            <w:pPr>
              <w:spacing w:before="0"/>
              <w:ind w:left="360" w:hanging="360"/>
              <w:rPr>
                <w:rFonts w:asciiTheme="minorHAnsi" w:hAnsiTheme="minorHAnsi" w:cstheme="minorHAnsi"/>
              </w:rPr>
            </w:pPr>
            <w:r w:rsidRPr="00A852F0">
              <w:rPr>
                <w:rFonts w:ascii="Symbol" w:eastAsia="Aptos" w:hAnsi="Symbol" w:cstheme="minorHAnsi"/>
                <w:kern w:val="2"/>
                <w:sz w:val="22"/>
                <w:szCs w:val="22"/>
                <w14:ligatures w14:val="standardContextual"/>
              </w:rPr>
              <w:t></w:t>
            </w:r>
            <w:r w:rsidRPr="00A852F0">
              <w:rPr>
                <w:rFonts w:ascii="Symbol" w:eastAsia="Aptos" w:hAnsi="Symbol" w:cstheme="minorHAnsi"/>
                <w:kern w:val="2"/>
                <w:sz w:val="22"/>
                <w:szCs w:val="22"/>
                <w14:ligatures w14:val="standardContextual"/>
              </w:rPr>
              <w:tab/>
            </w:r>
            <w:r w:rsidR="006B26CE" w:rsidRPr="008C431B">
              <w:rPr>
                <w:rFonts w:asciiTheme="minorHAnsi" w:hAnsiTheme="minorHAnsi" w:cstheme="minorHAnsi"/>
              </w:rPr>
              <w:t>Stakeholders highlight the need for better data on staffing, financial resources and project implementation to strengthen oversight of regional operations.</w:t>
            </w:r>
          </w:p>
        </w:tc>
      </w:tr>
      <w:tr w:rsidR="006B26CE" w:rsidRPr="00A852F0" w14:paraId="1A1A3391" w14:textId="77777777" w:rsidTr="192E875C">
        <w:trPr>
          <w:trHeight w:val="454"/>
          <w:tblHeader/>
          <w:tblCellSpacing w:w="15" w:type="dxa"/>
        </w:trPr>
        <w:tc>
          <w:tcPr>
            <w:tcW w:w="0" w:type="auto"/>
            <w:shd w:val="clear" w:color="auto" w:fill="DBE5F1" w:themeFill="accent1" w:themeFillTint="33"/>
            <w:vAlign w:val="center"/>
          </w:tcPr>
          <w:p w14:paraId="402E50DE" w14:textId="4A48E94C" w:rsidR="006B26CE" w:rsidRPr="00A852F0" w:rsidRDefault="00FD451D" w:rsidP="00A852F0">
            <w:pPr>
              <w:pStyle w:val="ListParagraph"/>
              <w:numPr>
                <w:ilvl w:val="0"/>
                <w:numId w:val="0"/>
              </w:numPr>
              <w:spacing w:before="0" w:after="0"/>
              <w:ind w:left="360"/>
              <w:rPr>
                <w:rFonts w:asciiTheme="minorHAnsi" w:hAnsiTheme="minorHAnsi" w:cstheme="minorHAnsi"/>
                <w:b/>
              </w:rPr>
            </w:pPr>
            <w:r w:rsidRPr="00A852F0">
              <w:rPr>
                <w:rFonts w:asciiTheme="minorHAnsi" w:hAnsiTheme="minorHAnsi" w:cstheme="minorHAnsi"/>
                <w:b/>
                <w:noProof/>
              </w:rPr>
              <w:drawing>
                <wp:inline distT="0" distB="0" distL="0" distR="0" wp14:anchorId="1A065394" wp14:editId="21547E79">
                  <wp:extent cx="206108" cy="180000"/>
                  <wp:effectExtent l="0" t="0" r="3810" b="0"/>
                  <wp:docPr id="5" name="Picture 4">
                    <a:extLst xmlns:a="http://schemas.openxmlformats.org/drawingml/2006/main">
                      <a:ext uri="{FF2B5EF4-FFF2-40B4-BE49-F238E27FC236}">
                        <a16:creationId xmlns:a16="http://schemas.microsoft.com/office/drawing/2014/main" id="{BBD33814-AC87-9CCA-EF66-695EA5978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BD33814-AC87-9CCA-EF66-695EA597806D}"/>
                              </a:ext>
                            </a:extLst>
                          </pic:cNvPr>
                          <pic:cNvPicPr>
                            <a:picLocks noChangeAspect="1"/>
                          </pic:cNvPicPr>
                        </pic:nvPicPr>
                        <pic:blipFill>
                          <a:blip r:embed="rId14"/>
                          <a:srcRect l="21206" t="60542" r="61091" b="16268"/>
                          <a:stretch>
                            <a:fillRect/>
                          </a:stretch>
                        </pic:blipFill>
                        <pic:spPr>
                          <a:xfrm>
                            <a:off x="0" y="0"/>
                            <a:ext cx="206108" cy="180000"/>
                          </a:xfrm>
                          <a:prstGeom prst="rect">
                            <a:avLst/>
                          </a:prstGeom>
                        </pic:spPr>
                      </pic:pic>
                    </a:graphicData>
                  </a:graphic>
                </wp:inline>
              </w:drawing>
            </w:r>
            <w:r w:rsidRPr="00A852F0">
              <w:rPr>
                <w:rFonts w:asciiTheme="minorHAnsi" w:hAnsiTheme="minorHAnsi" w:cstheme="minorHAnsi"/>
                <w:b/>
              </w:rPr>
              <w:t xml:space="preserve"> </w:t>
            </w:r>
            <w:r w:rsidR="006B26CE" w:rsidRPr="00A852F0">
              <w:rPr>
                <w:rFonts w:asciiTheme="minorHAnsi" w:hAnsiTheme="minorHAnsi" w:cstheme="minorHAnsi"/>
                <w:b/>
              </w:rPr>
              <w:t>Opportunities</w:t>
            </w:r>
          </w:p>
        </w:tc>
        <w:tc>
          <w:tcPr>
            <w:tcW w:w="0" w:type="auto"/>
            <w:shd w:val="clear" w:color="auto" w:fill="F2F2F2" w:themeFill="background1" w:themeFillShade="F2"/>
            <w:vAlign w:val="center"/>
          </w:tcPr>
          <w:p w14:paraId="4BE1377A" w14:textId="764771A7" w:rsidR="006B26CE" w:rsidRPr="00A852F0" w:rsidRDefault="00A852F0" w:rsidP="00A852F0">
            <w:pPr>
              <w:pStyle w:val="ListParagraph"/>
              <w:numPr>
                <w:ilvl w:val="0"/>
                <w:numId w:val="0"/>
              </w:numPr>
              <w:spacing w:before="0" w:after="0"/>
              <w:ind w:left="360"/>
              <w:rPr>
                <w:rFonts w:asciiTheme="minorHAnsi" w:hAnsiTheme="minorHAnsi" w:cstheme="minorHAnsi"/>
                <w:b/>
              </w:rPr>
            </w:pPr>
            <w:r w:rsidRPr="00A852F0">
              <w:rPr>
                <w:rFonts w:asciiTheme="minorHAnsi" w:hAnsiTheme="minorHAnsi" w:cstheme="minorHAnsi"/>
                <w:b/>
                <w:bCs/>
                <w:noProof/>
              </w:rPr>
              <w:drawing>
                <wp:inline distT="0" distB="0" distL="0" distR="0" wp14:anchorId="0D6E7A2A" wp14:editId="64C79A8E">
                  <wp:extent cx="181645" cy="180000"/>
                  <wp:effectExtent l="0" t="0" r="8890" b="0"/>
                  <wp:docPr id="9" name="Picture 8">
                    <a:extLst xmlns:a="http://schemas.openxmlformats.org/drawingml/2006/main">
                      <a:ext uri="{FF2B5EF4-FFF2-40B4-BE49-F238E27FC236}">
                        <a16:creationId xmlns:a16="http://schemas.microsoft.com/office/drawing/2014/main" id="{76974DCF-D0D9-FCEE-3721-F8F7EFF0C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6974DCF-D0D9-FCEE-3721-F8F7EFF0C26E}"/>
                              </a:ext>
                            </a:extLst>
                          </pic:cNvPr>
                          <pic:cNvPicPr>
                            <a:picLocks noChangeAspect="1"/>
                          </pic:cNvPicPr>
                        </pic:nvPicPr>
                        <pic:blipFill>
                          <a:blip r:embed="rId14"/>
                          <a:srcRect l="64031" t="60256" r="18580" b="13897"/>
                          <a:stretch>
                            <a:fillRect/>
                          </a:stretch>
                        </pic:blipFill>
                        <pic:spPr>
                          <a:xfrm>
                            <a:off x="0" y="0"/>
                            <a:ext cx="181645" cy="180000"/>
                          </a:xfrm>
                          <a:prstGeom prst="rect">
                            <a:avLst/>
                          </a:prstGeom>
                        </pic:spPr>
                      </pic:pic>
                    </a:graphicData>
                  </a:graphic>
                </wp:inline>
              </w:drawing>
            </w:r>
            <w:r w:rsidRPr="00A852F0">
              <w:rPr>
                <w:rFonts w:asciiTheme="minorHAnsi" w:hAnsiTheme="minorHAnsi" w:cstheme="minorHAnsi"/>
                <w:b/>
                <w:bCs/>
              </w:rPr>
              <w:t xml:space="preserve"> </w:t>
            </w:r>
            <w:r w:rsidR="006B26CE" w:rsidRPr="00A852F0">
              <w:rPr>
                <w:rFonts w:asciiTheme="minorHAnsi" w:hAnsiTheme="minorHAnsi" w:cstheme="minorHAnsi"/>
                <w:b/>
              </w:rPr>
              <w:t>Threats</w:t>
            </w:r>
          </w:p>
        </w:tc>
      </w:tr>
      <w:tr w:rsidR="006B26CE" w:rsidRPr="00A852F0" w14:paraId="7676D012" w14:textId="77777777" w:rsidTr="192E875C">
        <w:trPr>
          <w:tblHeader/>
          <w:tblCellSpacing w:w="15" w:type="dxa"/>
        </w:trPr>
        <w:tc>
          <w:tcPr>
            <w:tcW w:w="0" w:type="auto"/>
          </w:tcPr>
          <w:p w14:paraId="7A38F8E5" w14:textId="60A3522D" w:rsidR="006B26CE" w:rsidRPr="008C431B" w:rsidRDefault="008C431B" w:rsidP="008C431B">
            <w:pPr>
              <w:spacing w:before="0"/>
              <w:ind w:left="360" w:hanging="360"/>
              <w:rPr>
                <w:rFonts w:asciiTheme="minorHAnsi" w:hAnsiTheme="minorHAnsi" w:cstheme="minorHAnsi"/>
              </w:rPr>
            </w:pPr>
            <w:r w:rsidRPr="002962AC">
              <w:rPr>
                <w:rFonts w:ascii="Symbol" w:eastAsia="Aptos" w:hAnsi="Symbol" w:cstheme="minorHAnsi"/>
                <w:kern w:val="2"/>
                <w:sz w:val="22"/>
                <w:szCs w:val="22"/>
                <w14:ligatures w14:val="standardContextual"/>
              </w:rPr>
              <w:t></w:t>
            </w:r>
            <w:r w:rsidRPr="002962AC">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High willingness among members to collaborate provides opportunities to expand partnership-based initiatives and joint projects. </w:t>
            </w:r>
          </w:p>
          <w:p w14:paraId="76B1645F" w14:textId="3072CF09" w:rsidR="006B26CE" w:rsidRPr="008C431B" w:rsidRDefault="008C431B" w:rsidP="008C431B">
            <w:pPr>
              <w:spacing w:before="0"/>
              <w:ind w:left="360" w:hanging="360"/>
              <w:rPr>
                <w:rFonts w:asciiTheme="minorHAnsi" w:hAnsiTheme="minorHAnsi" w:cstheme="minorHAnsi"/>
              </w:rPr>
            </w:pPr>
            <w:r w:rsidRPr="002962AC">
              <w:rPr>
                <w:rFonts w:ascii="Symbol" w:eastAsia="Aptos" w:hAnsi="Symbol" w:cstheme="minorHAnsi"/>
                <w:kern w:val="2"/>
                <w:sz w:val="22"/>
                <w:szCs w:val="22"/>
                <w14:ligatures w14:val="standardContextual"/>
              </w:rPr>
              <w:t></w:t>
            </w:r>
            <w:r w:rsidRPr="002962AC">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Regional offices already support extensive engagement activities, providing a platform for scaling regional programmes and initiatives. </w:t>
            </w:r>
          </w:p>
          <w:p w14:paraId="0E648208" w14:textId="5737F0E7" w:rsidR="006B26CE" w:rsidRPr="008C431B" w:rsidRDefault="008C431B" w:rsidP="008C431B">
            <w:pPr>
              <w:spacing w:before="0"/>
              <w:ind w:left="360" w:hanging="360"/>
              <w:rPr>
                <w:rFonts w:asciiTheme="minorHAnsi" w:hAnsiTheme="minorHAnsi" w:cstheme="minorHAnsi"/>
              </w:rPr>
            </w:pPr>
            <w:r w:rsidRPr="002962AC">
              <w:rPr>
                <w:rFonts w:ascii="Symbol" w:eastAsia="Aptos" w:hAnsi="Symbol" w:cstheme="minorHAnsi"/>
                <w:kern w:val="2"/>
                <w:sz w:val="22"/>
                <w:szCs w:val="22"/>
                <w14:ligatures w14:val="standardContextual"/>
              </w:rPr>
              <w:t></w:t>
            </w:r>
            <w:r w:rsidRPr="002962AC">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Strengthening partnership frameworks with regional organizations and UN entities could facilitate co-financed initiatives and project implementation. </w:t>
            </w:r>
          </w:p>
          <w:p w14:paraId="40DD2793" w14:textId="3E44CC38" w:rsidR="006B26CE" w:rsidRPr="008C431B" w:rsidRDefault="008C431B" w:rsidP="008C431B">
            <w:pPr>
              <w:spacing w:before="0"/>
              <w:ind w:left="360" w:hanging="360"/>
              <w:rPr>
                <w:rFonts w:asciiTheme="minorHAnsi" w:hAnsiTheme="minorHAnsi" w:cstheme="minorBidi"/>
              </w:rPr>
            </w:pPr>
            <w:r w:rsidRPr="002962AC">
              <w:rPr>
                <w:rFonts w:ascii="Symbol" w:eastAsia="Aptos" w:hAnsi="Symbol" w:cstheme="minorBidi"/>
                <w:kern w:val="2"/>
                <w:sz w:val="22"/>
                <w:szCs w:val="22"/>
                <w14:ligatures w14:val="standardContextual"/>
              </w:rPr>
              <w:t></w:t>
            </w:r>
            <w:r w:rsidRPr="002962AC">
              <w:rPr>
                <w:rFonts w:ascii="Symbol" w:eastAsia="Aptos" w:hAnsi="Symbol" w:cstheme="minorBidi"/>
                <w:kern w:val="2"/>
                <w:sz w:val="22"/>
                <w:szCs w:val="22"/>
                <w14:ligatures w14:val="standardContextual"/>
              </w:rPr>
              <w:tab/>
            </w:r>
            <w:r w:rsidR="572281B6" w:rsidRPr="008C431B">
              <w:rPr>
                <w:rFonts w:asciiTheme="minorHAnsi" w:hAnsiTheme="minorHAnsi" w:cstheme="minorHAnsi"/>
              </w:rPr>
              <w:t xml:space="preserve">Stronger resource mobilization could allow </w:t>
            </w:r>
            <w:r w:rsidR="377608F4" w:rsidRPr="008C431B">
              <w:rPr>
                <w:rFonts w:asciiTheme="minorHAnsi" w:hAnsiTheme="minorHAnsi" w:cstheme="minorHAnsi"/>
              </w:rPr>
              <w:t>e</w:t>
            </w:r>
            <w:r w:rsidR="1794DC9A" w:rsidRPr="008C431B">
              <w:rPr>
                <w:rFonts w:asciiTheme="minorHAnsi" w:hAnsiTheme="minorHAnsi" w:cstheme="minorHAnsi"/>
              </w:rPr>
              <w:t xml:space="preserve">xpanding staffing capacity and technical expertise </w:t>
            </w:r>
            <w:r w:rsidR="32E20767" w:rsidRPr="008C431B">
              <w:rPr>
                <w:rFonts w:asciiTheme="minorHAnsi" w:hAnsiTheme="minorHAnsi" w:cstheme="minorHAnsi"/>
              </w:rPr>
              <w:t xml:space="preserve">and </w:t>
            </w:r>
            <w:r w:rsidR="1794DC9A" w:rsidRPr="008C431B">
              <w:rPr>
                <w:rFonts w:asciiTheme="minorHAnsi" w:hAnsiTheme="minorHAnsi" w:cstheme="minorHAnsi"/>
              </w:rPr>
              <w:t>could further enhance the ability of regional offices to deliver projects.</w:t>
            </w:r>
          </w:p>
        </w:tc>
        <w:tc>
          <w:tcPr>
            <w:tcW w:w="0" w:type="auto"/>
          </w:tcPr>
          <w:p w14:paraId="7F4414DB" w14:textId="5A7A46A1" w:rsidR="006B26CE" w:rsidRPr="008C431B" w:rsidRDefault="008C431B" w:rsidP="008C431B">
            <w:pPr>
              <w:spacing w:before="0"/>
              <w:ind w:left="360" w:hanging="360"/>
              <w:rPr>
                <w:rFonts w:asciiTheme="minorHAnsi" w:hAnsiTheme="minorHAnsi" w:cstheme="minorHAnsi"/>
              </w:rPr>
            </w:pPr>
            <w:r w:rsidRPr="002962AC">
              <w:rPr>
                <w:rFonts w:ascii="Symbol" w:eastAsia="Aptos" w:hAnsi="Symbol" w:cstheme="minorHAnsi"/>
                <w:kern w:val="2"/>
                <w:sz w:val="22"/>
                <w:szCs w:val="22"/>
                <w14:ligatures w14:val="standardContextual"/>
              </w:rPr>
              <w:t></w:t>
            </w:r>
            <w:r w:rsidRPr="002962AC">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High consultation rates with regional offices reflect growing demand for support, potentially increasing pressure on limited staffing resources. </w:t>
            </w:r>
          </w:p>
          <w:p w14:paraId="71E10952" w14:textId="2261E78E" w:rsidR="006B26CE" w:rsidRPr="008C431B" w:rsidRDefault="008C431B" w:rsidP="008C431B">
            <w:pPr>
              <w:spacing w:before="0"/>
              <w:ind w:left="360" w:hanging="360"/>
              <w:rPr>
                <w:rFonts w:asciiTheme="minorHAnsi" w:hAnsiTheme="minorHAnsi" w:cstheme="minorHAnsi"/>
              </w:rPr>
            </w:pPr>
            <w:r w:rsidRPr="002962AC">
              <w:rPr>
                <w:rFonts w:ascii="Symbol" w:eastAsia="Aptos" w:hAnsi="Symbol" w:cstheme="minorHAnsi"/>
                <w:kern w:val="2"/>
                <w:sz w:val="22"/>
                <w:szCs w:val="22"/>
                <w14:ligatures w14:val="standardContextual"/>
              </w:rPr>
              <w:t></w:t>
            </w:r>
            <w:r w:rsidRPr="002962AC">
              <w:rPr>
                <w:rFonts w:ascii="Symbol" w:eastAsia="Aptos" w:hAnsi="Symbol" w:cstheme="minorHAnsi"/>
                <w:kern w:val="2"/>
                <w:sz w:val="22"/>
                <w:szCs w:val="22"/>
                <w14:ligatures w14:val="standardContextual"/>
              </w:rPr>
              <w:tab/>
            </w:r>
            <w:r w:rsidR="006B26CE" w:rsidRPr="008C431B">
              <w:rPr>
                <w:rFonts w:asciiTheme="minorHAnsi" w:hAnsiTheme="minorHAnsi" w:cstheme="minorHAnsi"/>
              </w:rPr>
              <w:t xml:space="preserve">Implementation of regional initiatives may depend on predictable financing arrangements and partnership mechanisms that are not always secured early in project cycles. </w:t>
            </w:r>
          </w:p>
          <w:p w14:paraId="612F810E" w14:textId="473FAAA9" w:rsidR="006B26CE" w:rsidRPr="008C431B" w:rsidRDefault="008C431B" w:rsidP="008C431B">
            <w:pPr>
              <w:spacing w:before="0"/>
              <w:ind w:left="360" w:hanging="360"/>
              <w:rPr>
                <w:rFonts w:asciiTheme="minorHAnsi" w:hAnsiTheme="minorHAnsi" w:cstheme="minorHAnsi"/>
              </w:rPr>
            </w:pPr>
            <w:r w:rsidRPr="002962AC">
              <w:rPr>
                <w:rFonts w:ascii="Symbol" w:eastAsia="Aptos" w:hAnsi="Symbol" w:cstheme="minorHAnsi"/>
                <w:kern w:val="2"/>
                <w:sz w:val="22"/>
                <w:szCs w:val="22"/>
                <w14:ligatures w14:val="standardContextual"/>
              </w:rPr>
              <w:t></w:t>
            </w:r>
            <w:r w:rsidRPr="002962AC">
              <w:rPr>
                <w:rFonts w:ascii="Symbol" w:eastAsia="Aptos" w:hAnsi="Symbol" w:cstheme="minorHAnsi"/>
                <w:kern w:val="2"/>
                <w:sz w:val="22"/>
                <w:szCs w:val="22"/>
                <w14:ligatures w14:val="standardContextual"/>
              </w:rPr>
              <w:tab/>
            </w:r>
            <w:r w:rsidR="006B26CE" w:rsidRPr="008C431B">
              <w:rPr>
                <w:rFonts w:asciiTheme="minorHAnsi" w:hAnsiTheme="minorHAnsi" w:cstheme="minorHAnsi"/>
              </w:rPr>
              <w:t>Expanding regional programmes and partnerships may require additional technical expertise and coordination capacity across ITU sectors.</w:t>
            </w:r>
          </w:p>
        </w:tc>
      </w:tr>
    </w:tbl>
    <w:p w14:paraId="47FFA9E0" w14:textId="77777777" w:rsidR="00250529" w:rsidRPr="00986D12" w:rsidRDefault="00250529" w:rsidP="000E12EC">
      <w:pPr>
        <w:pStyle w:val="Heading2"/>
      </w:pPr>
      <w:bookmarkStart w:id="41" w:name="_Toc225163564"/>
      <w:bookmarkStart w:id="42" w:name="_Toc225261091"/>
      <w:r w:rsidRPr="00986D12">
        <w:lastRenderedPageBreak/>
        <w:t>Conclusion</w:t>
      </w:r>
      <w:bookmarkEnd w:id="41"/>
      <w:bookmarkEnd w:id="42"/>
    </w:p>
    <w:p w14:paraId="3DCB6965" w14:textId="77777777" w:rsidR="00D2271F" w:rsidRDefault="00D2271F" w:rsidP="000C730F">
      <w:pPr>
        <w:jc w:val="both"/>
        <w:rPr>
          <w:rFonts w:asciiTheme="minorHAnsi" w:hAnsiTheme="minorHAnsi" w:cstheme="minorBidi"/>
        </w:rPr>
      </w:pPr>
      <w:r w:rsidRPr="0EDB9B28">
        <w:rPr>
          <w:rFonts w:asciiTheme="minorHAnsi" w:hAnsiTheme="minorHAnsi" w:cstheme="minorBidi"/>
        </w:rPr>
        <w:t xml:space="preserve">This report with its findings affirms that the Regional and Area Offices play a pivotal role in delivering the ITU Strategic Plan and the ITU-D Action Plan. They serve as trusted interfaces with Member States, facilitate broad and inclusive participation in ITU activities, and support a significant share of regional projects, </w:t>
      </w:r>
      <w:r w:rsidRPr="57A998ED">
        <w:rPr>
          <w:rFonts w:asciiTheme="minorHAnsi" w:hAnsiTheme="minorHAnsi" w:cstheme="minorBidi"/>
        </w:rPr>
        <w:t>capacity building</w:t>
      </w:r>
      <w:r w:rsidRPr="0EDB9B28">
        <w:rPr>
          <w:rFonts w:asciiTheme="minorHAnsi" w:hAnsiTheme="minorHAnsi" w:cstheme="minorBidi"/>
        </w:rPr>
        <w:t xml:space="preserve">, and policy dialogue. The regional presence is viewed as responsive, accessible, and effective, with strong satisfaction from Member States and partners across all regions. The evidence consistently highlights the professionalism and dedication of regional teams and underscores their role as key convenors of stakeholders and catalysts for digital transformation. </w:t>
      </w:r>
    </w:p>
    <w:p w14:paraId="77D37145" w14:textId="4043E4BB" w:rsidR="00A42C42" w:rsidRDefault="00A42C42" w:rsidP="000C730F">
      <w:pPr>
        <w:jc w:val="both"/>
        <w:rPr>
          <w:rFonts w:asciiTheme="minorHAnsi" w:hAnsiTheme="minorHAnsi" w:cstheme="minorBidi"/>
        </w:rPr>
      </w:pPr>
      <w:r w:rsidRPr="0EDB9B28">
        <w:rPr>
          <w:rFonts w:asciiTheme="minorHAnsi" w:hAnsiTheme="minorHAnsi" w:cstheme="minorBidi"/>
        </w:rPr>
        <w:t xml:space="preserve">While the review also highlights areas where processes, resources, and expertise could be further enhanced, these are best viewed as opportunities to build on a solid and </w:t>
      </w:r>
      <w:r w:rsidRPr="57A998ED">
        <w:rPr>
          <w:rFonts w:asciiTheme="minorHAnsi" w:hAnsiTheme="minorHAnsi" w:cstheme="minorBidi"/>
        </w:rPr>
        <w:t>well</w:t>
      </w:r>
      <w:r w:rsidRPr="608BDFBC">
        <w:rPr>
          <w:rFonts w:asciiTheme="minorHAnsi" w:hAnsiTheme="minorHAnsi" w:cstheme="minorBidi"/>
        </w:rPr>
        <w:t>-</w:t>
      </w:r>
      <w:r w:rsidRPr="57A998ED">
        <w:rPr>
          <w:rFonts w:asciiTheme="minorHAnsi" w:hAnsiTheme="minorHAnsi" w:cstheme="minorBidi"/>
        </w:rPr>
        <w:t>functioning</w:t>
      </w:r>
      <w:r w:rsidRPr="0EDB9B28">
        <w:rPr>
          <w:rFonts w:asciiTheme="minorHAnsi" w:hAnsiTheme="minorHAnsi" w:cstheme="minorBidi"/>
        </w:rPr>
        <w:t xml:space="preserve"> foundation—enabling the regional presence to respond even more effectively to evolving Member expectations and the growing complexity of the digital development landscape. These include </w:t>
      </w:r>
      <w:r>
        <w:rPr>
          <w:rFonts w:asciiTheme="minorHAnsi" w:hAnsiTheme="minorHAnsi" w:cstheme="minorBidi"/>
        </w:rPr>
        <w:t xml:space="preserve">streamlining </w:t>
      </w:r>
      <w:r w:rsidRPr="0EDB9B28">
        <w:rPr>
          <w:rFonts w:asciiTheme="minorHAnsi" w:hAnsiTheme="minorHAnsi" w:cstheme="minorBidi"/>
        </w:rPr>
        <w:t>human and financial resources</w:t>
      </w:r>
      <w:r>
        <w:rPr>
          <w:rFonts w:asciiTheme="minorHAnsi" w:hAnsiTheme="minorHAnsi" w:cstheme="minorBidi"/>
        </w:rPr>
        <w:t xml:space="preserve"> and</w:t>
      </w:r>
      <w:r w:rsidRPr="0EDB9B28">
        <w:rPr>
          <w:rFonts w:asciiTheme="minorHAnsi" w:hAnsiTheme="minorHAnsi" w:cstheme="minorBidi"/>
        </w:rPr>
        <w:t xml:space="preserve"> internal processes, deepening </w:t>
      </w:r>
      <w:r w:rsidRPr="57A998ED">
        <w:rPr>
          <w:rFonts w:asciiTheme="minorHAnsi" w:hAnsiTheme="minorHAnsi" w:cstheme="minorBidi"/>
        </w:rPr>
        <w:t>cross sector</w:t>
      </w:r>
      <w:r w:rsidRPr="0EDB9B28">
        <w:rPr>
          <w:rFonts w:asciiTheme="minorHAnsi" w:hAnsiTheme="minorHAnsi" w:cstheme="minorBidi"/>
        </w:rPr>
        <w:t xml:space="preserve"> coordination, enhancing access to technical expertise, improving reporting and financial visibility, and reinforcing partnerships and resource mobilization mechanisms</w:t>
      </w:r>
      <w:r>
        <w:rPr>
          <w:rFonts w:asciiTheme="minorHAnsi" w:hAnsiTheme="minorHAnsi" w:cstheme="minorBidi"/>
        </w:rPr>
        <w:t xml:space="preserve"> to the extent feasible</w:t>
      </w:r>
      <w:r w:rsidRPr="0EDB9B28">
        <w:rPr>
          <w:rFonts w:asciiTheme="minorHAnsi" w:hAnsiTheme="minorHAnsi" w:cstheme="minorBidi"/>
        </w:rPr>
        <w:t xml:space="preserve">. Stakeholders across the system—Member States, regional organizations, and ITU staff—express strong </w:t>
      </w:r>
      <w:r>
        <w:rPr>
          <w:rFonts w:asciiTheme="minorHAnsi" w:hAnsiTheme="minorHAnsi" w:cstheme="minorBidi"/>
        </w:rPr>
        <w:t xml:space="preserve">support </w:t>
      </w:r>
      <w:r w:rsidRPr="0EDB9B28">
        <w:rPr>
          <w:rFonts w:asciiTheme="minorHAnsi" w:hAnsiTheme="minorHAnsi" w:cstheme="minorBidi"/>
        </w:rPr>
        <w:t>for further empowering the regional presence to meet growing demand</w:t>
      </w:r>
      <w:r>
        <w:rPr>
          <w:rFonts w:asciiTheme="minorHAnsi" w:hAnsiTheme="minorHAnsi" w:cstheme="minorBidi"/>
        </w:rPr>
        <w:t>s</w:t>
      </w:r>
      <w:r w:rsidRPr="0EDB9B28">
        <w:rPr>
          <w:rFonts w:asciiTheme="minorHAnsi" w:hAnsiTheme="minorHAnsi" w:cstheme="minorBidi"/>
        </w:rPr>
        <w:t xml:space="preserve"> and navigate an increasingly complex digital landscape. </w:t>
      </w:r>
    </w:p>
    <w:p w14:paraId="0CAA739D" w14:textId="75E16AE5" w:rsidR="003F28BC" w:rsidRPr="003F28BC" w:rsidRDefault="003F28BC" w:rsidP="00601430">
      <w:pPr>
        <w:jc w:val="both"/>
        <w:rPr>
          <w:rFonts w:asciiTheme="minorHAnsi" w:hAnsiTheme="minorHAnsi" w:cstheme="minorHAnsi"/>
        </w:rPr>
      </w:pPr>
      <w:r w:rsidRPr="003F28BC">
        <w:rPr>
          <w:rFonts w:asciiTheme="minorHAnsi" w:hAnsiTheme="minorHAnsi" w:cstheme="minorHAnsi"/>
        </w:rPr>
        <w:t xml:space="preserve">Taken together, the findings of this review present a clear and constructive message: ITU’s Regional and Area Offices are a major strategic asset, performing strongly and delivering tangible value. With targeted actions and institutional support, the regional presence can become even more agile, impactful, and aligned with Membership expectations. </w:t>
      </w:r>
    </w:p>
    <w:p w14:paraId="60891C14" w14:textId="762C84EA" w:rsidR="00250529" w:rsidRPr="00986D12" w:rsidRDefault="00A37CDB" w:rsidP="000E12EC">
      <w:pPr>
        <w:pStyle w:val="Heading1"/>
      </w:pPr>
      <w:bookmarkStart w:id="43" w:name="_Toc225163565"/>
      <w:bookmarkStart w:id="44" w:name="_Toc225261092"/>
      <w:r w:rsidRPr="000E12EC">
        <w:t>Background</w:t>
      </w:r>
      <w:bookmarkEnd w:id="43"/>
      <w:bookmarkEnd w:id="44"/>
    </w:p>
    <w:p w14:paraId="0707070E"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At its 19</w:t>
      </w:r>
      <w:r w:rsidRPr="00986D12">
        <w:rPr>
          <w:rFonts w:asciiTheme="minorHAnsi" w:hAnsiTheme="minorHAnsi" w:cstheme="minorHAnsi"/>
          <w:vertAlign w:val="superscript"/>
          <w:lang w:val="en-US"/>
        </w:rPr>
        <w:t>th</w:t>
      </w:r>
      <w:r w:rsidRPr="00986D12">
        <w:rPr>
          <w:rFonts w:asciiTheme="minorHAnsi" w:hAnsiTheme="minorHAnsi" w:cstheme="minorHAnsi"/>
          <w:lang w:val="en-US"/>
        </w:rPr>
        <w:t xml:space="preserve"> meeting (30 September – 11 October 2024), the Council Working Group on Financial and Human Resources (CWG-FHR) established an Online Correspondence Group (</w:t>
      </w:r>
      <w:proofErr w:type="spellStart"/>
      <w:r w:rsidRPr="00986D12">
        <w:rPr>
          <w:rFonts w:asciiTheme="minorHAnsi" w:hAnsiTheme="minorHAnsi" w:cstheme="minorHAnsi"/>
          <w:lang w:val="en-US"/>
        </w:rPr>
        <w:t>OCG</w:t>
      </w:r>
      <w:proofErr w:type="spellEnd"/>
      <w:r w:rsidRPr="00986D12">
        <w:rPr>
          <w:rFonts w:asciiTheme="minorHAnsi" w:hAnsiTheme="minorHAnsi" w:cstheme="minorHAnsi"/>
          <w:lang w:val="en-US"/>
        </w:rPr>
        <w:t>) to draft the Terms of Reference (</w:t>
      </w:r>
      <w:proofErr w:type="spellStart"/>
      <w:r w:rsidRPr="00986D12">
        <w:rPr>
          <w:rFonts w:asciiTheme="minorHAnsi" w:hAnsiTheme="minorHAnsi" w:cstheme="minorHAnsi"/>
          <w:lang w:val="en-US"/>
        </w:rPr>
        <w:t>ToR</w:t>
      </w:r>
      <w:proofErr w:type="spellEnd"/>
      <w:r w:rsidRPr="00986D12">
        <w:rPr>
          <w:rFonts w:asciiTheme="minorHAnsi" w:hAnsiTheme="minorHAnsi" w:cstheme="minorHAnsi"/>
          <w:lang w:val="en-US"/>
        </w:rPr>
        <w:t xml:space="preserve">) for reviewing the Regional Presence, which is required per </w:t>
      </w:r>
      <w:hyperlink r:id="rId15">
        <w:r w:rsidRPr="00986D12">
          <w:rPr>
            <w:rStyle w:val="Hyperlink"/>
            <w:rFonts w:asciiTheme="minorHAnsi" w:hAnsiTheme="minorHAnsi" w:cstheme="minorHAnsi"/>
            <w:color w:val="403152" w:themeColor="accent4" w:themeShade="80"/>
            <w:lang w:val="en-US"/>
          </w:rPr>
          <w:t>Resolution 25 (Rev. Bucharest, 2022)</w:t>
        </w:r>
      </w:hyperlink>
      <w:r w:rsidRPr="00986D12">
        <w:rPr>
          <w:rFonts w:asciiTheme="minorHAnsi" w:hAnsiTheme="minorHAnsi" w:cstheme="minorHAnsi"/>
          <w:lang w:val="en-US"/>
        </w:rPr>
        <w:t xml:space="preserve"> of the Plenipotentiary on Strengthening the ITU Regional Presence.</w:t>
      </w:r>
    </w:p>
    <w:p w14:paraId="33A66B1E" w14:textId="2EB124BF" w:rsidR="00250529" w:rsidRPr="00986D12" w:rsidRDefault="00250529" w:rsidP="00986D12">
      <w:pPr>
        <w:jc w:val="both"/>
        <w:rPr>
          <w:rFonts w:asciiTheme="minorHAnsi" w:hAnsiTheme="minorHAnsi" w:cstheme="minorHAnsi"/>
          <w:bCs/>
          <w:lang w:val="en-US"/>
        </w:rPr>
      </w:pPr>
      <w:r w:rsidRPr="00986D12">
        <w:rPr>
          <w:rFonts w:asciiTheme="minorHAnsi" w:hAnsiTheme="minorHAnsi" w:cstheme="minorHAnsi"/>
          <w:bCs/>
          <w:lang w:val="en-US"/>
        </w:rPr>
        <w:t>As per Instructs 4 of this Resolution, the Secretary</w:t>
      </w:r>
      <w:r w:rsidR="00CC2134">
        <w:rPr>
          <w:rFonts w:asciiTheme="minorHAnsi" w:hAnsiTheme="minorHAnsi" w:cstheme="minorHAnsi"/>
          <w:bCs/>
          <w:lang w:val="en-US"/>
        </w:rPr>
        <w:t>-</w:t>
      </w:r>
      <w:r w:rsidRPr="00986D12">
        <w:rPr>
          <w:rFonts w:asciiTheme="minorHAnsi" w:hAnsiTheme="minorHAnsi" w:cstheme="minorHAnsi"/>
          <w:bCs/>
          <w:lang w:val="en-US"/>
        </w:rPr>
        <w:t>General is required,</w:t>
      </w:r>
    </w:p>
    <w:p w14:paraId="12683F3C" w14:textId="77777777" w:rsidR="00250529" w:rsidRPr="00986D12" w:rsidRDefault="00250529" w:rsidP="00986D12">
      <w:pPr>
        <w:jc w:val="both"/>
        <w:rPr>
          <w:rFonts w:asciiTheme="minorHAnsi" w:hAnsiTheme="minorHAnsi" w:cstheme="minorHAnsi"/>
          <w:bCs/>
          <w:lang w:val="en-US"/>
        </w:rPr>
      </w:pPr>
      <w:r w:rsidRPr="00986D12">
        <w:rPr>
          <w:rFonts w:asciiTheme="minorHAnsi" w:hAnsiTheme="minorHAnsi" w:cstheme="minorHAnsi"/>
          <w:bCs/>
          <w:lang w:val="en-US"/>
        </w:rPr>
        <w:t>“</w:t>
      </w:r>
      <w:proofErr w:type="gramStart"/>
      <w:r w:rsidRPr="00986D12">
        <w:rPr>
          <w:rFonts w:asciiTheme="minorHAnsi" w:hAnsiTheme="minorHAnsi" w:cstheme="minorHAnsi"/>
          <w:bCs/>
          <w:lang w:val="en-US"/>
        </w:rPr>
        <w:t>to</w:t>
      </w:r>
      <w:proofErr w:type="gramEnd"/>
      <w:r w:rsidRPr="00986D12">
        <w:rPr>
          <w:rFonts w:asciiTheme="minorHAnsi" w:hAnsiTheme="minorHAnsi" w:cstheme="minorHAnsi"/>
          <w:bCs/>
          <w:lang w:val="en-US"/>
        </w:rPr>
        <w:t xml:space="preserve"> conduct, once every four years, within the existing financial resources, a survey of the level of satisfaction of Member States, Sector Members and regional telecommunication organizations with ITU's regional presence, and to present the results in a report to the session of the Council prior to each plenipotentiary conference”.</w:t>
      </w:r>
    </w:p>
    <w:p w14:paraId="444E9266" w14:textId="77777777" w:rsidR="00250529" w:rsidRPr="00986D12" w:rsidRDefault="00250529" w:rsidP="00507BF5">
      <w:pPr>
        <w:rPr>
          <w:rFonts w:asciiTheme="minorHAnsi" w:hAnsiTheme="minorHAnsi" w:cstheme="minorHAnsi"/>
          <w:color w:val="0070C0"/>
          <w:lang w:val="en-US"/>
        </w:rPr>
      </w:pPr>
      <w:r w:rsidRPr="00986D12">
        <w:rPr>
          <w:rFonts w:asciiTheme="minorHAnsi" w:hAnsiTheme="minorHAnsi" w:cstheme="minorHAnsi"/>
          <w:lang w:val="en-US"/>
        </w:rPr>
        <w:t xml:space="preserve">The revised </w:t>
      </w:r>
      <w:proofErr w:type="spellStart"/>
      <w:r w:rsidRPr="00986D12">
        <w:rPr>
          <w:rFonts w:asciiTheme="minorHAnsi" w:hAnsiTheme="minorHAnsi" w:cstheme="minorHAnsi"/>
          <w:lang w:val="en-US"/>
        </w:rPr>
        <w:t>ToR</w:t>
      </w:r>
      <w:proofErr w:type="spellEnd"/>
      <w:r w:rsidRPr="00986D12">
        <w:rPr>
          <w:rFonts w:asciiTheme="minorHAnsi" w:hAnsiTheme="minorHAnsi" w:cstheme="minorHAnsi"/>
          <w:lang w:val="en-US"/>
        </w:rPr>
        <w:t xml:space="preserve"> were reviewed at the 20</w:t>
      </w:r>
      <w:r w:rsidRPr="00986D12">
        <w:rPr>
          <w:rFonts w:asciiTheme="minorHAnsi" w:hAnsiTheme="minorHAnsi" w:cstheme="minorHAnsi"/>
          <w:vertAlign w:val="superscript"/>
          <w:lang w:val="en-US"/>
        </w:rPr>
        <w:t>th</w:t>
      </w:r>
      <w:r w:rsidRPr="00986D12">
        <w:rPr>
          <w:rFonts w:asciiTheme="minorHAnsi" w:hAnsiTheme="minorHAnsi" w:cstheme="minorHAnsi"/>
          <w:lang w:val="en-US"/>
        </w:rPr>
        <w:t xml:space="preserve"> meeting of the CWG-FHR (10-21 February 2025). These meeting reports are available in Documents </w:t>
      </w:r>
      <w:hyperlink r:id="rId16">
        <w:r w:rsidRPr="00986D12">
          <w:rPr>
            <w:rStyle w:val="Hyperlink"/>
            <w:rFonts w:asciiTheme="minorHAnsi" w:hAnsiTheme="minorHAnsi" w:cstheme="minorHAnsi"/>
            <w:color w:val="403152" w:themeColor="accent4" w:themeShade="80"/>
            <w:lang w:val="en-US"/>
          </w:rPr>
          <w:t>CWG-FHR-19/15</w:t>
        </w:r>
      </w:hyperlink>
      <w:r w:rsidRPr="00986D12">
        <w:rPr>
          <w:rFonts w:asciiTheme="minorHAnsi" w:hAnsiTheme="minorHAnsi" w:cstheme="minorHAnsi"/>
          <w:color w:val="0070C0"/>
          <w:lang w:val="en-US"/>
        </w:rPr>
        <w:t xml:space="preserve"> </w:t>
      </w:r>
      <w:r w:rsidRPr="00986D12">
        <w:rPr>
          <w:rFonts w:asciiTheme="minorHAnsi" w:hAnsiTheme="minorHAnsi" w:cstheme="minorHAnsi"/>
          <w:color w:val="000000" w:themeColor="text1"/>
          <w:lang w:val="en-US"/>
        </w:rPr>
        <w:t>and</w:t>
      </w:r>
      <w:r w:rsidRPr="00986D12">
        <w:rPr>
          <w:rFonts w:asciiTheme="minorHAnsi" w:hAnsiTheme="minorHAnsi" w:cstheme="minorHAnsi"/>
          <w:color w:val="0070C0"/>
          <w:lang w:val="en-US"/>
        </w:rPr>
        <w:t xml:space="preserve"> </w:t>
      </w:r>
      <w:hyperlink r:id="rId17">
        <w:r w:rsidRPr="00986D12">
          <w:rPr>
            <w:rStyle w:val="Hyperlink"/>
            <w:rFonts w:asciiTheme="minorHAnsi" w:hAnsiTheme="minorHAnsi" w:cstheme="minorHAnsi"/>
            <w:color w:val="403152" w:themeColor="accent4" w:themeShade="80"/>
            <w:lang w:val="en-US"/>
          </w:rPr>
          <w:t>CWG-FHR-20/32</w:t>
        </w:r>
      </w:hyperlink>
      <w:r w:rsidRPr="00986D12">
        <w:rPr>
          <w:rFonts w:asciiTheme="minorHAnsi" w:hAnsiTheme="minorHAnsi" w:cstheme="minorHAnsi"/>
          <w:color w:val="000000" w:themeColor="text1"/>
          <w:lang w:val="en-US"/>
        </w:rPr>
        <w:t xml:space="preserve">. </w:t>
      </w:r>
    </w:p>
    <w:p w14:paraId="15533656"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After some deliberation, Council-25 provided the following instructions to the International Telecommunication Union (ITU) secretariat and the Telecommunication Development Bureau (BDT): </w:t>
      </w:r>
    </w:p>
    <w:p w14:paraId="34584E92" w14:textId="6B50DF4F" w:rsidR="00250529" w:rsidRPr="00667052" w:rsidRDefault="008C431B" w:rsidP="008C431B">
      <w:pPr>
        <w:pStyle w:val="Bulleta"/>
        <w:numPr>
          <w:ilvl w:val="0"/>
          <w:numId w:val="0"/>
        </w:numPr>
        <w:ind w:left="720" w:hanging="360"/>
        <w:jc w:val="both"/>
        <w:rPr>
          <w:rFonts w:asciiTheme="minorHAnsi" w:hAnsiTheme="minorHAnsi" w:cstheme="minorHAnsi"/>
          <w:sz w:val="24"/>
          <w:szCs w:val="24"/>
        </w:rPr>
      </w:pPr>
      <w:r w:rsidRPr="00667052">
        <w:rPr>
          <w:rFonts w:asciiTheme="minorHAnsi" w:hAnsiTheme="minorHAnsi" w:cstheme="minorHAnsi"/>
          <w:sz w:val="24"/>
          <w:szCs w:val="24"/>
        </w:rPr>
        <w:t>a)</w:t>
      </w:r>
      <w:r w:rsidRPr="00667052">
        <w:rPr>
          <w:rFonts w:asciiTheme="minorHAnsi" w:hAnsiTheme="minorHAnsi" w:cstheme="minorHAnsi"/>
          <w:sz w:val="24"/>
          <w:szCs w:val="24"/>
        </w:rPr>
        <w:tab/>
      </w:r>
      <w:r w:rsidR="00250529" w:rsidRPr="00667052">
        <w:rPr>
          <w:rFonts w:asciiTheme="minorHAnsi" w:hAnsiTheme="minorHAnsi" w:cstheme="minorHAnsi"/>
          <w:sz w:val="24"/>
          <w:szCs w:val="24"/>
        </w:rPr>
        <w:t xml:space="preserve">The review of ITU’s Regional Presence will be conducted by the Secretary-General and supported by the Inter-Sectoral Task Force comprising the Directors of three Bureaux </w:t>
      </w:r>
      <w:r w:rsidR="00250529" w:rsidRPr="00667052">
        <w:rPr>
          <w:rFonts w:asciiTheme="minorHAnsi" w:hAnsiTheme="minorHAnsi" w:cstheme="minorHAnsi"/>
          <w:sz w:val="24"/>
          <w:szCs w:val="24"/>
        </w:rPr>
        <w:lastRenderedPageBreak/>
        <w:t xml:space="preserve">and their nominees, and ITU Regional Directors, and will be chaired by the ITU Deputy Secretary General. </w:t>
      </w:r>
    </w:p>
    <w:p w14:paraId="3ACAFBE6" w14:textId="1471C2F5" w:rsidR="00250529" w:rsidRPr="00667052" w:rsidRDefault="008C431B" w:rsidP="008C431B">
      <w:pPr>
        <w:pStyle w:val="Bulleta"/>
        <w:numPr>
          <w:ilvl w:val="0"/>
          <w:numId w:val="0"/>
        </w:numPr>
        <w:ind w:left="720" w:hanging="360"/>
        <w:jc w:val="both"/>
        <w:rPr>
          <w:rFonts w:asciiTheme="minorHAnsi" w:hAnsiTheme="minorHAnsi" w:cstheme="minorHAnsi"/>
          <w:sz w:val="24"/>
          <w:szCs w:val="24"/>
        </w:rPr>
      </w:pPr>
      <w:r w:rsidRPr="00667052">
        <w:rPr>
          <w:rFonts w:asciiTheme="minorHAnsi" w:hAnsiTheme="minorHAnsi" w:cstheme="minorHAnsi"/>
          <w:sz w:val="24"/>
          <w:szCs w:val="24"/>
        </w:rPr>
        <w:t>b)</w:t>
      </w:r>
      <w:r w:rsidRPr="00667052">
        <w:rPr>
          <w:rFonts w:asciiTheme="minorHAnsi" w:hAnsiTheme="minorHAnsi" w:cstheme="minorHAnsi"/>
          <w:sz w:val="24"/>
          <w:szCs w:val="24"/>
        </w:rPr>
        <w:tab/>
      </w:r>
      <w:r w:rsidR="00250529" w:rsidRPr="00667052">
        <w:rPr>
          <w:rFonts w:asciiTheme="minorHAnsi" w:hAnsiTheme="minorHAnsi" w:cstheme="minorHAnsi"/>
          <w:sz w:val="24"/>
          <w:szCs w:val="24"/>
        </w:rPr>
        <w:t xml:space="preserve">The review will be conducted within the approved ITU budget and existing human resources of the ITU. No external consultancy will be engaged. </w:t>
      </w:r>
    </w:p>
    <w:p w14:paraId="182E7DA0" w14:textId="678FD881" w:rsidR="00250529" w:rsidRPr="00667052" w:rsidRDefault="008C431B" w:rsidP="008C431B">
      <w:pPr>
        <w:pStyle w:val="Bulleta"/>
        <w:numPr>
          <w:ilvl w:val="0"/>
          <w:numId w:val="0"/>
        </w:numPr>
        <w:ind w:left="720" w:hanging="360"/>
        <w:jc w:val="both"/>
        <w:rPr>
          <w:rFonts w:asciiTheme="minorHAnsi" w:hAnsiTheme="minorHAnsi" w:cstheme="minorHAnsi"/>
          <w:sz w:val="24"/>
          <w:szCs w:val="24"/>
        </w:rPr>
      </w:pPr>
      <w:r w:rsidRPr="00667052">
        <w:rPr>
          <w:rFonts w:asciiTheme="minorHAnsi" w:hAnsiTheme="minorHAnsi" w:cstheme="minorHAnsi"/>
          <w:sz w:val="24"/>
          <w:szCs w:val="24"/>
        </w:rPr>
        <w:t>c)</w:t>
      </w:r>
      <w:r w:rsidRPr="00667052">
        <w:rPr>
          <w:rFonts w:asciiTheme="minorHAnsi" w:hAnsiTheme="minorHAnsi" w:cstheme="minorHAnsi"/>
          <w:sz w:val="24"/>
          <w:szCs w:val="24"/>
        </w:rPr>
        <w:tab/>
      </w:r>
      <w:r w:rsidR="00250529" w:rsidRPr="00667052">
        <w:rPr>
          <w:rFonts w:asciiTheme="minorHAnsi" w:hAnsiTheme="minorHAnsi" w:cstheme="minorHAnsi"/>
          <w:sz w:val="24"/>
          <w:szCs w:val="24"/>
        </w:rPr>
        <w:t xml:space="preserve">The Inter-Sectoral Task Force will mainly rely on the input by BDT throughout the review. BDT shall be responsible for conducting Phase 2 (Data collection and initial analysis) of the review (see section 2 below for a description of the four Phases). </w:t>
      </w:r>
    </w:p>
    <w:p w14:paraId="4A961926" w14:textId="023FE063" w:rsidR="00250529" w:rsidRPr="00986D12" w:rsidRDefault="008C431B" w:rsidP="008C431B">
      <w:pPr>
        <w:pStyle w:val="Bulleta"/>
        <w:numPr>
          <w:ilvl w:val="0"/>
          <w:numId w:val="0"/>
        </w:numPr>
        <w:ind w:left="720" w:hanging="360"/>
        <w:jc w:val="both"/>
        <w:rPr>
          <w:rFonts w:asciiTheme="minorHAnsi" w:hAnsiTheme="minorHAnsi" w:cstheme="minorHAnsi"/>
        </w:rPr>
      </w:pPr>
      <w:r w:rsidRPr="00986D12">
        <w:rPr>
          <w:rFonts w:asciiTheme="minorHAnsi" w:hAnsiTheme="minorHAnsi" w:cstheme="minorHAnsi"/>
        </w:rPr>
        <w:t>d)</w:t>
      </w:r>
      <w:r w:rsidRPr="00986D12">
        <w:rPr>
          <w:rFonts w:asciiTheme="minorHAnsi" w:hAnsiTheme="minorHAnsi" w:cstheme="minorHAnsi"/>
        </w:rPr>
        <w:tab/>
      </w:r>
      <w:r w:rsidR="00250529" w:rsidRPr="00667052">
        <w:rPr>
          <w:rFonts w:asciiTheme="minorHAnsi" w:hAnsiTheme="minorHAnsi" w:cstheme="minorHAnsi"/>
          <w:sz w:val="24"/>
          <w:szCs w:val="24"/>
        </w:rPr>
        <w:t>Member State engagement is agreed as a critical component of the Review. The Secretary-General will report on the implementation of the Review to CWG-FHR and ITU Council as required</w:t>
      </w:r>
      <w:r w:rsidR="00250529" w:rsidRPr="00986D12">
        <w:rPr>
          <w:rFonts w:asciiTheme="minorHAnsi" w:hAnsiTheme="minorHAnsi" w:cstheme="minorHAnsi"/>
        </w:rPr>
        <w:t xml:space="preserve">. </w:t>
      </w:r>
    </w:p>
    <w:p w14:paraId="7B4F9F37" w14:textId="2FC7E616" w:rsidR="00250529" w:rsidRPr="00986D12" w:rsidRDefault="00250529" w:rsidP="192E875C">
      <w:pPr>
        <w:jc w:val="both"/>
        <w:rPr>
          <w:rFonts w:asciiTheme="minorHAnsi" w:hAnsiTheme="minorHAnsi" w:cstheme="minorBidi"/>
          <w:highlight w:val="yellow"/>
          <w:lang w:val="en-US"/>
        </w:rPr>
      </w:pPr>
      <w:r w:rsidRPr="192E875C">
        <w:rPr>
          <w:rFonts w:asciiTheme="minorHAnsi" w:hAnsiTheme="minorHAnsi" w:cstheme="minorBidi"/>
          <w:lang w:val="en-US"/>
        </w:rPr>
        <w:t>An Inter-Sectoral Task Force (</w:t>
      </w:r>
      <w:proofErr w:type="spellStart"/>
      <w:r w:rsidRPr="192E875C">
        <w:rPr>
          <w:rFonts w:asciiTheme="minorHAnsi" w:hAnsiTheme="minorHAnsi" w:cstheme="minorBidi"/>
          <w:lang w:val="en-US"/>
        </w:rPr>
        <w:t>ISTF</w:t>
      </w:r>
      <w:proofErr w:type="spellEnd"/>
      <w:r w:rsidRPr="192E875C">
        <w:rPr>
          <w:rFonts w:asciiTheme="minorHAnsi" w:hAnsiTheme="minorHAnsi" w:cstheme="minorBidi"/>
          <w:lang w:val="en-US"/>
        </w:rPr>
        <w:t xml:space="preserve">) on the review of regional presence has been established, chaired by the Deputy Secretary-General, and includes Directors of the three Bureaux, the Regional Directors, and other representatives from the Development Bureau, Radiocommunication Bureau and Standardization Bureau, as well as the General Secretariat. </w:t>
      </w:r>
      <w:r w:rsidR="46678E85" w:rsidRPr="192E875C">
        <w:rPr>
          <w:rFonts w:asciiTheme="minorHAnsi" w:hAnsiTheme="minorHAnsi" w:cstheme="minorBidi"/>
          <w:lang w:val="en-US"/>
        </w:rPr>
        <w:t xml:space="preserve">The first </w:t>
      </w:r>
      <w:r w:rsidRPr="192E875C">
        <w:rPr>
          <w:rFonts w:asciiTheme="minorHAnsi" w:hAnsiTheme="minorHAnsi" w:cstheme="minorBidi"/>
          <w:lang w:val="en-US"/>
        </w:rPr>
        <w:t xml:space="preserve">meeting </w:t>
      </w:r>
      <w:r w:rsidR="2EE7F622" w:rsidRPr="192E875C">
        <w:rPr>
          <w:rFonts w:asciiTheme="minorHAnsi" w:hAnsiTheme="minorHAnsi" w:cstheme="minorBidi"/>
          <w:lang w:val="en-US"/>
        </w:rPr>
        <w:t xml:space="preserve">of the </w:t>
      </w:r>
      <w:proofErr w:type="spellStart"/>
      <w:r w:rsidR="2EE7F622" w:rsidRPr="192E875C">
        <w:rPr>
          <w:rFonts w:asciiTheme="minorHAnsi" w:hAnsiTheme="minorHAnsi" w:cstheme="minorBidi"/>
          <w:lang w:val="en-US"/>
        </w:rPr>
        <w:t>ISTF</w:t>
      </w:r>
      <w:proofErr w:type="spellEnd"/>
      <w:r w:rsidR="2EE7F622" w:rsidRPr="192E875C">
        <w:rPr>
          <w:rFonts w:asciiTheme="minorHAnsi" w:hAnsiTheme="minorHAnsi" w:cstheme="minorBidi"/>
          <w:lang w:val="en-US"/>
        </w:rPr>
        <w:t xml:space="preserve"> </w:t>
      </w:r>
      <w:r w:rsidRPr="192E875C">
        <w:rPr>
          <w:rFonts w:asciiTheme="minorHAnsi" w:hAnsiTheme="minorHAnsi" w:cstheme="minorBidi"/>
          <w:lang w:val="en-US"/>
        </w:rPr>
        <w:t>was held on 17 July 2025.</w:t>
      </w:r>
    </w:p>
    <w:p w14:paraId="389C0E12" w14:textId="22D2A094" w:rsidR="00250529" w:rsidRPr="00986D12" w:rsidRDefault="00250529" w:rsidP="192E875C">
      <w:pPr>
        <w:jc w:val="both"/>
        <w:rPr>
          <w:rFonts w:asciiTheme="minorHAnsi" w:hAnsiTheme="minorHAnsi" w:cstheme="minorBidi"/>
          <w:lang w:val="en-US"/>
        </w:rPr>
      </w:pPr>
      <w:r w:rsidRPr="192E875C">
        <w:rPr>
          <w:rFonts w:asciiTheme="minorHAnsi" w:hAnsiTheme="minorHAnsi" w:cstheme="minorBidi"/>
          <w:lang w:val="en-US"/>
        </w:rPr>
        <w:t xml:space="preserve">Accordingly, the review of the ITU Regional Presence is being undertaken per the </w:t>
      </w:r>
      <w:r w:rsidR="16D64F17" w:rsidRPr="192E875C">
        <w:rPr>
          <w:rFonts w:asciiTheme="minorHAnsi" w:hAnsiTheme="minorHAnsi" w:cstheme="minorBidi"/>
          <w:lang w:val="en-US"/>
        </w:rPr>
        <w:t xml:space="preserve">guidance </w:t>
      </w:r>
      <w:r w:rsidRPr="192E875C">
        <w:rPr>
          <w:rFonts w:asciiTheme="minorHAnsi" w:hAnsiTheme="minorHAnsi" w:cstheme="minorBidi"/>
          <w:lang w:val="en-US"/>
        </w:rPr>
        <w:t xml:space="preserve">of Council-25 (Report by the Chair of the Standing Committee on Administration and Management, Document </w:t>
      </w:r>
      <w:hyperlink r:id="rId18">
        <w:proofErr w:type="spellStart"/>
        <w:r w:rsidRPr="192E875C">
          <w:rPr>
            <w:rStyle w:val="Hyperlink"/>
            <w:rFonts w:asciiTheme="minorHAnsi" w:hAnsiTheme="minorHAnsi" w:cstheme="minorBidi"/>
            <w:b/>
            <w:bCs/>
            <w:color w:val="5F497A" w:themeColor="accent4" w:themeShade="BF"/>
            <w:lang w:val="en-US"/>
          </w:rPr>
          <w:t>C25</w:t>
        </w:r>
        <w:proofErr w:type="spellEnd"/>
        <w:r w:rsidRPr="192E875C">
          <w:rPr>
            <w:rStyle w:val="Hyperlink"/>
            <w:rFonts w:asciiTheme="minorHAnsi" w:hAnsiTheme="minorHAnsi" w:cstheme="minorBidi"/>
            <w:b/>
            <w:bCs/>
            <w:color w:val="5F497A" w:themeColor="accent4" w:themeShade="BF"/>
            <w:lang w:val="en-US"/>
          </w:rPr>
          <w:t>/105</w:t>
        </w:r>
      </w:hyperlink>
      <w:r w:rsidRPr="192E875C">
        <w:rPr>
          <w:rFonts w:asciiTheme="minorHAnsi" w:hAnsiTheme="minorHAnsi" w:cstheme="minorBidi"/>
          <w:color w:val="000000" w:themeColor="text1"/>
          <w:lang w:val="en-US"/>
        </w:rPr>
        <w:t>,</w:t>
      </w:r>
      <w:r w:rsidRPr="192E875C">
        <w:rPr>
          <w:rFonts w:asciiTheme="minorHAnsi" w:hAnsiTheme="minorHAnsi" w:cstheme="minorBidi"/>
          <w:color w:val="5F497A" w:themeColor="accent4" w:themeShade="BF"/>
          <w:lang w:val="en-US"/>
        </w:rPr>
        <w:t xml:space="preserve"> </w:t>
      </w:r>
      <w:r w:rsidRPr="192E875C">
        <w:rPr>
          <w:rFonts w:asciiTheme="minorHAnsi" w:hAnsiTheme="minorHAnsi" w:cstheme="minorBidi"/>
          <w:lang w:val="en-US"/>
        </w:rPr>
        <w:t>paragraph 26, Annex H, Annex A and Annex 1</w:t>
      </w:r>
      <w:r w:rsidRPr="192E875C">
        <w:rPr>
          <w:rStyle w:val="FootnoteReference"/>
          <w:rFonts w:asciiTheme="minorHAnsi" w:hAnsiTheme="minorHAnsi" w:cstheme="minorBidi"/>
          <w:lang w:val="en-US"/>
        </w:rPr>
        <w:footnoteReference w:id="3"/>
      </w:r>
      <w:r w:rsidRPr="192E875C">
        <w:rPr>
          <w:rFonts w:asciiTheme="minorHAnsi" w:hAnsiTheme="minorHAnsi" w:cstheme="minorBidi"/>
          <w:lang w:val="en-US"/>
        </w:rPr>
        <w:t>).</w:t>
      </w:r>
    </w:p>
    <w:p w14:paraId="55D4A393" w14:textId="77777777" w:rsidR="00250529" w:rsidRPr="00986D12" w:rsidRDefault="00250529" w:rsidP="000E12EC">
      <w:pPr>
        <w:pStyle w:val="Heading2"/>
      </w:pPr>
      <w:bookmarkStart w:id="45" w:name="_Toc224213023"/>
      <w:bookmarkStart w:id="46" w:name="_Toc225163566"/>
      <w:bookmarkStart w:id="47" w:name="_Toc225261093"/>
      <w:r w:rsidRPr="00986D12">
        <w:t>Structure of the review, timeline, and deliverables</w:t>
      </w:r>
      <w:bookmarkEnd w:id="45"/>
      <w:bookmarkEnd w:id="46"/>
      <w:bookmarkEnd w:id="47"/>
      <w:r w:rsidRPr="00986D12">
        <w:t xml:space="preserve"> </w:t>
      </w:r>
    </w:p>
    <w:p w14:paraId="599432D7" w14:textId="77777777" w:rsidR="00250529"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The review spanned 10 months from July 2025 to April 2026. It was carried out in four Phases as set out in Document </w:t>
      </w:r>
      <w:hyperlink r:id="rId19">
        <w:proofErr w:type="spellStart"/>
        <w:r w:rsidRPr="00986D12">
          <w:rPr>
            <w:rStyle w:val="Hyperlink"/>
            <w:rFonts w:asciiTheme="minorHAnsi" w:hAnsiTheme="minorHAnsi" w:cstheme="minorHAnsi"/>
            <w:color w:val="5F497A" w:themeColor="accent4" w:themeShade="BF"/>
            <w:lang w:val="en-US"/>
          </w:rPr>
          <w:t>C25</w:t>
        </w:r>
        <w:proofErr w:type="spellEnd"/>
        <w:r w:rsidRPr="00986D12">
          <w:rPr>
            <w:rStyle w:val="Hyperlink"/>
            <w:rFonts w:asciiTheme="minorHAnsi" w:hAnsiTheme="minorHAnsi" w:cstheme="minorHAnsi"/>
            <w:color w:val="5F497A" w:themeColor="accent4" w:themeShade="BF"/>
            <w:lang w:val="en-US"/>
          </w:rPr>
          <w:t>/69(</w:t>
        </w:r>
        <w:proofErr w:type="spellStart"/>
        <w:r w:rsidRPr="00986D12">
          <w:rPr>
            <w:rStyle w:val="Hyperlink"/>
            <w:rFonts w:asciiTheme="minorHAnsi" w:hAnsiTheme="minorHAnsi" w:cstheme="minorHAnsi"/>
            <w:color w:val="5F497A" w:themeColor="accent4" w:themeShade="BF"/>
            <w:lang w:val="en-US"/>
          </w:rPr>
          <w:t>Rev.1</w:t>
        </w:r>
        <w:proofErr w:type="spellEnd"/>
        <w:r w:rsidRPr="00986D12">
          <w:rPr>
            <w:rStyle w:val="Hyperlink"/>
            <w:rFonts w:asciiTheme="minorHAnsi" w:hAnsiTheme="minorHAnsi" w:cstheme="minorHAnsi"/>
            <w:color w:val="5F497A" w:themeColor="accent4" w:themeShade="BF"/>
            <w:lang w:val="en-US"/>
          </w:rPr>
          <w:t>)</w:t>
        </w:r>
      </w:hyperlink>
      <w:r w:rsidRPr="00986D12">
        <w:rPr>
          <w:rFonts w:asciiTheme="minorHAnsi" w:hAnsiTheme="minorHAnsi" w:cstheme="minorHAnsi"/>
          <w:lang w:val="en-US"/>
        </w:rPr>
        <w:t xml:space="preserve"> and as summarized in the table below. All phases have been completed. </w:t>
      </w:r>
    </w:p>
    <w:p w14:paraId="2464832D" w14:textId="77777777" w:rsidR="000B26B1" w:rsidRDefault="000B26B1" w:rsidP="00986D12">
      <w:pPr>
        <w:jc w:val="both"/>
        <w:rPr>
          <w:rFonts w:asciiTheme="minorHAnsi" w:hAnsiTheme="minorHAnsi" w:cstheme="minorHAnsi"/>
          <w:lang w:val="en-US"/>
        </w:rPr>
      </w:pPr>
    </w:p>
    <w:tbl>
      <w:tblPr>
        <w:tblStyle w:val="GridTable5Dark-Accent1"/>
        <w:tblW w:w="0" w:type="auto"/>
        <w:tblLook w:val="04A0" w:firstRow="1" w:lastRow="0" w:firstColumn="1" w:lastColumn="0" w:noHBand="0" w:noVBand="1"/>
      </w:tblPr>
      <w:tblGrid>
        <w:gridCol w:w="1635"/>
        <w:gridCol w:w="1950"/>
        <w:gridCol w:w="5476"/>
      </w:tblGrid>
      <w:tr w:rsidR="000B26B1" w14:paraId="6392DD94" w14:textId="77777777" w:rsidTr="192E87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tcPr>
          <w:p w14:paraId="17CB5B37" w14:textId="77777777" w:rsidR="000B26B1" w:rsidRDefault="000B26B1">
            <w:pPr>
              <w:pStyle w:val="Tabletitle0"/>
              <w:rPr>
                <w:rFonts w:asciiTheme="minorHAnsi" w:hAnsiTheme="minorHAnsi" w:cstheme="minorBidi"/>
              </w:rPr>
            </w:pPr>
            <w:r w:rsidRPr="0EDB9B28">
              <w:rPr>
                <w:rFonts w:asciiTheme="minorHAnsi" w:hAnsiTheme="minorHAnsi" w:cstheme="minorBidi"/>
              </w:rPr>
              <w:t xml:space="preserve">Phase </w:t>
            </w:r>
            <w:r>
              <w:br/>
            </w:r>
            <w:r w:rsidRPr="0EDB9B28">
              <w:rPr>
                <w:rFonts w:asciiTheme="minorHAnsi" w:hAnsiTheme="minorHAnsi" w:cstheme="minorBidi"/>
              </w:rPr>
              <w:t xml:space="preserve">(Progress) </w:t>
            </w:r>
          </w:p>
        </w:tc>
        <w:tc>
          <w:tcPr>
            <w:tcW w:w="1951" w:type="dxa"/>
          </w:tcPr>
          <w:p w14:paraId="6F7704B9" w14:textId="77777777" w:rsidR="000B26B1" w:rsidRDefault="000B26B1">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EDB9B28">
              <w:rPr>
                <w:rFonts w:asciiTheme="minorHAnsi" w:hAnsiTheme="minorHAnsi" w:cstheme="minorBidi"/>
              </w:rPr>
              <w:t>Time period</w:t>
            </w:r>
          </w:p>
        </w:tc>
        <w:tc>
          <w:tcPr>
            <w:tcW w:w="5479" w:type="dxa"/>
          </w:tcPr>
          <w:p w14:paraId="43FD32CE" w14:textId="77777777" w:rsidR="000B26B1" w:rsidRDefault="000B26B1">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EDB9B28">
              <w:rPr>
                <w:rFonts w:asciiTheme="minorHAnsi" w:hAnsiTheme="minorHAnsi" w:cstheme="minorBidi"/>
              </w:rPr>
              <w:t>Deliverables</w:t>
            </w:r>
          </w:p>
        </w:tc>
      </w:tr>
      <w:tr w:rsidR="000B26B1" w14:paraId="744639D3" w14:textId="77777777" w:rsidTr="192E8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tcPr>
          <w:p w14:paraId="144B6151" w14:textId="77777777" w:rsidR="000B26B1" w:rsidRDefault="000B26B1">
            <w:pPr>
              <w:pStyle w:val="Texttable"/>
              <w:rPr>
                <w:rFonts w:asciiTheme="minorHAnsi" w:hAnsiTheme="minorHAnsi" w:cstheme="minorBidi"/>
              </w:rPr>
            </w:pPr>
            <w:r w:rsidRPr="0EDB9B28">
              <w:rPr>
                <w:rFonts w:asciiTheme="minorHAnsi" w:hAnsiTheme="minorHAnsi" w:cstheme="minorBidi"/>
              </w:rPr>
              <w:t>Phase 1: Preliminary assessment</w:t>
            </w:r>
          </w:p>
        </w:tc>
        <w:tc>
          <w:tcPr>
            <w:tcW w:w="1951" w:type="dxa"/>
          </w:tcPr>
          <w:p w14:paraId="2AE11F24" w14:textId="77777777" w:rsidR="000B26B1" w:rsidRDefault="000B26B1">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EDB9B28">
              <w:rPr>
                <w:rFonts w:asciiTheme="minorHAnsi" w:hAnsiTheme="minorHAnsi" w:cstheme="minorBidi"/>
              </w:rPr>
              <w:t>July – August 2025</w:t>
            </w:r>
          </w:p>
        </w:tc>
        <w:tc>
          <w:tcPr>
            <w:tcW w:w="5479" w:type="dxa"/>
          </w:tcPr>
          <w:p w14:paraId="19748332" w14:textId="0F7B24CF" w:rsidR="000B26B1" w:rsidRDefault="008C431B" w:rsidP="008C431B">
            <w:pPr>
              <w:pStyle w:val="Tablelist"/>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Formation of the review team and establishment of working protocols.</w:t>
            </w:r>
          </w:p>
          <w:p w14:paraId="25D9C3D9" w14:textId="354E14A7" w:rsidR="000B26B1" w:rsidRDefault="008C431B" w:rsidP="008C431B">
            <w:pPr>
              <w:pStyle w:val="Tablelist"/>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Articulation of the objective of the review with methodology.</w:t>
            </w:r>
          </w:p>
          <w:p w14:paraId="2E3B1587" w14:textId="1686328D" w:rsidR="000B26B1" w:rsidRDefault="008C431B" w:rsidP="008C431B">
            <w:pPr>
              <w:pStyle w:val="Tablelist"/>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Development of tailored tools for data collection (e.g., surveys, interview questions).</w:t>
            </w:r>
          </w:p>
          <w:p w14:paraId="2BB5B0A3" w14:textId="4AA77D7E" w:rsidR="000B26B1" w:rsidRDefault="008C431B" w:rsidP="008C431B">
            <w:pPr>
              <w:pStyle w:val="Tablelist"/>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 xml:space="preserve">Alignment of review metrics with ITU’s </w:t>
            </w:r>
            <w:proofErr w:type="spellStart"/>
            <w:r w:rsidR="000B26B1" w:rsidRPr="0EDB9B28">
              <w:rPr>
                <w:rFonts w:asciiTheme="minorHAnsi" w:hAnsiTheme="minorHAnsi" w:cstheme="minorBidi"/>
              </w:rPr>
              <w:t>KPIs</w:t>
            </w:r>
            <w:proofErr w:type="spellEnd"/>
            <w:r w:rsidR="000B26B1" w:rsidRPr="0EDB9B28">
              <w:rPr>
                <w:rFonts w:asciiTheme="minorHAnsi" w:hAnsiTheme="minorHAnsi" w:cstheme="minorBidi"/>
              </w:rPr>
              <w:t xml:space="preserve"> and strategic objectives.</w:t>
            </w:r>
          </w:p>
        </w:tc>
      </w:tr>
      <w:tr w:rsidR="000B26B1" w14:paraId="26534592" w14:textId="77777777" w:rsidTr="192E875C">
        <w:trPr>
          <w:trHeight w:val="300"/>
        </w:trPr>
        <w:tc>
          <w:tcPr>
            <w:cnfStyle w:val="001000000000" w:firstRow="0" w:lastRow="0" w:firstColumn="1" w:lastColumn="0" w:oddVBand="0" w:evenVBand="0" w:oddHBand="0" w:evenHBand="0" w:firstRowFirstColumn="0" w:firstRowLastColumn="0" w:lastRowFirstColumn="0" w:lastRowLastColumn="0"/>
            <w:tcW w:w="1635" w:type="dxa"/>
          </w:tcPr>
          <w:p w14:paraId="452540F9" w14:textId="77777777" w:rsidR="000B26B1" w:rsidRDefault="000B26B1">
            <w:pPr>
              <w:pStyle w:val="Texttable"/>
              <w:rPr>
                <w:rFonts w:asciiTheme="minorHAnsi" w:hAnsiTheme="minorHAnsi" w:cstheme="minorBidi"/>
              </w:rPr>
            </w:pPr>
            <w:r w:rsidRPr="0EDB9B28">
              <w:rPr>
                <w:rFonts w:asciiTheme="minorHAnsi" w:hAnsiTheme="minorHAnsi" w:cstheme="minorBidi"/>
              </w:rPr>
              <w:t xml:space="preserve">Phase 2: </w:t>
            </w:r>
            <w:r>
              <w:br/>
            </w:r>
            <w:r w:rsidRPr="0EDB9B28">
              <w:rPr>
                <w:rFonts w:asciiTheme="minorHAnsi" w:hAnsiTheme="minorHAnsi" w:cstheme="minorBidi"/>
              </w:rPr>
              <w:t>Data collection and initial analysis</w:t>
            </w:r>
          </w:p>
        </w:tc>
        <w:tc>
          <w:tcPr>
            <w:tcW w:w="1951" w:type="dxa"/>
          </w:tcPr>
          <w:p w14:paraId="413A6AE5" w14:textId="661FAAA5" w:rsidR="000B26B1" w:rsidRDefault="5C25CD22" w:rsidP="192E875C">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192E875C">
              <w:rPr>
                <w:rFonts w:asciiTheme="minorHAnsi" w:hAnsiTheme="minorHAnsi" w:cstheme="minorBidi"/>
              </w:rPr>
              <w:t>September – November 2025</w:t>
            </w:r>
          </w:p>
        </w:tc>
        <w:tc>
          <w:tcPr>
            <w:tcW w:w="5479" w:type="dxa"/>
          </w:tcPr>
          <w:p w14:paraId="7923B63E" w14:textId="6B377C46" w:rsidR="000B26B1" w:rsidRDefault="008C431B" w:rsidP="008C431B">
            <w:pPr>
              <w:pStyle w:val="Tablelist"/>
              <w:numPr>
                <w:ilvl w:val="0"/>
                <w:numId w:val="0"/>
              </w:numPr>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Implementation of interviews and surveys across stakeholder groups.</w:t>
            </w:r>
          </w:p>
          <w:p w14:paraId="6A136DAB" w14:textId="53C943B6" w:rsidR="000B26B1" w:rsidRDefault="008C431B" w:rsidP="008C431B">
            <w:pPr>
              <w:pStyle w:val="Tablelist"/>
              <w:numPr>
                <w:ilvl w:val="0"/>
                <w:numId w:val="0"/>
              </w:numPr>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Benchmarking exercises.</w:t>
            </w:r>
          </w:p>
          <w:p w14:paraId="066330C9" w14:textId="07333D74" w:rsidR="000B26B1" w:rsidRDefault="008C431B" w:rsidP="008C431B">
            <w:pPr>
              <w:pStyle w:val="Tablelist"/>
              <w:numPr>
                <w:ilvl w:val="0"/>
                <w:numId w:val="0"/>
              </w:numPr>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Symbol" w:hAnsi="Symbol" w:cstheme="minorBidi"/>
              </w:rPr>
              <w:lastRenderedPageBreak/>
              <w:t></w:t>
            </w:r>
            <w:r>
              <w:rPr>
                <w:rFonts w:ascii="Symbol" w:hAnsi="Symbol" w:cstheme="minorBidi"/>
              </w:rPr>
              <w:tab/>
            </w:r>
            <w:r w:rsidR="000B26B1" w:rsidRPr="0EDB9B28">
              <w:rPr>
                <w:rFonts w:asciiTheme="minorHAnsi" w:hAnsiTheme="minorHAnsi" w:cstheme="minorBidi"/>
              </w:rPr>
              <w:t>Initial analysis and identification of emerging patterns and key themes.</w:t>
            </w:r>
          </w:p>
        </w:tc>
      </w:tr>
      <w:tr w:rsidR="000B26B1" w14:paraId="06F87FBF" w14:textId="77777777" w:rsidTr="192E8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tcPr>
          <w:p w14:paraId="63A0AE81" w14:textId="77777777" w:rsidR="000B26B1" w:rsidRDefault="000B26B1">
            <w:pPr>
              <w:pStyle w:val="Texttable"/>
              <w:rPr>
                <w:rFonts w:asciiTheme="minorHAnsi" w:hAnsiTheme="minorHAnsi" w:cstheme="minorBidi"/>
              </w:rPr>
            </w:pPr>
            <w:r w:rsidRPr="0EDB9B28">
              <w:rPr>
                <w:rFonts w:asciiTheme="minorHAnsi" w:hAnsiTheme="minorHAnsi" w:cstheme="minorBidi"/>
              </w:rPr>
              <w:lastRenderedPageBreak/>
              <w:t>Phase 3: Detailed analysis and drafting</w:t>
            </w:r>
          </w:p>
        </w:tc>
        <w:tc>
          <w:tcPr>
            <w:tcW w:w="1951" w:type="dxa"/>
          </w:tcPr>
          <w:p w14:paraId="26537B1C" w14:textId="5CF2B175" w:rsidR="000B26B1" w:rsidRDefault="5C25CD22" w:rsidP="192E875C">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192E875C">
              <w:rPr>
                <w:rFonts w:asciiTheme="minorHAnsi" w:hAnsiTheme="minorHAnsi" w:cstheme="minorBidi"/>
              </w:rPr>
              <w:t xml:space="preserve">December 2025 – February 2026 </w:t>
            </w:r>
          </w:p>
        </w:tc>
        <w:tc>
          <w:tcPr>
            <w:tcW w:w="5479" w:type="dxa"/>
          </w:tcPr>
          <w:p w14:paraId="6BA69864" w14:textId="71ACA498" w:rsidR="000B26B1" w:rsidRDefault="008C431B" w:rsidP="008C431B">
            <w:pPr>
              <w:pStyle w:val="Tablelist"/>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Comprehensive analysis of findings based on the initial analysis.</w:t>
            </w:r>
          </w:p>
          <w:p w14:paraId="71312F82" w14:textId="7ACBA602" w:rsidR="000B26B1" w:rsidRDefault="008C431B" w:rsidP="008C431B">
            <w:pPr>
              <w:pStyle w:val="Tablelist"/>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Preparation of a draft review report including preliminary recommendations.</w:t>
            </w:r>
          </w:p>
        </w:tc>
      </w:tr>
      <w:tr w:rsidR="000B26B1" w14:paraId="017B75A0" w14:textId="77777777" w:rsidTr="192E875C">
        <w:trPr>
          <w:trHeight w:val="300"/>
        </w:trPr>
        <w:tc>
          <w:tcPr>
            <w:cnfStyle w:val="001000000000" w:firstRow="0" w:lastRow="0" w:firstColumn="1" w:lastColumn="0" w:oddVBand="0" w:evenVBand="0" w:oddHBand="0" w:evenHBand="0" w:firstRowFirstColumn="0" w:firstRowLastColumn="0" w:lastRowFirstColumn="0" w:lastRowLastColumn="0"/>
            <w:tcW w:w="1635" w:type="dxa"/>
          </w:tcPr>
          <w:p w14:paraId="06497D0F" w14:textId="77777777" w:rsidR="000B26B1" w:rsidRDefault="000B26B1">
            <w:pPr>
              <w:pStyle w:val="Texttable"/>
              <w:rPr>
                <w:rFonts w:asciiTheme="minorHAnsi" w:hAnsiTheme="minorHAnsi" w:cstheme="minorBidi"/>
              </w:rPr>
            </w:pPr>
            <w:r w:rsidRPr="0EDB9B28">
              <w:rPr>
                <w:rFonts w:asciiTheme="minorHAnsi" w:hAnsiTheme="minorHAnsi" w:cstheme="minorBidi"/>
              </w:rPr>
              <w:t>Phase 4: Validation and reporting</w:t>
            </w:r>
          </w:p>
        </w:tc>
        <w:tc>
          <w:tcPr>
            <w:tcW w:w="1951" w:type="dxa"/>
          </w:tcPr>
          <w:p w14:paraId="4C4F648B" w14:textId="77777777" w:rsidR="000B26B1" w:rsidRDefault="000B26B1">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EDB9B28">
              <w:rPr>
                <w:rFonts w:asciiTheme="minorHAnsi" w:hAnsiTheme="minorHAnsi" w:cstheme="minorBidi"/>
              </w:rPr>
              <w:t>March – April 2026</w:t>
            </w:r>
          </w:p>
        </w:tc>
        <w:tc>
          <w:tcPr>
            <w:tcW w:w="5479" w:type="dxa"/>
          </w:tcPr>
          <w:p w14:paraId="1CD0F5E6" w14:textId="3B746175" w:rsidR="000B26B1" w:rsidRDefault="008C431B" w:rsidP="008C431B">
            <w:pPr>
              <w:pStyle w:val="Tablelist"/>
              <w:numPr>
                <w:ilvl w:val="0"/>
                <w:numId w:val="0"/>
              </w:numPr>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 xml:space="preserve">Validation of the draft review report. </w:t>
            </w:r>
          </w:p>
          <w:p w14:paraId="17764463" w14:textId="0176890D" w:rsidR="000B26B1" w:rsidRDefault="008C431B" w:rsidP="008C431B">
            <w:pPr>
              <w:pStyle w:val="Tablelist"/>
              <w:numPr>
                <w:ilvl w:val="0"/>
                <w:numId w:val="0"/>
              </w:numPr>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 xml:space="preserve">Incorporation of feedback from validation. </w:t>
            </w:r>
          </w:p>
          <w:p w14:paraId="2F2A368C" w14:textId="0989AB1F" w:rsidR="000B26B1" w:rsidRDefault="008C431B" w:rsidP="008C431B">
            <w:pPr>
              <w:pStyle w:val="Tablelist"/>
              <w:numPr>
                <w:ilvl w:val="0"/>
                <w:numId w:val="0"/>
              </w:numPr>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Symbol" w:hAnsi="Symbol" w:cstheme="minorBidi"/>
              </w:rPr>
              <w:t></w:t>
            </w:r>
            <w:r>
              <w:rPr>
                <w:rFonts w:ascii="Symbol" w:hAnsi="Symbol" w:cstheme="minorBidi"/>
              </w:rPr>
              <w:tab/>
            </w:r>
            <w:r w:rsidR="000B26B1" w:rsidRPr="0EDB9B28">
              <w:rPr>
                <w:rFonts w:asciiTheme="minorHAnsi" w:hAnsiTheme="minorHAnsi" w:cstheme="minorBidi"/>
              </w:rPr>
              <w:t>Drafting of the final review report for consideration by the Council and the 2026 Plenipotentiary Conference (PP-26).</w:t>
            </w:r>
          </w:p>
        </w:tc>
      </w:tr>
    </w:tbl>
    <w:p w14:paraId="5D74A718" w14:textId="77777777" w:rsidR="00986D12" w:rsidRPr="00986D12" w:rsidRDefault="00986D12" w:rsidP="00986D12">
      <w:pPr>
        <w:jc w:val="both"/>
        <w:rPr>
          <w:rFonts w:asciiTheme="minorHAnsi" w:hAnsiTheme="minorHAnsi" w:cstheme="minorHAnsi"/>
        </w:rPr>
      </w:pPr>
    </w:p>
    <w:p w14:paraId="60EAD8EA" w14:textId="77777777" w:rsidR="00250529" w:rsidRPr="00986D12" w:rsidRDefault="00250529" w:rsidP="000E12EC">
      <w:pPr>
        <w:pStyle w:val="Heading2"/>
      </w:pPr>
      <w:bookmarkStart w:id="48" w:name="_Toc224213024"/>
      <w:bookmarkStart w:id="49" w:name="_Toc225163567"/>
      <w:bookmarkStart w:id="50" w:name="_Toc225261094"/>
      <w:r w:rsidRPr="000E12EC">
        <w:t>Work</w:t>
      </w:r>
      <w:r w:rsidRPr="00986D12">
        <w:t xml:space="preserve"> carried out by the BDT</w:t>
      </w:r>
      <w:bookmarkEnd w:id="48"/>
      <w:bookmarkEnd w:id="49"/>
      <w:bookmarkEnd w:id="50"/>
    </w:p>
    <w:p w14:paraId="2C90658C" w14:textId="77777777" w:rsidR="00250529" w:rsidRPr="00986D12" w:rsidRDefault="00250529" w:rsidP="00986D12">
      <w:pPr>
        <w:jc w:val="both"/>
        <w:rPr>
          <w:rFonts w:asciiTheme="minorHAnsi" w:hAnsiTheme="minorHAnsi" w:cstheme="minorHAnsi"/>
          <w:b/>
          <w:lang w:val="en-US"/>
        </w:rPr>
      </w:pPr>
      <w:r w:rsidRPr="00986D12">
        <w:rPr>
          <w:rFonts w:asciiTheme="minorHAnsi" w:hAnsiTheme="minorHAnsi" w:cstheme="minorHAnsi"/>
          <w:lang w:val="en-US"/>
        </w:rPr>
        <w:t xml:space="preserve">As an input to the preparation of the ITU Secretary-General’s report on the implementation of </w:t>
      </w:r>
      <w:hyperlink r:id="rId20">
        <w:r w:rsidRPr="00986D12">
          <w:rPr>
            <w:rStyle w:val="Hyperlink"/>
            <w:rFonts w:asciiTheme="minorHAnsi" w:hAnsiTheme="minorHAnsi" w:cstheme="minorHAnsi"/>
            <w:color w:val="5F497A" w:themeColor="accent4" w:themeShade="BF"/>
            <w:lang w:val="en-US"/>
          </w:rPr>
          <w:t>Resolution 25 (Rev. Bucharest, 2022)</w:t>
        </w:r>
      </w:hyperlink>
      <w:r w:rsidRPr="00986D12">
        <w:rPr>
          <w:rFonts w:asciiTheme="minorHAnsi" w:hAnsiTheme="minorHAnsi" w:cstheme="minorHAnsi"/>
          <w:lang w:val="en-US"/>
        </w:rPr>
        <w:t xml:space="preserve"> of the Plenipotentiary on Strengthening the ITU Regional Presence, the BDT has undertaken the following activities:</w:t>
      </w:r>
    </w:p>
    <w:p w14:paraId="3A946BD9" w14:textId="26399158" w:rsidR="00250529" w:rsidRPr="008C431B" w:rsidRDefault="008C431B" w:rsidP="008C431B">
      <w:pPr>
        <w:spacing w:before="60" w:after="60"/>
        <w:ind w:left="714" w:hanging="357"/>
        <w:jc w:val="both"/>
        <w:rPr>
          <w:rFonts w:asciiTheme="minorHAnsi" w:hAnsiTheme="minorHAnsi" w:cstheme="minorHAnsi"/>
          <w:lang w:val="en-US"/>
        </w:rPr>
      </w:pPr>
      <w:r w:rsidRPr="00986D12">
        <w:rPr>
          <w:rFonts w:asciiTheme="minorHAnsi" w:eastAsia="Aptos" w:hAnsiTheme="minorHAnsi" w:cstheme="minorHAnsi"/>
          <w:kern w:val="2"/>
          <w:sz w:val="22"/>
          <w:szCs w:val="22"/>
          <w:lang w:val="en-US"/>
          <w14:ligatures w14:val="standardContextual"/>
        </w:rPr>
        <w:t>a)</w:t>
      </w:r>
      <w:r w:rsidRPr="00986D12">
        <w:rPr>
          <w:rFonts w:asciiTheme="minorHAnsi" w:eastAsia="Aptos" w:hAnsiTheme="minorHAnsi" w:cstheme="minorHAnsi"/>
          <w:kern w:val="2"/>
          <w:sz w:val="22"/>
          <w:szCs w:val="22"/>
          <w:lang w:val="en-US"/>
          <w14:ligatures w14:val="standardContextual"/>
        </w:rPr>
        <w:tab/>
      </w:r>
      <w:r w:rsidR="00250529" w:rsidRPr="008C431B">
        <w:rPr>
          <w:rFonts w:asciiTheme="minorHAnsi" w:hAnsiTheme="minorHAnsi" w:cstheme="minorHAnsi"/>
          <w:lang w:val="en-US"/>
        </w:rPr>
        <w:t>Design and Launch of the ITU Membership Survey</w:t>
      </w:r>
    </w:p>
    <w:p w14:paraId="6AFA4250" w14:textId="62194082" w:rsidR="00250529" w:rsidRPr="008C431B" w:rsidRDefault="008C431B" w:rsidP="008C431B">
      <w:pPr>
        <w:spacing w:before="60" w:after="60"/>
        <w:ind w:left="714" w:hanging="357"/>
        <w:jc w:val="both"/>
        <w:rPr>
          <w:rFonts w:asciiTheme="minorHAnsi" w:hAnsiTheme="minorHAnsi" w:cstheme="minorHAnsi"/>
          <w:lang w:val="en-US"/>
        </w:rPr>
      </w:pPr>
      <w:r w:rsidRPr="00986D12">
        <w:rPr>
          <w:rFonts w:asciiTheme="minorHAnsi" w:eastAsia="Aptos" w:hAnsiTheme="minorHAnsi" w:cstheme="minorHAnsi"/>
          <w:kern w:val="2"/>
          <w:sz w:val="22"/>
          <w:szCs w:val="22"/>
          <w:lang w:val="en-US"/>
          <w14:ligatures w14:val="standardContextual"/>
        </w:rPr>
        <w:t>b)</w:t>
      </w:r>
      <w:r w:rsidRPr="00986D12">
        <w:rPr>
          <w:rFonts w:asciiTheme="minorHAnsi" w:eastAsia="Aptos" w:hAnsiTheme="minorHAnsi" w:cstheme="minorHAnsi"/>
          <w:kern w:val="2"/>
          <w:sz w:val="22"/>
          <w:szCs w:val="22"/>
          <w:lang w:val="en-US"/>
          <w14:ligatures w14:val="standardContextual"/>
        </w:rPr>
        <w:tab/>
      </w:r>
      <w:r w:rsidR="00250529" w:rsidRPr="008C431B">
        <w:rPr>
          <w:rFonts w:asciiTheme="minorHAnsi" w:hAnsiTheme="minorHAnsi" w:cstheme="minorHAnsi"/>
          <w:lang w:val="en-US"/>
        </w:rPr>
        <w:t>Desk Review</w:t>
      </w:r>
    </w:p>
    <w:p w14:paraId="1DCEF924" w14:textId="169C5521" w:rsidR="00250529" w:rsidRPr="008C431B" w:rsidRDefault="008C431B" w:rsidP="008C431B">
      <w:pPr>
        <w:spacing w:before="60" w:after="60"/>
        <w:ind w:left="714" w:hanging="357"/>
        <w:jc w:val="both"/>
        <w:rPr>
          <w:rFonts w:asciiTheme="minorHAnsi" w:hAnsiTheme="minorHAnsi" w:cstheme="minorHAnsi"/>
          <w:lang w:val="en-US"/>
        </w:rPr>
      </w:pPr>
      <w:r w:rsidRPr="00986D12">
        <w:rPr>
          <w:rFonts w:asciiTheme="minorHAnsi" w:eastAsia="Aptos" w:hAnsiTheme="minorHAnsi" w:cstheme="minorHAnsi"/>
          <w:kern w:val="2"/>
          <w:sz w:val="22"/>
          <w:szCs w:val="22"/>
          <w:lang w:val="en-US"/>
          <w14:ligatures w14:val="standardContextual"/>
        </w:rPr>
        <w:t>c)</w:t>
      </w:r>
      <w:r w:rsidRPr="00986D12">
        <w:rPr>
          <w:rFonts w:asciiTheme="minorHAnsi" w:eastAsia="Aptos" w:hAnsiTheme="minorHAnsi" w:cstheme="minorHAnsi"/>
          <w:kern w:val="2"/>
          <w:sz w:val="22"/>
          <w:szCs w:val="22"/>
          <w:lang w:val="en-US"/>
          <w14:ligatures w14:val="standardContextual"/>
        </w:rPr>
        <w:tab/>
      </w:r>
      <w:r w:rsidR="00250529" w:rsidRPr="008C431B">
        <w:rPr>
          <w:rFonts w:asciiTheme="minorHAnsi" w:hAnsiTheme="minorHAnsi" w:cstheme="minorHAnsi"/>
          <w:lang w:val="en-US"/>
        </w:rPr>
        <w:t xml:space="preserve">Stakeholder Consultation including the Design and Launch of the Internal Assessment (IA) Survey, and interviews of RTOs </w:t>
      </w:r>
    </w:p>
    <w:p w14:paraId="28389A25" w14:textId="70B2B223" w:rsidR="00250529" w:rsidRPr="008C431B" w:rsidRDefault="008C431B" w:rsidP="008C431B">
      <w:pPr>
        <w:spacing w:before="60" w:after="60"/>
        <w:ind w:left="714" w:hanging="357"/>
        <w:jc w:val="both"/>
        <w:rPr>
          <w:rFonts w:asciiTheme="minorHAnsi" w:hAnsiTheme="minorHAnsi" w:cstheme="minorHAnsi"/>
          <w:lang w:val="en-US"/>
        </w:rPr>
      </w:pPr>
      <w:r w:rsidRPr="00986D12">
        <w:rPr>
          <w:rFonts w:asciiTheme="minorHAnsi" w:eastAsia="Aptos" w:hAnsiTheme="minorHAnsi" w:cstheme="minorHAnsi"/>
          <w:kern w:val="2"/>
          <w:sz w:val="22"/>
          <w:szCs w:val="22"/>
          <w:lang w:val="en-US"/>
          <w14:ligatures w14:val="standardContextual"/>
        </w:rPr>
        <w:t>d)</w:t>
      </w:r>
      <w:r w:rsidRPr="00986D12">
        <w:rPr>
          <w:rFonts w:asciiTheme="minorHAnsi" w:eastAsia="Aptos" w:hAnsiTheme="minorHAnsi" w:cstheme="minorHAnsi"/>
          <w:kern w:val="2"/>
          <w:sz w:val="22"/>
          <w:szCs w:val="22"/>
          <w:lang w:val="en-US"/>
          <w14:ligatures w14:val="standardContextual"/>
        </w:rPr>
        <w:tab/>
      </w:r>
      <w:r w:rsidR="00250529" w:rsidRPr="008C431B">
        <w:rPr>
          <w:rFonts w:asciiTheme="minorHAnsi" w:hAnsiTheme="minorHAnsi" w:cstheme="minorHAnsi"/>
          <w:lang w:val="en-US"/>
        </w:rPr>
        <w:t>Periodic reporting as per the instructions of CWG-FHR and Council</w:t>
      </w:r>
    </w:p>
    <w:p w14:paraId="1E7E3C89"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lang w:val="en-US"/>
        </w:rPr>
        <w:t>Further details of the above activities can be found in the body of the report.</w:t>
      </w:r>
    </w:p>
    <w:p w14:paraId="6BE504FF" w14:textId="77777777" w:rsidR="00250529" w:rsidRPr="00986D12" w:rsidRDefault="00250529" w:rsidP="000E12EC">
      <w:pPr>
        <w:pStyle w:val="Heading1"/>
      </w:pPr>
      <w:bookmarkStart w:id="51" w:name="_Toc224213025"/>
      <w:bookmarkStart w:id="52" w:name="_Toc225163568"/>
      <w:bookmarkStart w:id="53" w:name="_Toc225261095"/>
      <w:r w:rsidRPr="000E12EC">
        <w:t>Methodology</w:t>
      </w:r>
      <w:bookmarkEnd w:id="51"/>
      <w:bookmarkEnd w:id="52"/>
      <w:bookmarkEnd w:id="53"/>
    </w:p>
    <w:p w14:paraId="4BFD9170" w14:textId="77777777" w:rsidR="00250529" w:rsidRDefault="00250529" w:rsidP="00507BF5">
      <w:pPr>
        <w:rPr>
          <w:rFonts w:asciiTheme="minorHAnsi" w:hAnsiTheme="minorHAnsi" w:cstheme="minorHAnsi"/>
          <w:lang w:val="en-US"/>
        </w:rPr>
      </w:pPr>
      <w:r w:rsidRPr="00986D12">
        <w:rPr>
          <w:rFonts w:asciiTheme="minorHAnsi" w:hAnsiTheme="minorHAnsi" w:cstheme="minorHAnsi"/>
          <w:lang w:val="en-US"/>
        </w:rPr>
        <w:t xml:space="preserve">The methodology of the Review followed the </w:t>
      </w:r>
      <w:proofErr w:type="spellStart"/>
      <w:r w:rsidRPr="00986D12">
        <w:rPr>
          <w:rFonts w:asciiTheme="minorHAnsi" w:hAnsiTheme="minorHAnsi" w:cstheme="minorHAnsi"/>
          <w:lang w:val="en-US"/>
        </w:rPr>
        <w:t>ToR</w:t>
      </w:r>
      <w:proofErr w:type="spellEnd"/>
      <w:r w:rsidRPr="00986D12">
        <w:rPr>
          <w:rFonts w:asciiTheme="minorHAnsi" w:hAnsiTheme="minorHAnsi" w:cstheme="minorHAnsi"/>
          <w:lang w:val="en-US"/>
        </w:rPr>
        <w:t xml:space="preserve"> agreed by membership as contained in Annex A and Annex 1 to Document </w:t>
      </w:r>
      <w:hyperlink r:id="rId21">
        <w:proofErr w:type="spellStart"/>
        <w:r w:rsidRPr="00986D12">
          <w:rPr>
            <w:rStyle w:val="Hyperlink"/>
            <w:rFonts w:asciiTheme="minorHAnsi" w:hAnsiTheme="minorHAnsi" w:cstheme="minorHAnsi"/>
            <w:color w:val="5F497A" w:themeColor="accent4" w:themeShade="BF"/>
            <w:lang w:val="en-US"/>
          </w:rPr>
          <w:t>C25</w:t>
        </w:r>
        <w:proofErr w:type="spellEnd"/>
        <w:r w:rsidRPr="00986D12">
          <w:rPr>
            <w:rStyle w:val="Hyperlink"/>
            <w:rFonts w:asciiTheme="minorHAnsi" w:hAnsiTheme="minorHAnsi" w:cstheme="minorHAnsi"/>
            <w:color w:val="5F497A" w:themeColor="accent4" w:themeShade="BF"/>
            <w:lang w:val="en-US"/>
          </w:rPr>
          <w:t>/105</w:t>
        </w:r>
      </w:hyperlink>
      <w:r w:rsidRPr="00986D12">
        <w:rPr>
          <w:rFonts w:asciiTheme="minorHAnsi" w:hAnsiTheme="minorHAnsi" w:cstheme="minorHAnsi"/>
          <w:lang w:val="en-US"/>
        </w:rPr>
        <w:t>,</w:t>
      </w:r>
      <w:r w:rsidRPr="00986D12">
        <w:rPr>
          <w:rFonts w:asciiTheme="minorHAnsi" w:hAnsiTheme="minorHAnsi" w:cstheme="minorHAnsi"/>
          <w:b/>
          <w:lang w:val="en-US"/>
        </w:rPr>
        <w:t xml:space="preserve"> </w:t>
      </w:r>
      <w:r w:rsidRPr="00986D12">
        <w:rPr>
          <w:rFonts w:asciiTheme="minorHAnsi" w:hAnsiTheme="minorHAnsi" w:cstheme="minorHAnsi"/>
          <w:lang w:val="en-US"/>
        </w:rPr>
        <w:t>as tabulated below.</w:t>
      </w:r>
    </w:p>
    <w:p w14:paraId="10825364" w14:textId="77777777" w:rsidR="00986D12" w:rsidRPr="00986D12" w:rsidRDefault="00986D12" w:rsidP="00507BF5">
      <w:pPr>
        <w:rPr>
          <w:rFonts w:asciiTheme="minorHAnsi" w:hAnsiTheme="minorHAnsi" w:cstheme="minorHAnsi"/>
          <w:lang w:val="en-US"/>
        </w:rPr>
      </w:pPr>
    </w:p>
    <w:tbl>
      <w:tblPr>
        <w:tblStyle w:val="GridTable5Dark-Accent1"/>
        <w:tblW w:w="0" w:type="auto"/>
        <w:tblLook w:val="0420" w:firstRow="1" w:lastRow="0" w:firstColumn="0" w:lastColumn="0" w:noHBand="0" w:noVBand="1"/>
      </w:tblPr>
      <w:tblGrid>
        <w:gridCol w:w="3114"/>
        <w:gridCol w:w="5902"/>
      </w:tblGrid>
      <w:tr w:rsidR="00250529" w:rsidRPr="00986D12" w14:paraId="04C05511" w14:textId="77777777" w:rsidTr="007B2205">
        <w:trPr>
          <w:cnfStyle w:val="100000000000" w:firstRow="1" w:lastRow="0" w:firstColumn="0" w:lastColumn="0" w:oddVBand="0" w:evenVBand="0" w:oddHBand="0" w:evenHBand="0" w:firstRowFirstColumn="0" w:firstRowLastColumn="0" w:lastRowFirstColumn="0" w:lastRowLastColumn="0"/>
        </w:trPr>
        <w:tc>
          <w:tcPr>
            <w:tcW w:w="3114" w:type="dxa"/>
          </w:tcPr>
          <w:p w14:paraId="59C1579E" w14:textId="77777777" w:rsidR="00250529" w:rsidRPr="00986D12" w:rsidRDefault="00250529" w:rsidP="00507BF5">
            <w:pPr>
              <w:pStyle w:val="Tabletitle0"/>
              <w:rPr>
                <w:rFonts w:asciiTheme="minorHAnsi" w:hAnsiTheme="minorHAnsi" w:cstheme="minorHAnsi"/>
                <w:b/>
              </w:rPr>
            </w:pPr>
            <w:r w:rsidRPr="00986D12">
              <w:rPr>
                <w:rFonts w:asciiTheme="minorHAnsi" w:hAnsiTheme="minorHAnsi" w:cstheme="minorHAnsi"/>
                <w:b/>
              </w:rPr>
              <w:t>Activity</w:t>
            </w:r>
          </w:p>
        </w:tc>
        <w:tc>
          <w:tcPr>
            <w:tcW w:w="5902" w:type="dxa"/>
          </w:tcPr>
          <w:p w14:paraId="694B31BF" w14:textId="77777777" w:rsidR="00250529" w:rsidRPr="00986D12" w:rsidRDefault="00250529" w:rsidP="00507BF5">
            <w:pPr>
              <w:pStyle w:val="Tabletitle0"/>
              <w:rPr>
                <w:rFonts w:asciiTheme="minorHAnsi" w:hAnsiTheme="minorHAnsi" w:cstheme="minorHAnsi"/>
                <w:b/>
              </w:rPr>
            </w:pPr>
            <w:r w:rsidRPr="00986D12">
              <w:rPr>
                <w:rFonts w:asciiTheme="minorHAnsi" w:hAnsiTheme="minorHAnsi" w:cstheme="minorHAnsi"/>
                <w:b/>
              </w:rPr>
              <w:t>Description</w:t>
            </w:r>
          </w:p>
        </w:tc>
      </w:tr>
      <w:tr w:rsidR="00250529" w:rsidRPr="00986D12" w14:paraId="4B9FF2E1" w14:textId="77777777" w:rsidTr="007B2205">
        <w:trPr>
          <w:cnfStyle w:val="000000100000" w:firstRow="0" w:lastRow="0" w:firstColumn="0" w:lastColumn="0" w:oddVBand="0" w:evenVBand="0" w:oddHBand="1" w:evenHBand="0" w:firstRowFirstColumn="0" w:firstRowLastColumn="0" w:lastRowFirstColumn="0" w:lastRowLastColumn="0"/>
        </w:trPr>
        <w:tc>
          <w:tcPr>
            <w:tcW w:w="3114" w:type="dxa"/>
          </w:tcPr>
          <w:p w14:paraId="618C1722"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Document analysis</w:t>
            </w:r>
          </w:p>
        </w:tc>
        <w:tc>
          <w:tcPr>
            <w:tcW w:w="5902" w:type="dxa"/>
          </w:tcPr>
          <w:p w14:paraId="566068C3"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Conduct a desk review of foundational documents, including Resolution 25, ITU’s strategic plans, and operational, performance and audit reports</w:t>
            </w:r>
          </w:p>
        </w:tc>
      </w:tr>
      <w:tr w:rsidR="00250529" w:rsidRPr="00986D12" w14:paraId="41D7A27E" w14:textId="77777777" w:rsidTr="007B2205">
        <w:tc>
          <w:tcPr>
            <w:tcW w:w="3114" w:type="dxa"/>
          </w:tcPr>
          <w:p w14:paraId="52358D1C"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Data analysis</w:t>
            </w:r>
          </w:p>
        </w:tc>
        <w:tc>
          <w:tcPr>
            <w:tcW w:w="5902" w:type="dxa"/>
          </w:tcPr>
          <w:p w14:paraId="6B73502C"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Analyse key data points, including staffing structures, budget allocations, and project outcomes, to uncover trends, gaps, and opportunities for enhancement</w:t>
            </w:r>
          </w:p>
        </w:tc>
      </w:tr>
      <w:tr w:rsidR="00250529" w:rsidRPr="00986D12" w14:paraId="6DF79F04" w14:textId="77777777" w:rsidTr="007B2205">
        <w:trPr>
          <w:cnfStyle w:val="000000100000" w:firstRow="0" w:lastRow="0" w:firstColumn="0" w:lastColumn="0" w:oddVBand="0" w:evenVBand="0" w:oddHBand="1" w:evenHBand="0" w:firstRowFirstColumn="0" w:firstRowLastColumn="0" w:lastRowFirstColumn="0" w:lastRowLastColumn="0"/>
        </w:trPr>
        <w:tc>
          <w:tcPr>
            <w:tcW w:w="3114" w:type="dxa"/>
          </w:tcPr>
          <w:p w14:paraId="08819504"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Stakeholder consultations</w:t>
            </w:r>
          </w:p>
        </w:tc>
        <w:tc>
          <w:tcPr>
            <w:tcW w:w="5902" w:type="dxa"/>
          </w:tcPr>
          <w:p w14:paraId="6E3E7ABD"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Engage internally with key stakeholders and consult with ITU advisory groups to gain insights and strategic guidance on shaping the future direction of ITU’s regional presence</w:t>
            </w:r>
          </w:p>
        </w:tc>
      </w:tr>
      <w:tr w:rsidR="00250529" w:rsidRPr="00986D12" w14:paraId="1FFFF5DD" w14:textId="77777777" w:rsidTr="007B2205">
        <w:tc>
          <w:tcPr>
            <w:tcW w:w="3114" w:type="dxa"/>
          </w:tcPr>
          <w:p w14:paraId="4F9C4E1E"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Stakeholder surveys</w:t>
            </w:r>
          </w:p>
        </w:tc>
        <w:tc>
          <w:tcPr>
            <w:tcW w:w="5902" w:type="dxa"/>
          </w:tcPr>
          <w:p w14:paraId="3A6DC3DE"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Administer and collect feedback on satisfaction levels from membership and Regional Telecommunication Organizations (RTOs) to gauge the impact of regional presence with the priority assessment of the overall satisfaction</w:t>
            </w:r>
          </w:p>
        </w:tc>
      </w:tr>
    </w:tbl>
    <w:p w14:paraId="3987ED70" w14:textId="77777777" w:rsidR="00250529" w:rsidRPr="00986D12" w:rsidRDefault="00250529" w:rsidP="192E875C">
      <w:pPr>
        <w:jc w:val="both"/>
        <w:rPr>
          <w:rFonts w:asciiTheme="minorHAnsi" w:hAnsiTheme="minorHAnsi" w:cstheme="minorBidi"/>
          <w:lang w:val="en-US"/>
        </w:rPr>
      </w:pPr>
      <w:r w:rsidRPr="192E875C">
        <w:rPr>
          <w:rFonts w:asciiTheme="minorHAnsi" w:hAnsiTheme="minorHAnsi" w:cstheme="minorBidi"/>
          <w:lang w:val="en-US"/>
        </w:rPr>
        <w:lastRenderedPageBreak/>
        <w:t xml:space="preserve">Accordingly, commencing its work after the first meeting of the Intersectoral Task Force on Regional Presence on 17 July 2025, BDT analyzed the 12 SoW items listed in Annex A and the 27 </w:t>
      </w:r>
      <w:proofErr w:type="spellStart"/>
      <w:r w:rsidRPr="192E875C">
        <w:rPr>
          <w:rFonts w:asciiTheme="minorHAnsi" w:hAnsiTheme="minorHAnsi" w:cstheme="minorBidi"/>
          <w:lang w:val="en-US"/>
        </w:rPr>
        <w:t>KPI</w:t>
      </w:r>
      <w:proofErr w:type="spellEnd"/>
      <w:r w:rsidRPr="192E875C">
        <w:rPr>
          <w:rFonts w:asciiTheme="minorHAnsi" w:hAnsiTheme="minorHAnsi" w:cstheme="minorBidi"/>
          <w:lang w:val="en-US"/>
        </w:rPr>
        <w:t xml:space="preserve"> listed in Annex 1 to Document </w:t>
      </w:r>
      <w:hyperlink r:id="rId22">
        <w:proofErr w:type="spellStart"/>
        <w:r w:rsidRPr="192E875C">
          <w:rPr>
            <w:rStyle w:val="Hyperlink"/>
            <w:rFonts w:asciiTheme="minorHAnsi" w:hAnsiTheme="minorHAnsi" w:cstheme="minorBidi"/>
            <w:color w:val="5F497A" w:themeColor="accent4" w:themeShade="BF"/>
            <w:lang w:val="en-US"/>
          </w:rPr>
          <w:t>C25</w:t>
        </w:r>
        <w:proofErr w:type="spellEnd"/>
        <w:r w:rsidRPr="192E875C">
          <w:rPr>
            <w:rStyle w:val="Hyperlink"/>
            <w:rFonts w:asciiTheme="minorHAnsi" w:hAnsiTheme="minorHAnsi" w:cstheme="minorBidi"/>
            <w:color w:val="5F497A" w:themeColor="accent4" w:themeShade="BF"/>
            <w:lang w:val="en-US"/>
          </w:rPr>
          <w:t>/105</w:t>
        </w:r>
      </w:hyperlink>
      <w:r w:rsidRPr="192E875C">
        <w:rPr>
          <w:rFonts w:asciiTheme="minorHAnsi" w:hAnsiTheme="minorHAnsi" w:cstheme="minorBidi"/>
          <w:lang w:val="en-US"/>
        </w:rPr>
        <w:t xml:space="preserve">. As a first step the </w:t>
      </w:r>
      <w:proofErr w:type="spellStart"/>
      <w:r w:rsidRPr="192E875C">
        <w:rPr>
          <w:rFonts w:asciiTheme="minorHAnsi" w:hAnsiTheme="minorHAnsi" w:cstheme="minorBidi"/>
          <w:lang w:val="en-US"/>
        </w:rPr>
        <w:t>KPIs</w:t>
      </w:r>
      <w:proofErr w:type="spellEnd"/>
      <w:r w:rsidRPr="192E875C">
        <w:rPr>
          <w:rFonts w:asciiTheme="minorHAnsi" w:hAnsiTheme="minorHAnsi" w:cstheme="minorBidi"/>
          <w:lang w:val="en-US"/>
        </w:rPr>
        <w:t xml:space="preserve"> were mapped to the 12 SoW items. The 27 </w:t>
      </w:r>
      <w:proofErr w:type="spellStart"/>
      <w:r w:rsidRPr="192E875C">
        <w:rPr>
          <w:rFonts w:asciiTheme="minorHAnsi" w:hAnsiTheme="minorHAnsi" w:cstheme="minorBidi"/>
          <w:lang w:val="en-US"/>
        </w:rPr>
        <w:t>KPI</w:t>
      </w:r>
      <w:proofErr w:type="spellEnd"/>
      <w:r w:rsidRPr="192E875C">
        <w:rPr>
          <w:rFonts w:asciiTheme="minorHAnsi" w:hAnsiTheme="minorHAnsi" w:cstheme="minorBidi"/>
          <w:lang w:val="en-US"/>
        </w:rPr>
        <w:t xml:space="preserve"> and 12 SoW items were studied to evaluate the primary and secondary data sources, i.e., whether it could be derived from the membership survey, or stakeholder consultations including the internal assessment survey, or desk research/ document analysis. Some </w:t>
      </w:r>
      <w:proofErr w:type="spellStart"/>
      <w:r w:rsidRPr="192E875C">
        <w:rPr>
          <w:rFonts w:asciiTheme="minorHAnsi" w:hAnsiTheme="minorHAnsi" w:cstheme="minorBidi"/>
          <w:lang w:val="en-US"/>
        </w:rPr>
        <w:t>KPIs</w:t>
      </w:r>
      <w:proofErr w:type="spellEnd"/>
      <w:r w:rsidRPr="192E875C">
        <w:rPr>
          <w:rFonts w:asciiTheme="minorHAnsi" w:hAnsiTheme="minorHAnsi" w:cstheme="minorBidi"/>
          <w:lang w:val="en-US"/>
        </w:rPr>
        <w:t xml:space="preserve"> were mapped to two or more data sources. </w:t>
      </w:r>
    </w:p>
    <w:p w14:paraId="2EACA679"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BDT designed and implemented the Membership survey and carried out desk research by identifying documentary sources and collecting data from relevant reliable sources. Document analysis also encompassed benchmarking against similarly placed UN organizations. The findings of the Membership Survey and desk research were supplemented with data from stakeholder consultation including interviews of RTOs to supplement the feedback from the Membership survey, the findings of the Internal Assessment survey as well as other stakeholder feedback. Once data had been collected and collated, it was analyzed per </w:t>
      </w:r>
      <w:proofErr w:type="spellStart"/>
      <w:r w:rsidRPr="00986D12">
        <w:rPr>
          <w:rFonts w:asciiTheme="minorHAnsi" w:hAnsiTheme="minorHAnsi" w:cstheme="minorHAnsi"/>
          <w:lang w:val="en-US"/>
        </w:rPr>
        <w:t>KPI</w:t>
      </w:r>
      <w:proofErr w:type="spellEnd"/>
      <w:r w:rsidRPr="00986D12">
        <w:rPr>
          <w:rFonts w:asciiTheme="minorHAnsi" w:hAnsiTheme="minorHAnsi" w:cstheme="minorHAnsi"/>
          <w:lang w:val="en-US"/>
        </w:rPr>
        <w:t xml:space="preserve"> to arrive at consolidated findings for all 12 SoW items.</w:t>
      </w:r>
    </w:p>
    <w:p w14:paraId="307B400F" w14:textId="77777777" w:rsidR="00250529" w:rsidRPr="00986D12" w:rsidRDefault="00250529" w:rsidP="000E12EC">
      <w:pPr>
        <w:pStyle w:val="Heading2"/>
      </w:pPr>
      <w:bookmarkStart w:id="54" w:name="_Toc224213026"/>
      <w:bookmarkStart w:id="55" w:name="_Toc225163569"/>
      <w:bookmarkStart w:id="56" w:name="_Toc225261096"/>
      <w:r w:rsidRPr="000E12EC">
        <w:t>Membership</w:t>
      </w:r>
      <w:r w:rsidRPr="00986D12">
        <w:t xml:space="preserve"> Survey</w:t>
      </w:r>
      <w:bookmarkEnd w:id="54"/>
      <w:bookmarkEnd w:id="55"/>
      <w:bookmarkEnd w:id="56"/>
    </w:p>
    <w:p w14:paraId="03553999" w14:textId="77777777" w:rsidR="00250529" w:rsidRPr="00986D12" w:rsidRDefault="00250529" w:rsidP="00986D12">
      <w:pPr>
        <w:jc w:val="both"/>
        <w:rPr>
          <w:rFonts w:asciiTheme="minorHAnsi" w:hAnsiTheme="minorHAnsi" w:cstheme="minorHAnsi"/>
          <w:color w:val="000000" w:themeColor="text1"/>
          <w:lang w:val="en-US"/>
        </w:rPr>
      </w:pPr>
      <w:r w:rsidRPr="00986D12">
        <w:rPr>
          <w:rFonts w:asciiTheme="minorHAnsi" w:hAnsiTheme="minorHAnsi" w:cstheme="minorHAnsi"/>
          <w:lang w:val="en-US"/>
        </w:rPr>
        <w:t>A membership survey was designed and ad</w:t>
      </w:r>
      <w:r w:rsidRPr="00986D12">
        <w:rPr>
          <w:rFonts w:asciiTheme="minorHAnsi" w:hAnsiTheme="minorHAnsi" w:cstheme="minorHAnsi"/>
        </w:rPr>
        <w:t>ministered to collect feedback on satisfaction levels from membership and Regional Telecommunication Organizations (RTOs) to gauge the impact of regional presence with the priority assessment of the overall satisfaction</w:t>
      </w:r>
      <w:r w:rsidRPr="00986D12">
        <w:rPr>
          <w:rFonts w:asciiTheme="minorHAnsi" w:hAnsiTheme="minorHAnsi" w:cstheme="minorHAnsi"/>
          <w:lang w:val="en-US"/>
        </w:rPr>
        <w:t xml:space="preserve"> as set out in Document</w:t>
      </w:r>
      <w:r w:rsidRPr="00986D12">
        <w:rPr>
          <w:rFonts w:asciiTheme="minorHAnsi" w:hAnsiTheme="minorHAnsi" w:cstheme="minorHAnsi"/>
          <w:color w:val="0070C0"/>
          <w:lang w:val="en-US"/>
        </w:rPr>
        <w:t xml:space="preserve"> </w:t>
      </w:r>
      <w:hyperlink r:id="rId23">
        <w:proofErr w:type="spellStart"/>
        <w:r w:rsidRPr="00986D12">
          <w:rPr>
            <w:rStyle w:val="Hyperlink"/>
            <w:rFonts w:asciiTheme="minorHAnsi" w:hAnsiTheme="minorHAnsi" w:cstheme="minorHAnsi"/>
            <w:color w:val="5F497A" w:themeColor="accent4" w:themeShade="BF"/>
            <w:lang w:val="en-US"/>
          </w:rPr>
          <w:t>C25</w:t>
        </w:r>
        <w:proofErr w:type="spellEnd"/>
        <w:r w:rsidRPr="00986D12">
          <w:rPr>
            <w:rStyle w:val="Hyperlink"/>
            <w:rFonts w:asciiTheme="minorHAnsi" w:hAnsiTheme="minorHAnsi" w:cstheme="minorHAnsi"/>
            <w:color w:val="5F497A" w:themeColor="accent4" w:themeShade="BF"/>
            <w:lang w:val="en-US"/>
          </w:rPr>
          <w:t>/105</w:t>
        </w:r>
      </w:hyperlink>
      <w:r w:rsidRPr="00986D12">
        <w:rPr>
          <w:rFonts w:asciiTheme="minorHAnsi" w:hAnsiTheme="minorHAnsi" w:cstheme="minorHAnsi"/>
          <w:color w:val="000000" w:themeColor="text1"/>
        </w:rPr>
        <w:t>.</w:t>
      </w:r>
    </w:p>
    <w:p w14:paraId="778F5442"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The membership survey was addressed to the administrations of ITU Member States, RTOs, ITU Sector Members, ITU Academia Members, ITU Associate Members, and the State of Palestine (Resolution 99 (Rev. Dubai, 2018)), representing a total of 1,133 entities.</w:t>
      </w:r>
    </w:p>
    <w:p w14:paraId="50A0523A"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The questionnaire comprised 22 questions, including 15 Likert-scale statements rated on a five-point scale from “strongly agree” to “strongly disagree”, with “don’t know” and “not applicable” options. It also included five open-ended questions to gather qualitative feedback, one yes/no question on the impact of the absence of an ITU office, and one multiple-choice question on the channels used to follow ITU activities.</w:t>
      </w:r>
    </w:p>
    <w:p w14:paraId="317F5B5B" w14:textId="77777777" w:rsidR="00250529" w:rsidRPr="00986D12" w:rsidRDefault="00250529" w:rsidP="00986D12">
      <w:pPr>
        <w:jc w:val="both"/>
        <w:rPr>
          <w:rFonts w:asciiTheme="minorHAnsi" w:hAnsiTheme="minorHAnsi" w:cstheme="minorHAnsi"/>
          <w:lang w:val="en-US"/>
        </w:rPr>
      </w:pPr>
      <w:hyperlink r:id="rId24" w:history="1">
        <w:r w:rsidRPr="00986D12">
          <w:rPr>
            <w:rStyle w:val="Hyperlink"/>
            <w:rFonts w:asciiTheme="minorHAnsi" w:hAnsiTheme="minorHAnsi" w:cstheme="minorHAnsi"/>
            <w:color w:val="5F497A" w:themeColor="accent4" w:themeShade="BF"/>
          </w:rPr>
          <w:t>Circular BDT/DDR/084</w:t>
        </w:r>
      </w:hyperlink>
      <w:r w:rsidRPr="00986D12">
        <w:rPr>
          <w:rFonts w:asciiTheme="minorHAnsi" w:hAnsiTheme="minorHAnsi" w:cstheme="minorHAnsi"/>
        </w:rPr>
        <w:t xml:space="preserve"> was sent by the BDT Director on 22 September 2025 to inform members of the imminent launch of the survey. The Circular was also shared, for information, with the corresponding Embassies and Permanent Missions in Geneva.</w:t>
      </w:r>
    </w:p>
    <w:p w14:paraId="7DE07531"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The survey was launched on 24 September 2025 via email to members’ focal points. The deadline for submission was initially set for 15 October 2025 to encourage early responses and, in agreement with the CWG-FHR Chair, was subsequently extended to 31 October 2025 to increase the response rate. </w:t>
      </w:r>
    </w:p>
    <w:p w14:paraId="26FCCF6A"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rPr>
        <w:t xml:space="preserve">Each member was permitted to submit one response. </w:t>
      </w:r>
      <w:r w:rsidRPr="00986D12">
        <w:rPr>
          <w:rFonts w:asciiTheme="minorHAnsi" w:hAnsiTheme="minorHAnsi" w:cstheme="minorHAnsi"/>
          <w:lang w:val="en-US"/>
        </w:rPr>
        <w:t xml:space="preserve">Responses are to be treated as confidential and used exclusively to support the report on the regional presence. Results are presented only in aggregate form, at the level of membership type. </w:t>
      </w:r>
    </w:p>
    <w:p w14:paraId="4BADDDAA" w14:textId="77777777" w:rsidR="00250529" w:rsidRDefault="00250529" w:rsidP="00986D12">
      <w:pPr>
        <w:jc w:val="both"/>
        <w:rPr>
          <w:rFonts w:asciiTheme="minorHAnsi" w:hAnsiTheme="minorHAnsi" w:cstheme="minorHAnsi"/>
        </w:rPr>
      </w:pPr>
      <w:r w:rsidRPr="00986D12">
        <w:rPr>
          <w:rFonts w:asciiTheme="minorHAnsi" w:hAnsiTheme="minorHAnsi" w:cstheme="minorHAnsi"/>
        </w:rPr>
        <w:t>A total of 234 responses were received, corresponding to an overall response rate of 21 per cent. The figure below shows the distribution of responses by the three ITU membership categories and by ITU region. Each response was weighted equally in the calculation of the results. The response from Member States was strong at 69%.</w:t>
      </w:r>
    </w:p>
    <w:p w14:paraId="598E71A6" w14:textId="77777777" w:rsidR="00093A4F" w:rsidRDefault="00093A4F" w:rsidP="00986D12">
      <w:pPr>
        <w:jc w:val="both"/>
        <w:rPr>
          <w:rFonts w:asciiTheme="minorHAnsi" w:hAnsiTheme="minorHAnsi" w:cstheme="minorHAnsi"/>
        </w:rPr>
      </w:pPr>
    </w:p>
    <w:p w14:paraId="7FDAC5C1" w14:textId="77777777" w:rsidR="00093A4F" w:rsidRDefault="00093A4F" w:rsidP="00986D12">
      <w:pPr>
        <w:jc w:val="both"/>
        <w:rPr>
          <w:rFonts w:asciiTheme="minorHAnsi" w:hAnsiTheme="minorHAnsi" w:cstheme="minorHAnsi"/>
        </w:rPr>
      </w:pPr>
    </w:p>
    <w:p w14:paraId="2C9779F2" w14:textId="77777777" w:rsidR="00986D12" w:rsidRPr="00986D12" w:rsidRDefault="00986D12" w:rsidP="00986D12">
      <w:pPr>
        <w:jc w:val="both"/>
        <w:rPr>
          <w:rFonts w:asciiTheme="minorHAnsi" w:hAnsiTheme="minorHAnsi" w:cstheme="minorHAnsi"/>
        </w:rPr>
      </w:pPr>
    </w:p>
    <w:tbl>
      <w:tblPr>
        <w:tblStyle w:val="TableGrid"/>
        <w:tblW w:w="5000" w:type="pct"/>
        <w:jc w:val="center"/>
        <w:tblBorders>
          <w:top w:val="single" w:sz="4" w:space="0" w:color="3071C3" w:themeColor="text2" w:themeTint="BF"/>
          <w:left w:val="single" w:sz="4" w:space="0" w:color="3071C3" w:themeColor="text2" w:themeTint="BF"/>
          <w:bottom w:val="single" w:sz="4" w:space="0" w:color="3071C3" w:themeColor="text2" w:themeTint="BF"/>
          <w:right w:val="single" w:sz="4" w:space="0" w:color="3071C3" w:themeColor="text2" w:themeTint="BF"/>
          <w:insideH w:val="none" w:sz="0" w:space="0" w:color="auto"/>
          <w:insideV w:val="none" w:sz="0" w:space="0" w:color="auto"/>
        </w:tblBorders>
        <w:tblLook w:val="04A0" w:firstRow="1" w:lastRow="0" w:firstColumn="1" w:lastColumn="0" w:noHBand="0" w:noVBand="1"/>
      </w:tblPr>
      <w:tblGrid>
        <w:gridCol w:w="4530"/>
        <w:gridCol w:w="4531"/>
      </w:tblGrid>
      <w:tr w:rsidR="00250529" w:rsidRPr="00986D12" w14:paraId="1B91807D" w14:textId="77777777" w:rsidTr="00507BF5">
        <w:trPr>
          <w:jc w:val="center"/>
        </w:trPr>
        <w:tc>
          <w:tcPr>
            <w:tcW w:w="4508" w:type="dxa"/>
          </w:tcPr>
          <w:p w14:paraId="681D9986" w14:textId="77777777" w:rsidR="00250529" w:rsidRPr="00986D12" w:rsidRDefault="00250529" w:rsidP="00507BF5">
            <w:pPr>
              <w:pStyle w:val="Tabletitle0"/>
              <w:jc w:val="center"/>
              <w:rPr>
                <w:rFonts w:asciiTheme="minorHAnsi" w:hAnsiTheme="minorHAnsi" w:cstheme="minorHAnsi"/>
                <w:color w:val="709FDB" w:themeColor="text2" w:themeTint="80"/>
              </w:rPr>
            </w:pPr>
            <w:r w:rsidRPr="00986D12">
              <w:rPr>
                <w:rFonts w:asciiTheme="minorHAnsi" w:hAnsiTheme="minorHAnsi" w:cstheme="minorHAnsi"/>
              </w:rPr>
              <w:t>Response rate by membership type</w:t>
            </w:r>
          </w:p>
        </w:tc>
        <w:tc>
          <w:tcPr>
            <w:tcW w:w="4508" w:type="dxa"/>
          </w:tcPr>
          <w:p w14:paraId="5297908E" w14:textId="77777777" w:rsidR="00250529" w:rsidRPr="00986D12" w:rsidRDefault="00250529" w:rsidP="00507BF5">
            <w:pPr>
              <w:pStyle w:val="Tabletitle0"/>
              <w:jc w:val="center"/>
              <w:rPr>
                <w:rFonts w:asciiTheme="minorHAnsi" w:hAnsiTheme="minorHAnsi" w:cstheme="minorHAnsi"/>
                <w:color w:val="709FDB" w:themeColor="text2" w:themeTint="80"/>
              </w:rPr>
            </w:pPr>
            <w:r w:rsidRPr="00986D12">
              <w:rPr>
                <w:rFonts w:asciiTheme="minorHAnsi" w:hAnsiTheme="minorHAnsi" w:cstheme="minorHAnsi"/>
              </w:rPr>
              <w:t>Response rate by region</w:t>
            </w:r>
          </w:p>
        </w:tc>
      </w:tr>
      <w:tr w:rsidR="00250529" w:rsidRPr="00986D12" w14:paraId="3063937D" w14:textId="77777777" w:rsidTr="00507BF5">
        <w:trPr>
          <w:jc w:val="center"/>
        </w:trPr>
        <w:tc>
          <w:tcPr>
            <w:tcW w:w="4508" w:type="dxa"/>
            <w:vAlign w:val="bottom"/>
          </w:tcPr>
          <w:p w14:paraId="37FAFA47" w14:textId="77777777" w:rsidR="00250529" w:rsidRPr="00986D12" w:rsidRDefault="00250529" w:rsidP="00507BF5">
            <w:pPr>
              <w:rPr>
                <w:rFonts w:asciiTheme="minorHAnsi" w:hAnsiTheme="minorHAnsi" w:cstheme="minorHAnsi"/>
              </w:rPr>
            </w:pPr>
            <w:r w:rsidRPr="00986D12">
              <w:rPr>
                <w:rFonts w:asciiTheme="minorHAnsi" w:hAnsiTheme="minorHAnsi" w:cstheme="minorHAnsi"/>
                <w:noProof/>
              </w:rPr>
              <w:drawing>
                <wp:inline distT="0" distB="0" distL="0" distR="0" wp14:anchorId="66BB8A7A" wp14:editId="43BC68E0">
                  <wp:extent cx="2520000" cy="1334653"/>
                  <wp:effectExtent l="0" t="0" r="0" b="0"/>
                  <wp:docPr id="1174802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334653"/>
                          </a:xfrm>
                          <a:prstGeom prst="rect">
                            <a:avLst/>
                          </a:prstGeom>
                          <a:noFill/>
                        </pic:spPr>
                      </pic:pic>
                    </a:graphicData>
                  </a:graphic>
                </wp:inline>
              </w:drawing>
            </w:r>
          </w:p>
        </w:tc>
        <w:tc>
          <w:tcPr>
            <w:tcW w:w="4508" w:type="dxa"/>
            <w:vAlign w:val="bottom"/>
          </w:tcPr>
          <w:p w14:paraId="3260387B" w14:textId="77777777" w:rsidR="00250529" w:rsidRPr="00986D12" w:rsidRDefault="00250529" w:rsidP="00507BF5">
            <w:pPr>
              <w:rPr>
                <w:rFonts w:asciiTheme="minorHAnsi" w:hAnsiTheme="minorHAnsi" w:cstheme="minorHAnsi"/>
              </w:rPr>
            </w:pPr>
            <w:r w:rsidRPr="00986D12">
              <w:rPr>
                <w:rFonts w:asciiTheme="minorHAnsi" w:hAnsiTheme="minorHAnsi" w:cstheme="minorHAnsi"/>
                <w:noProof/>
              </w:rPr>
              <w:drawing>
                <wp:inline distT="0" distB="0" distL="0" distR="0" wp14:anchorId="2E102B33" wp14:editId="3D56047E">
                  <wp:extent cx="2520000" cy="1366149"/>
                  <wp:effectExtent l="0" t="0" r="0" b="0"/>
                  <wp:docPr id="2003435818" name="Picture 5"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35818" name="Picture 5" descr="A graph of different color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366149"/>
                          </a:xfrm>
                          <a:prstGeom prst="rect">
                            <a:avLst/>
                          </a:prstGeom>
                          <a:noFill/>
                        </pic:spPr>
                      </pic:pic>
                    </a:graphicData>
                  </a:graphic>
                </wp:inline>
              </w:drawing>
            </w:r>
          </w:p>
        </w:tc>
      </w:tr>
      <w:tr w:rsidR="00250529" w:rsidRPr="00986D12" w14:paraId="4FAE8B1C" w14:textId="77777777" w:rsidTr="00507BF5">
        <w:trPr>
          <w:jc w:val="center"/>
        </w:trPr>
        <w:tc>
          <w:tcPr>
            <w:tcW w:w="9016" w:type="dxa"/>
            <w:gridSpan w:val="2"/>
          </w:tcPr>
          <w:p w14:paraId="771DDCDA" w14:textId="77777777" w:rsidR="00250529" w:rsidRPr="00986D12" w:rsidRDefault="00250529" w:rsidP="00507BF5">
            <w:pPr>
              <w:pStyle w:val="Notes"/>
              <w:rPr>
                <w:rFonts w:asciiTheme="minorHAnsi" w:hAnsiTheme="minorHAnsi" w:cstheme="minorHAnsi"/>
              </w:rPr>
            </w:pPr>
            <w:r w:rsidRPr="00986D12">
              <w:rPr>
                <w:rFonts w:asciiTheme="minorHAnsi" w:hAnsiTheme="minorHAnsi" w:cstheme="minorHAnsi"/>
              </w:rPr>
              <w:t>Note: Number of responses reported in parentheses.</w:t>
            </w:r>
          </w:p>
        </w:tc>
      </w:tr>
    </w:tbl>
    <w:p w14:paraId="761B8B02" w14:textId="6C7940DA" w:rsidR="00250529" w:rsidRPr="00986D12" w:rsidRDefault="00250529" w:rsidP="192E875C">
      <w:pPr>
        <w:jc w:val="both"/>
        <w:rPr>
          <w:rFonts w:asciiTheme="minorHAnsi" w:hAnsiTheme="minorHAnsi" w:cstheme="minorBidi"/>
          <w:lang w:val="en-US"/>
        </w:rPr>
      </w:pPr>
      <w:r w:rsidRPr="192E875C">
        <w:rPr>
          <w:rFonts w:asciiTheme="minorHAnsi" w:hAnsiTheme="minorHAnsi" w:cstheme="minorBidi"/>
          <w:lang w:val="en-US"/>
        </w:rPr>
        <w:t>Preliminary results of the Membership Survey</w:t>
      </w:r>
      <w:r w:rsidRPr="192E875C">
        <w:rPr>
          <w:rStyle w:val="FootnoteReference"/>
          <w:rFonts w:asciiTheme="minorHAnsi" w:hAnsiTheme="minorHAnsi" w:cstheme="minorBidi"/>
          <w:lang w:val="en-US"/>
        </w:rPr>
        <w:footnoteReference w:id="4"/>
      </w:r>
      <w:r w:rsidRPr="192E875C">
        <w:rPr>
          <w:rFonts w:asciiTheme="minorHAnsi" w:hAnsiTheme="minorHAnsi" w:cstheme="minorBidi"/>
          <w:lang w:val="en-US"/>
        </w:rPr>
        <w:t xml:space="preserve"> were presented at the World Telecommunication Development Conference 2025 (WTDC-25) during a special session on 24 November</w:t>
      </w:r>
      <w:r w:rsidRPr="192E875C">
        <w:rPr>
          <w:rFonts w:asciiTheme="minorHAnsi" w:hAnsiTheme="minorHAnsi" w:cstheme="minorBidi"/>
        </w:rPr>
        <w:t xml:space="preserve"> and in the Interim Report </w:t>
      </w:r>
      <w:r w:rsidRPr="192E875C">
        <w:rPr>
          <w:rFonts w:asciiTheme="minorHAnsi" w:hAnsiTheme="minorHAnsi" w:cstheme="minorBidi"/>
          <w:lang w:val="en-US"/>
        </w:rPr>
        <w:t xml:space="preserve">to CWG-FHR on 16 January 2026. Summary of the discussions during this session have been posted in Annex 2 of Doc. </w:t>
      </w:r>
      <w:hyperlink r:id="rId27">
        <w:r w:rsidRPr="192E875C">
          <w:rPr>
            <w:rStyle w:val="Hyperlink"/>
            <w:rFonts w:asciiTheme="minorHAnsi" w:hAnsiTheme="minorHAnsi" w:cstheme="minorBidi"/>
            <w:color w:val="5F497A" w:themeColor="accent4" w:themeShade="BF"/>
            <w:lang w:val="en-US"/>
          </w:rPr>
          <w:t>CWG-FHR-22/4</w:t>
        </w:r>
      </w:hyperlink>
      <w:r w:rsidRPr="192E875C">
        <w:rPr>
          <w:rFonts w:asciiTheme="minorHAnsi" w:hAnsiTheme="minorHAnsi" w:cstheme="minorBidi"/>
          <w:lang w:val="en-US"/>
        </w:rPr>
        <w:t xml:space="preserve">. It is also available as Annex </w:t>
      </w:r>
      <w:proofErr w:type="spellStart"/>
      <w:r w:rsidRPr="192E875C">
        <w:rPr>
          <w:rFonts w:asciiTheme="minorHAnsi" w:hAnsiTheme="minorHAnsi" w:cstheme="minorBidi"/>
          <w:lang w:val="en-US"/>
        </w:rPr>
        <w:t>C1</w:t>
      </w:r>
      <w:proofErr w:type="spellEnd"/>
      <w:r w:rsidRPr="192E875C">
        <w:rPr>
          <w:rFonts w:asciiTheme="minorHAnsi" w:hAnsiTheme="minorHAnsi" w:cstheme="minorBidi"/>
          <w:lang w:val="en-US"/>
        </w:rPr>
        <w:t xml:space="preserve"> below. The results for the Likert-scale questions are presented in Annex B (Doc. </w:t>
      </w:r>
      <w:hyperlink r:id="rId28">
        <w:r w:rsidRPr="192E875C">
          <w:rPr>
            <w:rStyle w:val="Hyperlink"/>
            <w:rFonts w:asciiTheme="minorHAnsi" w:hAnsiTheme="minorHAnsi" w:cstheme="minorBidi"/>
            <w:color w:val="5F497A" w:themeColor="accent4" w:themeShade="BF"/>
            <w:lang w:val="en-US"/>
          </w:rPr>
          <w:t>CWG-FHR-22/4</w:t>
        </w:r>
      </w:hyperlink>
      <w:r w:rsidRPr="192E875C">
        <w:rPr>
          <w:rFonts w:asciiTheme="minorHAnsi" w:hAnsiTheme="minorHAnsi" w:cstheme="minorBidi"/>
        </w:rPr>
        <w:t xml:space="preserve"> </w:t>
      </w:r>
      <w:r w:rsidRPr="192E875C">
        <w:rPr>
          <w:rFonts w:asciiTheme="minorHAnsi" w:hAnsiTheme="minorHAnsi" w:cstheme="minorBidi"/>
          <w:i/>
          <w:iCs/>
        </w:rPr>
        <w:t>Annex 1</w:t>
      </w:r>
      <w:r w:rsidRPr="192E875C">
        <w:rPr>
          <w:rFonts w:asciiTheme="minorHAnsi" w:hAnsiTheme="minorHAnsi" w:cstheme="minorBidi"/>
        </w:rPr>
        <w:t>)</w:t>
      </w:r>
      <w:r w:rsidRPr="192E875C">
        <w:rPr>
          <w:rFonts w:asciiTheme="minorHAnsi" w:hAnsiTheme="minorHAnsi" w:cstheme="minorBidi"/>
          <w:lang w:val="en-US"/>
        </w:rPr>
        <w:t xml:space="preserve">, while the full results, including responses to open-ended questions, are available in a </w:t>
      </w:r>
      <w:hyperlink r:id="rId29" w:history="1">
        <w:proofErr w:type="spellStart"/>
        <w:r w:rsidRPr="00D111A4">
          <w:rPr>
            <w:rStyle w:val="Hyperlink"/>
            <w:rFonts w:asciiTheme="minorHAnsi" w:hAnsiTheme="minorHAnsi" w:cstheme="minorBidi"/>
            <w:lang w:val="en-US"/>
          </w:rPr>
          <w:t>PowerBI</w:t>
        </w:r>
        <w:proofErr w:type="spellEnd"/>
        <w:r w:rsidRPr="00D111A4">
          <w:rPr>
            <w:rStyle w:val="Hyperlink"/>
            <w:rFonts w:asciiTheme="minorHAnsi" w:hAnsiTheme="minorHAnsi" w:cstheme="minorBidi"/>
            <w:lang w:val="en-US"/>
          </w:rPr>
          <w:t xml:space="preserve"> dashboard</w:t>
        </w:r>
      </w:hyperlink>
      <w:r w:rsidRPr="192E875C">
        <w:rPr>
          <w:rFonts w:asciiTheme="minorHAnsi" w:hAnsiTheme="minorHAnsi" w:cstheme="minorBidi"/>
          <w:lang w:val="en-US"/>
        </w:rPr>
        <w:t>.</w:t>
      </w:r>
    </w:p>
    <w:p w14:paraId="19B0C3C4" w14:textId="77777777" w:rsidR="00250529" w:rsidRPr="00986D12" w:rsidRDefault="00250529" w:rsidP="000E12EC">
      <w:pPr>
        <w:pStyle w:val="Heading2"/>
      </w:pPr>
      <w:bookmarkStart w:id="57" w:name="_Toc224213027"/>
      <w:bookmarkStart w:id="58" w:name="_Toc225163570"/>
      <w:bookmarkStart w:id="59" w:name="_Toc225261097"/>
      <w:r w:rsidRPr="00986D12">
        <w:t>Stakeholder Consultations</w:t>
      </w:r>
      <w:bookmarkEnd w:id="57"/>
      <w:bookmarkEnd w:id="58"/>
      <w:bookmarkEnd w:id="59"/>
    </w:p>
    <w:p w14:paraId="2D52E961" w14:textId="77777777" w:rsidR="00250529" w:rsidRDefault="00250529" w:rsidP="00986D12">
      <w:pPr>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In keeping with the Terms of Reference contained in Annex A of </w:t>
      </w:r>
      <w:r w:rsidRPr="00986D12">
        <w:rPr>
          <w:rFonts w:asciiTheme="minorHAnsi" w:hAnsiTheme="minorHAnsi" w:cstheme="minorHAnsi"/>
          <w:lang w:val="en-US"/>
        </w:rPr>
        <w:t xml:space="preserve">Document </w:t>
      </w:r>
      <w:hyperlink r:id="rId30" w:history="1">
        <w:proofErr w:type="spellStart"/>
        <w:r w:rsidRPr="00986D12">
          <w:rPr>
            <w:rStyle w:val="Hyperlink"/>
            <w:rFonts w:asciiTheme="minorHAnsi" w:hAnsiTheme="minorHAnsi" w:cstheme="minorHAnsi"/>
            <w:color w:val="5F497A" w:themeColor="accent4" w:themeShade="BF"/>
            <w:lang w:val="en-US"/>
          </w:rPr>
          <w:t>C25</w:t>
        </w:r>
        <w:proofErr w:type="spellEnd"/>
        <w:r w:rsidRPr="00986D12">
          <w:rPr>
            <w:rStyle w:val="Hyperlink"/>
            <w:rFonts w:asciiTheme="minorHAnsi" w:hAnsiTheme="minorHAnsi" w:cstheme="minorHAnsi"/>
            <w:color w:val="5F497A" w:themeColor="accent4" w:themeShade="BF"/>
            <w:lang w:val="en-US"/>
          </w:rPr>
          <w:t>/105</w:t>
        </w:r>
      </w:hyperlink>
      <w:r w:rsidRPr="00986D12">
        <w:rPr>
          <w:rFonts w:asciiTheme="minorHAnsi" w:hAnsiTheme="minorHAnsi" w:cstheme="minorHAnsi"/>
          <w:lang w:val="en-US"/>
        </w:rPr>
        <w:t xml:space="preserve">, stakeholder consultations were carried out including internal </w:t>
      </w:r>
      <w:r w:rsidRPr="00986D12">
        <w:rPr>
          <w:rFonts w:asciiTheme="minorHAnsi" w:hAnsiTheme="minorHAnsi" w:cstheme="minorHAnsi"/>
        </w:rPr>
        <w:t>stakeholders and consultations with ITU advisory groups to gain insights and strategic guidance on shaping the future direction of ITU’s regional presence.</w:t>
      </w:r>
      <w:r w:rsidRPr="00986D12">
        <w:rPr>
          <w:rFonts w:asciiTheme="minorHAnsi" w:hAnsiTheme="minorHAnsi" w:cstheme="minorHAnsi"/>
          <w:color w:val="000000" w:themeColor="text1"/>
        </w:rPr>
        <w:t xml:space="preserve"> The table below details the various consultations. </w:t>
      </w:r>
    </w:p>
    <w:p w14:paraId="640E0DBB" w14:textId="77777777" w:rsidR="00986D12" w:rsidRPr="00986D12" w:rsidRDefault="00986D12" w:rsidP="00986D12">
      <w:pPr>
        <w:jc w:val="both"/>
        <w:rPr>
          <w:rFonts w:asciiTheme="minorHAnsi" w:hAnsiTheme="minorHAnsi" w:cstheme="minorHAnsi"/>
          <w:color w:val="000000" w:themeColor="text1"/>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984"/>
        <w:gridCol w:w="2279"/>
        <w:gridCol w:w="3792"/>
      </w:tblGrid>
      <w:tr w:rsidR="00250529" w:rsidRPr="00986D12" w14:paraId="3F46BA47" w14:textId="77777777" w:rsidTr="00507BF5">
        <w:trPr>
          <w:trHeight w:val="300"/>
          <w:tblHeader/>
        </w:trPr>
        <w:tc>
          <w:tcPr>
            <w:tcW w:w="2969" w:type="dxa"/>
            <w:tcMar>
              <w:left w:w="108" w:type="dxa"/>
              <w:right w:w="108" w:type="dxa"/>
            </w:tcMar>
          </w:tcPr>
          <w:p w14:paraId="60D00A66" w14:textId="77777777" w:rsidR="00250529" w:rsidRPr="00986D12" w:rsidRDefault="00250529" w:rsidP="00507BF5">
            <w:pPr>
              <w:pStyle w:val="Tabletitle0"/>
              <w:rPr>
                <w:rFonts w:asciiTheme="minorHAnsi" w:hAnsiTheme="minorHAnsi" w:cstheme="minorHAnsi"/>
                <w:b w:val="0"/>
                <w:sz w:val="16"/>
                <w:szCs w:val="16"/>
              </w:rPr>
            </w:pPr>
            <w:r w:rsidRPr="00986D12">
              <w:rPr>
                <w:rFonts w:asciiTheme="minorHAnsi" w:hAnsiTheme="minorHAnsi" w:cstheme="minorHAnsi"/>
                <w:sz w:val="16"/>
                <w:szCs w:val="16"/>
                <w:lang w:val="en-US"/>
              </w:rPr>
              <w:t>Details</w:t>
            </w:r>
          </w:p>
        </w:tc>
        <w:tc>
          <w:tcPr>
            <w:tcW w:w="2268" w:type="dxa"/>
            <w:tcMar>
              <w:left w:w="108" w:type="dxa"/>
              <w:right w:w="108" w:type="dxa"/>
            </w:tcMar>
          </w:tcPr>
          <w:p w14:paraId="282BD4EE" w14:textId="77777777" w:rsidR="00250529" w:rsidRPr="00986D12" w:rsidRDefault="00250529" w:rsidP="00507BF5">
            <w:pPr>
              <w:pStyle w:val="Tabletitle0"/>
              <w:rPr>
                <w:rFonts w:asciiTheme="minorHAnsi" w:hAnsiTheme="minorHAnsi" w:cstheme="minorHAnsi"/>
                <w:b w:val="0"/>
                <w:sz w:val="16"/>
                <w:szCs w:val="16"/>
              </w:rPr>
            </w:pPr>
            <w:r w:rsidRPr="00986D12">
              <w:rPr>
                <w:rFonts w:asciiTheme="minorHAnsi" w:hAnsiTheme="minorHAnsi" w:cstheme="minorHAnsi"/>
                <w:sz w:val="16"/>
                <w:szCs w:val="16"/>
                <w:lang w:val="en-US"/>
              </w:rPr>
              <w:t>Date</w:t>
            </w:r>
          </w:p>
        </w:tc>
        <w:tc>
          <w:tcPr>
            <w:tcW w:w="3773" w:type="dxa"/>
            <w:tcMar>
              <w:left w:w="108" w:type="dxa"/>
              <w:right w:w="108" w:type="dxa"/>
            </w:tcMar>
          </w:tcPr>
          <w:p w14:paraId="34947B30" w14:textId="77777777" w:rsidR="00250529" w:rsidRPr="00986D12" w:rsidRDefault="00250529" w:rsidP="00507BF5">
            <w:pPr>
              <w:pStyle w:val="Tabletitle0"/>
              <w:rPr>
                <w:rFonts w:asciiTheme="minorHAnsi" w:hAnsiTheme="minorHAnsi" w:cstheme="minorHAnsi"/>
                <w:b w:val="0"/>
                <w:sz w:val="16"/>
                <w:szCs w:val="16"/>
              </w:rPr>
            </w:pPr>
            <w:r w:rsidRPr="00986D12">
              <w:rPr>
                <w:rFonts w:asciiTheme="minorHAnsi" w:hAnsiTheme="minorHAnsi" w:cstheme="minorHAnsi"/>
                <w:sz w:val="16"/>
                <w:szCs w:val="16"/>
                <w:lang w:val="en-US"/>
              </w:rPr>
              <w:t>Event / Remarks</w:t>
            </w:r>
          </w:p>
        </w:tc>
      </w:tr>
      <w:tr w:rsidR="00250529" w:rsidRPr="00986D12" w14:paraId="2BF7E92E" w14:textId="77777777" w:rsidTr="00507BF5">
        <w:trPr>
          <w:trHeight w:val="300"/>
        </w:trPr>
        <w:tc>
          <w:tcPr>
            <w:tcW w:w="2969" w:type="dxa"/>
            <w:tcMar>
              <w:left w:w="108" w:type="dxa"/>
              <w:right w:w="108" w:type="dxa"/>
            </w:tcMar>
          </w:tcPr>
          <w:p w14:paraId="1765077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Interim report on the Review of the ITU Regional Presence (Doc. </w:t>
            </w:r>
            <w:hyperlink r:id="rId31">
              <w:r w:rsidRPr="00986D12">
                <w:rPr>
                  <w:rStyle w:val="Hyperlink"/>
                  <w:rFonts w:asciiTheme="minorHAnsi" w:hAnsiTheme="minorHAnsi" w:cstheme="minorHAnsi"/>
                  <w:color w:val="5F497A" w:themeColor="accent4" w:themeShade="BF"/>
                  <w:sz w:val="16"/>
                  <w:szCs w:val="16"/>
                  <w:lang w:val="en-US"/>
                </w:rPr>
                <w:t>CWG-FHR-21/4</w:t>
              </w:r>
            </w:hyperlink>
            <w:r w:rsidRPr="00986D12">
              <w:rPr>
                <w:rFonts w:asciiTheme="minorHAnsi" w:hAnsiTheme="minorHAnsi" w:cstheme="minorHAnsi"/>
                <w:sz w:val="16"/>
                <w:szCs w:val="16"/>
                <w:lang w:val="en-US"/>
              </w:rPr>
              <w:t>) prepared and presented at the 21</w:t>
            </w:r>
            <w:r w:rsidRPr="00986D12">
              <w:rPr>
                <w:rFonts w:asciiTheme="minorHAnsi" w:hAnsiTheme="minorHAnsi" w:cstheme="minorHAnsi"/>
                <w:sz w:val="16"/>
                <w:szCs w:val="16"/>
                <w:vertAlign w:val="superscript"/>
                <w:lang w:val="en-US"/>
              </w:rPr>
              <w:t>st</w:t>
            </w:r>
            <w:r w:rsidRPr="00986D12">
              <w:rPr>
                <w:rFonts w:asciiTheme="minorHAnsi" w:hAnsiTheme="minorHAnsi" w:cstheme="minorHAnsi"/>
                <w:sz w:val="16"/>
                <w:szCs w:val="16"/>
                <w:lang w:val="en-US"/>
              </w:rPr>
              <w:t xml:space="preserve"> CWG-FHR meeting.</w:t>
            </w:r>
          </w:p>
        </w:tc>
        <w:tc>
          <w:tcPr>
            <w:tcW w:w="2268" w:type="dxa"/>
            <w:tcMar>
              <w:left w:w="108" w:type="dxa"/>
              <w:right w:w="108" w:type="dxa"/>
            </w:tcMar>
          </w:tcPr>
          <w:p w14:paraId="19DC399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10-12 September 2025</w:t>
            </w:r>
          </w:p>
        </w:tc>
        <w:tc>
          <w:tcPr>
            <w:tcW w:w="3773" w:type="dxa"/>
            <w:tcMar>
              <w:left w:w="108" w:type="dxa"/>
              <w:right w:w="108" w:type="dxa"/>
            </w:tcMar>
          </w:tcPr>
          <w:p w14:paraId="309B56F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Presentation at the 21</w:t>
            </w:r>
            <w:r w:rsidRPr="00986D12">
              <w:rPr>
                <w:rFonts w:asciiTheme="minorHAnsi" w:hAnsiTheme="minorHAnsi" w:cstheme="minorHAnsi"/>
                <w:sz w:val="16"/>
                <w:szCs w:val="16"/>
                <w:vertAlign w:val="superscript"/>
                <w:lang w:val="en-US"/>
              </w:rPr>
              <w:t>st</w:t>
            </w:r>
            <w:r w:rsidRPr="00986D12">
              <w:rPr>
                <w:rFonts w:asciiTheme="minorHAnsi" w:hAnsiTheme="minorHAnsi" w:cstheme="minorHAnsi"/>
                <w:sz w:val="16"/>
                <w:szCs w:val="16"/>
                <w:lang w:val="en-US"/>
              </w:rPr>
              <w:t xml:space="preserve"> CWG-FHR meeting on 10 September 2025.</w:t>
            </w:r>
          </w:p>
          <w:p w14:paraId="5264F3A9" w14:textId="77777777" w:rsidR="00250529" w:rsidRPr="00986D12" w:rsidRDefault="00250529" w:rsidP="00507BF5">
            <w:pPr>
              <w:pStyle w:val="Texttable"/>
              <w:rPr>
                <w:rFonts w:asciiTheme="minorHAnsi" w:hAnsiTheme="minorHAnsi" w:cstheme="minorHAnsi"/>
                <w:sz w:val="16"/>
                <w:szCs w:val="16"/>
              </w:rPr>
            </w:pPr>
          </w:p>
          <w:p w14:paraId="05E48CB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Summary Report of the 21</w:t>
            </w:r>
            <w:r w:rsidRPr="00986D12">
              <w:rPr>
                <w:rFonts w:asciiTheme="minorHAnsi" w:hAnsiTheme="minorHAnsi" w:cstheme="minorHAnsi"/>
                <w:sz w:val="16"/>
                <w:szCs w:val="16"/>
                <w:vertAlign w:val="superscript"/>
                <w:lang w:val="en-US"/>
              </w:rPr>
              <w:t>st</w:t>
            </w:r>
            <w:r w:rsidRPr="00986D12">
              <w:rPr>
                <w:rFonts w:asciiTheme="minorHAnsi" w:hAnsiTheme="minorHAnsi" w:cstheme="minorHAnsi"/>
                <w:sz w:val="16"/>
                <w:szCs w:val="16"/>
                <w:lang w:val="en-US"/>
              </w:rPr>
              <w:t xml:space="preserve"> CWG-FHR meeting (Doc. </w:t>
            </w:r>
            <w:hyperlink r:id="rId32">
              <w:r w:rsidRPr="00986D12">
                <w:rPr>
                  <w:rStyle w:val="Hyperlink"/>
                  <w:rFonts w:asciiTheme="minorHAnsi" w:hAnsiTheme="minorHAnsi" w:cstheme="minorHAnsi"/>
                  <w:color w:val="5F497A" w:themeColor="accent4" w:themeShade="BF"/>
                  <w:sz w:val="16"/>
                  <w:szCs w:val="16"/>
                  <w:lang w:val="en-US"/>
                </w:rPr>
                <w:t>CWG-FHR-21/25</w:t>
              </w:r>
            </w:hyperlink>
            <w:r w:rsidRPr="00986D12">
              <w:rPr>
                <w:rFonts w:asciiTheme="minorHAnsi" w:hAnsiTheme="minorHAnsi" w:cstheme="minorHAnsi"/>
                <w:sz w:val="16"/>
                <w:szCs w:val="16"/>
                <w:lang w:val="en-US"/>
              </w:rPr>
              <w:t>; pages 8-9).</w:t>
            </w:r>
          </w:p>
        </w:tc>
      </w:tr>
      <w:tr w:rsidR="00250529" w:rsidRPr="00986D12" w14:paraId="4840949D" w14:textId="77777777" w:rsidTr="00507BF5">
        <w:trPr>
          <w:trHeight w:val="300"/>
        </w:trPr>
        <w:tc>
          <w:tcPr>
            <w:tcW w:w="2969" w:type="dxa"/>
            <w:tcMar>
              <w:left w:w="108" w:type="dxa"/>
              <w:right w:w="108" w:type="dxa"/>
            </w:tcMar>
          </w:tcPr>
          <w:p w14:paraId="60B95E3A"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Internal assessment survey</w:t>
            </w:r>
          </w:p>
        </w:tc>
        <w:tc>
          <w:tcPr>
            <w:tcW w:w="2268" w:type="dxa"/>
            <w:tcMar>
              <w:left w:w="108" w:type="dxa"/>
              <w:right w:w="108" w:type="dxa"/>
            </w:tcMar>
          </w:tcPr>
          <w:p w14:paraId="4260D314"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Launched 3 October 2025, Closed 7 November 2025</w:t>
            </w:r>
          </w:p>
        </w:tc>
        <w:tc>
          <w:tcPr>
            <w:tcW w:w="3773" w:type="dxa"/>
            <w:tcMar>
              <w:left w:w="108" w:type="dxa"/>
              <w:right w:w="108" w:type="dxa"/>
            </w:tcMar>
          </w:tcPr>
          <w:p w14:paraId="178E7159"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 xml:space="preserve">The survey initially targeted ITU staff of the professional category </w:t>
            </w:r>
          </w:p>
          <w:p w14:paraId="4E9F16F5"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 xml:space="preserve">(Elected officials and fixed-term staff </w:t>
            </w:r>
            <w:proofErr w:type="spellStart"/>
            <w:r w:rsidRPr="00986D12">
              <w:rPr>
                <w:rFonts w:asciiTheme="minorHAnsi" w:hAnsiTheme="minorHAnsi" w:cstheme="minorHAnsi"/>
                <w:sz w:val="16"/>
                <w:szCs w:val="16"/>
                <w:lang w:val="en-US"/>
              </w:rPr>
              <w:t>P5</w:t>
            </w:r>
            <w:proofErr w:type="spellEnd"/>
            <w:r w:rsidRPr="00986D12">
              <w:rPr>
                <w:rFonts w:asciiTheme="minorHAnsi" w:hAnsiTheme="minorHAnsi" w:cstheme="minorHAnsi"/>
                <w:sz w:val="16"/>
                <w:szCs w:val="16"/>
                <w:lang w:val="en-US"/>
              </w:rPr>
              <w:t xml:space="preserve"> and above at headquarters and all professional staff in the regions; and was later relaunched based on membership feedback to include all staff. See below).</w:t>
            </w:r>
          </w:p>
        </w:tc>
      </w:tr>
      <w:tr w:rsidR="00250529" w:rsidRPr="00986D12" w14:paraId="58493EF1" w14:textId="77777777" w:rsidTr="00507BF5">
        <w:trPr>
          <w:trHeight w:val="300"/>
        </w:trPr>
        <w:tc>
          <w:tcPr>
            <w:tcW w:w="2969" w:type="dxa"/>
            <w:tcMar>
              <w:left w:w="108" w:type="dxa"/>
              <w:right w:w="108" w:type="dxa"/>
            </w:tcMar>
          </w:tcPr>
          <w:p w14:paraId="70921C2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Interim report presented to IMAC.</w:t>
            </w:r>
          </w:p>
        </w:tc>
        <w:tc>
          <w:tcPr>
            <w:tcW w:w="2268" w:type="dxa"/>
            <w:tcMar>
              <w:left w:w="108" w:type="dxa"/>
              <w:right w:w="108" w:type="dxa"/>
            </w:tcMar>
          </w:tcPr>
          <w:p w14:paraId="3050060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12 November 2025</w:t>
            </w:r>
          </w:p>
        </w:tc>
        <w:tc>
          <w:tcPr>
            <w:tcW w:w="3773" w:type="dxa"/>
            <w:tcMar>
              <w:left w:w="108" w:type="dxa"/>
              <w:right w:w="108" w:type="dxa"/>
            </w:tcMar>
          </w:tcPr>
          <w:p w14:paraId="0904E59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Presentation to IMAC. </w:t>
            </w:r>
          </w:p>
          <w:p w14:paraId="1BE85C3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IMAC requested that the updated draft of the final report be shared in advance for review, stressing the importance of its oversight role.</w:t>
            </w:r>
          </w:p>
          <w:p w14:paraId="3C25C68D" w14:textId="77777777" w:rsidR="00250529" w:rsidRPr="00986D12" w:rsidRDefault="00250529" w:rsidP="00507BF5">
            <w:pPr>
              <w:pStyle w:val="Texttable"/>
              <w:rPr>
                <w:rFonts w:asciiTheme="minorHAnsi" w:hAnsiTheme="minorHAnsi" w:cstheme="minorHAnsi"/>
                <w:sz w:val="16"/>
                <w:szCs w:val="16"/>
              </w:rPr>
            </w:pPr>
          </w:p>
          <w:p w14:paraId="103EE7A4" w14:textId="77777777" w:rsidR="00250529" w:rsidRPr="00986D12" w:rsidRDefault="00250529" w:rsidP="00507BF5">
            <w:pPr>
              <w:pStyle w:val="Texttable"/>
              <w:rPr>
                <w:rFonts w:asciiTheme="minorHAnsi" w:hAnsiTheme="minorHAnsi" w:cstheme="minorHAnsi"/>
                <w:color w:val="000000" w:themeColor="text1"/>
                <w:sz w:val="16"/>
                <w:szCs w:val="16"/>
              </w:rPr>
            </w:pPr>
            <w:r w:rsidRPr="00986D12">
              <w:rPr>
                <w:rFonts w:asciiTheme="minorHAnsi" w:hAnsiTheme="minorHAnsi" w:cstheme="minorHAnsi"/>
                <w:sz w:val="16"/>
                <w:szCs w:val="16"/>
                <w:lang w:val="en-US"/>
              </w:rPr>
              <w:t xml:space="preserve">Final report shared </w:t>
            </w:r>
            <w:r w:rsidRPr="00986D12">
              <w:rPr>
                <w:rFonts w:asciiTheme="minorHAnsi" w:hAnsiTheme="minorHAnsi" w:cstheme="minorHAnsi"/>
                <w:color w:val="000000" w:themeColor="text1"/>
                <w:sz w:val="16"/>
                <w:szCs w:val="16"/>
                <w:lang w:val="en-US"/>
              </w:rPr>
              <w:t>with IMAC at the meeting of 26 March 2026.</w:t>
            </w:r>
          </w:p>
        </w:tc>
      </w:tr>
      <w:tr w:rsidR="00250529" w:rsidRPr="00986D12" w14:paraId="121A87E0" w14:textId="77777777" w:rsidTr="00507BF5">
        <w:trPr>
          <w:trHeight w:val="300"/>
        </w:trPr>
        <w:tc>
          <w:tcPr>
            <w:tcW w:w="2969" w:type="dxa"/>
            <w:tcMar>
              <w:left w:w="108" w:type="dxa"/>
              <w:right w:w="108" w:type="dxa"/>
            </w:tcMar>
          </w:tcPr>
          <w:p w14:paraId="0D007E84"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lastRenderedPageBreak/>
              <w:t>Interim report shared with External Auditors.</w:t>
            </w:r>
          </w:p>
        </w:tc>
        <w:tc>
          <w:tcPr>
            <w:tcW w:w="2268" w:type="dxa"/>
            <w:tcMar>
              <w:left w:w="108" w:type="dxa"/>
              <w:right w:w="108" w:type="dxa"/>
            </w:tcMar>
          </w:tcPr>
          <w:p w14:paraId="6702550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24 November 2025</w:t>
            </w:r>
          </w:p>
        </w:tc>
        <w:tc>
          <w:tcPr>
            <w:tcW w:w="3773" w:type="dxa"/>
            <w:tcMar>
              <w:left w:w="108" w:type="dxa"/>
              <w:right w:w="108" w:type="dxa"/>
            </w:tcMar>
          </w:tcPr>
          <w:p w14:paraId="5F8608B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Shared with External Auditors. </w:t>
            </w:r>
          </w:p>
          <w:p w14:paraId="340A819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No comments were received.</w:t>
            </w:r>
          </w:p>
        </w:tc>
      </w:tr>
      <w:tr w:rsidR="00250529" w:rsidRPr="00986D12" w14:paraId="643EDBF1" w14:textId="77777777" w:rsidTr="00507BF5">
        <w:trPr>
          <w:trHeight w:val="300"/>
        </w:trPr>
        <w:tc>
          <w:tcPr>
            <w:tcW w:w="2969" w:type="dxa"/>
            <w:tcMar>
              <w:left w:w="108" w:type="dxa"/>
              <w:right w:w="108" w:type="dxa"/>
            </w:tcMar>
          </w:tcPr>
          <w:p w14:paraId="1EDB662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Special Session on the preliminary findings of the review; held in hybrid mode during the WTDC-25</w:t>
            </w:r>
          </w:p>
        </w:tc>
        <w:tc>
          <w:tcPr>
            <w:tcW w:w="2268" w:type="dxa"/>
            <w:tcMar>
              <w:left w:w="108" w:type="dxa"/>
              <w:right w:w="108" w:type="dxa"/>
            </w:tcMar>
          </w:tcPr>
          <w:p w14:paraId="61EBC954"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24 November 2025</w:t>
            </w:r>
          </w:p>
        </w:tc>
        <w:tc>
          <w:tcPr>
            <w:tcW w:w="3773" w:type="dxa"/>
            <w:tcMar>
              <w:left w:w="108" w:type="dxa"/>
              <w:right w:w="108" w:type="dxa"/>
            </w:tcMar>
          </w:tcPr>
          <w:p w14:paraId="2D97747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Presentation at the WTDC-25 Special Session.</w:t>
            </w:r>
          </w:p>
          <w:p w14:paraId="265B7749" w14:textId="77777777" w:rsidR="00250529" w:rsidRPr="00986D12" w:rsidRDefault="00250529" w:rsidP="00507BF5">
            <w:pPr>
              <w:pStyle w:val="Texttable"/>
              <w:rPr>
                <w:rFonts w:asciiTheme="minorHAnsi" w:hAnsiTheme="minorHAnsi" w:cstheme="minorHAnsi"/>
                <w:sz w:val="16"/>
                <w:szCs w:val="16"/>
              </w:rPr>
            </w:pPr>
          </w:p>
          <w:p w14:paraId="1DFBE9A3" w14:textId="77777777" w:rsidR="00250529" w:rsidRPr="00986D12" w:rsidRDefault="00250529" w:rsidP="00507BF5">
            <w:pPr>
              <w:pStyle w:val="Texttable"/>
              <w:rPr>
                <w:rFonts w:asciiTheme="minorHAnsi" w:hAnsiTheme="minorHAnsi" w:cstheme="minorHAnsi"/>
                <w:color w:val="FF0000"/>
                <w:sz w:val="16"/>
                <w:szCs w:val="16"/>
              </w:rPr>
            </w:pPr>
            <w:r w:rsidRPr="00986D12">
              <w:rPr>
                <w:rFonts w:asciiTheme="minorHAnsi" w:hAnsiTheme="minorHAnsi" w:cstheme="minorHAnsi"/>
                <w:sz w:val="16"/>
                <w:szCs w:val="16"/>
                <w:lang w:val="en-US"/>
              </w:rPr>
              <w:t xml:space="preserve">Summary of the discussions during this session have been posted in Annex 2 of Doc. </w:t>
            </w:r>
            <w:hyperlink r:id="rId33">
              <w:r w:rsidRPr="00986D12">
                <w:rPr>
                  <w:rStyle w:val="Hyperlink"/>
                  <w:rFonts w:asciiTheme="minorHAnsi" w:hAnsiTheme="minorHAnsi" w:cstheme="minorHAnsi"/>
                  <w:color w:val="5F497A" w:themeColor="accent4" w:themeShade="BF"/>
                  <w:sz w:val="16"/>
                  <w:szCs w:val="16"/>
                  <w:lang w:val="en-US"/>
                </w:rPr>
                <w:t>CWG-FHR-22/4</w:t>
              </w:r>
            </w:hyperlink>
            <w:r w:rsidRPr="00986D12">
              <w:rPr>
                <w:rFonts w:asciiTheme="minorHAnsi" w:hAnsiTheme="minorHAnsi" w:cstheme="minorHAnsi"/>
                <w:sz w:val="16"/>
                <w:szCs w:val="16"/>
                <w:lang w:val="en-US"/>
              </w:rPr>
              <w:t xml:space="preserve">. It is also available as Annex </w:t>
            </w:r>
            <w:proofErr w:type="spellStart"/>
            <w:r w:rsidRPr="00986D12">
              <w:rPr>
                <w:rFonts w:asciiTheme="minorHAnsi" w:hAnsiTheme="minorHAnsi" w:cstheme="minorHAnsi"/>
                <w:sz w:val="16"/>
                <w:szCs w:val="16"/>
                <w:lang w:val="en-US"/>
              </w:rPr>
              <w:t>C1</w:t>
            </w:r>
            <w:proofErr w:type="spellEnd"/>
            <w:r w:rsidRPr="00986D12">
              <w:rPr>
                <w:rFonts w:asciiTheme="minorHAnsi" w:hAnsiTheme="minorHAnsi" w:cstheme="minorHAnsi"/>
                <w:sz w:val="16"/>
                <w:szCs w:val="16"/>
                <w:lang w:val="en-US"/>
              </w:rPr>
              <w:t xml:space="preserve"> below.</w:t>
            </w:r>
          </w:p>
        </w:tc>
      </w:tr>
      <w:tr w:rsidR="00250529" w:rsidRPr="00986D12" w14:paraId="1057C7CC" w14:textId="77777777" w:rsidTr="00507BF5">
        <w:trPr>
          <w:trHeight w:val="300"/>
        </w:trPr>
        <w:tc>
          <w:tcPr>
            <w:tcW w:w="2969" w:type="dxa"/>
            <w:tcMar>
              <w:left w:w="108" w:type="dxa"/>
              <w:right w:w="108" w:type="dxa"/>
            </w:tcMar>
          </w:tcPr>
          <w:p w14:paraId="5A88A290"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Internal assessment survey relaunched</w:t>
            </w:r>
          </w:p>
        </w:tc>
        <w:tc>
          <w:tcPr>
            <w:tcW w:w="2268" w:type="dxa"/>
            <w:tcMar>
              <w:left w:w="108" w:type="dxa"/>
              <w:right w:w="108" w:type="dxa"/>
            </w:tcMar>
          </w:tcPr>
          <w:p w14:paraId="46D14B60"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Launched on 1 December 2025. Closed 24 December 2025.</w:t>
            </w:r>
          </w:p>
        </w:tc>
        <w:tc>
          <w:tcPr>
            <w:tcW w:w="3773" w:type="dxa"/>
            <w:tcMar>
              <w:left w:w="108" w:type="dxa"/>
              <w:right w:w="108" w:type="dxa"/>
            </w:tcMar>
          </w:tcPr>
          <w:p w14:paraId="66456C47"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 xml:space="preserve">Based on feedback from membership, the survey was expanded to all ITU staff, with a deadline for completion of 24 December. Please see Annex </w:t>
            </w:r>
            <w:proofErr w:type="spellStart"/>
            <w:r w:rsidRPr="00986D12">
              <w:rPr>
                <w:rFonts w:asciiTheme="minorHAnsi" w:hAnsiTheme="minorHAnsi" w:cstheme="minorHAnsi"/>
                <w:sz w:val="16"/>
                <w:szCs w:val="16"/>
                <w:lang w:val="en-US"/>
              </w:rPr>
              <w:t>C2</w:t>
            </w:r>
            <w:proofErr w:type="spellEnd"/>
            <w:r w:rsidRPr="00986D12">
              <w:rPr>
                <w:rFonts w:asciiTheme="minorHAnsi" w:hAnsiTheme="minorHAnsi" w:cstheme="minorHAnsi"/>
                <w:sz w:val="16"/>
                <w:szCs w:val="16"/>
                <w:lang w:val="en-US"/>
              </w:rPr>
              <w:t xml:space="preserve"> (Doc. </w:t>
            </w:r>
            <w:hyperlink r:id="rId34" w:history="1">
              <w:r w:rsidRPr="00986D12">
                <w:rPr>
                  <w:rStyle w:val="Hyperlink"/>
                  <w:rFonts w:asciiTheme="minorHAnsi" w:hAnsiTheme="minorHAnsi" w:cstheme="minorHAnsi"/>
                  <w:color w:val="5F497A" w:themeColor="accent4" w:themeShade="BF"/>
                  <w:sz w:val="16"/>
                  <w:szCs w:val="16"/>
                  <w:lang w:val="en-US"/>
                </w:rPr>
                <w:t>CWG-FHR-22/4</w:t>
              </w:r>
              <w:r w:rsidRPr="00986D12">
                <w:rPr>
                  <w:rStyle w:val="Hyperlink"/>
                  <w:rFonts w:asciiTheme="minorHAnsi" w:hAnsiTheme="minorHAnsi" w:cstheme="minorHAnsi"/>
                  <w:color w:val="5F497A" w:themeColor="accent4" w:themeShade="BF"/>
                  <w:sz w:val="16"/>
                  <w:szCs w:val="16"/>
                </w:rPr>
                <w:t>(</w:t>
              </w:r>
              <w:proofErr w:type="spellStart"/>
              <w:r w:rsidRPr="00986D12">
                <w:rPr>
                  <w:rStyle w:val="Hyperlink"/>
                  <w:rFonts w:asciiTheme="minorHAnsi" w:hAnsiTheme="minorHAnsi" w:cstheme="minorHAnsi"/>
                  <w:color w:val="5F497A" w:themeColor="accent4" w:themeShade="BF"/>
                  <w:sz w:val="16"/>
                  <w:szCs w:val="16"/>
                </w:rPr>
                <w:t>Rev.1</w:t>
              </w:r>
              <w:proofErr w:type="spellEnd"/>
              <w:r w:rsidRPr="00986D12">
                <w:rPr>
                  <w:rStyle w:val="Hyperlink"/>
                  <w:rFonts w:asciiTheme="minorHAnsi" w:hAnsiTheme="minorHAnsi" w:cstheme="minorHAnsi"/>
                  <w:color w:val="5F497A" w:themeColor="accent4" w:themeShade="BF"/>
                  <w:sz w:val="16"/>
                  <w:szCs w:val="16"/>
                </w:rPr>
                <w:t>)</w:t>
              </w:r>
            </w:hyperlink>
            <w:r w:rsidRPr="00986D12">
              <w:rPr>
                <w:rFonts w:asciiTheme="minorHAnsi" w:hAnsiTheme="minorHAnsi" w:cstheme="minorHAnsi"/>
                <w:sz w:val="16"/>
                <w:szCs w:val="16"/>
                <w:lang w:eastAsia="en-GB"/>
              </w:rPr>
              <w:t xml:space="preserve"> </w:t>
            </w:r>
            <w:r w:rsidRPr="00986D12">
              <w:rPr>
                <w:rFonts w:asciiTheme="minorHAnsi" w:hAnsiTheme="minorHAnsi" w:cstheme="minorHAnsi"/>
                <w:i/>
                <w:iCs/>
                <w:sz w:val="16"/>
                <w:szCs w:val="16"/>
                <w:lang w:eastAsia="en-GB"/>
              </w:rPr>
              <w:t>Annex 4</w:t>
            </w:r>
            <w:r w:rsidRPr="00986D12">
              <w:rPr>
                <w:rFonts w:asciiTheme="minorHAnsi" w:hAnsiTheme="minorHAnsi" w:cstheme="minorHAnsi"/>
                <w:sz w:val="16"/>
                <w:szCs w:val="16"/>
                <w:lang w:eastAsia="en-GB"/>
              </w:rPr>
              <w:t>)</w:t>
            </w:r>
            <w:r w:rsidRPr="00986D12">
              <w:rPr>
                <w:rFonts w:asciiTheme="minorHAnsi" w:hAnsiTheme="minorHAnsi" w:cstheme="minorHAnsi"/>
                <w:sz w:val="16"/>
                <w:szCs w:val="16"/>
                <w:lang w:val="en-US"/>
              </w:rPr>
              <w:t>.</w:t>
            </w:r>
          </w:p>
        </w:tc>
      </w:tr>
      <w:tr w:rsidR="00250529" w:rsidRPr="00986D12" w14:paraId="5DA20AB2" w14:textId="77777777" w:rsidTr="00507BF5">
        <w:trPr>
          <w:trHeight w:val="300"/>
        </w:trPr>
        <w:tc>
          <w:tcPr>
            <w:tcW w:w="2969" w:type="dxa"/>
            <w:tcMar>
              <w:left w:w="108" w:type="dxa"/>
              <w:right w:w="108" w:type="dxa"/>
            </w:tcMar>
          </w:tcPr>
          <w:p w14:paraId="1298951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Interim report shared with Internal Auditors.</w:t>
            </w:r>
          </w:p>
        </w:tc>
        <w:tc>
          <w:tcPr>
            <w:tcW w:w="2268" w:type="dxa"/>
            <w:tcMar>
              <w:left w:w="108" w:type="dxa"/>
              <w:right w:w="108" w:type="dxa"/>
            </w:tcMar>
          </w:tcPr>
          <w:p w14:paraId="029C146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5 December 2025</w:t>
            </w:r>
          </w:p>
        </w:tc>
        <w:tc>
          <w:tcPr>
            <w:tcW w:w="3773" w:type="dxa"/>
            <w:tcMar>
              <w:left w:w="108" w:type="dxa"/>
              <w:right w:w="108" w:type="dxa"/>
            </w:tcMar>
          </w:tcPr>
          <w:p w14:paraId="38C7A21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Shared with Internal Auditors. </w:t>
            </w:r>
            <w:r w:rsidRPr="00986D12">
              <w:rPr>
                <w:rFonts w:asciiTheme="minorHAnsi" w:hAnsiTheme="minorHAnsi" w:cstheme="minorHAnsi"/>
                <w:sz w:val="16"/>
                <w:szCs w:val="16"/>
              </w:rPr>
              <w:br/>
            </w:r>
            <w:r w:rsidRPr="00986D12">
              <w:rPr>
                <w:rFonts w:asciiTheme="minorHAnsi" w:hAnsiTheme="minorHAnsi" w:cstheme="minorHAnsi"/>
                <w:sz w:val="16"/>
                <w:szCs w:val="16"/>
                <w:lang w:val="en-US"/>
              </w:rPr>
              <w:t>No comments were received.</w:t>
            </w:r>
          </w:p>
        </w:tc>
      </w:tr>
      <w:tr w:rsidR="00250529" w:rsidRPr="00986D12" w14:paraId="52430958" w14:textId="77777777" w:rsidTr="00507BF5">
        <w:trPr>
          <w:trHeight w:val="300"/>
        </w:trPr>
        <w:tc>
          <w:tcPr>
            <w:tcW w:w="2969" w:type="dxa"/>
            <w:tcMar>
              <w:left w:w="108" w:type="dxa"/>
              <w:right w:w="108" w:type="dxa"/>
            </w:tcMar>
          </w:tcPr>
          <w:p w14:paraId="2C81444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Interviews with Regional Telecommunication Organization (RTOs)</w:t>
            </w:r>
          </w:p>
        </w:tc>
        <w:tc>
          <w:tcPr>
            <w:tcW w:w="2268" w:type="dxa"/>
            <w:tcMar>
              <w:left w:w="108" w:type="dxa"/>
              <w:right w:w="108" w:type="dxa"/>
            </w:tcMar>
          </w:tcPr>
          <w:p w14:paraId="76261E8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24 December 2025-13 January 2026</w:t>
            </w:r>
          </w:p>
        </w:tc>
        <w:tc>
          <w:tcPr>
            <w:tcW w:w="3773" w:type="dxa"/>
            <w:tcMar>
              <w:left w:w="108" w:type="dxa"/>
              <w:right w:w="108" w:type="dxa"/>
            </w:tcMar>
          </w:tcPr>
          <w:p w14:paraId="2F6F0C9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Summary of interviews is included in Annex </w:t>
            </w:r>
            <w:proofErr w:type="spellStart"/>
            <w:r w:rsidRPr="00986D12">
              <w:rPr>
                <w:rFonts w:asciiTheme="minorHAnsi" w:hAnsiTheme="minorHAnsi" w:cstheme="minorHAnsi"/>
                <w:sz w:val="16"/>
                <w:szCs w:val="16"/>
                <w:lang w:val="en-US"/>
              </w:rPr>
              <w:t>C3</w:t>
            </w:r>
            <w:proofErr w:type="spellEnd"/>
            <w:r w:rsidRPr="00986D12">
              <w:rPr>
                <w:rFonts w:asciiTheme="minorHAnsi" w:hAnsiTheme="minorHAnsi" w:cstheme="minorHAnsi"/>
                <w:sz w:val="16"/>
                <w:szCs w:val="16"/>
                <w:lang w:val="en-US"/>
              </w:rPr>
              <w:t xml:space="preserve">. </w:t>
            </w:r>
          </w:p>
        </w:tc>
      </w:tr>
      <w:tr w:rsidR="00250529" w:rsidRPr="00986D12" w14:paraId="0D42C955" w14:textId="77777777" w:rsidTr="00507BF5">
        <w:trPr>
          <w:trHeight w:val="300"/>
        </w:trPr>
        <w:tc>
          <w:tcPr>
            <w:tcW w:w="2969" w:type="dxa"/>
            <w:tcMar>
              <w:left w:w="108" w:type="dxa"/>
              <w:right w:w="108" w:type="dxa"/>
            </w:tcMar>
          </w:tcPr>
          <w:p w14:paraId="70CA64E9" w14:textId="77777777" w:rsidR="00250529" w:rsidRPr="00986D12" w:rsidRDefault="00250529" w:rsidP="00507BF5">
            <w:pPr>
              <w:pStyle w:val="Texttable"/>
              <w:rPr>
                <w:rFonts w:asciiTheme="minorHAnsi" w:hAnsiTheme="minorHAnsi" w:cstheme="minorHAnsi"/>
                <w:color w:val="000000" w:themeColor="text1"/>
                <w:sz w:val="16"/>
                <w:szCs w:val="16"/>
              </w:rPr>
            </w:pPr>
            <w:r w:rsidRPr="00986D12">
              <w:rPr>
                <w:rFonts w:asciiTheme="minorHAnsi" w:hAnsiTheme="minorHAnsi" w:cstheme="minorHAnsi"/>
                <w:sz w:val="16"/>
                <w:szCs w:val="16"/>
                <w:lang w:val="en-US"/>
              </w:rPr>
              <w:t>Interim report shared with Ethics Office.</w:t>
            </w:r>
          </w:p>
        </w:tc>
        <w:tc>
          <w:tcPr>
            <w:tcW w:w="2268" w:type="dxa"/>
            <w:tcMar>
              <w:left w:w="108" w:type="dxa"/>
              <w:right w:w="108" w:type="dxa"/>
            </w:tcMar>
          </w:tcPr>
          <w:p w14:paraId="1F8E26B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10 February 2026</w:t>
            </w:r>
          </w:p>
        </w:tc>
        <w:tc>
          <w:tcPr>
            <w:tcW w:w="3773" w:type="dxa"/>
            <w:tcMar>
              <w:left w:w="108" w:type="dxa"/>
              <w:right w:w="108" w:type="dxa"/>
            </w:tcMar>
          </w:tcPr>
          <w:p w14:paraId="2B70463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Shared with Ethics Office.</w:t>
            </w:r>
            <w:r w:rsidRPr="00986D12">
              <w:rPr>
                <w:rFonts w:asciiTheme="minorHAnsi" w:hAnsiTheme="minorHAnsi" w:cstheme="minorHAnsi"/>
                <w:sz w:val="16"/>
                <w:szCs w:val="16"/>
              </w:rPr>
              <w:br/>
            </w:r>
            <w:r w:rsidRPr="00986D12">
              <w:rPr>
                <w:rFonts w:asciiTheme="minorHAnsi" w:hAnsiTheme="minorHAnsi" w:cstheme="minorHAnsi"/>
                <w:sz w:val="16"/>
                <w:szCs w:val="16"/>
                <w:lang w:val="en-US"/>
              </w:rPr>
              <w:t>No comments were received.</w:t>
            </w:r>
          </w:p>
        </w:tc>
      </w:tr>
      <w:tr w:rsidR="00250529" w:rsidRPr="00986D12" w14:paraId="00756ED0" w14:textId="77777777" w:rsidTr="00507BF5">
        <w:trPr>
          <w:trHeight w:val="300"/>
        </w:trPr>
        <w:tc>
          <w:tcPr>
            <w:tcW w:w="2969" w:type="dxa"/>
            <w:tcMar>
              <w:left w:w="108" w:type="dxa"/>
              <w:right w:w="108" w:type="dxa"/>
            </w:tcMar>
          </w:tcPr>
          <w:p w14:paraId="56328670"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Interim report with initial analysis and emerging themes prepared by 12 December 2025 (Doc. </w:t>
            </w:r>
            <w:hyperlink r:id="rId35">
              <w:r w:rsidRPr="00986D12">
                <w:rPr>
                  <w:rStyle w:val="Hyperlink"/>
                  <w:rFonts w:asciiTheme="minorHAnsi" w:hAnsiTheme="minorHAnsi" w:cstheme="minorHAnsi"/>
                  <w:color w:val="5F497A" w:themeColor="accent4" w:themeShade="BF"/>
                  <w:sz w:val="16"/>
                  <w:szCs w:val="16"/>
                  <w:lang w:val="en-US"/>
                </w:rPr>
                <w:t>CWG-FHR-22/4</w:t>
              </w:r>
            </w:hyperlink>
            <w:r w:rsidRPr="00986D12">
              <w:rPr>
                <w:rFonts w:asciiTheme="minorHAnsi" w:hAnsiTheme="minorHAnsi" w:cstheme="minorHAnsi"/>
                <w:sz w:val="16"/>
                <w:szCs w:val="16"/>
                <w:lang w:val="en-US"/>
              </w:rPr>
              <w:t>) and presented at the 22</w:t>
            </w:r>
            <w:r w:rsidRPr="00986D12">
              <w:rPr>
                <w:rFonts w:asciiTheme="minorHAnsi" w:hAnsiTheme="minorHAnsi" w:cstheme="minorHAnsi"/>
                <w:sz w:val="16"/>
                <w:szCs w:val="16"/>
                <w:vertAlign w:val="superscript"/>
                <w:lang w:val="en-US"/>
              </w:rPr>
              <w:t>nd</w:t>
            </w:r>
            <w:r w:rsidRPr="00986D12">
              <w:rPr>
                <w:rFonts w:asciiTheme="minorHAnsi" w:hAnsiTheme="minorHAnsi" w:cstheme="minorHAnsi"/>
                <w:sz w:val="16"/>
                <w:szCs w:val="16"/>
                <w:lang w:val="en-US"/>
              </w:rPr>
              <w:t xml:space="preserve"> meeting of the CWG-FHR, together with an Information Document on Strengthening the Regional Presence (Doc. </w:t>
            </w:r>
            <w:hyperlink r:id="rId36">
              <w:r w:rsidRPr="00986D12">
                <w:rPr>
                  <w:rStyle w:val="Hyperlink"/>
                  <w:rFonts w:asciiTheme="minorHAnsi" w:hAnsiTheme="minorHAnsi" w:cstheme="minorHAnsi"/>
                  <w:color w:val="5F497A" w:themeColor="accent4" w:themeShade="BF"/>
                  <w:sz w:val="16"/>
                  <w:szCs w:val="16"/>
                  <w:lang w:val="en-US"/>
                </w:rPr>
                <w:t>CWG-FHR-22/INF/1</w:t>
              </w:r>
            </w:hyperlink>
            <w:r w:rsidRPr="00986D12">
              <w:rPr>
                <w:rFonts w:asciiTheme="minorHAnsi" w:hAnsiTheme="minorHAnsi" w:cstheme="minorHAnsi"/>
                <w:sz w:val="16"/>
                <w:szCs w:val="16"/>
                <w:lang w:val="en-US"/>
              </w:rPr>
              <w:t>).</w:t>
            </w:r>
          </w:p>
        </w:tc>
        <w:tc>
          <w:tcPr>
            <w:tcW w:w="2268" w:type="dxa"/>
            <w:tcMar>
              <w:left w:w="108" w:type="dxa"/>
              <w:right w:w="108" w:type="dxa"/>
            </w:tcMar>
          </w:tcPr>
          <w:p w14:paraId="6B5C583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14-16 January 2026</w:t>
            </w:r>
          </w:p>
        </w:tc>
        <w:tc>
          <w:tcPr>
            <w:tcW w:w="3773" w:type="dxa"/>
            <w:tcMar>
              <w:left w:w="108" w:type="dxa"/>
              <w:right w:w="108" w:type="dxa"/>
            </w:tcMar>
          </w:tcPr>
          <w:p w14:paraId="50B22F6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Presentation at the 22</w:t>
            </w:r>
            <w:r w:rsidRPr="00986D12">
              <w:rPr>
                <w:rFonts w:asciiTheme="minorHAnsi" w:hAnsiTheme="minorHAnsi" w:cstheme="minorHAnsi"/>
                <w:sz w:val="16"/>
                <w:szCs w:val="16"/>
                <w:vertAlign w:val="superscript"/>
                <w:lang w:val="en-US"/>
              </w:rPr>
              <w:t>nd</w:t>
            </w:r>
            <w:r w:rsidRPr="00986D12">
              <w:rPr>
                <w:rFonts w:asciiTheme="minorHAnsi" w:hAnsiTheme="minorHAnsi" w:cstheme="minorHAnsi"/>
                <w:sz w:val="16"/>
                <w:szCs w:val="16"/>
                <w:lang w:val="en-US"/>
              </w:rPr>
              <w:t xml:space="preserve"> CWG-FHR meeting on 16 January 2026.</w:t>
            </w:r>
          </w:p>
          <w:p w14:paraId="5ED10CAE" w14:textId="77777777" w:rsidR="00250529" w:rsidRPr="00986D12" w:rsidRDefault="00250529" w:rsidP="00507BF5">
            <w:pPr>
              <w:pStyle w:val="Texttable"/>
              <w:rPr>
                <w:rFonts w:asciiTheme="minorHAnsi" w:hAnsiTheme="minorHAnsi" w:cstheme="minorHAnsi"/>
                <w:sz w:val="16"/>
                <w:szCs w:val="16"/>
              </w:rPr>
            </w:pPr>
          </w:p>
          <w:p w14:paraId="14E06AF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Summary Report of the 22</w:t>
            </w:r>
            <w:r w:rsidRPr="00986D12">
              <w:rPr>
                <w:rFonts w:asciiTheme="minorHAnsi" w:hAnsiTheme="minorHAnsi" w:cstheme="minorHAnsi"/>
                <w:sz w:val="16"/>
                <w:szCs w:val="16"/>
                <w:vertAlign w:val="superscript"/>
                <w:lang w:val="en-US"/>
              </w:rPr>
              <w:t>nd</w:t>
            </w:r>
            <w:r w:rsidRPr="00986D12">
              <w:rPr>
                <w:rFonts w:asciiTheme="minorHAnsi" w:hAnsiTheme="minorHAnsi" w:cstheme="minorHAnsi"/>
                <w:sz w:val="16"/>
                <w:szCs w:val="16"/>
                <w:lang w:val="en-US"/>
              </w:rPr>
              <w:t xml:space="preserve"> CWG-FHR meeting (Doc. </w:t>
            </w:r>
            <w:hyperlink r:id="rId37">
              <w:r w:rsidRPr="00986D12">
                <w:rPr>
                  <w:rStyle w:val="Hyperlink"/>
                  <w:rFonts w:asciiTheme="minorHAnsi" w:hAnsiTheme="minorHAnsi" w:cstheme="minorHAnsi"/>
                  <w:color w:val="5F497A" w:themeColor="accent4" w:themeShade="BF"/>
                  <w:sz w:val="16"/>
                  <w:szCs w:val="16"/>
                  <w:lang w:val="en-US"/>
                </w:rPr>
                <w:t>CWG-FHR-22/36</w:t>
              </w:r>
            </w:hyperlink>
            <w:r w:rsidRPr="00986D12">
              <w:rPr>
                <w:rFonts w:asciiTheme="minorHAnsi" w:hAnsiTheme="minorHAnsi" w:cstheme="minorHAnsi"/>
                <w:sz w:val="16"/>
                <w:szCs w:val="16"/>
                <w:lang w:val="en-US"/>
              </w:rPr>
              <w:t>; pages 28-31).</w:t>
            </w:r>
          </w:p>
        </w:tc>
      </w:tr>
      <w:tr w:rsidR="00250529" w:rsidRPr="00986D12" w14:paraId="2BC63EB4" w14:textId="77777777" w:rsidTr="00507BF5">
        <w:trPr>
          <w:trHeight w:val="300"/>
        </w:trPr>
        <w:tc>
          <w:tcPr>
            <w:tcW w:w="2969" w:type="dxa"/>
            <w:tcMar>
              <w:left w:w="108" w:type="dxa"/>
              <w:right w:w="108" w:type="dxa"/>
            </w:tcMar>
          </w:tcPr>
          <w:p w14:paraId="3428E18D" w14:textId="0595F236"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Interim report (Doc. </w:t>
            </w:r>
            <w:hyperlink r:id="rId38">
              <w:r w:rsidRPr="00986D12">
                <w:rPr>
                  <w:rStyle w:val="Hyperlink"/>
                  <w:rFonts w:asciiTheme="minorHAnsi" w:hAnsiTheme="minorHAnsi" w:cstheme="minorHAnsi"/>
                  <w:color w:val="5F497A" w:themeColor="accent4" w:themeShade="BF"/>
                  <w:sz w:val="16"/>
                  <w:szCs w:val="16"/>
                  <w:lang w:val="en-US"/>
                </w:rPr>
                <w:t>TSAG-</w:t>
              </w:r>
              <w:proofErr w:type="spellStart"/>
              <w:r w:rsidRPr="00986D12">
                <w:rPr>
                  <w:rStyle w:val="Hyperlink"/>
                  <w:rFonts w:asciiTheme="minorHAnsi" w:hAnsiTheme="minorHAnsi" w:cstheme="minorHAnsi"/>
                  <w:color w:val="5F497A" w:themeColor="accent4" w:themeShade="BF"/>
                  <w:sz w:val="16"/>
                  <w:szCs w:val="16"/>
                  <w:lang w:val="en-US"/>
                </w:rPr>
                <w:t>TD31</w:t>
              </w:r>
              <w:r w:rsidR="00111EA4">
                <w:rPr>
                  <w:rStyle w:val="Hyperlink"/>
                  <w:rFonts w:asciiTheme="minorHAnsi" w:hAnsiTheme="minorHAnsi" w:cstheme="minorHAnsi"/>
                  <w:color w:val="5F497A" w:themeColor="accent4" w:themeShade="BF"/>
                  <w:sz w:val="16"/>
                  <w:szCs w:val="16"/>
                  <w:lang w:val="en-US"/>
                </w:rPr>
                <w:t>3</w:t>
              </w:r>
              <w:proofErr w:type="spellEnd"/>
            </w:hyperlink>
            <w:r w:rsidRPr="00986D12">
              <w:rPr>
                <w:rFonts w:asciiTheme="minorHAnsi" w:hAnsiTheme="minorHAnsi" w:cstheme="minorHAnsi"/>
                <w:sz w:val="16"/>
                <w:szCs w:val="16"/>
                <w:lang w:val="en-US"/>
              </w:rPr>
              <w:t>) presented at the Telecommunication Standardization Advisory Group (TSAG).</w:t>
            </w:r>
          </w:p>
        </w:tc>
        <w:tc>
          <w:tcPr>
            <w:tcW w:w="2268" w:type="dxa"/>
            <w:tcMar>
              <w:left w:w="108" w:type="dxa"/>
              <w:right w:w="108" w:type="dxa"/>
            </w:tcMar>
          </w:tcPr>
          <w:p w14:paraId="1F61BCB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26-30 January 2026</w:t>
            </w:r>
          </w:p>
        </w:tc>
        <w:tc>
          <w:tcPr>
            <w:tcW w:w="3773" w:type="dxa"/>
            <w:tcMar>
              <w:left w:w="108" w:type="dxa"/>
              <w:right w:w="108" w:type="dxa"/>
            </w:tcMar>
          </w:tcPr>
          <w:p w14:paraId="039152F9"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 xml:space="preserve">Presentation at TSAG on 30 January 2026. </w:t>
            </w:r>
          </w:p>
          <w:p w14:paraId="7928C2CE"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No comments were received.</w:t>
            </w:r>
          </w:p>
        </w:tc>
      </w:tr>
      <w:tr w:rsidR="00250529" w:rsidRPr="00986D12" w14:paraId="692477C2" w14:textId="77777777" w:rsidTr="00507BF5">
        <w:trPr>
          <w:trHeight w:val="840"/>
        </w:trPr>
        <w:tc>
          <w:tcPr>
            <w:tcW w:w="2969" w:type="dxa"/>
            <w:tcMar>
              <w:left w:w="108" w:type="dxa"/>
              <w:right w:w="108" w:type="dxa"/>
            </w:tcMar>
          </w:tcPr>
          <w:p w14:paraId="6F6043C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Information Session on Regional Presence prior to Council 26.</w:t>
            </w:r>
          </w:p>
        </w:tc>
        <w:tc>
          <w:tcPr>
            <w:tcW w:w="2268" w:type="dxa"/>
            <w:tcMar>
              <w:left w:w="108" w:type="dxa"/>
              <w:right w:w="108" w:type="dxa"/>
            </w:tcMar>
          </w:tcPr>
          <w:p w14:paraId="5B15E31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5 March 2026</w:t>
            </w:r>
          </w:p>
        </w:tc>
        <w:tc>
          <w:tcPr>
            <w:tcW w:w="3773" w:type="dxa"/>
            <w:tcMar>
              <w:left w:w="108" w:type="dxa"/>
              <w:right w:w="108" w:type="dxa"/>
            </w:tcMar>
          </w:tcPr>
          <w:p w14:paraId="71B5DE77" w14:textId="77777777" w:rsidR="00250529" w:rsidRPr="00986D12" w:rsidRDefault="00250529" w:rsidP="00507BF5">
            <w:pPr>
              <w:pStyle w:val="Texttable"/>
              <w:rPr>
                <w:rFonts w:asciiTheme="minorHAnsi" w:hAnsiTheme="minorHAnsi" w:cstheme="minorHAnsi"/>
                <w:sz w:val="16"/>
                <w:szCs w:val="16"/>
              </w:rPr>
            </w:pPr>
            <w:hyperlink r:id="rId39">
              <w:r w:rsidRPr="00986D12">
                <w:rPr>
                  <w:rStyle w:val="Hyperlink"/>
                  <w:rFonts w:asciiTheme="minorHAnsi" w:hAnsiTheme="minorHAnsi" w:cstheme="minorHAnsi"/>
                  <w:color w:val="5F497A" w:themeColor="accent4" w:themeShade="BF"/>
                  <w:sz w:val="16"/>
                  <w:szCs w:val="16"/>
                  <w:lang w:val="en-US"/>
                </w:rPr>
                <w:t>Presentation</w:t>
              </w:r>
            </w:hyperlink>
            <w:r w:rsidRPr="00986D12">
              <w:rPr>
                <w:rFonts w:asciiTheme="minorHAnsi" w:hAnsiTheme="minorHAnsi" w:cstheme="minorHAnsi"/>
                <w:sz w:val="16"/>
                <w:szCs w:val="16"/>
                <w:lang w:val="en-US"/>
              </w:rPr>
              <w:t xml:space="preserve"> at the Information Session prior to Council.</w:t>
            </w:r>
          </w:p>
        </w:tc>
      </w:tr>
      <w:tr w:rsidR="00250529" w:rsidRPr="00986D12" w14:paraId="73F624B7" w14:textId="77777777" w:rsidTr="00507BF5">
        <w:trPr>
          <w:trHeight w:val="840"/>
        </w:trPr>
        <w:tc>
          <w:tcPr>
            <w:tcW w:w="2969" w:type="dxa"/>
            <w:tcMar>
              <w:left w:w="108" w:type="dxa"/>
              <w:right w:w="108" w:type="dxa"/>
            </w:tcMar>
          </w:tcPr>
          <w:p w14:paraId="3713497C" w14:textId="77777777" w:rsidR="00250529" w:rsidRPr="00986D12" w:rsidRDefault="00250529" w:rsidP="00507BF5">
            <w:pPr>
              <w:pStyle w:val="Texttable"/>
              <w:rPr>
                <w:rFonts w:asciiTheme="minorHAnsi" w:hAnsiTheme="minorHAnsi" w:cstheme="minorHAnsi"/>
                <w:color w:val="000000" w:themeColor="text1"/>
                <w:sz w:val="16"/>
                <w:szCs w:val="16"/>
              </w:rPr>
            </w:pPr>
            <w:r w:rsidRPr="00986D12">
              <w:rPr>
                <w:rFonts w:asciiTheme="minorHAnsi" w:hAnsiTheme="minorHAnsi" w:cstheme="minorHAnsi"/>
                <w:sz w:val="16"/>
                <w:szCs w:val="16"/>
                <w:lang w:val="en-US"/>
              </w:rPr>
              <w:t xml:space="preserve">Interim report (Doc. </w:t>
            </w:r>
            <w:hyperlink r:id="rId40">
              <w:r w:rsidRPr="00986D12">
                <w:rPr>
                  <w:rStyle w:val="Hyperlink"/>
                  <w:rFonts w:asciiTheme="minorHAnsi" w:hAnsiTheme="minorHAnsi" w:cstheme="minorHAnsi"/>
                  <w:color w:val="5F497A" w:themeColor="accent4" w:themeShade="BF"/>
                  <w:sz w:val="16"/>
                  <w:szCs w:val="16"/>
                  <w:lang w:val="en-US"/>
                </w:rPr>
                <w:t>RAG/66</w:t>
              </w:r>
            </w:hyperlink>
            <w:r w:rsidRPr="00986D12">
              <w:rPr>
                <w:rFonts w:asciiTheme="minorHAnsi" w:hAnsiTheme="minorHAnsi" w:cstheme="minorHAnsi"/>
                <w:color w:val="000000" w:themeColor="text1"/>
                <w:sz w:val="16"/>
                <w:szCs w:val="16"/>
                <w:lang w:val="en-US"/>
              </w:rPr>
              <w:t>) presented at the Radiocommunication Advisory Group (RAG).</w:t>
            </w:r>
          </w:p>
        </w:tc>
        <w:tc>
          <w:tcPr>
            <w:tcW w:w="2268" w:type="dxa"/>
            <w:tcMar>
              <w:left w:w="108" w:type="dxa"/>
              <w:right w:w="108" w:type="dxa"/>
            </w:tcMar>
          </w:tcPr>
          <w:p w14:paraId="79F6E51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30 March-2 April 2026</w:t>
            </w:r>
          </w:p>
        </w:tc>
        <w:tc>
          <w:tcPr>
            <w:tcW w:w="3773" w:type="dxa"/>
            <w:tcMar>
              <w:left w:w="108" w:type="dxa"/>
              <w:right w:w="108" w:type="dxa"/>
            </w:tcMar>
          </w:tcPr>
          <w:p w14:paraId="0FC0D69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Presentation at RAG. </w:t>
            </w:r>
          </w:p>
        </w:tc>
      </w:tr>
      <w:tr w:rsidR="00250529" w:rsidRPr="00986D12" w14:paraId="23B1425B" w14:textId="77777777" w:rsidTr="00507BF5">
        <w:trPr>
          <w:trHeight w:val="840"/>
        </w:trPr>
        <w:tc>
          <w:tcPr>
            <w:tcW w:w="2969" w:type="dxa"/>
            <w:tcMar>
              <w:left w:w="108" w:type="dxa"/>
              <w:right w:w="108" w:type="dxa"/>
            </w:tcMar>
          </w:tcPr>
          <w:p w14:paraId="44EB7EF6" w14:textId="77777777" w:rsidR="00250529" w:rsidRPr="00986D12" w:rsidRDefault="00250529" w:rsidP="00507BF5">
            <w:pPr>
              <w:pStyle w:val="Texttable"/>
              <w:rPr>
                <w:rFonts w:asciiTheme="minorHAnsi" w:hAnsiTheme="minorHAnsi" w:cstheme="minorHAnsi"/>
                <w:color w:val="000000" w:themeColor="text1"/>
                <w:sz w:val="16"/>
                <w:szCs w:val="16"/>
              </w:rPr>
            </w:pPr>
            <w:r w:rsidRPr="00986D12">
              <w:rPr>
                <w:rFonts w:asciiTheme="minorHAnsi" w:hAnsiTheme="minorHAnsi" w:cstheme="minorHAnsi"/>
                <w:sz w:val="16"/>
                <w:szCs w:val="16"/>
                <w:lang w:val="en-US"/>
              </w:rPr>
              <w:t xml:space="preserve">Interim report (Doc. </w:t>
            </w:r>
            <w:hyperlink r:id="rId41">
              <w:proofErr w:type="spellStart"/>
              <w:r w:rsidRPr="00986D12">
                <w:rPr>
                  <w:rStyle w:val="Hyperlink"/>
                  <w:rFonts w:asciiTheme="minorHAnsi" w:hAnsiTheme="minorHAnsi" w:cstheme="minorHAnsi"/>
                  <w:color w:val="5F497A" w:themeColor="accent4" w:themeShade="BF"/>
                  <w:sz w:val="16"/>
                  <w:szCs w:val="16"/>
                </w:rPr>
                <w:t>TDAG</w:t>
              </w:r>
              <w:proofErr w:type="spellEnd"/>
              <w:r w:rsidRPr="00986D12">
                <w:rPr>
                  <w:rStyle w:val="Hyperlink"/>
                  <w:rFonts w:asciiTheme="minorHAnsi" w:hAnsiTheme="minorHAnsi" w:cstheme="minorHAnsi"/>
                  <w:color w:val="5F497A" w:themeColor="accent4" w:themeShade="BF"/>
                  <w:sz w:val="16"/>
                  <w:szCs w:val="16"/>
                </w:rPr>
                <w:t>-26/16</w:t>
              </w:r>
            </w:hyperlink>
            <w:r w:rsidRPr="00986D12">
              <w:rPr>
                <w:rFonts w:asciiTheme="minorHAnsi" w:hAnsiTheme="minorHAnsi" w:cstheme="minorHAnsi"/>
                <w:color w:val="000000" w:themeColor="text1"/>
                <w:sz w:val="16"/>
                <w:szCs w:val="16"/>
                <w:lang w:val="en-US"/>
              </w:rPr>
              <w:t>) presented at the Telecommunication Development Advisory Group (</w:t>
            </w:r>
            <w:proofErr w:type="spellStart"/>
            <w:r w:rsidRPr="00986D12">
              <w:rPr>
                <w:rFonts w:asciiTheme="minorHAnsi" w:hAnsiTheme="minorHAnsi" w:cstheme="minorHAnsi"/>
                <w:color w:val="000000" w:themeColor="text1"/>
                <w:sz w:val="16"/>
                <w:szCs w:val="16"/>
                <w:lang w:val="en-US"/>
              </w:rPr>
              <w:t>TDAG</w:t>
            </w:r>
            <w:proofErr w:type="spellEnd"/>
            <w:r w:rsidRPr="00986D12">
              <w:rPr>
                <w:rFonts w:asciiTheme="minorHAnsi" w:hAnsiTheme="minorHAnsi" w:cstheme="minorHAnsi"/>
                <w:color w:val="000000" w:themeColor="text1"/>
                <w:sz w:val="16"/>
                <w:szCs w:val="16"/>
                <w:lang w:val="en-US"/>
              </w:rPr>
              <w:t>).</w:t>
            </w:r>
          </w:p>
        </w:tc>
        <w:tc>
          <w:tcPr>
            <w:tcW w:w="2268" w:type="dxa"/>
            <w:tcMar>
              <w:left w:w="108" w:type="dxa"/>
              <w:right w:w="108" w:type="dxa"/>
            </w:tcMar>
          </w:tcPr>
          <w:p w14:paraId="19726E3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7-10 April 2026</w:t>
            </w:r>
          </w:p>
        </w:tc>
        <w:tc>
          <w:tcPr>
            <w:tcW w:w="3773" w:type="dxa"/>
            <w:tcMar>
              <w:left w:w="108" w:type="dxa"/>
              <w:right w:w="108" w:type="dxa"/>
            </w:tcMar>
          </w:tcPr>
          <w:p w14:paraId="55FB45C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 xml:space="preserve">Presentation at </w:t>
            </w:r>
            <w:proofErr w:type="spellStart"/>
            <w:r w:rsidRPr="00986D12">
              <w:rPr>
                <w:rFonts w:asciiTheme="minorHAnsi" w:hAnsiTheme="minorHAnsi" w:cstheme="minorHAnsi"/>
                <w:sz w:val="16"/>
                <w:szCs w:val="16"/>
                <w:lang w:val="en-US"/>
              </w:rPr>
              <w:t>TDAG</w:t>
            </w:r>
            <w:proofErr w:type="spellEnd"/>
            <w:r w:rsidRPr="00986D12">
              <w:rPr>
                <w:rFonts w:asciiTheme="minorHAnsi" w:hAnsiTheme="minorHAnsi" w:cstheme="minorHAnsi"/>
                <w:sz w:val="16"/>
                <w:szCs w:val="16"/>
                <w:lang w:val="en-US"/>
              </w:rPr>
              <w:t xml:space="preserve"> on 9 April 2026.</w:t>
            </w:r>
          </w:p>
        </w:tc>
      </w:tr>
      <w:tr w:rsidR="00250529" w:rsidRPr="00986D12" w14:paraId="4E0F3388" w14:textId="77777777" w:rsidTr="00507BF5">
        <w:trPr>
          <w:trHeight w:val="300"/>
        </w:trPr>
        <w:tc>
          <w:tcPr>
            <w:tcW w:w="2969" w:type="dxa"/>
            <w:tcMar>
              <w:left w:w="108" w:type="dxa"/>
              <w:right w:w="108" w:type="dxa"/>
            </w:tcMar>
          </w:tcPr>
          <w:p w14:paraId="624B6D1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Final Report presented at Council-26.</w:t>
            </w:r>
          </w:p>
        </w:tc>
        <w:tc>
          <w:tcPr>
            <w:tcW w:w="2268" w:type="dxa"/>
            <w:tcMar>
              <w:left w:w="108" w:type="dxa"/>
              <w:right w:w="108" w:type="dxa"/>
            </w:tcMar>
          </w:tcPr>
          <w:p w14:paraId="02A4982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28 April-8 May 2026</w:t>
            </w:r>
          </w:p>
        </w:tc>
        <w:tc>
          <w:tcPr>
            <w:tcW w:w="3773" w:type="dxa"/>
            <w:tcMar>
              <w:left w:w="108" w:type="dxa"/>
              <w:right w:w="108" w:type="dxa"/>
            </w:tcMar>
          </w:tcPr>
          <w:p w14:paraId="7F6E85C8" w14:textId="77777777" w:rsidR="00250529" w:rsidRPr="00986D12" w:rsidRDefault="00250529" w:rsidP="00507BF5">
            <w:pPr>
              <w:pStyle w:val="Texttable"/>
              <w:rPr>
                <w:rFonts w:asciiTheme="minorHAnsi" w:hAnsiTheme="minorHAnsi" w:cstheme="minorHAnsi"/>
                <w:sz w:val="16"/>
                <w:szCs w:val="16"/>
                <w:lang w:val="en-US"/>
              </w:rPr>
            </w:pPr>
            <w:r w:rsidRPr="00986D12">
              <w:rPr>
                <w:rFonts w:asciiTheme="minorHAnsi" w:hAnsiTheme="minorHAnsi" w:cstheme="minorHAnsi"/>
                <w:sz w:val="16"/>
                <w:szCs w:val="16"/>
                <w:lang w:val="en-US"/>
              </w:rPr>
              <w:t xml:space="preserve">Presentation of Final Report at Council-26. </w:t>
            </w:r>
          </w:p>
        </w:tc>
      </w:tr>
    </w:tbl>
    <w:p w14:paraId="3838CC23" w14:textId="77777777" w:rsidR="00250529" w:rsidRPr="00986D12" w:rsidRDefault="00250529" w:rsidP="000E12EC">
      <w:pPr>
        <w:pStyle w:val="Heading2"/>
      </w:pPr>
      <w:bookmarkStart w:id="60" w:name="_Toc224213028"/>
      <w:bookmarkStart w:id="61" w:name="_Toc225163571"/>
      <w:bookmarkStart w:id="62" w:name="_Toc225261098"/>
      <w:r w:rsidRPr="00986D12">
        <w:t>Internal Assessment Survey (staff survey)</w:t>
      </w:r>
      <w:bookmarkEnd w:id="60"/>
      <w:bookmarkEnd w:id="61"/>
      <w:bookmarkEnd w:id="62"/>
    </w:p>
    <w:p w14:paraId="75FC2B7C"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As mentioned above, as a part of stakeholder consultation, an Internal Assessment Survey was conducted to collect feedback from ITU staff on issues related to ITU’s regional presence, internal coordination, processes and engagement with the Membership.</w:t>
      </w:r>
    </w:p>
    <w:p w14:paraId="661D2CE7"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questionnaire consisted of 34 questions, including 22 Likert-scale questions, several of which included multiple items under a common thematic statement. There were six open-ended questions designed to collect qualitative feedback. There was a “Yes/No” question relating to the duplication of work among bureaux and one multiple-choice question on the platforms used by membership to follow ITU. </w:t>
      </w:r>
    </w:p>
    <w:p w14:paraId="085099AD"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Initially, the target population of the staff survey included only staff at </w:t>
      </w:r>
      <w:proofErr w:type="spellStart"/>
      <w:r w:rsidRPr="00986D12">
        <w:rPr>
          <w:rFonts w:asciiTheme="minorHAnsi" w:hAnsiTheme="minorHAnsi" w:cstheme="minorHAnsi"/>
          <w:lang w:val="en-US"/>
        </w:rPr>
        <w:t>P5</w:t>
      </w:r>
      <w:proofErr w:type="spellEnd"/>
      <w:r w:rsidRPr="00986D12">
        <w:rPr>
          <w:rFonts w:asciiTheme="minorHAnsi" w:hAnsiTheme="minorHAnsi" w:cstheme="minorHAnsi"/>
          <w:lang w:val="en-US"/>
        </w:rPr>
        <w:t xml:space="preserve"> level and above at ITU headquarters as well as all P-level staff at ITU Regional and Area Offices. It was thought </w:t>
      </w:r>
      <w:r w:rsidRPr="00986D12">
        <w:rPr>
          <w:rFonts w:asciiTheme="minorHAnsi" w:hAnsiTheme="minorHAnsi" w:cstheme="minorHAnsi"/>
          <w:lang w:val="en-US"/>
        </w:rPr>
        <w:lastRenderedPageBreak/>
        <w:t>that other staff categories had limited visibility in field operations and therefore were not well positioned to provide sufficiently informed views.</w:t>
      </w:r>
    </w:p>
    <w:p w14:paraId="172429B6"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An email inviting participation was sent by the BDT Director on 3 October 2025 announcing the launch of the survey, and the survey was launched the same day. The initial deadline of 15 October 2025 was later extended to 7 November 2025 to increase participation. A total of 50 responses were received, representing a response rate of 42 per cent. </w:t>
      </w:r>
    </w:p>
    <w:p w14:paraId="6160F6DE"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During the WTDC-25 special session, one Member State recommended broadening the survey’s scope to include all ITU staff. Based on this feedback, it was decided to expand the scope of the survey to include all ITU P and G staff. </w:t>
      </w:r>
    </w:p>
    <w:p w14:paraId="5FEB94FD" w14:textId="77777777" w:rsidR="00250529" w:rsidRDefault="00250529" w:rsidP="00986D12">
      <w:pPr>
        <w:jc w:val="both"/>
        <w:rPr>
          <w:rFonts w:asciiTheme="minorHAnsi" w:hAnsiTheme="minorHAnsi" w:cstheme="minorHAnsi"/>
          <w:lang w:val="en-US"/>
        </w:rPr>
      </w:pPr>
      <w:r w:rsidRPr="00986D12">
        <w:rPr>
          <w:rFonts w:asciiTheme="minorHAnsi" w:hAnsiTheme="minorHAnsi" w:cstheme="minorHAnsi"/>
          <w:lang w:val="en-US"/>
        </w:rPr>
        <w:t xml:space="preserve">The new deadline for staff to complete the survey was 24 December 2025. In total, 806 staff were targeted and 92 responses were submitted, corresponding to a response rate of 11 per cent. The figure presents the breakdown of responses by organizational unit. </w:t>
      </w:r>
    </w:p>
    <w:p w14:paraId="4531CB05" w14:textId="77777777" w:rsidR="00986D12" w:rsidRPr="00986D12" w:rsidRDefault="00986D12" w:rsidP="00986D12">
      <w:pPr>
        <w:jc w:val="both"/>
        <w:rPr>
          <w:rFonts w:asciiTheme="minorHAnsi" w:hAnsiTheme="minorHAnsi" w:cstheme="minorHAnsi"/>
          <w:lang w:val="en-US"/>
        </w:rPr>
      </w:pPr>
    </w:p>
    <w:tbl>
      <w:tblPr>
        <w:tblStyle w:val="TableGrid"/>
        <w:tblW w:w="0" w:type="auto"/>
        <w:jc w:val="center"/>
        <w:tblBorders>
          <w:top w:val="single" w:sz="4" w:space="0" w:color="3071C3" w:themeColor="text2" w:themeTint="BF"/>
          <w:left w:val="single" w:sz="4" w:space="0" w:color="3071C3" w:themeColor="text2" w:themeTint="BF"/>
          <w:bottom w:val="single" w:sz="4" w:space="0" w:color="3071C3" w:themeColor="text2" w:themeTint="BF"/>
          <w:right w:val="single" w:sz="4" w:space="0" w:color="3071C3" w:themeColor="text2" w:themeTint="BF"/>
          <w:insideH w:val="none" w:sz="0" w:space="0" w:color="auto"/>
          <w:insideV w:val="none" w:sz="0" w:space="0" w:color="auto"/>
        </w:tblBorders>
        <w:tblLook w:val="04A0" w:firstRow="1" w:lastRow="0" w:firstColumn="1" w:lastColumn="0" w:noHBand="0" w:noVBand="1"/>
      </w:tblPr>
      <w:tblGrid>
        <w:gridCol w:w="5886"/>
      </w:tblGrid>
      <w:tr w:rsidR="00250529" w:rsidRPr="00986D12" w14:paraId="2ED5D644" w14:textId="77777777">
        <w:trPr>
          <w:cantSplit/>
          <w:jc w:val="center"/>
        </w:trPr>
        <w:tc>
          <w:tcPr>
            <w:tcW w:w="5886" w:type="dxa"/>
          </w:tcPr>
          <w:p w14:paraId="6BBF8ECA" w14:textId="77777777" w:rsidR="00250529" w:rsidRPr="00986D12" w:rsidRDefault="00250529" w:rsidP="00507BF5">
            <w:pPr>
              <w:pStyle w:val="Tabletitle0"/>
              <w:keepNext/>
              <w:jc w:val="center"/>
              <w:rPr>
                <w:rFonts w:asciiTheme="minorHAnsi" w:hAnsiTheme="minorHAnsi" w:cstheme="minorHAnsi"/>
              </w:rPr>
            </w:pPr>
            <w:r w:rsidRPr="00986D12">
              <w:rPr>
                <w:rFonts w:asciiTheme="minorHAnsi" w:hAnsiTheme="minorHAnsi" w:cstheme="minorHAnsi"/>
              </w:rPr>
              <w:t>Number of responses by organizational unit</w:t>
            </w:r>
          </w:p>
        </w:tc>
      </w:tr>
      <w:tr w:rsidR="00250529" w:rsidRPr="00986D12" w14:paraId="2C3E5569" w14:textId="77777777">
        <w:trPr>
          <w:cantSplit/>
          <w:jc w:val="center"/>
        </w:trPr>
        <w:tc>
          <w:tcPr>
            <w:tcW w:w="5886" w:type="dxa"/>
          </w:tcPr>
          <w:p w14:paraId="5C89C458" w14:textId="77777777" w:rsidR="00250529" w:rsidRPr="00986D12" w:rsidRDefault="00250529" w:rsidP="00507BF5">
            <w:pPr>
              <w:rPr>
                <w:rFonts w:asciiTheme="minorHAnsi" w:hAnsiTheme="minorHAnsi" w:cstheme="minorHAnsi"/>
              </w:rPr>
            </w:pPr>
            <w:r w:rsidRPr="00986D12">
              <w:rPr>
                <w:rFonts w:asciiTheme="minorHAnsi" w:hAnsiTheme="minorHAnsi" w:cstheme="minorHAnsi"/>
                <w:noProof/>
              </w:rPr>
              <w:drawing>
                <wp:inline distT="0" distB="0" distL="0" distR="0" wp14:anchorId="27F71BC2" wp14:editId="4DF0ADFA">
                  <wp:extent cx="3600000" cy="1954908"/>
                  <wp:effectExtent l="0" t="0" r="635" b="0"/>
                  <wp:docPr id="54913522" name="Picture 3" descr="A blue squar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8187" name="Picture 3" descr="A blue squares on a black background&#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1954908"/>
                          </a:xfrm>
                          <a:prstGeom prst="rect">
                            <a:avLst/>
                          </a:prstGeom>
                          <a:noFill/>
                        </pic:spPr>
                      </pic:pic>
                    </a:graphicData>
                  </a:graphic>
                </wp:inline>
              </w:drawing>
            </w:r>
            <w:r w:rsidRPr="00986D12">
              <w:rPr>
                <w:rFonts w:asciiTheme="minorHAnsi" w:hAnsiTheme="minorHAnsi" w:cstheme="minorHAnsi"/>
              </w:rPr>
              <w:br/>
            </w:r>
            <w:r w:rsidRPr="00986D12">
              <w:rPr>
                <w:rStyle w:val="NotesChar"/>
                <w:rFonts w:asciiTheme="minorHAnsi" w:hAnsiTheme="minorHAnsi" w:cstheme="minorHAnsi"/>
              </w:rPr>
              <w:t>Note: Response rate in parentheses.</w:t>
            </w:r>
          </w:p>
        </w:tc>
      </w:tr>
    </w:tbl>
    <w:p w14:paraId="6E5F7722"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For several questions, a substantial share of respondents – more than 30 per cent in many cases and up to 42 per cent in one instance – indicated that they did not know how to respond. </w:t>
      </w:r>
    </w:p>
    <w:p w14:paraId="5F6A32F5"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A high share of “don’t know” responses mechanically </w:t>
      </w:r>
      <w:proofErr w:type="gramStart"/>
      <w:r w:rsidRPr="00986D12">
        <w:rPr>
          <w:rFonts w:asciiTheme="minorHAnsi" w:hAnsiTheme="minorHAnsi" w:cstheme="minorHAnsi"/>
        </w:rPr>
        <w:t>reduces</w:t>
      </w:r>
      <w:proofErr w:type="gramEnd"/>
      <w:r w:rsidRPr="00986D12">
        <w:rPr>
          <w:rFonts w:asciiTheme="minorHAnsi" w:hAnsiTheme="minorHAnsi" w:cstheme="minorHAnsi"/>
        </w:rPr>
        <w:t xml:space="preserve"> the proportion of responses expressing an opinion. Considering this, a rebasing was carried out, with results recalculated using only substantive responses (i.e. excluding “don’t know” responses from the denominator).</w:t>
      </w:r>
    </w:p>
    <w:p w14:paraId="0831D885"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results for the Likert-scale questions — including the distribution of responses by level of agreement and by bureau — are presented in Annex </w:t>
      </w:r>
      <w:proofErr w:type="spellStart"/>
      <w:r w:rsidRPr="00986D12">
        <w:rPr>
          <w:rFonts w:asciiTheme="minorHAnsi" w:hAnsiTheme="minorHAnsi" w:cstheme="minorHAnsi"/>
        </w:rPr>
        <w:t>C2</w:t>
      </w:r>
      <w:proofErr w:type="spellEnd"/>
      <w:r w:rsidRPr="00986D12">
        <w:rPr>
          <w:rFonts w:asciiTheme="minorHAnsi" w:hAnsiTheme="minorHAnsi" w:cstheme="minorHAnsi"/>
        </w:rPr>
        <w:t xml:space="preserve"> (</w:t>
      </w:r>
      <w:r w:rsidRPr="00986D12">
        <w:rPr>
          <w:rFonts w:asciiTheme="minorHAnsi" w:hAnsiTheme="minorHAnsi" w:cstheme="minorHAnsi"/>
          <w:lang w:val="en-US"/>
        </w:rPr>
        <w:t xml:space="preserve">Doc. </w:t>
      </w:r>
      <w:hyperlink r:id="rId43" w:history="1">
        <w:r w:rsidRPr="00986D12">
          <w:rPr>
            <w:rStyle w:val="Hyperlink"/>
            <w:rFonts w:asciiTheme="minorHAnsi" w:hAnsiTheme="minorHAnsi" w:cstheme="minorHAnsi"/>
            <w:color w:val="5F497A" w:themeColor="accent4" w:themeShade="BF"/>
            <w:lang w:val="en-US"/>
          </w:rPr>
          <w:t>CWG-FHR-22/4</w:t>
        </w:r>
        <w:r w:rsidRPr="00986D12">
          <w:rPr>
            <w:rStyle w:val="Hyperlink"/>
            <w:rFonts w:asciiTheme="minorHAnsi" w:hAnsiTheme="minorHAnsi" w:cstheme="minorHAnsi"/>
            <w:color w:val="5F497A" w:themeColor="accent4" w:themeShade="BF"/>
          </w:rPr>
          <w:t>(</w:t>
        </w:r>
        <w:proofErr w:type="spellStart"/>
        <w:r w:rsidRPr="00986D12">
          <w:rPr>
            <w:rStyle w:val="Hyperlink"/>
            <w:rFonts w:asciiTheme="minorHAnsi" w:hAnsiTheme="minorHAnsi" w:cstheme="minorHAnsi"/>
            <w:color w:val="5F497A" w:themeColor="accent4" w:themeShade="BF"/>
          </w:rPr>
          <w:t>Rev.1</w:t>
        </w:r>
        <w:proofErr w:type="spellEnd"/>
        <w:r w:rsidRPr="00986D12">
          <w:rPr>
            <w:rStyle w:val="Hyperlink"/>
            <w:rFonts w:asciiTheme="minorHAnsi" w:hAnsiTheme="minorHAnsi" w:cstheme="minorHAnsi"/>
            <w:color w:val="5F497A" w:themeColor="accent4" w:themeShade="BF"/>
          </w:rPr>
          <w:t>)</w:t>
        </w:r>
      </w:hyperlink>
      <w:r w:rsidRPr="00986D12">
        <w:rPr>
          <w:rFonts w:asciiTheme="minorHAnsi" w:hAnsiTheme="minorHAnsi" w:cstheme="minorHAnsi"/>
          <w:color w:val="5F497A" w:themeColor="accent4" w:themeShade="BF"/>
          <w:lang w:eastAsia="en-GB"/>
        </w:rPr>
        <w:t xml:space="preserve"> </w:t>
      </w:r>
      <w:r w:rsidRPr="00986D12">
        <w:rPr>
          <w:rFonts w:asciiTheme="minorHAnsi" w:hAnsiTheme="minorHAnsi" w:cstheme="minorHAnsi"/>
          <w:i/>
          <w:iCs/>
          <w:lang w:eastAsia="en-GB"/>
        </w:rPr>
        <w:t>Annex 4</w:t>
      </w:r>
      <w:r w:rsidRPr="00986D12">
        <w:rPr>
          <w:rFonts w:asciiTheme="minorHAnsi" w:hAnsiTheme="minorHAnsi" w:cstheme="minorHAnsi"/>
          <w:lang w:eastAsia="en-GB"/>
        </w:rPr>
        <w:t>)</w:t>
      </w:r>
      <w:r w:rsidRPr="00986D12">
        <w:rPr>
          <w:rFonts w:asciiTheme="minorHAnsi" w:hAnsiTheme="minorHAnsi" w:cstheme="minorHAnsi"/>
        </w:rPr>
        <w:t xml:space="preserve">. </w:t>
      </w:r>
    </w:p>
    <w:p w14:paraId="7B4C0EED" w14:textId="77777777" w:rsidR="00250529" w:rsidRPr="00986D12" w:rsidRDefault="00250529" w:rsidP="000E12EC">
      <w:pPr>
        <w:pStyle w:val="Heading2"/>
      </w:pPr>
      <w:bookmarkStart w:id="63" w:name="_Toc225163572"/>
      <w:bookmarkStart w:id="64" w:name="_Toc225261099"/>
      <w:bookmarkStart w:id="65" w:name="_Toc224213029"/>
      <w:r w:rsidRPr="000E12EC">
        <w:t>Document</w:t>
      </w:r>
      <w:r w:rsidRPr="00986D12">
        <w:t xml:space="preserve"> Analysis</w:t>
      </w:r>
      <w:bookmarkEnd w:id="63"/>
      <w:bookmarkEnd w:id="64"/>
      <w:r w:rsidRPr="00986D12">
        <w:t xml:space="preserve"> </w:t>
      </w:r>
      <w:bookmarkEnd w:id="65"/>
    </w:p>
    <w:p w14:paraId="2FE5852C" w14:textId="77777777" w:rsidR="00250529" w:rsidRPr="00986D12" w:rsidRDefault="00250529" w:rsidP="00986D12">
      <w:pPr>
        <w:jc w:val="both"/>
        <w:rPr>
          <w:rFonts w:asciiTheme="minorHAnsi" w:hAnsiTheme="minorHAnsi" w:cstheme="minorHAnsi"/>
          <w:lang w:val="en-US"/>
        </w:rPr>
      </w:pPr>
      <w:r w:rsidRPr="00986D12">
        <w:rPr>
          <w:rFonts w:asciiTheme="minorHAnsi" w:hAnsiTheme="minorHAnsi" w:cstheme="minorHAnsi"/>
        </w:rPr>
        <w:t xml:space="preserve">As a part of the Desk research and data analysis, data collection forms were prepared for the relevant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and SoW items. Requests sent to focal points across BDT and ITU General Secretariat for data collection. Information and resources were collected from different sources per SoW and </w:t>
      </w:r>
      <w:proofErr w:type="spellStart"/>
      <w:r w:rsidRPr="00986D12">
        <w:rPr>
          <w:rFonts w:asciiTheme="minorHAnsi" w:hAnsiTheme="minorHAnsi" w:cstheme="minorHAnsi"/>
        </w:rPr>
        <w:t>KPI</w:t>
      </w:r>
      <w:proofErr w:type="spellEnd"/>
      <w:r w:rsidRPr="00986D12">
        <w:rPr>
          <w:rFonts w:asciiTheme="minorHAnsi" w:hAnsiTheme="minorHAnsi" w:cstheme="minorHAnsi"/>
        </w:rPr>
        <w:t>. This data analysis was collated along with the results from other data sources to arrive at the composite findings of the review.</w:t>
      </w:r>
      <w:r w:rsidRPr="00986D12">
        <w:rPr>
          <w:rFonts w:asciiTheme="minorHAnsi" w:hAnsiTheme="minorHAnsi" w:cstheme="minorHAnsi"/>
          <w:lang w:val="en-US"/>
        </w:rPr>
        <w:t xml:space="preserve"> The results of Benchmarking that was carried out as a part of desk research against similarly placed UN organizations are available in Annex D.</w:t>
      </w:r>
    </w:p>
    <w:p w14:paraId="1332B231" w14:textId="77777777" w:rsidR="00250529" w:rsidRPr="00986D12" w:rsidRDefault="00250529" w:rsidP="000E12EC">
      <w:pPr>
        <w:pStyle w:val="Heading1"/>
      </w:pPr>
      <w:bookmarkStart w:id="66" w:name="_Toc224213030"/>
      <w:bookmarkStart w:id="67" w:name="_Toc225163573"/>
      <w:bookmarkStart w:id="68" w:name="_Toc225261100"/>
      <w:r w:rsidRPr="00986D12">
        <w:lastRenderedPageBreak/>
        <w:t xml:space="preserve">Findings per </w:t>
      </w:r>
      <w:r w:rsidRPr="000E12EC">
        <w:t>Scope</w:t>
      </w:r>
      <w:r w:rsidRPr="00986D12">
        <w:t xml:space="preserve"> of Work</w:t>
      </w:r>
      <w:bookmarkEnd w:id="66"/>
      <w:bookmarkEnd w:id="67"/>
      <w:bookmarkEnd w:id="68"/>
    </w:p>
    <w:p w14:paraId="6EB9F0F3" w14:textId="49351546" w:rsidR="00E95CCD" w:rsidRPr="00E95CCD" w:rsidRDefault="00F07639" w:rsidP="00E95CCD">
      <w:r>
        <w:t>This section re</w:t>
      </w:r>
      <w:r w:rsidR="00244D74">
        <w:t>por</w:t>
      </w:r>
      <w:r>
        <w:t>ts on</w:t>
      </w:r>
      <w:r w:rsidR="00244D74">
        <w:t xml:space="preserve"> the findings per Scope of Work</w:t>
      </w:r>
      <w:r w:rsidR="002767D2">
        <w:t xml:space="preserve">. For each Scope pf Work </w:t>
      </w:r>
      <w:r w:rsidR="000C28A3">
        <w:t xml:space="preserve">detailed findings are presented </w:t>
      </w:r>
      <w:r w:rsidR="00D87EE7">
        <w:t xml:space="preserve">including patterns </w:t>
      </w:r>
      <w:r w:rsidR="00484C79">
        <w:t>identified through analysis</w:t>
      </w:r>
      <w:r w:rsidR="00962812">
        <w:t xml:space="preserve"> of data</w:t>
      </w:r>
      <w:r w:rsidR="00427F1E">
        <w:t xml:space="preserve">. The patterns are grounded in the evidence </w:t>
      </w:r>
      <w:r w:rsidR="00642E2B">
        <w:t>and do not extend beyond it.</w:t>
      </w:r>
      <w:r w:rsidR="00427F1E">
        <w:t xml:space="preserve"> </w:t>
      </w:r>
    </w:p>
    <w:p w14:paraId="1AEAC70A" w14:textId="77777777" w:rsidR="00250529" w:rsidRPr="00986D12" w:rsidRDefault="00250529" w:rsidP="00507BF5">
      <w:pPr>
        <w:pStyle w:val="SoWtitle"/>
        <w:rPr>
          <w:rFonts w:asciiTheme="minorHAnsi" w:hAnsiTheme="minorHAnsi" w:cstheme="minorHAnsi"/>
        </w:rPr>
      </w:pPr>
      <w:bookmarkStart w:id="69" w:name="_Toc224213031"/>
      <w:bookmarkStart w:id="70" w:name="_Toc224236462"/>
      <w:r w:rsidRPr="00986D12">
        <w:rPr>
          <w:rFonts w:asciiTheme="minorHAnsi" w:hAnsiTheme="minorHAnsi" w:cstheme="minorHAnsi"/>
        </w:rPr>
        <w:t>Scope of Work 1 — Assess whether appropriate and sufficient financial, human and material resources are being allocated to Regional and Area Offices, considering each region’s characteristics, to effectively meet their activities, planned objectives, to represent ITU as a whole and have impact</w:t>
      </w:r>
      <w:bookmarkEnd w:id="69"/>
      <w:bookmarkEnd w:id="70"/>
    </w:p>
    <w:p w14:paraId="3BE277D1" w14:textId="6A4BC1A1"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Findings</w:t>
      </w:r>
    </w:p>
    <w:p w14:paraId="7A1B54B4"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Evidence suggests that Regional and Area Offices are contributing actively to implementation of strategic and action-plan objectives, but that the adequacy of the resources supporting this role is a concern.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evidence points to an operationally active regional presence, with regional initiatives, projects and other delivery activities linked to strategic objectives and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progress across regions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6;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17;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18). At the same time, the broader evidence base indicates that this delivery is taking place under conditions that are not consistently perceived as sufficient in human, financial and organizational terms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5;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19).</w:t>
      </w:r>
    </w:p>
    <w:p w14:paraId="058D7E0C"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Survey evidence points to a clear distinction between operational activity and perceived adequacy of resources. Financial and human resources are viewed as areas of perceived gap, while support from headquarters is viewed positively (MS </w:t>
      </w:r>
      <w:proofErr w:type="spellStart"/>
      <w:r w:rsidRPr="00986D12">
        <w:rPr>
          <w:rFonts w:asciiTheme="minorHAnsi" w:hAnsiTheme="minorHAnsi" w:cstheme="minorHAnsi"/>
        </w:rPr>
        <w:t>Q3_a</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Q3_b</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Q3_c</w:t>
      </w:r>
      <w:proofErr w:type="spellEnd"/>
      <w:r w:rsidRPr="00986D12">
        <w:rPr>
          <w:rFonts w:asciiTheme="minorHAnsi" w:hAnsiTheme="minorHAnsi" w:cstheme="minorHAnsi"/>
        </w:rPr>
        <w:t xml:space="preserve">). A similar pattern appears in staff responses. They highlight that timely access to detailed financial information is viewed as limited, suggesting that concerns relate not only to absolute resource levels but also to the ability to manage and deploy those resources effectively (IA </w:t>
      </w:r>
      <w:proofErr w:type="spellStart"/>
      <w:r w:rsidRPr="00986D12">
        <w:rPr>
          <w:rFonts w:asciiTheme="minorHAnsi" w:hAnsiTheme="minorHAnsi" w:cstheme="minorHAnsi"/>
        </w:rPr>
        <w:t>Q6</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Q7</w:t>
      </w:r>
      <w:proofErr w:type="spellEnd"/>
      <w:r w:rsidRPr="00986D12">
        <w:rPr>
          <w:rFonts w:asciiTheme="minorHAnsi" w:hAnsiTheme="minorHAnsi" w:cstheme="minorHAnsi"/>
        </w:rPr>
        <w:t>).</w:t>
      </w:r>
    </w:p>
    <w:p w14:paraId="20294131" w14:textId="77777777" w:rsidR="00250529" w:rsidRPr="00986D12" w:rsidRDefault="00250529" w:rsidP="192E875C">
      <w:pPr>
        <w:jc w:val="both"/>
        <w:rPr>
          <w:rFonts w:asciiTheme="minorHAnsi" w:hAnsiTheme="minorHAnsi" w:cstheme="minorBidi"/>
        </w:rPr>
      </w:pPr>
      <w:r w:rsidRPr="192E875C">
        <w:rPr>
          <w:rFonts w:asciiTheme="minorHAnsi" w:hAnsiTheme="minorHAnsi" w:cstheme="minorBidi"/>
        </w:rPr>
        <w:t xml:space="preserve">The </w:t>
      </w:r>
      <w:proofErr w:type="spellStart"/>
      <w:r w:rsidRPr="192E875C">
        <w:rPr>
          <w:rFonts w:asciiTheme="minorHAnsi" w:hAnsiTheme="minorHAnsi" w:cstheme="minorBidi"/>
        </w:rPr>
        <w:t>KPI</w:t>
      </w:r>
      <w:proofErr w:type="spellEnd"/>
      <w:r w:rsidRPr="192E875C">
        <w:rPr>
          <w:rFonts w:asciiTheme="minorHAnsi" w:hAnsiTheme="minorHAnsi" w:cstheme="minorBidi"/>
        </w:rPr>
        <w:t xml:space="preserve"> 13 analysis reveals that regional offices operate with an established but uneven resource footprint across regions. Across all Regional and Area Offices, 64 personnel support ITU’s regional presence, representing roughly 9% of the total ITU workforce of 695 staff (</w:t>
      </w:r>
      <w:proofErr w:type="spellStart"/>
      <w:r w:rsidRPr="192E875C">
        <w:rPr>
          <w:rFonts w:asciiTheme="minorHAnsi" w:hAnsiTheme="minorHAnsi" w:cstheme="minorBidi"/>
        </w:rPr>
        <w:t>KPI</w:t>
      </w:r>
      <w:proofErr w:type="spellEnd"/>
      <w:r w:rsidRPr="192E875C">
        <w:rPr>
          <w:rFonts w:asciiTheme="minorHAnsi" w:hAnsiTheme="minorHAnsi" w:cstheme="minorBidi"/>
        </w:rPr>
        <w:t xml:space="preserve"> </w:t>
      </w:r>
      <w:proofErr w:type="spellStart"/>
      <w:r w:rsidRPr="192E875C">
        <w:rPr>
          <w:rFonts w:asciiTheme="minorHAnsi" w:hAnsiTheme="minorHAnsi" w:cstheme="minorBidi"/>
        </w:rPr>
        <w:t>13_a</w:t>
      </w:r>
      <w:proofErr w:type="spellEnd"/>
      <w:r w:rsidRPr="192E875C">
        <w:rPr>
          <w:rFonts w:asciiTheme="minorHAnsi" w:hAnsiTheme="minorHAnsi" w:cstheme="minorBidi"/>
        </w:rPr>
        <w:t>). These personnel collectively serve a global membership of 194 Member States, yet the distribution of workload across regions varies considerably. Evidence from the annex indicates large differences in the number of countries served per staff member. In Europe, each staff member supports roughly 15 countries, whereas in most other regions the ratio is closer to two to three countries per staff member, reflecting the presence of multiple area offices that distribute responsibilities more widely (</w:t>
      </w:r>
      <w:proofErr w:type="spellStart"/>
      <w:r w:rsidRPr="192E875C">
        <w:rPr>
          <w:rFonts w:asciiTheme="minorHAnsi" w:hAnsiTheme="minorHAnsi" w:cstheme="minorBidi"/>
        </w:rPr>
        <w:t>KPI</w:t>
      </w:r>
      <w:proofErr w:type="spellEnd"/>
      <w:r w:rsidRPr="192E875C">
        <w:rPr>
          <w:rFonts w:asciiTheme="minorHAnsi" w:hAnsiTheme="minorHAnsi" w:cstheme="minorBidi"/>
        </w:rPr>
        <w:t xml:space="preserve"> </w:t>
      </w:r>
      <w:proofErr w:type="spellStart"/>
      <w:r w:rsidRPr="192E875C">
        <w:rPr>
          <w:rFonts w:asciiTheme="minorHAnsi" w:hAnsiTheme="minorHAnsi" w:cstheme="minorBidi"/>
        </w:rPr>
        <w:t>13_a</w:t>
      </w:r>
      <w:proofErr w:type="spellEnd"/>
      <w:r w:rsidRPr="192E875C">
        <w:rPr>
          <w:rFonts w:asciiTheme="minorHAnsi" w:hAnsiTheme="minorHAnsi" w:cstheme="minorBidi"/>
        </w:rPr>
        <w:t xml:space="preserve">; </w:t>
      </w:r>
      <w:proofErr w:type="spellStart"/>
      <w:r w:rsidRPr="192E875C">
        <w:rPr>
          <w:rFonts w:asciiTheme="minorHAnsi" w:hAnsiTheme="minorHAnsi" w:cstheme="minorBidi"/>
        </w:rPr>
        <w:t>KPI</w:t>
      </w:r>
      <w:proofErr w:type="spellEnd"/>
      <w:r w:rsidRPr="192E875C">
        <w:rPr>
          <w:rFonts w:asciiTheme="minorHAnsi" w:hAnsiTheme="minorHAnsi" w:cstheme="minorBidi"/>
        </w:rPr>
        <w:t xml:space="preserve"> </w:t>
      </w:r>
      <w:proofErr w:type="spellStart"/>
      <w:r w:rsidRPr="192E875C">
        <w:rPr>
          <w:rFonts w:asciiTheme="minorHAnsi" w:hAnsiTheme="minorHAnsi" w:cstheme="minorBidi"/>
        </w:rPr>
        <w:t>13_b</w:t>
      </w:r>
      <w:proofErr w:type="spellEnd"/>
      <w:r w:rsidRPr="192E875C">
        <w:rPr>
          <w:rFonts w:asciiTheme="minorHAnsi" w:hAnsiTheme="minorHAnsi" w:cstheme="minorBidi"/>
        </w:rPr>
        <w:t>). However, workload differences must be viewed in the context of the distribution of development projects and operational activities. Regional offices in Africa and the Americas manage the largest project portfolios, both in terms of number of projects and overall financial value, while Asia-Pacific also carries a substantial project workload, though with smaller average project budgets. By contrast, Europe and CIS manage fewer development projects but are responsible for broader coordination across large groups of Member States (</w:t>
      </w:r>
      <w:proofErr w:type="spellStart"/>
      <w:r w:rsidRPr="192E875C">
        <w:rPr>
          <w:rFonts w:asciiTheme="minorHAnsi" w:hAnsiTheme="minorHAnsi" w:cstheme="minorBidi"/>
        </w:rPr>
        <w:t>KPI</w:t>
      </w:r>
      <w:proofErr w:type="spellEnd"/>
      <w:r w:rsidRPr="192E875C">
        <w:rPr>
          <w:rFonts w:asciiTheme="minorHAnsi" w:hAnsiTheme="minorHAnsi" w:cstheme="minorBidi"/>
        </w:rPr>
        <w:t xml:space="preserve"> </w:t>
      </w:r>
      <w:proofErr w:type="spellStart"/>
      <w:r w:rsidRPr="192E875C">
        <w:rPr>
          <w:rFonts w:asciiTheme="minorHAnsi" w:hAnsiTheme="minorHAnsi" w:cstheme="minorBidi"/>
        </w:rPr>
        <w:t>13_c</w:t>
      </w:r>
      <w:proofErr w:type="spellEnd"/>
      <w:r w:rsidRPr="192E875C">
        <w:rPr>
          <w:rFonts w:asciiTheme="minorHAnsi" w:hAnsiTheme="minorHAnsi" w:cstheme="minorBidi"/>
        </w:rPr>
        <w:t xml:space="preserve">). </w:t>
      </w:r>
    </w:p>
    <w:p w14:paraId="69B6BC6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In addition, the presence of 52 multi-regional projects creates coordination demands that extend beyond individual regions and require collaboration between regional offices and headquarters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13_c</w:t>
      </w:r>
      <w:proofErr w:type="spellEnd"/>
      <w:r w:rsidRPr="00986D12">
        <w:rPr>
          <w:rFonts w:asciiTheme="minorHAnsi" w:hAnsiTheme="minorHAnsi" w:cstheme="minorHAnsi"/>
        </w:rPr>
        <w:t xml:space="preserve">). These patterns indicate that resource adequacy cannot be assessed through aggregate staffing or budget figures alone. Rather, the interaction between staffing levels, geographic coverage, project portfolios and regional complexity appears central to whether offices can effectively meet operational expectations (MS </w:t>
      </w:r>
      <w:proofErr w:type="spellStart"/>
      <w:r w:rsidRPr="00986D12">
        <w:rPr>
          <w:rFonts w:asciiTheme="minorHAnsi" w:hAnsiTheme="minorHAnsi" w:cstheme="minorHAnsi"/>
        </w:rPr>
        <w:t>Q6_b</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Q6_c</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Q6_e</w:t>
      </w:r>
      <w:proofErr w:type="spellEnd"/>
      <w:r w:rsidRPr="00986D12">
        <w:rPr>
          <w:rFonts w:asciiTheme="minorHAnsi" w:hAnsiTheme="minorHAnsi" w:cstheme="minorHAnsi"/>
        </w:rPr>
        <w:t>).</w:t>
      </w:r>
    </w:p>
    <w:p w14:paraId="2267BAA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lastRenderedPageBreak/>
        <w:t xml:space="preserve">Across both membership and staff surveys, support is consistently stronger for increasing resources than for reallocating existing ones. Additional human and financial resources attract strong support, while reallocation options receive only moderate endorsement, indicating that respondents generally perceive the problem as one of insufficiency rather than redistribution alone (MS </w:t>
      </w:r>
      <w:proofErr w:type="spellStart"/>
      <w:r w:rsidRPr="00986D12">
        <w:rPr>
          <w:rFonts w:asciiTheme="minorHAnsi" w:hAnsiTheme="minorHAnsi" w:cstheme="minorHAnsi"/>
        </w:rPr>
        <w:t>Q5_h</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Q5_i</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Q5_j</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Q5_k</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Q9_f</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Q9_g</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Q9_h</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Q9_i</w:t>
      </w:r>
      <w:proofErr w:type="spellEnd"/>
      <w:r w:rsidRPr="00986D12">
        <w:rPr>
          <w:rFonts w:asciiTheme="minorHAnsi" w:hAnsiTheme="minorHAnsi" w:cstheme="minorHAnsi"/>
        </w:rPr>
        <w:t xml:space="preserve">). </w:t>
      </w:r>
    </w:p>
    <w:p w14:paraId="00715C3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Support is also strong for measures that would improve data availability, digital tools and operational support conditions, suggesting that respondents see resource adequacy as including transparency, systems and knowledge resources, not just headcount and budgets (MS </w:t>
      </w:r>
      <w:proofErr w:type="spellStart"/>
      <w:r w:rsidRPr="00986D12">
        <w:rPr>
          <w:rFonts w:asciiTheme="minorHAnsi" w:hAnsiTheme="minorHAnsi" w:cstheme="minorHAnsi"/>
        </w:rPr>
        <w:t>Q5_a</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Q9_l</w:t>
      </w:r>
      <w:proofErr w:type="spellEnd"/>
      <w:r w:rsidRPr="00986D12">
        <w:rPr>
          <w:rFonts w:asciiTheme="minorHAnsi" w:hAnsiTheme="minorHAnsi" w:cstheme="minorHAnsi"/>
        </w:rPr>
        <w:t>).</w:t>
      </w:r>
    </w:p>
    <w:p w14:paraId="17EB4389"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Qualitative evidence and stakeholder feedback point in the same direction. Open-ended responses suggest concerns regarding staffing shortages, uneven workload, administrative bottlenecks, limited financial visibility and the practical difficulty of implementing regional initiatives under current conditions (Open-ended survey responses). </w:t>
      </w:r>
    </w:p>
    <w:p w14:paraId="378A8FE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Interview feedback indicates expectations for stronger technical capacity, more predictable financing and greater ability of regional offices to adapt support to regional needs (RTO interviews). Institutional stakeholder feedback similarly highlights the importance of sufficient financial resources for regional initiatives, together with broad support for strengthening staffing, communication, multilingual outreach and overall regional capacity. Taken together, the evidence suggests that regional presence is valued and operationally relevant, but that current financial, human and material resources are not consistently perceived as sufficient to meet expected levels of delivery and impact.</w:t>
      </w:r>
    </w:p>
    <w:p w14:paraId="59C03C11" w14:textId="34FA9181" w:rsidR="00250529" w:rsidRPr="003E5ECC" w:rsidRDefault="00441A4D" w:rsidP="00507BF5">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 xml:space="preserve">Patterns in the </w:t>
      </w:r>
      <w:r w:rsidR="00083C2A" w:rsidRPr="003E5ECC">
        <w:rPr>
          <w:rFonts w:asciiTheme="minorHAnsi" w:eastAsia="Times New Roman" w:hAnsiTheme="minorHAnsi" w:cstheme="minorHAnsi"/>
          <w:bCs w:val="0"/>
          <w:kern w:val="0"/>
          <w:sz w:val="24"/>
          <w:szCs w:val="20"/>
          <w:lang w:eastAsia="en-US"/>
          <w14:ligatures w14:val="none"/>
        </w:rPr>
        <w:t>evidence</w:t>
      </w:r>
    </w:p>
    <w:p w14:paraId="3ECD4CEA" w14:textId="3AAFB57F" w:rsidR="00250529" w:rsidRPr="00986D12" w:rsidRDefault="00CC3660" w:rsidP="00986D12">
      <w:pPr>
        <w:jc w:val="both"/>
        <w:rPr>
          <w:rFonts w:asciiTheme="minorHAnsi" w:hAnsiTheme="minorHAnsi" w:cstheme="minorHAnsi"/>
        </w:rPr>
      </w:pPr>
      <w:r>
        <w:rPr>
          <w:rFonts w:asciiTheme="minorHAnsi" w:hAnsiTheme="minorHAnsi" w:cstheme="minorHAnsi"/>
          <w:b/>
        </w:rPr>
        <w:t>R</w:t>
      </w:r>
      <w:r w:rsidR="00250529" w:rsidRPr="00986D12">
        <w:rPr>
          <w:rFonts w:asciiTheme="minorHAnsi" w:hAnsiTheme="minorHAnsi" w:cstheme="minorHAnsi"/>
          <w:b/>
        </w:rPr>
        <w:t>esource allocation and staffing.</w:t>
      </w:r>
      <w:r w:rsidR="00250529" w:rsidRPr="00986D12">
        <w:rPr>
          <w:rFonts w:asciiTheme="minorHAnsi" w:hAnsiTheme="minorHAnsi" w:cstheme="minorHAnsi"/>
        </w:rPr>
        <w:t xml:space="preserve"> </w:t>
      </w:r>
      <w:r w:rsidR="009E3299">
        <w:rPr>
          <w:rFonts w:asciiTheme="minorHAnsi" w:hAnsiTheme="minorHAnsi" w:cstheme="minorHAnsi"/>
        </w:rPr>
        <w:t>The findings suggest that r</w:t>
      </w:r>
      <w:r w:rsidR="00250529" w:rsidRPr="00986D12">
        <w:rPr>
          <w:rFonts w:asciiTheme="minorHAnsi" w:hAnsiTheme="minorHAnsi" w:cstheme="minorHAnsi"/>
        </w:rPr>
        <w:t xml:space="preserve">esourcing </w:t>
      </w:r>
      <w:r w:rsidR="001F2A97">
        <w:rPr>
          <w:rFonts w:asciiTheme="minorHAnsi" w:hAnsiTheme="minorHAnsi" w:cstheme="minorHAnsi"/>
        </w:rPr>
        <w:t>c</w:t>
      </w:r>
      <w:r w:rsidR="00250529" w:rsidRPr="00986D12">
        <w:rPr>
          <w:rFonts w:asciiTheme="minorHAnsi" w:hAnsiTheme="minorHAnsi" w:cstheme="minorHAnsi"/>
        </w:rPr>
        <w:t xml:space="preserve">ould consider all factors such as country coverage, project portfolios, implementation demands, and regional conditions, resource decisions so that resources </w:t>
      </w:r>
      <w:r w:rsidR="003E5ECC">
        <w:rPr>
          <w:rFonts w:asciiTheme="minorHAnsi" w:hAnsiTheme="minorHAnsi" w:cstheme="minorHAnsi"/>
        </w:rPr>
        <w:t xml:space="preserve">are </w:t>
      </w:r>
      <w:r w:rsidR="00250529" w:rsidRPr="00986D12">
        <w:rPr>
          <w:rFonts w:asciiTheme="minorHAnsi" w:hAnsiTheme="minorHAnsi" w:cstheme="minorHAnsi"/>
        </w:rPr>
        <w:t>tailored to the context of offices with heavier delivery responsibilities.</w:t>
      </w:r>
    </w:p>
    <w:p w14:paraId="650C86B2" w14:textId="18FDC8E4" w:rsidR="00250529" w:rsidRPr="00986D12" w:rsidRDefault="00A45E4E" w:rsidP="00986D12">
      <w:pPr>
        <w:jc w:val="both"/>
        <w:rPr>
          <w:rFonts w:asciiTheme="minorHAnsi" w:hAnsiTheme="minorHAnsi" w:cstheme="minorHAnsi"/>
        </w:rPr>
      </w:pPr>
      <w:r>
        <w:rPr>
          <w:rFonts w:asciiTheme="minorHAnsi" w:hAnsiTheme="minorHAnsi" w:cstheme="minorHAnsi"/>
          <w:b/>
        </w:rPr>
        <w:t>T</w:t>
      </w:r>
      <w:r w:rsidR="00250529" w:rsidRPr="00986D12">
        <w:rPr>
          <w:rFonts w:asciiTheme="minorHAnsi" w:hAnsiTheme="minorHAnsi" w:cstheme="minorHAnsi"/>
          <w:b/>
        </w:rPr>
        <w:t>ransparency and reporting on staffing, financial allocations and implementation capacity.</w:t>
      </w:r>
      <w:r w:rsidR="00250529" w:rsidRPr="00986D12">
        <w:rPr>
          <w:rFonts w:asciiTheme="minorHAnsi" w:hAnsiTheme="minorHAnsi" w:cstheme="minorHAnsi"/>
        </w:rPr>
        <w:t xml:space="preserve"> </w:t>
      </w:r>
      <w:r w:rsidR="00060632">
        <w:rPr>
          <w:rFonts w:asciiTheme="minorHAnsi" w:hAnsiTheme="minorHAnsi" w:cstheme="minorHAnsi"/>
        </w:rPr>
        <w:t>Evidence indicates</w:t>
      </w:r>
      <w:r w:rsidR="00334D6F">
        <w:rPr>
          <w:rFonts w:asciiTheme="minorHAnsi" w:hAnsiTheme="minorHAnsi" w:cstheme="minorHAnsi"/>
        </w:rPr>
        <w:t xml:space="preserve"> that</w:t>
      </w:r>
      <w:r w:rsidR="00060632">
        <w:rPr>
          <w:rFonts w:asciiTheme="minorHAnsi" w:hAnsiTheme="minorHAnsi" w:cstheme="minorHAnsi"/>
        </w:rPr>
        <w:t xml:space="preserve"> </w:t>
      </w:r>
      <w:r w:rsidR="00250529" w:rsidRPr="00986D12">
        <w:rPr>
          <w:rFonts w:asciiTheme="minorHAnsi" w:hAnsiTheme="minorHAnsi" w:cstheme="minorHAnsi"/>
        </w:rPr>
        <w:t xml:space="preserve">clearer visibility on resource levels, operational demands and implementation performance </w:t>
      </w:r>
      <w:r w:rsidR="003B38A0">
        <w:rPr>
          <w:rFonts w:asciiTheme="minorHAnsi" w:hAnsiTheme="minorHAnsi" w:cstheme="minorHAnsi"/>
        </w:rPr>
        <w:t>c</w:t>
      </w:r>
      <w:r w:rsidR="00250529" w:rsidRPr="00986D12">
        <w:rPr>
          <w:rFonts w:asciiTheme="minorHAnsi" w:hAnsiTheme="minorHAnsi" w:cstheme="minorHAnsi"/>
        </w:rPr>
        <w:t>ould help provide a fuller picture of regional presence and support more evidence-based oversight and planning.</w:t>
      </w:r>
    </w:p>
    <w:p w14:paraId="2C9844C4" w14:textId="05E51F07" w:rsidR="00250529" w:rsidRPr="00986D12" w:rsidRDefault="005615BD" w:rsidP="00986D12">
      <w:pPr>
        <w:jc w:val="both"/>
        <w:rPr>
          <w:rFonts w:asciiTheme="minorHAnsi" w:hAnsiTheme="minorHAnsi" w:cstheme="minorHAnsi"/>
        </w:rPr>
      </w:pPr>
      <w:r>
        <w:rPr>
          <w:rFonts w:asciiTheme="minorHAnsi" w:hAnsiTheme="minorHAnsi" w:cstheme="minorHAnsi"/>
          <w:b/>
        </w:rPr>
        <w:t>P</w:t>
      </w:r>
      <w:r w:rsidR="00250529" w:rsidRPr="00986D12">
        <w:rPr>
          <w:rFonts w:asciiTheme="minorHAnsi" w:hAnsiTheme="minorHAnsi" w:cstheme="minorHAnsi"/>
          <w:b/>
        </w:rPr>
        <w:t>rocedural and managerial constraints.</w:t>
      </w:r>
      <w:r w:rsidR="00250529" w:rsidRPr="00986D12">
        <w:rPr>
          <w:rFonts w:asciiTheme="minorHAnsi" w:hAnsiTheme="minorHAnsi" w:cstheme="minorHAnsi"/>
        </w:rPr>
        <w:t xml:space="preserve"> </w:t>
      </w:r>
      <w:r w:rsidR="007F23A0">
        <w:rPr>
          <w:rFonts w:asciiTheme="minorHAnsi" w:hAnsiTheme="minorHAnsi" w:cstheme="minorHAnsi"/>
        </w:rPr>
        <w:t>The findings indicate</w:t>
      </w:r>
      <w:r w:rsidR="003E4B86">
        <w:rPr>
          <w:rFonts w:asciiTheme="minorHAnsi" w:hAnsiTheme="minorHAnsi" w:cstheme="minorHAnsi"/>
        </w:rPr>
        <w:t xml:space="preserve"> that</w:t>
      </w:r>
      <w:r w:rsidR="005F6847">
        <w:rPr>
          <w:rFonts w:asciiTheme="minorHAnsi" w:hAnsiTheme="minorHAnsi" w:cstheme="minorHAnsi"/>
        </w:rPr>
        <w:t xml:space="preserve"> i</w:t>
      </w:r>
      <w:r w:rsidR="00250529" w:rsidRPr="00986D12">
        <w:rPr>
          <w:rFonts w:asciiTheme="minorHAnsi" w:hAnsiTheme="minorHAnsi" w:cstheme="minorHAnsi"/>
        </w:rPr>
        <w:t xml:space="preserve">mproved access to financial information, more consistent use of management tools, and continued streamlining of operational </w:t>
      </w:r>
      <w:r w:rsidR="003E5ECC" w:rsidRPr="00986D12">
        <w:rPr>
          <w:rFonts w:asciiTheme="minorHAnsi" w:hAnsiTheme="minorHAnsi" w:cstheme="minorHAnsi"/>
        </w:rPr>
        <w:t xml:space="preserve">processes </w:t>
      </w:r>
      <w:r w:rsidR="003E5ECC">
        <w:rPr>
          <w:rFonts w:asciiTheme="minorHAnsi" w:hAnsiTheme="minorHAnsi" w:cstheme="minorHAnsi"/>
        </w:rPr>
        <w:t>could</w:t>
      </w:r>
      <w:r w:rsidR="00250529" w:rsidRPr="00986D12">
        <w:rPr>
          <w:rFonts w:asciiTheme="minorHAnsi" w:hAnsiTheme="minorHAnsi" w:cstheme="minorHAnsi"/>
        </w:rPr>
        <w:t xml:space="preserve"> help regional offices make the most of existing resources and support the practical feasibility of implementation.</w:t>
      </w:r>
    </w:p>
    <w:p w14:paraId="6892CE78" w14:textId="6F04778D" w:rsidR="00250529" w:rsidRPr="00986D12" w:rsidRDefault="0045188E" w:rsidP="00986D12">
      <w:pPr>
        <w:jc w:val="both"/>
        <w:rPr>
          <w:rFonts w:asciiTheme="minorHAnsi" w:hAnsiTheme="minorHAnsi" w:cstheme="minorHAnsi"/>
        </w:rPr>
      </w:pPr>
      <w:r>
        <w:rPr>
          <w:rFonts w:asciiTheme="minorHAnsi" w:hAnsiTheme="minorHAnsi" w:cstheme="minorHAnsi"/>
          <w:b/>
        </w:rPr>
        <w:t>E</w:t>
      </w:r>
      <w:r w:rsidR="00250529" w:rsidRPr="00986D12">
        <w:rPr>
          <w:rFonts w:asciiTheme="minorHAnsi" w:hAnsiTheme="minorHAnsi" w:cstheme="minorHAnsi"/>
          <w:b/>
        </w:rPr>
        <w:t>nabling conditions for regional delivery.</w:t>
      </w:r>
      <w:r w:rsidR="00250529" w:rsidRPr="00986D12">
        <w:rPr>
          <w:rFonts w:asciiTheme="minorHAnsi" w:hAnsiTheme="minorHAnsi" w:cstheme="minorHAnsi"/>
        </w:rPr>
        <w:t xml:space="preserve"> In addition to staffing and budget levels, </w:t>
      </w:r>
      <w:r w:rsidR="00962812">
        <w:rPr>
          <w:rFonts w:asciiTheme="minorHAnsi" w:hAnsiTheme="minorHAnsi" w:cstheme="minorHAnsi"/>
        </w:rPr>
        <w:t xml:space="preserve">the evidence reflects that </w:t>
      </w:r>
      <w:r w:rsidR="00250529" w:rsidRPr="00986D12">
        <w:rPr>
          <w:rFonts w:asciiTheme="minorHAnsi" w:hAnsiTheme="minorHAnsi" w:cstheme="minorHAnsi"/>
        </w:rPr>
        <w:t>continued improvement in digital tools, knowledge resources, headquarters support, and host country conditions c</w:t>
      </w:r>
      <w:r w:rsidR="00221D54">
        <w:rPr>
          <w:rFonts w:asciiTheme="minorHAnsi" w:hAnsiTheme="minorHAnsi" w:cstheme="minorHAnsi"/>
        </w:rPr>
        <w:t>ould</w:t>
      </w:r>
      <w:r w:rsidR="00250529" w:rsidRPr="00986D12">
        <w:rPr>
          <w:rFonts w:asciiTheme="minorHAnsi" w:hAnsiTheme="minorHAnsi" w:cstheme="minorHAnsi"/>
        </w:rPr>
        <w:t xml:space="preserve"> help ensure that allocated resources translate effectively into operational results.</w:t>
      </w:r>
    </w:p>
    <w:p w14:paraId="6307C56E" w14:textId="196B3C6F" w:rsidR="00250529" w:rsidRPr="00986D12" w:rsidRDefault="00250529" w:rsidP="00986D12">
      <w:pPr>
        <w:jc w:val="both"/>
        <w:rPr>
          <w:rFonts w:asciiTheme="minorHAnsi" w:hAnsiTheme="minorHAnsi" w:cstheme="minorHAnsi"/>
        </w:rPr>
      </w:pPr>
      <w:r w:rsidRPr="00986D12">
        <w:rPr>
          <w:rFonts w:asciiTheme="minorHAnsi" w:hAnsiTheme="minorHAnsi" w:cstheme="minorHAnsi"/>
          <w:b/>
        </w:rPr>
        <w:t>Target additional support where strategic needs are greatest.</w:t>
      </w:r>
      <w:r w:rsidRPr="00986D12">
        <w:rPr>
          <w:rFonts w:asciiTheme="minorHAnsi" w:hAnsiTheme="minorHAnsi" w:cstheme="minorHAnsi"/>
        </w:rPr>
        <w:t xml:space="preserve"> The strong support for </w:t>
      </w:r>
      <w:proofErr w:type="spellStart"/>
      <w:r w:rsidRPr="00986D12">
        <w:rPr>
          <w:rFonts w:asciiTheme="minorHAnsi" w:hAnsiTheme="minorHAnsi" w:cstheme="minorHAnsi"/>
        </w:rPr>
        <w:t>LDC</w:t>
      </w:r>
      <w:proofErr w:type="spellEnd"/>
      <w:r w:rsidR="00027EC2">
        <w:rPr>
          <w:rFonts w:asciiTheme="minorHAnsi" w:hAnsiTheme="minorHAnsi" w:cstheme="minorHAnsi"/>
        </w:rPr>
        <w:t xml:space="preserve"> </w:t>
      </w:r>
      <w:r w:rsidRPr="00986D12">
        <w:rPr>
          <w:rFonts w:asciiTheme="minorHAnsi" w:hAnsiTheme="minorHAnsi" w:cstheme="minorHAnsi"/>
        </w:rPr>
        <w:t>focused assessments and action plans suggests that differentiated approaches may be warranted in contexts where development needs are especially acute and regional offices require stronger analytical and operational backing.</w:t>
      </w:r>
    </w:p>
    <w:p w14:paraId="3C2E061F" w14:textId="77777777" w:rsidR="00250529" w:rsidRPr="00986D12" w:rsidRDefault="00250529" w:rsidP="00986D12">
      <w:pPr>
        <w:pStyle w:val="SoWtitle"/>
        <w:jc w:val="both"/>
        <w:rPr>
          <w:rFonts w:asciiTheme="minorHAnsi" w:eastAsia="Avenir Nxt2 W1G" w:hAnsiTheme="minorHAnsi" w:cstheme="minorHAnsi"/>
        </w:rPr>
      </w:pPr>
      <w:bookmarkStart w:id="71" w:name="_Toc224213032"/>
      <w:bookmarkStart w:id="72" w:name="_Toc224236463"/>
      <w:r w:rsidRPr="00986D12">
        <w:rPr>
          <w:rFonts w:asciiTheme="minorHAnsi" w:hAnsiTheme="minorHAnsi" w:cstheme="minorHAnsi"/>
        </w:rPr>
        <w:lastRenderedPageBreak/>
        <w:t>Scope of Work 2 — Review and assess the effectiveness of the resource mobilization function, as well as processes of consultants, special service agreement engagements and recruitments at regional offices and area offices taking into consideration the Key Performance Indicators (</w:t>
      </w:r>
      <w:proofErr w:type="spellStart"/>
      <w:r w:rsidRPr="00986D12">
        <w:rPr>
          <w:rFonts w:asciiTheme="minorHAnsi" w:hAnsiTheme="minorHAnsi" w:cstheme="minorHAnsi"/>
        </w:rPr>
        <w:t>KPIs</w:t>
      </w:r>
      <w:proofErr w:type="spellEnd"/>
      <w:r w:rsidRPr="00986D12">
        <w:rPr>
          <w:rFonts w:asciiTheme="minorHAnsi" w:hAnsiTheme="minorHAnsi" w:cstheme="minorHAnsi"/>
        </w:rPr>
        <w:t>) detailed in Annex 1</w:t>
      </w:r>
      <w:bookmarkEnd w:id="71"/>
      <w:bookmarkEnd w:id="72"/>
    </w:p>
    <w:p w14:paraId="4CADA216" w14:textId="1B0CAF4A"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3C300321"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resource mobilization function is widely recognized as an important component of regional presence, with stakeholders highlighting its potential to expand projects and partnerships. Survey results indicate strong support for increasing projects and activities achieved through resource mobilization </w:t>
      </w:r>
      <w:proofErr w:type="gramStart"/>
      <w:r w:rsidRPr="00986D12">
        <w:rPr>
          <w:rFonts w:asciiTheme="minorHAnsi" w:hAnsiTheme="minorHAnsi" w:cstheme="minorHAnsi"/>
        </w:rPr>
        <w:t>and also</w:t>
      </w:r>
      <w:proofErr w:type="gramEnd"/>
      <w:r w:rsidRPr="00986D12">
        <w:rPr>
          <w:rFonts w:asciiTheme="minorHAnsi" w:hAnsiTheme="minorHAnsi" w:cstheme="minorHAnsi"/>
        </w:rPr>
        <w:t xml:space="preserve"> highlight the importance of better data on staffing, financials and activity implementation to strengthen regional presence (MS </w:t>
      </w:r>
      <w:proofErr w:type="spellStart"/>
      <w:r w:rsidRPr="00986D12">
        <w:rPr>
          <w:rFonts w:asciiTheme="minorHAnsi" w:hAnsiTheme="minorHAnsi" w:cstheme="minorHAnsi"/>
        </w:rPr>
        <w:t>Q5_f</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Q5_a</w:t>
      </w:r>
      <w:proofErr w:type="spellEnd"/>
      <w:r w:rsidRPr="00986D12">
        <w:rPr>
          <w:rFonts w:asciiTheme="minorHAnsi" w:hAnsiTheme="minorHAnsi" w:cstheme="minorHAnsi"/>
        </w:rPr>
        <w:t xml:space="preserve">). Perceptions of the effectiveness of partnerships and resource mobilization support are more moderate, however, suggesting that while the role of regional offices in facilitating partnerships is valued, the scale and consistency of implementation may vary across regions (MS </w:t>
      </w:r>
      <w:proofErr w:type="spellStart"/>
      <w:r w:rsidRPr="00986D12">
        <w:rPr>
          <w:rFonts w:asciiTheme="minorHAnsi" w:hAnsiTheme="minorHAnsi" w:cstheme="minorHAnsi"/>
        </w:rPr>
        <w:t>Q12_e</w:t>
      </w:r>
      <w:proofErr w:type="spellEnd"/>
      <w:r w:rsidRPr="00986D12">
        <w:rPr>
          <w:rFonts w:asciiTheme="minorHAnsi" w:hAnsiTheme="minorHAnsi" w:cstheme="minorHAnsi"/>
        </w:rPr>
        <w:t>).</w:t>
      </w:r>
    </w:p>
    <w:p w14:paraId="18F4DA5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Recruitment-related evidence highlights areas where processes could be further strengthened to support the operational needs of regional offices. The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analysis shows recurring vacancies across regions and recruitment timelines that influence the operational capacity of offices to fully deploy their staffing resources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14_a</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14_b</w:t>
      </w:r>
      <w:proofErr w:type="spellEnd"/>
      <w:r w:rsidRPr="00986D12">
        <w:rPr>
          <w:rFonts w:asciiTheme="minorHAnsi" w:hAnsiTheme="minorHAnsi" w:cstheme="minorHAnsi"/>
        </w:rPr>
        <w:t>). Improvements to recruitment tools and procedures have been introduced in some areas, such as clearer vacancy announcements and wider advertising of positions, although further strengthening of recruitment processes and staffing mobility arrangements could support more efficient deployment of expertise across regions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14_c</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14_d</w:t>
      </w:r>
      <w:proofErr w:type="spellEnd"/>
      <w:r w:rsidRPr="00986D12">
        <w:rPr>
          <w:rFonts w:asciiTheme="minorHAnsi" w:hAnsiTheme="minorHAnsi" w:cstheme="minorHAnsi"/>
        </w:rPr>
        <w:t xml:space="preserve">). Survey responses broadly reflect these findings, with perceptions of the adequacy of recruitment processes for project managers and experts indicating moderate levels of satisfaction (MS </w:t>
      </w:r>
      <w:proofErr w:type="spellStart"/>
      <w:r w:rsidRPr="00986D12">
        <w:rPr>
          <w:rFonts w:asciiTheme="minorHAnsi" w:hAnsiTheme="minorHAnsi" w:cstheme="minorHAnsi"/>
        </w:rPr>
        <w:t>Q6_g</w:t>
      </w:r>
      <w:proofErr w:type="spellEnd"/>
      <w:r w:rsidRPr="00986D12">
        <w:rPr>
          <w:rFonts w:asciiTheme="minorHAnsi" w:hAnsiTheme="minorHAnsi" w:cstheme="minorHAnsi"/>
        </w:rPr>
        <w:t>).</w:t>
      </w:r>
    </w:p>
    <w:p w14:paraId="0469DF4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Evidence related to stakeholder engagement highlights the important role that regional and area offices play in supporting partnerships and external collaboration. The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analysis indicates that regional offices can contribute significantly to maximizing engagement with regional stakeholders during global events when they are involved early in planning processes and play a clearer convening and coordination role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11). This function is closely linked to resource mobilization, as partnerships developed through such engagement can facilitate joint initiatives, co-financed activities and project implementation. Open-ended survey responses reinforce this perspective, with several respondents highlighting the value of joint projects, strengthened partnerships with regional organizations and UN entities, and simplified administrative processes that would allow regional offices to engage partners more effectively (Open-ended survey responses).</w:t>
      </w:r>
    </w:p>
    <w:p w14:paraId="6CA86BA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Interview insights further highlight the importance of partnership-based approaches to resource mobilization. Discussions with Regional Telecommunication Organizations emphasize the value of predictable financing arrangements, closer coordination between ITU and regional organizations, and stronger collaboration in the design and implementation of regional initiatives (RTO interviews). Interviewees also stress the importance of maintaining sufficient technical expertise within regional offices and strengthening coordination with headquarters and sector bureaux </w:t>
      </w:r>
      <w:proofErr w:type="gramStart"/>
      <w:r w:rsidRPr="00986D12">
        <w:rPr>
          <w:rFonts w:asciiTheme="minorHAnsi" w:hAnsiTheme="minorHAnsi" w:cstheme="minorHAnsi"/>
        </w:rPr>
        <w:t>in order to</w:t>
      </w:r>
      <w:proofErr w:type="gramEnd"/>
      <w:r w:rsidRPr="00986D12">
        <w:rPr>
          <w:rFonts w:asciiTheme="minorHAnsi" w:hAnsiTheme="minorHAnsi" w:cstheme="minorHAnsi"/>
        </w:rPr>
        <w:t xml:space="preserve"> translate partnership opportunities into concrete projects and funded activities (RTO interviews).</w:t>
      </w:r>
    </w:p>
    <w:p w14:paraId="1437E2D5"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lastRenderedPageBreak/>
        <w:t xml:space="preserve">Overall, the combined evidence indicates that the resource mobilization and recruitment functions provide a foundation for regional engagement and project development. Survey responses show broad support for strengthening regional presence through increased human and financial resources, increased physical presence of ITU staff in regions, and expanded project activities achieved through partnerships and resource mobilization (IA </w:t>
      </w:r>
      <w:proofErr w:type="spellStart"/>
      <w:r w:rsidRPr="00986D12">
        <w:rPr>
          <w:rFonts w:asciiTheme="minorHAnsi" w:hAnsiTheme="minorHAnsi" w:cstheme="minorHAnsi"/>
        </w:rPr>
        <w:t>Q9_a</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Q9_b</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Q9_d</w:t>
      </w:r>
      <w:proofErr w:type="spellEnd"/>
      <w:r w:rsidRPr="00986D12">
        <w:rPr>
          <w:rFonts w:asciiTheme="minorHAnsi" w:hAnsiTheme="minorHAnsi" w:cstheme="minorHAnsi"/>
        </w:rPr>
        <w:t xml:space="preserve">). At the same time, evidence from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analyses, surveys and stakeholder feedback suggests that further strengthening of staffing capacity, recruitment processes and partnership implementation mechanisms could enhance the ability of regional offices to mobilize resources and deliver projects consistently across regions.</w:t>
      </w:r>
    </w:p>
    <w:p w14:paraId="4BFF1A26" w14:textId="77777777" w:rsidR="00D66B95" w:rsidRPr="003E5ECC" w:rsidRDefault="00D66B95" w:rsidP="00D66B95">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599CFAB6" w14:textId="5623A788" w:rsidR="00250529" w:rsidRPr="00986D12" w:rsidRDefault="00962812" w:rsidP="192E875C">
      <w:pPr>
        <w:jc w:val="both"/>
        <w:rPr>
          <w:rFonts w:asciiTheme="minorHAnsi" w:hAnsiTheme="minorHAnsi" w:cstheme="minorBidi"/>
        </w:rPr>
      </w:pPr>
      <w:r w:rsidRPr="192E875C">
        <w:rPr>
          <w:rFonts w:asciiTheme="minorHAnsi" w:hAnsiTheme="minorHAnsi" w:cstheme="minorBidi"/>
          <w:b/>
          <w:bCs/>
        </w:rPr>
        <w:t>R</w:t>
      </w:r>
      <w:r w:rsidR="00250529" w:rsidRPr="192E875C">
        <w:rPr>
          <w:rFonts w:asciiTheme="minorHAnsi" w:hAnsiTheme="minorHAnsi" w:cstheme="minorBidi"/>
          <w:b/>
          <w:bCs/>
        </w:rPr>
        <w:t>ecruitment and vacancy management for regional posts.</w:t>
      </w:r>
      <w:r w:rsidR="00250529" w:rsidRPr="192E875C">
        <w:rPr>
          <w:rFonts w:asciiTheme="minorHAnsi" w:hAnsiTheme="minorHAnsi" w:cstheme="minorBidi"/>
        </w:rPr>
        <w:t xml:space="preserve"> </w:t>
      </w:r>
      <w:r w:rsidR="00B260C6" w:rsidRPr="192E875C">
        <w:rPr>
          <w:rFonts w:asciiTheme="minorHAnsi" w:hAnsiTheme="minorHAnsi" w:cstheme="minorBidi"/>
        </w:rPr>
        <w:t>The evidence su</w:t>
      </w:r>
      <w:r w:rsidR="0053270A" w:rsidRPr="192E875C">
        <w:rPr>
          <w:rFonts w:asciiTheme="minorHAnsi" w:hAnsiTheme="minorHAnsi" w:cstheme="minorBidi"/>
        </w:rPr>
        <w:t>ggests</w:t>
      </w:r>
      <w:r w:rsidR="00B260C6" w:rsidRPr="192E875C">
        <w:rPr>
          <w:rFonts w:asciiTheme="minorHAnsi" w:hAnsiTheme="minorHAnsi" w:cstheme="minorBidi"/>
        </w:rPr>
        <w:t xml:space="preserve"> </w:t>
      </w:r>
      <w:r w:rsidR="00B14303" w:rsidRPr="192E875C">
        <w:rPr>
          <w:rFonts w:asciiTheme="minorHAnsi" w:hAnsiTheme="minorHAnsi" w:cstheme="minorBidi"/>
        </w:rPr>
        <w:t xml:space="preserve">that </w:t>
      </w:r>
      <w:r w:rsidR="00B260C6" w:rsidRPr="192E875C">
        <w:rPr>
          <w:rFonts w:asciiTheme="minorHAnsi" w:hAnsiTheme="minorHAnsi" w:cstheme="minorBidi"/>
        </w:rPr>
        <w:t>r</w:t>
      </w:r>
      <w:r w:rsidR="00250529" w:rsidRPr="192E875C">
        <w:rPr>
          <w:rFonts w:asciiTheme="minorHAnsi" w:hAnsiTheme="minorHAnsi" w:cstheme="minorBidi"/>
        </w:rPr>
        <w:t>eviewing recruitment timelines for regional and area office positions in relation to operational requirements and considering mechanisms for monitoring vacancy duration and time</w:t>
      </w:r>
      <w:r w:rsidR="4BCC73B5" w:rsidRPr="192E875C">
        <w:rPr>
          <w:rFonts w:asciiTheme="minorHAnsi" w:hAnsiTheme="minorHAnsi" w:cstheme="minorBidi"/>
        </w:rPr>
        <w:t>-</w:t>
      </w:r>
      <w:r w:rsidR="00250529" w:rsidRPr="192E875C">
        <w:rPr>
          <w:rFonts w:asciiTheme="minorHAnsi" w:hAnsiTheme="minorHAnsi" w:cstheme="minorBidi"/>
        </w:rPr>
        <w:t>to</w:t>
      </w:r>
      <w:r w:rsidR="166C4BB8" w:rsidRPr="192E875C">
        <w:rPr>
          <w:rFonts w:asciiTheme="minorHAnsi" w:hAnsiTheme="minorHAnsi" w:cstheme="minorBidi"/>
        </w:rPr>
        <w:noBreakHyphen/>
        <w:t>-</w:t>
      </w:r>
      <w:r w:rsidR="00250529" w:rsidRPr="00986D12">
        <w:rPr>
          <w:rFonts w:asciiTheme="minorHAnsi" w:hAnsiTheme="minorHAnsi" w:cstheme="minorHAnsi"/>
        </w:rPr>
        <w:noBreakHyphen/>
      </w:r>
      <w:r w:rsidR="0053270A" w:rsidRPr="192E875C">
        <w:rPr>
          <w:rFonts w:asciiTheme="minorHAnsi" w:hAnsiTheme="minorHAnsi" w:cstheme="minorBidi"/>
        </w:rPr>
        <w:t>recruit could</w:t>
      </w:r>
      <w:r w:rsidR="00250529" w:rsidRPr="192E875C">
        <w:rPr>
          <w:rFonts w:asciiTheme="minorHAnsi" w:hAnsiTheme="minorHAnsi" w:cstheme="minorBidi"/>
        </w:rPr>
        <w:t xml:space="preserve"> contribute to staffing needs being met in a timely manner.</w:t>
      </w:r>
    </w:p>
    <w:p w14:paraId="764B0762" w14:textId="0567054B" w:rsidR="00250529" w:rsidRPr="00986D12" w:rsidRDefault="00250529" w:rsidP="192E875C">
      <w:pPr>
        <w:jc w:val="both"/>
        <w:rPr>
          <w:rFonts w:asciiTheme="minorHAnsi" w:hAnsiTheme="minorHAnsi" w:cstheme="minorBidi"/>
        </w:rPr>
      </w:pPr>
      <w:r w:rsidRPr="192E875C">
        <w:rPr>
          <w:rFonts w:asciiTheme="minorHAnsi" w:hAnsiTheme="minorHAnsi" w:cstheme="minorBidi"/>
          <w:b/>
          <w:bCs/>
        </w:rPr>
        <w:t>Regional capacity for partnership and project development.</w:t>
      </w:r>
      <w:r w:rsidRPr="192E875C">
        <w:rPr>
          <w:rFonts w:asciiTheme="minorHAnsi" w:hAnsiTheme="minorHAnsi" w:cstheme="minorBidi"/>
        </w:rPr>
        <w:t xml:space="preserve"> </w:t>
      </w:r>
      <w:r w:rsidR="00F1411E" w:rsidRPr="192E875C">
        <w:rPr>
          <w:rFonts w:asciiTheme="minorHAnsi" w:hAnsiTheme="minorHAnsi" w:cstheme="minorBidi"/>
        </w:rPr>
        <w:t>Taken together the evidence</w:t>
      </w:r>
      <w:r w:rsidR="00DA2725" w:rsidRPr="192E875C">
        <w:rPr>
          <w:rFonts w:asciiTheme="minorHAnsi" w:hAnsiTheme="minorHAnsi" w:cstheme="minorBidi"/>
        </w:rPr>
        <w:t xml:space="preserve"> suggest</w:t>
      </w:r>
      <w:r w:rsidR="00404FD0" w:rsidRPr="192E875C">
        <w:rPr>
          <w:rFonts w:asciiTheme="minorHAnsi" w:hAnsiTheme="minorHAnsi" w:cstheme="minorBidi"/>
        </w:rPr>
        <w:t>s</w:t>
      </w:r>
      <w:r w:rsidR="00DA2725" w:rsidRPr="192E875C">
        <w:rPr>
          <w:rFonts w:asciiTheme="minorHAnsi" w:hAnsiTheme="minorHAnsi" w:cstheme="minorBidi"/>
        </w:rPr>
        <w:t xml:space="preserve"> that e</w:t>
      </w:r>
      <w:r w:rsidRPr="192E875C">
        <w:rPr>
          <w:rFonts w:asciiTheme="minorHAnsi" w:hAnsiTheme="minorHAnsi" w:cstheme="minorBidi"/>
        </w:rPr>
        <w:t xml:space="preserve">nhancing </w:t>
      </w:r>
      <w:r w:rsidR="5FCC011A" w:rsidRPr="192E875C">
        <w:rPr>
          <w:rFonts w:asciiTheme="minorHAnsi" w:hAnsiTheme="minorHAnsi" w:cstheme="minorBidi"/>
        </w:rPr>
        <w:t xml:space="preserve">resource mobilization activities could help strengthen </w:t>
      </w:r>
      <w:r w:rsidRPr="192E875C">
        <w:rPr>
          <w:rFonts w:asciiTheme="minorHAnsi" w:hAnsiTheme="minorHAnsi" w:cstheme="minorBidi"/>
        </w:rPr>
        <w:t>staffing and technical capabilities in regional and area offices</w:t>
      </w:r>
      <w:r w:rsidR="417304DD" w:rsidRPr="192E875C">
        <w:rPr>
          <w:rFonts w:asciiTheme="minorHAnsi" w:hAnsiTheme="minorHAnsi" w:cstheme="minorBidi"/>
        </w:rPr>
        <w:t>,</w:t>
      </w:r>
      <w:r w:rsidRPr="192E875C">
        <w:rPr>
          <w:rFonts w:asciiTheme="minorHAnsi" w:hAnsiTheme="minorHAnsi" w:cstheme="minorBidi"/>
        </w:rPr>
        <w:t xml:space="preserve"> advance partnership opportunities, support project development, and help in the coordination of externally funded initiatives in coordination with headquarters and sector bureaux.</w:t>
      </w:r>
    </w:p>
    <w:p w14:paraId="376730B0" w14:textId="61307CD6" w:rsidR="00250529" w:rsidRPr="00986D12" w:rsidRDefault="00DD1A88" w:rsidP="00986D12">
      <w:pPr>
        <w:jc w:val="both"/>
        <w:rPr>
          <w:rFonts w:asciiTheme="minorHAnsi" w:hAnsiTheme="minorHAnsi" w:cstheme="minorHAnsi"/>
          <w:highlight w:val="yellow"/>
        </w:rPr>
      </w:pPr>
      <w:r>
        <w:rPr>
          <w:rFonts w:asciiTheme="minorHAnsi" w:hAnsiTheme="minorHAnsi" w:cstheme="minorHAnsi"/>
          <w:b/>
          <w:bCs/>
        </w:rPr>
        <w:t>S</w:t>
      </w:r>
      <w:r w:rsidR="00250529" w:rsidRPr="00557C4C">
        <w:rPr>
          <w:rFonts w:asciiTheme="minorHAnsi" w:hAnsiTheme="minorHAnsi" w:cstheme="minorHAnsi"/>
          <w:b/>
          <w:bCs/>
        </w:rPr>
        <w:t>tructured regional partnership frameworks</w:t>
      </w:r>
      <w:r w:rsidR="00250529" w:rsidRPr="00986D12">
        <w:rPr>
          <w:rFonts w:asciiTheme="minorHAnsi" w:hAnsiTheme="minorHAnsi" w:cstheme="minorHAnsi"/>
        </w:rPr>
        <w:t>.</w:t>
      </w:r>
    </w:p>
    <w:p w14:paraId="0CC3B3F8" w14:textId="1CE9BD72" w:rsidR="00250529" w:rsidRPr="00986D12" w:rsidRDefault="00DD1A88" w:rsidP="00986D12">
      <w:pPr>
        <w:jc w:val="both"/>
        <w:rPr>
          <w:rFonts w:asciiTheme="minorHAnsi" w:hAnsiTheme="minorHAnsi" w:cstheme="minorHAnsi"/>
        </w:rPr>
      </w:pPr>
      <w:r>
        <w:rPr>
          <w:rFonts w:asciiTheme="minorHAnsi" w:hAnsiTheme="minorHAnsi" w:cstheme="minorHAnsi"/>
        </w:rPr>
        <w:t xml:space="preserve">Evidence </w:t>
      </w:r>
      <w:r w:rsidR="00AC650A">
        <w:rPr>
          <w:rFonts w:asciiTheme="minorHAnsi" w:hAnsiTheme="minorHAnsi" w:cstheme="minorHAnsi"/>
        </w:rPr>
        <w:t>indicates that</w:t>
      </w:r>
      <w:r>
        <w:rPr>
          <w:rFonts w:asciiTheme="minorHAnsi" w:hAnsiTheme="minorHAnsi" w:cstheme="minorHAnsi"/>
        </w:rPr>
        <w:t xml:space="preserve"> f</w:t>
      </w:r>
      <w:r w:rsidR="00250529" w:rsidRPr="00986D12">
        <w:rPr>
          <w:rFonts w:asciiTheme="minorHAnsi" w:hAnsiTheme="minorHAnsi" w:cstheme="minorHAnsi"/>
        </w:rPr>
        <w:t>urther strengthening collaboration with regional organizations, UN entities, and other partners through more clearly articulated cooperation frameworks — including defined roles, expected outputs, and follow up arrangements — could help support the translation of engagement into concrete projects.</w:t>
      </w:r>
    </w:p>
    <w:p w14:paraId="4ADBF760" w14:textId="16F0C24F" w:rsidR="00250529" w:rsidRPr="00986D12" w:rsidRDefault="00250529" w:rsidP="00986D12">
      <w:pPr>
        <w:jc w:val="both"/>
        <w:rPr>
          <w:rFonts w:asciiTheme="minorHAnsi" w:hAnsiTheme="minorHAnsi" w:cstheme="minorHAnsi"/>
        </w:rPr>
      </w:pPr>
      <w:r w:rsidRPr="00986D12">
        <w:rPr>
          <w:rFonts w:asciiTheme="minorHAnsi" w:hAnsiTheme="minorHAnsi" w:cstheme="minorHAnsi"/>
          <w:b/>
        </w:rPr>
        <w:t>Improve operational support for resource mobilization activities.</w:t>
      </w:r>
      <w:r w:rsidRPr="00986D12">
        <w:rPr>
          <w:rFonts w:asciiTheme="minorHAnsi" w:hAnsiTheme="minorHAnsi" w:cstheme="minorHAnsi"/>
        </w:rPr>
        <w:t xml:space="preserve"> </w:t>
      </w:r>
      <w:r w:rsidR="00E24565">
        <w:rPr>
          <w:rFonts w:asciiTheme="minorHAnsi" w:hAnsiTheme="minorHAnsi" w:cstheme="minorHAnsi"/>
        </w:rPr>
        <w:t>The findings suggest that s</w:t>
      </w:r>
      <w:r w:rsidRPr="00986D12">
        <w:rPr>
          <w:rFonts w:asciiTheme="minorHAnsi" w:hAnsiTheme="minorHAnsi" w:cstheme="minorHAnsi"/>
        </w:rPr>
        <w:t>implifying project administration and associated staffing arrangements — including flexible options for temporary support where appropriate — could help Regional Offices engage partners and implement projects more effectively.</w:t>
      </w:r>
    </w:p>
    <w:p w14:paraId="73AE063F" w14:textId="3F282F0A" w:rsidR="00250529" w:rsidRPr="00986D12" w:rsidRDefault="00250529" w:rsidP="00986D12">
      <w:pPr>
        <w:jc w:val="both"/>
        <w:rPr>
          <w:rFonts w:asciiTheme="minorHAnsi" w:hAnsiTheme="minorHAnsi" w:cstheme="minorHAnsi"/>
        </w:rPr>
      </w:pPr>
      <w:r w:rsidRPr="00986D12">
        <w:rPr>
          <w:rFonts w:asciiTheme="minorHAnsi" w:hAnsiTheme="minorHAnsi" w:cstheme="minorHAnsi"/>
          <w:b/>
        </w:rPr>
        <w:t>Enhance transparency and reporting on staffing and partnership-supported activities.</w:t>
      </w:r>
      <w:r w:rsidRPr="00986D12">
        <w:rPr>
          <w:rFonts w:asciiTheme="minorHAnsi" w:hAnsiTheme="minorHAnsi" w:cstheme="minorHAnsi"/>
        </w:rPr>
        <w:t xml:space="preserve"> Clearer reporting on staffing levels, recruitment timelines, partnership activities and project outcomes could further support oversight and deepen understanding of regional operational needs.</w:t>
      </w:r>
    </w:p>
    <w:p w14:paraId="7632A00F" w14:textId="77777777" w:rsidR="00250529" w:rsidRPr="00986D12" w:rsidRDefault="00250529" w:rsidP="00507BF5">
      <w:pPr>
        <w:pStyle w:val="SoWtitle"/>
        <w:rPr>
          <w:rFonts w:asciiTheme="minorHAnsi" w:eastAsia="Avenir Nxt2 W1G" w:hAnsiTheme="minorHAnsi" w:cstheme="minorHAnsi"/>
        </w:rPr>
      </w:pPr>
      <w:bookmarkStart w:id="73" w:name="_Toc224213033"/>
      <w:bookmarkStart w:id="74" w:name="_Toc224236464"/>
      <w:r w:rsidRPr="00986D12">
        <w:rPr>
          <w:rFonts w:asciiTheme="minorHAnsi" w:hAnsiTheme="minorHAnsi" w:cstheme="minorHAnsi"/>
        </w:rPr>
        <w:t>Scope of Work 3 — Review the effectiveness of the multiple funding mechanisms, including extrabudgetary funding (FIT, etc.), resource mobilization function and reporting and evaluation functions for projects execution in the regional presence</w:t>
      </w:r>
      <w:bookmarkEnd w:id="73"/>
      <w:bookmarkEnd w:id="74"/>
    </w:p>
    <w:p w14:paraId="0F336559" w14:textId="00788378"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Findings</w:t>
      </w:r>
    </w:p>
    <w:p w14:paraId="41C3D19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The combined evidence indicates that regional presence plays an active role in implementing regional initiatives and project activities, supported by a range of funding sources including regular budget allocations and externally funded initiatives. Implementation data points to continued engagement in projects, events and regional initiatives across offices, reflecting the operational role of regional presence in delivering ITU activities and programmes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6;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lastRenderedPageBreak/>
        <w:t>13_c</w:t>
      </w:r>
      <w:proofErr w:type="spellEnd"/>
      <w:r w:rsidRPr="00986D12">
        <w:rPr>
          <w:rFonts w:asciiTheme="minorHAnsi" w:hAnsiTheme="minorHAnsi" w:cstheme="minorHAnsi"/>
        </w:rPr>
        <w:t>). Feedback from regional offices also highlights that resource availability and project financing influence the pace and scale of implementation, suggesting that resource adequacy remains an important enabling factor for project delivery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5).</w:t>
      </w:r>
    </w:p>
    <w:p w14:paraId="104C418F"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Evidence related to reporting and monitoring functions indicates that mechanisms are in place to track implementation progress and provide information to governing bodies and management. Reporting on regional activities contributes to institutional oversight and helps ensure that activities implemented through regional presence are aligned with the broader objectives of the Union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25_c</w:t>
      </w:r>
      <w:proofErr w:type="spellEnd"/>
      <w:r w:rsidRPr="00986D12">
        <w:rPr>
          <w:rFonts w:asciiTheme="minorHAnsi" w:hAnsiTheme="minorHAnsi" w:cstheme="minorHAnsi"/>
        </w:rPr>
        <w:t>).</w:t>
      </w:r>
    </w:p>
    <w:p w14:paraId="587BCB29"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 The analysis also highlights opportunities to further strengthen the collection and presentation of performance data, including improving the consistency of reporting and addressing challenges encountered when compiling information on implementation progress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7). These observations suggest that reporting practices are operational but may benefit from further refinement to enhance clarity and comparability across regions.</w:t>
      </w:r>
    </w:p>
    <w:p w14:paraId="202DD749" w14:textId="05BBA2A7" w:rsidR="00250529" w:rsidRPr="00986D12" w:rsidRDefault="00250529" w:rsidP="192E875C">
      <w:pPr>
        <w:jc w:val="both"/>
        <w:rPr>
          <w:rFonts w:asciiTheme="minorHAnsi" w:hAnsiTheme="minorHAnsi" w:cstheme="minorBidi"/>
        </w:rPr>
      </w:pPr>
      <w:r w:rsidRPr="192E875C">
        <w:rPr>
          <w:rFonts w:asciiTheme="minorHAnsi" w:hAnsiTheme="minorHAnsi" w:cstheme="minorBidi"/>
        </w:rPr>
        <w:t xml:space="preserve">Survey responses broadly support the relevance of strengthening reporting transparency and improving resource availability for regional activities. Membership survey results show strong support for making better data on staffing, financial resources and activity implementation available to members, indicating interest in greater visibility on how regional activities are financed and delivered (MS </w:t>
      </w:r>
      <w:proofErr w:type="spellStart"/>
      <w:r w:rsidRPr="192E875C">
        <w:rPr>
          <w:rFonts w:asciiTheme="minorHAnsi" w:hAnsiTheme="minorHAnsi" w:cstheme="minorBidi"/>
        </w:rPr>
        <w:t>Q5_a</w:t>
      </w:r>
      <w:proofErr w:type="spellEnd"/>
      <w:r w:rsidRPr="192E875C">
        <w:rPr>
          <w:rFonts w:asciiTheme="minorHAnsi" w:hAnsiTheme="minorHAnsi" w:cstheme="minorBidi"/>
        </w:rPr>
        <w:t xml:space="preserve">). Respondents also highlight the importance of </w:t>
      </w:r>
      <w:r w:rsidR="571B886E" w:rsidRPr="192E875C">
        <w:rPr>
          <w:rFonts w:asciiTheme="minorHAnsi" w:hAnsiTheme="minorHAnsi" w:cstheme="minorBidi"/>
        </w:rPr>
        <w:t xml:space="preserve">having </w:t>
      </w:r>
      <w:r w:rsidRPr="192E875C">
        <w:rPr>
          <w:rFonts w:asciiTheme="minorHAnsi" w:hAnsiTheme="minorHAnsi" w:cstheme="minorBidi"/>
        </w:rPr>
        <w:t xml:space="preserve">sufficient human resources </w:t>
      </w:r>
      <w:r w:rsidR="628E6F87" w:rsidRPr="192E875C">
        <w:rPr>
          <w:rFonts w:asciiTheme="minorHAnsi" w:hAnsiTheme="minorHAnsi" w:cstheme="minorBidi"/>
        </w:rPr>
        <w:t xml:space="preserve">in </w:t>
      </w:r>
      <w:r w:rsidRPr="192E875C">
        <w:rPr>
          <w:rFonts w:asciiTheme="minorHAnsi" w:hAnsiTheme="minorHAnsi" w:cstheme="minorBidi"/>
        </w:rPr>
        <w:t xml:space="preserve">regional offices to support project implementation and programme delivery (MS </w:t>
      </w:r>
      <w:proofErr w:type="spellStart"/>
      <w:r w:rsidRPr="192E875C">
        <w:rPr>
          <w:rFonts w:asciiTheme="minorHAnsi" w:hAnsiTheme="minorHAnsi" w:cstheme="minorBidi"/>
        </w:rPr>
        <w:t>Q5_h</w:t>
      </w:r>
      <w:proofErr w:type="spellEnd"/>
      <w:r w:rsidRPr="192E875C">
        <w:rPr>
          <w:rFonts w:asciiTheme="minorHAnsi" w:hAnsiTheme="minorHAnsi" w:cstheme="minorBidi"/>
        </w:rPr>
        <w:t xml:space="preserve">). Perceptions of the alignment of co-financed ITU activities with regional needs appear more moderate, suggesting that while such activities contribute to development priorities, their perceived relevance may vary across contexts (MS </w:t>
      </w:r>
      <w:proofErr w:type="spellStart"/>
      <w:r w:rsidRPr="192E875C">
        <w:rPr>
          <w:rFonts w:asciiTheme="minorHAnsi" w:hAnsiTheme="minorHAnsi" w:cstheme="minorBidi"/>
        </w:rPr>
        <w:t>Q15</w:t>
      </w:r>
      <w:proofErr w:type="spellEnd"/>
      <w:r w:rsidRPr="192E875C">
        <w:rPr>
          <w:rFonts w:asciiTheme="minorHAnsi" w:hAnsiTheme="minorHAnsi" w:cstheme="minorBidi"/>
        </w:rPr>
        <w:t>).</w:t>
      </w:r>
    </w:p>
    <w:p w14:paraId="19A8DADF"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Internal assessments similarly reflect a balanced picture regarding the role of externally funded activities. Survey responses indicate moderately positive perceptions regarding whether co-financed and extrabudgetary funded activities fully meet national or regional priorities, highlighting that while these mechanisms contribute to project implementation, there may be scope to further strengthen alignment with country needs and priorities (IA </w:t>
      </w:r>
      <w:proofErr w:type="spellStart"/>
      <w:r w:rsidRPr="00986D12">
        <w:rPr>
          <w:rFonts w:asciiTheme="minorHAnsi" w:hAnsiTheme="minorHAnsi" w:cstheme="minorHAnsi"/>
        </w:rPr>
        <w:t>Q17</w:t>
      </w:r>
      <w:proofErr w:type="spellEnd"/>
      <w:r w:rsidRPr="00986D12">
        <w:rPr>
          <w:rFonts w:asciiTheme="minorHAnsi" w:hAnsiTheme="minorHAnsi" w:cstheme="minorHAnsi"/>
        </w:rPr>
        <w:t>).</w:t>
      </w:r>
    </w:p>
    <w:p w14:paraId="7DE15E32"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Insights from open-ended survey responses and interviews reinforce the importance of effective partnerships and diversified funding mechanisms for supporting regional initiatives. Respondents frequently highlight the value of collaboration with development partners, regional organizations and other international actors in supporting programme implementation and expanding the reach of regional activities (Open-ended survey responses). Interview insights similarly emphasize the role of partnerships and externally supported projects in enabling regional offices to deliver initiatives and respond to regional priorities (RTO interviews).</w:t>
      </w:r>
    </w:p>
    <w:p w14:paraId="49E7A56A"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Overall, the combined evidence indicates that ITU regional presence benefits from multiple funding sources and reporting mechanisms that support the implementation and monitoring of activities across regions. Regional initiatives and projects continue to be implemented through a combination of internal and external resources, while reporting frameworks provide oversight on progress and outcomes. Survey feedback and qualitative insights also point to opportunities for further strengthening the transparency of reporting, improving alignment between externally funded activities and regional priorities, and ensuring that regional offices have sufficient resources to support project delivery and monitoring functions.</w:t>
      </w:r>
    </w:p>
    <w:p w14:paraId="112C71DB" w14:textId="77777777" w:rsidR="00557C4C" w:rsidRPr="003E5ECC" w:rsidRDefault="00557C4C" w:rsidP="00557C4C">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lastRenderedPageBreak/>
        <w:t>Patterns in the evidence</w:t>
      </w:r>
    </w:p>
    <w:p w14:paraId="574AEF3A" w14:textId="6545188D" w:rsidR="00DA1EB0" w:rsidRPr="00986D12" w:rsidRDefault="003A57EB" w:rsidP="00986D12">
      <w:pPr>
        <w:jc w:val="both"/>
        <w:rPr>
          <w:rFonts w:asciiTheme="minorHAnsi" w:hAnsiTheme="minorHAnsi" w:cstheme="minorHAnsi"/>
        </w:rPr>
      </w:pPr>
      <w:r>
        <w:rPr>
          <w:rFonts w:asciiTheme="minorHAnsi" w:hAnsiTheme="minorHAnsi" w:cstheme="minorHAnsi"/>
          <w:b/>
        </w:rPr>
        <w:t>T</w:t>
      </w:r>
      <w:r w:rsidR="00250529" w:rsidRPr="00986D12">
        <w:rPr>
          <w:rFonts w:asciiTheme="minorHAnsi" w:hAnsiTheme="minorHAnsi" w:cstheme="minorHAnsi"/>
          <w:b/>
        </w:rPr>
        <w:t>ransparency and accessibility of reporting on regional activities and funding.</w:t>
      </w:r>
      <w:r w:rsidR="00250529" w:rsidRPr="00986D12">
        <w:rPr>
          <w:rFonts w:asciiTheme="minorHAnsi" w:hAnsiTheme="minorHAnsi" w:cstheme="minorHAnsi"/>
        </w:rPr>
        <w:t xml:space="preserve"> </w:t>
      </w:r>
      <w:r>
        <w:rPr>
          <w:rFonts w:asciiTheme="minorHAnsi" w:hAnsiTheme="minorHAnsi" w:cstheme="minorHAnsi"/>
        </w:rPr>
        <w:t>Evidence su</w:t>
      </w:r>
      <w:r w:rsidR="00AC4622">
        <w:rPr>
          <w:rFonts w:asciiTheme="minorHAnsi" w:hAnsiTheme="minorHAnsi" w:cstheme="minorHAnsi"/>
        </w:rPr>
        <w:t>ggests</w:t>
      </w:r>
      <w:r w:rsidR="00E205B7">
        <w:rPr>
          <w:rFonts w:asciiTheme="minorHAnsi" w:hAnsiTheme="minorHAnsi" w:cstheme="minorHAnsi"/>
        </w:rPr>
        <w:t xml:space="preserve"> that</w:t>
      </w:r>
      <w:r w:rsidR="00B55E15">
        <w:rPr>
          <w:rFonts w:asciiTheme="minorHAnsi" w:hAnsiTheme="minorHAnsi" w:cstheme="minorHAnsi"/>
        </w:rPr>
        <w:t xml:space="preserve"> f</w:t>
      </w:r>
      <w:r w:rsidR="00250529" w:rsidRPr="00986D12">
        <w:rPr>
          <w:rFonts w:asciiTheme="minorHAnsi" w:hAnsiTheme="minorHAnsi" w:cstheme="minorHAnsi"/>
        </w:rPr>
        <w:t xml:space="preserve">urther improving the availability of information on project implementation, funding sources and activity </w:t>
      </w:r>
      <w:r w:rsidR="00550E8C" w:rsidRPr="00986D12">
        <w:rPr>
          <w:rFonts w:asciiTheme="minorHAnsi" w:hAnsiTheme="minorHAnsi" w:cstheme="minorHAnsi"/>
        </w:rPr>
        <w:t xml:space="preserve">outcomes </w:t>
      </w:r>
      <w:r w:rsidR="00550E8C">
        <w:rPr>
          <w:rFonts w:asciiTheme="minorHAnsi" w:hAnsiTheme="minorHAnsi" w:cstheme="minorHAnsi"/>
        </w:rPr>
        <w:t>could</w:t>
      </w:r>
      <w:r w:rsidR="00250529" w:rsidRPr="00986D12">
        <w:rPr>
          <w:rFonts w:asciiTheme="minorHAnsi" w:hAnsiTheme="minorHAnsi" w:cstheme="minorHAnsi"/>
        </w:rPr>
        <w:t xml:space="preserve"> offer Member</w:t>
      </w:r>
      <w:r w:rsidR="000E3762">
        <w:rPr>
          <w:rFonts w:asciiTheme="minorHAnsi" w:hAnsiTheme="minorHAnsi" w:cstheme="minorHAnsi"/>
        </w:rPr>
        <w:t>ship</w:t>
      </w:r>
      <w:r w:rsidR="00250529" w:rsidRPr="00986D12">
        <w:rPr>
          <w:rFonts w:asciiTheme="minorHAnsi" w:hAnsiTheme="minorHAnsi" w:cstheme="minorHAnsi"/>
        </w:rPr>
        <w:t xml:space="preserve"> clearer visibility into how regional initiatives and externally funded projects contribute to strategic objectives.</w:t>
      </w:r>
    </w:p>
    <w:p w14:paraId="3E09AE2A" w14:textId="2C127BBD" w:rsidR="00250529" w:rsidRPr="00986D12" w:rsidRDefault="004A18BD" w:rsidP="00986D12">
      <w:pPr>
        <w:jc w:val="both"/>
        <w:rPr>
          <w:rFonts w:asciiTheme="minorHAnsi" w:hAnsiTheme="minorHAnsi" w:cstheme="minorHAnsi"/>
        </w:rPr>
      </w:pPr>
      <w:r>
        <w:rPr>
          <w:rFonts w:asciiTheme="minorHAnsi" w:hAnsiTheme="minorHAnsi" w:cstheme="minorHAnsi"/>
          <w:b/>
        </w:rPr>
        <w:t>A</w:t>
      </w:r>
      <w:r w:rsidRPr="00986D12">
        <w:rPr>
          <w:rFonts w:asciiTheme="minorHAnsi" w:hAnsiTheme="minorHAnsi" w:cstheme="minorHAnsi"/>
          <w:b/>
        </w:rPr>
        <w:t>lignment</w:t>
      </w:r>
      <w:r w:rsidR="00250529" w:rsidRPr="00986D12">
        <w:rPr>
          <w:rFonts w:asciiTheme="minorHAnsi" w:hAnsiTheme="minorHAnsi" w:cstheme="minorHAnsi"/>
          <w:b/>
        </w:rPr>
        <w:t xml:space="preserve"> between externally funded activities and regional development priorities.</w:t>
      </w:r>
      <w:r w:rsidR="00250529" w:rsidRPr="00986D12">
        <w:rPr>
          <w:rFonts w:asciiTheme="minorHAnsi" w:hAnsiTheme="minorHAnsi" w:cstheme="minorHAnsi"/>
        </w:rPr>
        <w:t xml:space="preserve"> </w:t>
      </w:r>
      <w:r w:rsidR="00DA1EB0">
        <w:rPr>
          <w:rFonts w:asciiTheme="minorHAnsi" w:hAnsiTheme="minorHAnsi" w:cstheme="minorHAnsi"/>
        </w:rPr>
        <w:t>The findings suggest that c</w:t>
      </w:r>
      <w:r w:rsidR="00250529" w:rsidRPr="00986D12">
        <w:rPr>
          <w:rFonts w:asciiTheme="minorHAnsi" w:hAnsiTheme="minorHAnsi" w:cstheme="minorHAnsi"/>
        </w:rPr>
        <w:t>ontinuing to strengthen existing mechanisms could help ensure that co</w:t>
      </w:r>
      <w:r w:rsidR="00250529" w:rsidRPr="00986D12">
        <w:rPr>
          <w:rFonts w:asciiTheme="minorHAnsi" w:hAnsiTheme="minorHAnsi" w:cstheme="minorHAnsi"/>
        </w:rPr>
        <w:noBreakHyphen/>
        <w:t>financed and extrabudgetary activities stay aligned with regional needs and priorities identified by Member States and regional stakeholders.</w:t>
      </w:r>
    </w:p>
    <w:p w14:paraId="146B68D0" w14:textId="5E57C059" w:rsidR="00250529" w:rsidRPr="00986D12" w:rsidRDefault="004A18BD" w:rsidP="192E875C">
      <w:pPr>
        <w:jc w:val="both"/>
        <w:rPr>
          <w:rFonts w:asciiTheme="minorHAnsi" w:hAnsiTheme="minorHAnsi" w:cstheme="minorBidi"/>
        </w:rPr>
      </w:pPr>
      <w:r w:rsidRPr="192E875C">
        <w:rPr>
          <w:rFonts w:asciiTheme="minorHAnsi" w:hAnsiTheme="minorHAnsi" w:cstheme="minorBidi"/>
          <w:b/>
          <w:bCs/>
        </w:rPr>
        <w:t>R</w:t>
      </w:r>
      <w:r w:rsidR="00250529" w:rsidRPr="192E875C">
        <w:rPr>
          <w:rFonts w:asciiTheme="minorHAnsi" w:hAnsiTheme="minorHAnsi" w:cstheme="minorBidi"/>
          <w:b/>
          <w:bCs/>
        </w:rPr>
        <w:t xml:space="preserve">egional offices project </w:t>
      </w:r>
      <w:r w:rsidRPr="192E875C">
        <w:rPr>
          <w:rFonts w:asciiTheme="minorHAnsi" w:hAnsiTheme="minorHAnsi" w:cstheme="minorBidi"/>
          <w:b/>
          <w:bCs/>
        </w:rPr>
        <w:t xml:space="preserve">management, monitoring and </w:t>
      </w:r>
      <w:r w:rsidR="00250529" w:rsidRPr="192E875C">
        <w:rPr>
          <w:rFonts w:asciiTheme="minorHAnsi" w:hAnsiTheme="minorHAnsi" w:cstheme="minorBidi"/>
          <w:b/>
          <w:bCs/>
        </w:rPr>
        <w:t>implementation.</w:t>
      </w:r>
      <w:r w:rsidR="00250529" w:rsidRPr="192E875C">
        <w:rPr>
          <w:rFonts w:asciiTheme="minorHAnsi" w:hAnsiTheme="minorHAnsi" w:cstheme="minorBidi"/>
        </w:rPr>
        <w:t xml:space="preserve"> </w:t>
      </w:r>
      <w:r w:rsidRPr="192E875C">
        <w:rPr>
          <w:rFonts w:asciiTheme="minorHAnsi" w:hAnsiTheme="minorHAnsi" w:cstheme="minorBidi"/>
        </w:rPr>
        <w:t xml:space="preserve">Data analysis </w:t>
      </w:r>
      <w:r w:rsidR="00B1421B" w:rsidRPr="192E875C">
        <w:rPr>
          <w:rFonts w:asciiTheme="minorHAnsi" w:hAnsiTheme="minorHAnsi" w:cstheme="minorBidi"/>
        </w:rPr>
        <w:t>suggests</w:t>
      </w:r>
      <w:r w:rsidRPr="192E875C">
        <w:rPr>
          <w:rFonts w:asciiTheme="minorHAnsi" w:hAnsiTheme="minorHAnsi" w:cstheme="minorBidi"/>
        </w:rPr>
        <w:t xml:space="preserve"> that </w:t>
      </w:r>
      <w:r w:rsidR="21CFC570" w:rsidRPr="192E875C">
        <w:rPr>
          <w:rFonts w:asciiTheme="minorHAnsi" w:hAnsiTheme="minorHAnsi" w:cstheme="minorBidi"/>
        </w:rPr>
        <w:t>increased</w:t>
      </w:r>
      <w:r w:rsidR="001C6958" w:rsidRPr="192E875C">
        <w:rPr>
          <w:rFonts w:asciiTheme="minorHAnsi" w:hAnsiTheme="minorHAnsi" w:cstheme="minorBidi"/>
        </w:rPr>
        <w:t xml:space="preserve"> </w:t>
      </w:r>
      <w:r w:rsidR="00250529" w:rsidRPr="192E875C">
        <w:rPr>
          <w:rFonts w:asciiTheme="minorHAnsi" w:hAnsiTheme="minorHAnsi" w:cstheme="minorBidi"/>
        </w:rPr>
        <w:t xml:space="preserve">levels of staffing and operational tools could help them </w:t>
      </w:r>
      <w:r w:rsidR="313BD2BA" w:rsidRPr="192E875C">
        <w:rPr>
          <w:rFonts w:asciiTheme="minorHAnsi" w:hAnsiTheme="minorHAnsi" w:cstheme="minorBidi"/>
        </w:rPr>
        <w:t xml:space="preserve">regional offices </w:t>
      </w:r>
      <w:r w:rsidR="00250529" w:rsidRPr="192E875C">
        <w:rPr>
          <w:rFonts w:asciiTheme="minorHAnsi" w:hAnsiTheme="minorHAnsi" w:cstheme="minorBidi"/>
        </w:rPr>
        <w:t>manage projects more effectively, including monitoring progress and reporting results across funding streams.</w:t>
      </w:r>
    </w:p>
    <w:p w14:paraId="77A0A816" w14:textId="3A65CE58" w:rsidR="00250529" w:rsidRPr="00986D12" w:rsidRDefault="00644C40" w:rsidP="00986D12">
      <w:pPr>
        <w:jc w:val="both"/>
        <w:rPr>
          <w:rFonts w:asciiTheme="minorHAnsi" w:hAnsiTheme="minorHAnsi" w:cstheme="minorHAnsi"/>
        </w:rPr>
      </w:pPr>
      <w:r>
        <w:rPr>
          <w:rFonts w:asciiTheme="minorHAnsi" w:hAnsiTheme="minorHAnsi" w:cstheme="minorHAnsi"/>
          <w:b/>
        </w:rPr>
        <w:t>D</w:t>
      </w:r>
      <w:r w:rsidR="00250529" w:rsidRPr="00986D12">
        <w:rPr>
          <w:rFonts w:asciiTheme="minorHAnsi" w:hAnsiTheme="minorHAnsi" w:cstheme="minorHAnsi"/>
          <w:b/>
        </w:rPr>
        <w:t>ata collection and reporting practices across regional offices.</w:t>
      </w:r>
      <w:r w:rsidR="00250529" w:rsidRPr="00986D12">
        <w:rPr>
          <w:rFonts w:asciiTheme="minorHAnsi" w:hAnsiTheme="minorHAnsi" w:cstheme="minorHAnsi"/>
        </w:rPr>
        <w:t xml:space="preserve"> </w:t>
      </w:r>
      <w:r>
        <w:rPr>
          <w:rFonts w:asciiTheme="minorHAnsi" w:hAnsiTheme="minorHAnsi" w:cstheme="minorHAnsi"/>
        </w:rPr>
        <w:t xml:space="preserve">Evidence </w:t>
      </w:r>
      <w:r w:rsidR="00E01B78">
        <w:rPr>
          <w:rFonts w:asciiTheme="minorHAnsi" w:hAnsiTheme="minorHAnsi" w:cstheme="minorHAnsi"/>
        </w:rPr>
        <w:t>indicates</w:t>
      </w:r>
      <w:r>
        <w:rPr>
          <w:rFonts w:asciiTheme="minorHAnsi" w:hAnsiTheme="minorHAnsi" w:cstheme="minorHAnsi"/>
        </w:rPr>
        <w:t xml:space="preserve"> </w:t>
      </w:r>
      <w:r w:rsidR="00E205B7">
        <w:rPr>
          <w:rFonts w:asciiTheme="minorHAnsi" w:hAnsiTheme="minorHAnsi" w:cstheme="minorHAnsi"/>
        </w:rPr>
        <w:t xml:space="preserve">that </w:t>
      </w:r>
      <w:r>
        <w:rPr>
          <w:rFonts w:asciiTheme="minorHAnsi" w:hAnsiTheme="minorHAnsi" w:cstheme="minorHAnsi"/>
        </w:rPr>
        <w:t>e</w:t>
      </w:r>
      <w:r w:rsidR="00250529" w:rsidRPr="00986D12">
        <w:rPr>
          <w:rFonts w:asciiTheme="minorHAnsi" w:hAnsiTheme="minorHAnsi" w:cstheme="minorHAnsi"/>
        </w:rPr>
        <w:t>ncouraging more consistent approaches to gathering implementation data and reporting on regional initiatives could help support comparability across regions and contribute to more informed decision making.</w:t>
      </w:r>
    </w:p>
    <w:p w14:paraId="695D3A7E" w14:textId="77777777" w:rsidR="00250529" w:rsidRPr="00986D12" w:rsidRDefault="00250529" w:rsidP="00507BF5">
      <w:pPr>
        <w:pStyle w:val="SoWtitle"/>
        <w:rPr>
          <w:rFonts w:asciiTheme="minorHAnsi" w:hAnsiTheme="minorHAnsi" w:cstheme="minorHAnsi"/>
        </w:rPr>
      </w:pPr>
      <w:bookmarkStart w:id="75" w:name="_Toc224213034"/>
      <w:bookmarkStart w:id="76" w:name="_Toc224236465"/>
      <w:r w:rsidRPr="00986D12">
        <w:rPr>
          <w:rFonts w:asciiTheme="minorHAnsi" w:hAnsiTheme="minorHAnsi" w:cstheme="minorHAnsi"/>
        </w:rPr>
        <w:t>Scope of Work 4 — Assess the adequacy and effectiveness of internal approval processes</w:t>
      </w:r>
      <w:bookmarkEnd w:id="75"/>
      <w:bookmarkEnd w:id="76"/>
    </w:p>
    <w:p w14:paraId="3899E032" w14:textId="3E29673F"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Findings</w:t>
      </w:r>
    </w:p>
    <w:p w14:paraId="023AB1A3" w14:textId="02C61CF8" w:rsidR="00250529" w:rsidRPr="00986D12" w:rsidRDefault="00250529" w:rsidP="00986D12">
      <w:pPr>
        <w:jc w:val="both"/>
        <w:rPr>
          <w:rFonts w:asciiTheme="minorHAnsi" w:hAnsiTheme="minorHAnsi" w:cstheme="minorHAnsi"/>
        </w:rPr>
      </w:pPr>
      <w:r w:rsidRPr="00986D12">
        <w:rPr>
          <w:rFonts w:asciiTheme="minorHAnsi" w:hAnsiTheme="minorHAnsi" w:cstheme="minorHAnsi"/>
        </w:rPr>
        <w:t>The combined evidence indicates that ITU has established formal internal planning, supervision and accountability arrangements, and that these provide an institutional basis for approval and control processes across the regional presence. Workplans are explicitly anchored in the Strategic Plan and Kigali Action Plan, with supervisory verification built into the performance cycle, which supports traceability from individual activities to institutional objectives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 Documentary analysis on accountability arrangements reveals functioning governance structures, ongoing implementation of audit-related </w:t>
      </w:r>
      <w:r w:rsidR="007D6D18">
        <w:rPr>
          <w:rFonts w:asciiTheme="minorHAnsi" w:hAnsiTheme="minorHAnsi" w:cstheme="minorHAnsi"/>
        </w:rPr>
        <w:t>recommendations</w:t>
      </w:r>
      <w:r w:rsidRPr="00986D12">
        <w:rPr>
          <w:rFonts w:asciiTheme="minorHAnsi" w:hAnsiTheme="minorHAnsi" w:cstheme="minorHAnsi"/>
        </w:rPr>
        <w:t>, and operational ethics mechanisms, suggesting that the organization has a structured framework on which further process improvements can build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27_c</w:t>
      </w:r>
      <w:proofErr w:type="spellEnd"/>
      <w:r w:rsidRPr="00986D12">
        <w:rPr>
          <w:rFonts w:asciiTheme="minorHAnsi" w:hAnsiTheme="minorHAnsi" w:cstheme="minorHAnsi"/>
        </w:rPr>
        <w:t>).</w:t>
      </w:r>
    </w:p>
    <w:p w14:paraId="20BD7B08" w14:textId="3B669B0B" w:rsidR="00250529" w:rsidRPr="00986D12" w:rsidRDefault="00250529" w:rsidP="192E875C">
      <w:pPr>
        <w:jc w:val="both"/>
        <w:rPr>
          <w:rFonts w:asciiTheme="minorHAnsi" w:hAnsiTheme="minorHAnsi" w:cstheme="minorBidi"/>
        </w:rPr>
      </w:pPr>
      <w:r w:rsidRPr="192E875C">
        <w:rPr>
          <w:rFonts w:asciiTheme="minorHAnsi" w:hAnsiTheme="minorHAnsi" w:cstheme="minorBidi"/>
        </w:rPr>
        <w:t xml:space="preserve">Perception-based evidence points to a more reserved assessment of how these arrangements are experienced in practice. Internal Assessment results show perceived gaps for the adequacy of internal approval processes and for the timeliness with which regional and area offices access detailed financial information on projects, while views on the broader accountability framework remain more moderate than strong (IA </w:t>
      </w:r>
      <w:proofErr w:type="spellStart"/>
      <w:r w:rsidRPr="192E875C">
        <w:rPr>
          <w:rFonts w:asciiTheme="minorHAnsi" w:hAnsiTheme="minorHAnsi" w:cstheme="minorBidi"/>
        </w:rPr>
        <w:t>Q6</w:t>
      </w:r>
      <w:proofErr w:type="spellEnd"/>
      <w:r w:rsidRPr="192E875C">
        <w:rPr>
          <w:rFonts w:asciiTheme="minorHAnsi" w:hAnsiTheme="minorHAnsi" w:cstheme="minorBidi"/>
        </w:rPr>
        <w:t xml:space="preserve">; IA </w:t>
      </w:r>
      <w:proofErr w:type="spellStart"/>
      <w:r w:rsidRPr="192E875C">
        <w:rPr>
          <w:rFonts w:asciiTheme="minorHAnsi" w:hAnsiTheme="minorHAnsi" w:cstheme="minorBidi"/>
        </w:rPr>
        <w:t>Q10</w:t>
      </w:r>
      <w:proofErr w:type="spellEnd"/>
      <w:r w:rsidRPr="192E875C">
        <w:rPr>
          <w:rFonts w:asciiTheme="minorHAnsi" w:hAnsiTheme="minorHAnsi" w:cstheme="minorBidi"/>
        </w:rPr>
        <w:t xml:space="preserve">; IA </w:t>
      </w:r>
      <w:proofErr w:type="spellStart"/>
      <w:r w:rsidRPr="192E875C">
        <w:rPr>
          <w:rFonts w:asciiTheme="minorHAnsi" w:hAnsiTheme="minorHAnsi" w:cstheme="minorBidi"/>
        </w:rPr>
        <w:t>Q11_a</w:t>
      </w:r>
      <w:proofErr w:type="spellEnd"/>
      <w:r w:rsidRPr="192E875C">
        <w:rPr>
          <w:rFonts w:asciiTheme="minorHAnsi" w:hAnsiTheme="minorHAnsi" w:cstheme="minorBidi"/>
        </w:rPr>
        <w:t xml:space="preserve">; IA </w:t>
      </w:r>
      <w:proofErr w:type="spellStart"/>
      <w:r w:rsidRPr="192E875C">
        <w:rPr>
          <w:rFonts w:asciiTheme="minorHAnsi" w:hAnsiTheme="minorHAnsi" w:cstheme="minorBidi"/>
        </w:rPr>
        <w:t>Q11_b</w:t>
      </w:r>
      <w:proofErr w:type="spellEnd"/>
      <w:r w:rsidRPr="192E875C">
        <w:rPr>
          <w:rFonts w:asciiTheme="minorHAnsi" w:hAnsiTheme="minorHAnsi" w:cstheme="minorBidi"/>
        </w:rPr>
        <w:t>). Confidence is weaker still regarding the adequacy of arrangements accompanying greater autonomy in decision making, indicating that the balance between decentralization and control is not yet seen as fully effective by staff</w:t>
      </w:r>
      <w:r w:rsidR="79DB321D" w:rsidRPr="564CD979">
        <w:rPr>
          <w:rFonts w:asciiTheme="minorHAnsi" w:hAnsiTheme="minorHAnsi" w:cstheme="minorBidi"/>
        </w:rPr>
        <w:t xml:space="preserve"> </w:t>
      </w:r>
      <w:r w:rsidR="79DB321D" w:rsidRPr="3D058F5A">
        <w:rPr>
          <w:rFonts w:asciiTheme="minorHAnsi" w:hAnsiTheme="minorHAnsi" w:cstheme="minorBidi"/>
        </w:rPr>
        <w:t>(</w:t>
      </w:r>
      <w:r w:rsidRPr="192E875C">
        <w:rPr>
          <w:rFonts w:asciiTheme="minorHAnsi" w:hAnsiTheme="minorHAnsi" w:cstheme="minorBidi"/>
        </w:rPr>
        <w:t xml:space="preserve">IA </w:t>
      </w:r>
      <w:proofErr w:type="spellStart"/>
      <w:r w:rsidRPr="192E875C">
        <w:rPr>
          <w:rFonts w:asciiTheme="minorHAnsi" w:hAnsiTheme="minorHAnsi" w:cstheme="minorBidi"/>
        </w:rPr>
        <w:t>Q11_c</w:t>
      </w:r>
      <w:proofErr w:type="spellEnd"/>
      <w:r w:rsidRPr="192E875C">
        <w:rPr>
          <w:rFonts w:asciiTheme="minorHAnsi" w:hAnsiTheme="minorHAnsi" w:cstheme="minorBidi"/>
        </w:rPr>
        <w:t xml:space="preserve">). By contrast, ethics, complaints and response mechanisms receive a more moderate assessment, suggesting that some parts of the wider control environment are functioning more credibly than approval pathways themselves (IA </w:t>
      </w:r>
      <w:proofErr w:type="spellStart"/>
      <w:r w:rsidRPr="192E875C">
        <w:rPr>
          <w:rFonts w:asciiTheme="minorHAnsi" w:hAnsiTheme="minorHAnsi" w:cstheme="minorBidi"/>
        </w:rPr>
        <w:t>Q11_d</w:t>
      </w:r>
      <w:proofErr w:type="spellEnd"/>
      <w:r w:rsidRPr="192E875C">
        <w:rPr>
          <w:rFonts w:asciiTheme="minorHAnsi" w:hAnsiTheme="minorHAnsi" w:cstheme="minorBidi"/>
        </w:rPr>
        <w:t>).</w:t>
      </w:r>
    </w:p>
    <w:p w14:paraId="202599F5"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Operational evidence helps explain these perceptions. Analysis of Member State requests shows that initial acknowledgement is generally prompt, often within 24 to 48 hours, which indicates that front-end responsiveness is not the main constraint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However, </w:t>
      </w:r>
      <w:r w:rsidRPr="00986D12">
        <w:rPr>
          <w:rFonts w:asciiTheme="minorHAnsi" w:hAnsiTheme="minorHAnsi" w:cstheme="minorHAnsi"/>
        </w:rPr>
        <w:lastRenderedPageBreak/>
        <w:t>completion times vary widely and often extend from weeks to months, and in more complex cases to one year or longer, especially where coordination, legal review, project design or funding mobilization are required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Recruitment evidence shows similarly extended timelines, with field-office recruitment cases often taking around nine to fourteen months and some 2025 actions still ongoing, pointing to process chains that remain lengthy for operational delivery as well as staffing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14_b</w:t>
      </w:r>
      <w:proofErr w:type="spellEnd"/>
      <w:r w:rsidRPr="00986D12">
        <w:rPr>
          <w:rFonts w:asciiTheme="minorHAnsi" w:hAnsiTheme="minorHAnsi" w:cstheme="minorHAnsi"/>
        </w:rPr>
        <w:t xml:space="preserve">). When viewed alongside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13_c</w:t>
      </w:r>
      <w:proofErr w:type="spellEnd"/>
      <w:r w:rsidRPr="00986D12">
        <w:rPr>
          <w:rFonts w:asciiTheme="minorHAnsi" w:hAnsiTheme="minorHAnsi" w:cstheme="minorHAnsi"/>
        </w:rPr>
        <w:t>, which captures the substantial volume of projects, initiatives and events handled by regional offices, the evidence suggests that approval processes are operating under material workload and coordination pressure rather than in a low-demand environment.</w:t>
      </w:r>
    </w:p>
    <w:p w14:paraId="5D90116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Additional qualitative evidence reinforces this picture.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19 identifies recurring implementation challenges linked to recruitment processes, administrative procedures, limited financial visibility at regional level, and coordination challenges between headquarters and regional offices, while open-ended responses referenced in that analysis point in the same direction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19). Interview insights do not focus directly on approval workflows, but they underline the importance of clearer communication channels between bureaux, more agile management over the implementation cycle, and continuous dialogue to allow timely adjustment of activities, all of which are relevant contextual conditions for effective approval processes in practice (RTO interviews). </w:t>
      </w:r>
    </w:p>
    <w:p w14:paraId="7AF7E471"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Taken together, the evidence suggests that internal approval processes are supported by established institutional structures, but their operational effectiveness could be further enhanced through greater agility, better financial visibility, and clearer articulation of responsibilities and safeguards in decentralized decision making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19; RTO interviews).</w:t>
      </w:r>
    </w:p>
    <w:p w14:paraId="7E5B0D04" w14:textId="77777777" w:rsidR="003E65B1" w:rsidRPr="003E5ECC" w:rsidRDefault="003E65B1" w:rsidP="003E65B1">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14353177" w14:textId="3BB13563" w:rsidR="00250529" w:rsidRPr="00986D12" w:rsidRDefault="00B1421B" w:rsidP="00986D12">
      <w:pPr>
        <w:jc w:val="both"/>
        <w:rPr>
          <w:rFonts w:asciiTheme="minorHAnsi" w:hAnsiTheme="minorHAnsi" w:cstheme="minorHAnsi"/>
        </w:rPr>
      </w:pPr>
      <w:r>
        <w:rPr>
          <w:rFonts w:asciiTheme="minorHAnsi" w:hAnsiTheme="minorHAnsi" w:cstheme="minorHAnsi"/>
          <w:b/>
        </w:rPr>
        <w:t>I</w:t>
      </w:r>
      <w:r w:rsidR="00250529" w:rsidRPr="00986D12">
        <w:rPr>
          <w:rFonts w:asciiTheme="minorHAnsi" w:hAnsiTheme="minorHAnsi" w:cstheme="minorHAnsi"/>
          <w:b/>
        </w:rPr>
        <w:t>nternal approval workflows for regional implementation.</w:t>
      </w:r>
      <w:r w:rsidR="00250529" w:rsidRPr="00986D12">
        <w:rPr>
          <w:rFonts w:asciiTheme="minorHAnsi" w:hAnsiTheme="minorHAnsi" w:cstheme="minorHAnsi"/>
        </w:rPr>
        <w:t xml:space="preserve"> </w:t>
      </w:r>
      <w:r>
        <w:rPr>
          <w:rFonts w:asciiTheme="minorHAnsi" w:hAnsiTheme="minorHAnsi" w:cstheme="minorHAnsi"/>
        </w:rPr>
        <w:t xml:space="preserve">Patterns emerging from analysis of evidence </w:t>
      </w:r>
      <w:r w:rsidR="003E65B1">
        <w:rPr>
          <w:rFonts w:asciiTheme="minorHAnsi" w:hAnsiTheme="minorHAnsi" w:cstheme="minorHAnsi"/>
        </w:rPr>
        <w:t>indicate that r</w:t>
      </w:r>
      <w:r w:rsidR="00250529" w:rsidRPr="00986D12">
        <w:rPr>
          <w:rFonts w:asciiTheme="minorHAnsi" w:hAnsiTheme="minorHAnsi" w:cstheme="minorHAnsi"/>
        </w:rPr>
        <w:t>eviewing approval chains affecting project execution, procurement related actions, and responses to Member State requests</w:t>
      </w:r>
      <w:r>
        <w:rPr>
          <w:rFonts w:asciiTheme="minorHAnsi" w:hAnsiTheme="minorHAnsi" w:cstheme="minorHAnsi"/>
        </w:rPr>
        <w:t xml:space="preserve"> </w:t>
      </w:r>
      <w:r w:rsidR="00250529" w:rsidRPr="00986D12">
        <w:rPr>
          <w:rFonts w:asciiTheme="minorHAnsi" w:hAnsiTheme="minorHAnsi" w:cstheme="minorHAnsi"/>
        </w:rPr>
        <w:t>could help identify opportunities to simplify processes, sequence them more efficiently, or delegate steps more effectively, while maintaining appropriate control standards.</w:t>
      </w:r>
    </w:p>
    <w:p w14:paraId="57B7704E" w14:textId="193317F2" w:rsidR="00250529" w:rsidRPr="00986D12" w:rsidRDefault="00B52052" w:rsidP="00986D12">
      <w:pPr>
        <w:jc w:val="both"/>
        <w:rPr>
          <w:rFonts w:asciiTheme="minorHAnsi" w:hAnsiTheme="minorHAnsi" w:cstheme="minorHAnsi"/>
        </w:rPr>
      </w:pPr>
      <w:r>
        <w:rPr>
          <w:rFonts w:asciiTheme="minorHAnsi" w:hAnsiTheme="minorHAnsi" w:cstheme="minorHAnsi"/>
          <w:b/>
        </w:rPr>
        <w:t>T</w:t>
      </w:r>
      <w:r w:rsidR="00250529" w:rsidRPr="00986D12">
        <w:rPr>
          <w:rFonts w:asciiTheme="minorHAnsi" w:hAnsiTheme="minorHAnsi" w:cstheme="minorHAnsi"/>
          <w:b/>
        </w:rPr>
        <w:t>imely access to project-level financial information.</w:t>
      </w:r>
      <w:r>
        <w:rPr>
          <w:rFonts w:asciiTheme="minorHAnsi" w:hAnsiTheme="minorHAnsi" w:cstheme="minorHAnsi"/>
          <w:b/>
        </w:rPr>
        <w:t xml:space="preserve"> </w:t>
      </w:r>
      <w:r w:rsidRPr="003D4A50">
        <w:rPr>
          <w:rFonts w:asciiTheme="minorHAnsi" w:hAnsiTheme="minorHAnsi" w:cstheme="minorHAnsi"/>
          <w:bCs/>
        </w:rPr>
        <w:t>Findings suggest that</w:t>
      </w:r>
      <w:r w:rsidR="00250529" w:rsidRPr="00986D12">
        <w:rPr>
          <w:rFonts w:asciiTheme="minorHAnsi" w:hAnsiTheme="minorHAnsi" w:cstheme="minorHAnsi"/>
        </w:rPr>
        <w:t xml:space="preserve"> </w:t>
      </w:r>
      <w:r>
        <w:rPr>
          <w:rFonts w:asciiTheme="minorHAnsi" w:hAnsiTheme="minorHAnsi" w:cstheme="minorHAnsi"/>
        </w:rPr>
        <w:t>i</w:t>
      </w:r>
      <w:r w:rsidR="00250529" w:rsidRPr="00986D12">
        <w:rPr>
          <w:rFonts w:asciiTheme="minorHAnsi" w:hAnsiTheme="minorHAnsi" w:cstheme="minorHAnsi"/>
        </w:rPr>
        <w:t>mproving the availability and usability of financial information for regional and area offices could help implementation teams manage activities with clearer visibility on commitments, expenditures and available resources.</w:t>
      </w:r>
    </w:p>
    <w:p w14:paraId="335C4484" w14:textId="7F7E85C2" w:rsidR="00250529" w:rsidRPr="00986D12" w:rsidRDefault="00A260E5" w:rsidP="00986D12">
      <w:pPr>
        <w:jc w:val="both"/>
        <w:rPr>
          <w:rFonts w:asciiTheme="minorHAnsi" w:hAnsiTheme="minorHAnsi" w:cstheme="minorHAnsi"/>
        </w:rPr>
      </w:pPr>
      <w:r>
        <w:rPr>
          <w:rFonts w:asciiTheme="minorHAnsi" w:hAnsiTheme="minorHAnsi" w:cstheme="minorHAnsi"/>
          <w:b/>
        </w:rPr>
        <w:t>O</w:t>
      </w:r>
      <w:r w:rsidR="00250529" w:rsidRPr="00986D12">
        <w:rPr>
          <w:rFonts w:asciiTheme="minorHAnsi" w:hAnsiTheme="minorHAnsi" w:cstheme="minorHAnsi"/>
          <w:b/>
        </w:rPr>
        <w:t>perating model for autonomy with accountability.</w:t>
      </w:r>
      <w:r w:rsidR="00250529" w:rsidRPr="00986D12">
        <w:rPr>
          <w:rFonts w:asciiTheme="minorHAnsi" w:hAnsiTheme="minorHAnsi" w:cstheme="minorHAnsi"/>
        </w:rPr>
        <w:t xml:space="preserve"> </w:t>
      </w:r>
      <w:r>
        <w:rPr>
          <w:rFonts w:asciiTheme="minorHAnsi" w:hAnsiTheme="minorHAnsi" w:cstheme="minorHAnsi"/>
        </w:rPr>
        <w:t>The f</w:t>
      </w:r>
      <w:r w:rsidR="002C5F11">
        <w:rPr>
          <w:rFonts w:asciiTheme="minorHAnsi" w:hAnsiTheme="minorHAnsi" w:cstheme="minorHAnsi"/>
        </w:rPr>
        <w:t>indings</w:t>
      </w:r>
      <w:r>
        <w:rPr>
          <w:rFonts w:asciiTheme="minorHAnsi" w:hAnsiTheme="minorHAnsi" w:cstheme="minorHAnsi"/>
        </w:rPr>
        <w:t xml:space="preserve"> indicate that that p</w:t>
      </w:r>
      <w:r w:rsidR="00250529" w:rsidRPr="00986D12">
        <w:rPr>
          <w:rFonts w:asciiTheme="minorHAnsi" w:hAnsiTheme="minorHAnsi" w:cstheme="minorHAnsi"/>
        </w:rPr>
        <w:t xml:space="preserve">roviding clearer guidance on the scope of </w:t>
      </w:r>
      <w:r w:rsidR="00256CB8" w:rsidRPr="00986D12">
        <w:rPr>
          <w:rFonts w:asciiTheme="minorHAnsi" w:hAnsiTheme="minorHAnsi" w:cstheme="minorHAnsi"/>
        </w:rPr>
        <w:t>decision-making</w:t>
      </w:r>
      <w:r w:rsidR="00250529" w:rsidRPr="00986D12">
        <w:rPr>
          <w:rFonts w:asciiTheme="minorHAnsi" w:hAnsiTheme="minorHAnsi" w:cstheme="minorHAnsi"/>
        </w:rPr>
        <w:t xml:space="preserve"> authority at the regional level, the controls that accompany that authority, and the respective roles of headquarters and field offices in approval processes could help support more consistent understanding and application across the organization.</w:t>
      </w:r>
    </w:p>
    <w:p w14:paraId="75BD502B" w14:textId="33DE6F72" w:rsidR="00250529" w:rsidRPr="00986D12" w:rsidRDefault="002C5F11" w:rsidP="00986D12">
      <w:pPr>
        <w:jc w:val="both"/>
        <w:rPr>
          <w:rFonts w:asciiTheme="minorHAnsi" w:hAnsiTheme="minorHAnsi" w:cstheme="minorHAnsi"/>
        </w:rPr>
      </w:pPr>
      <w:r>
        <w:rPr>
          <w:rFonts w:asciiTheme="minorHAnsi" w:hAnsiTheme="minorHAnsi" w:cstheme="minorHAnsi"/>
          <w:b/>
        </w:rPr>
        <w:t>P</w:t>
      </w:r>
      <w:r w:rsidR="00250529" w:rsidRPr="00986D12">
        <w:rPr>
          <w:rFonts w:asciiTheme="minorHAnsi" w:hAnsiTheme="minorHAnsi" w:cstheme="minorHAnsi"/>
          <w:b/>
        </w:rPr>
        <w:t>rocess improvement to staffing and recruitment reform.</w:t>
      </w:r>
      <w:r w:rsidR="00250529" w:rsidRPr="00986D12">
        <w:rPr>
          <w:rFonts w:asciiTheme="minorHAnsi" w:hAnsiTheme="minorHAnsi" w:cstheme="minorHAnsi"/>
        </w:rPr>
        <w:t xml:space="preserve"> Linking process improvements with staffing and recruitment practices could help ensure that efforts to enhance approval efficiency also reflect recruitment timelines and vacancy management, given their impact on internal approvals and delivery capacity.</w:t>
      </w:r>
    </w:p>
    <w:p w14:paraId="7AB9881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b/>
        </w:rPr>
        <w:lastRenderedPageBreak/>
        <w:t>Introduce a more systematic feedback loop on implementation bottlenecks.</w:t>
      </w:r>
      <w:r w:rsidRPr="00986D12">
        <w:rPr>
          <w:rFonts w:asciiTheme="minorHAnsi" w:hAnsiTheme="minorHAnsi" w:cstheme="minorHAnsi"/>
        </w:rPr>
        <w:t xml:space="preserve"> Establishing regular methodology to capture recurring process constraints from regional offices could help inform periodic updates to approval procedures, tools, and coordination arrangements.</w:t>
      </w:r>
    </w:p>
    <w:p w14:paraId="3AA7C289" w14:textId="77777777" w:rsidR="00250529" w:rsidRPr="00986D12" w:rsidRDefault="00250529" w:rsidP="00986D12">
      <w:pPr>
        <w:pStyle w:val="SoWtitle"/>
        <w:jc w:val="both"/>
        <w:rPr>
          <w:rFonts w:asciiTheme="minorHAnsi" w:hAnsiTheme="minorHAnsi" w:cstheme="minorHAnsi"/>
        </w:rPr>
      </w:pPr>
      <w:bookmarkStart w:id="77" w:name="_Toc224213035"/>
      <w:bookmarkStart w:id="78" w:name="_Toc224236466"/>
      <w:r w:rsidRPr="00986D12">
        <w:rPr>
          <w:rFonts w:asciiTheme="minorHAnsi" w:hAnsiTheme="minorHAnsi" w:cstheme="minorHAnsi"/>
        </w:rPr>
        <w:t>Scope of Work 5 — Assess the implementation of delegation of authority and the related internal service orders and policy documents in addition to assessing whether clear roles and responsibilities including of process owners and second-line type functions are in place</w:t>
      </w:r>
      <w:bookmarkEnd w:id="77"/>
      <w:bookmarkEnd w:id="78"/>
    </w:p>
    <w:p w14:paraId="50DEE14D" w14:textId="325E3A3B"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11763785" w14:textId="63ECA96C"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Evidence indicates that the institutional governance framework supporting regional presence has progressively incorporated oversight, accountability and monitoring mechanisms. Implementation of audit and oversight </w:t>
      </w:r>
      <w:r w:rsidR="00F37A70">
        <w:rPr>
          <w:rFonts w:asciiTheme="minorHAnsi" w:hAnsiTheme="minorHAnsi" w:cstheme="minorHAnsi"/>
        </w:rPr>
        <w:t>recommendations</w:t>
      </w:r>
      <w:r w:rsidRPr="00986D12">
        <w:rPr>
          <w:rFonts w:asciiTheme="minorHAnsi" w:hAnsiTheme="minorHAnsi" w:cstheme="minorHAnsi"/>
        </w:rPr>
        <w:t xml:space="preserve"> has advanced across several dimensions, and institutional arrangements such as results-based management, operational planning aligned with strategic priorities and strengthened monitoring processes provide a structured environment for managing decentralized operations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27). The existence of centralized ethics functions, complaints-handling procedures and oversight mechanisms further supports the integrity of governance arrangements affecting regional presence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27).</w:t>
      </w:r>
    </w:p>
    <w:p w14:paraId="7F3C960C"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Perceptions regarding the practical functioning of delegation of authority are more nuanced. While governance mechanisms appear formally established, survey responses indicate that staff confidence in the adequacy of accountability arrangements accompanying decentralized decision making remains limited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27). Internal Assessment responses further suggest that access to timely project-level financial information remains uneven, which may affect the ability of regional offices to exercise delegated responsibilities effectively (IA </w:t>
      </w:r>
      <w:proofErr w:type="spellStart"/>
      <w:r w:rsidRPr="00986D12">
        <w:rPr>
          <w:rFonts w:asciiTheme="minorHAnsi" w:hAnsiTheme="minorHAnsi" w:cstheme="minorHAnsi"/>
        </w:rPr>
        <w:t>Q6</w:t>
      </w:r>
      <w:proofErr w:type="spellEnd"/>
      <w:r w:rsidRPr="00986D12">
        <w:rPr>
          <w:rFonts w:asciiTheme="minorHAnsi" w:hAnsiTheme="minorHAnsi" w:cstheme="minorHAnsi"/>
        </w:rPr>
        <w:t xml:space="preserve">). Similarly, perceptions regarding whether regional and area offices enjoy sufficient delegated authority to respond to Member State needs are mixed, suggesting that the operational balance between autonomy and oversight continues to evolve (IA </w:t>
      </w:r>
      <w:proofErr w:type="spellStart"/>
      <w:r w:rsidRPr="00986D12">
        <w:rPr>
          <w:rFonts w:asciiTheme="minorHAnsi" w:hAnsiTheme="minorHAnsi" w:cstheme="minorHAnsi"/>
        </w:rPr>
        <w:t>Q12</w:t>
      </w:r>
      <w:proofErr w:type="spellEnd"/>
      <w:r w:rsidRPr="00986D12">
        <w:rPr>
          <w:rFonts w:asciiTheme="minorHAnsi" w:hAnsiTheme="minorHAnsi" w:cstheme="minorHAnsi"/>
        </w:rPr>
        <w:t>).</w:t>
      </w:r>
    </w:p>
    <w:p w14:paraId="5255350E"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Evidence also indicates that mechanisms exist to capture implementation challenges affecting regional presence. Staff engagement in the development of performance indicators and coordination mechanisms contributes to improved alignment between operational realities and planning processes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19). However, survey responses and qualitative feedback highlight recurring operational constraints, including recruitment delays, administrative procedures affecting project implementation, limitations in financial visibility at the regional level, and coordination challenges between headquarters and regional offices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19; Open-ended survey responses).</w:t>
      </w:r>
    </w:p>
    <w:p w14:paraId="29E14D1A"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Interview insights reinforce the importance of maintaining effective channels for identifying operational challenges and evolving regional priorities. Stakeholder feedback suggests that regional offices play a key role as operational interfaces with regional organizations and national authorities, helping to identify emerging needs and adjust initiatives accordingly (RTO interviews). Institutional stakeholders have emphasized the importance of strengthening the autonomy, flexibility and resource base of regional offices </w:t>
      </w:r>
      <w:proofErr w:type="gramStart"/>
      <w:r w:rsidRPr="00986D12">
        <w:rPr>
          <w:rFonts w:asciiTheme="minorHAnsi" w:hAnsiTheme="minorHAnsi" w:cstheme="minorHAnsi"/>
        </w:rPr>
        <w:t>in order to</w:t>
      </w:r>
      <w:proofErr w:type="gramEnd"/>
      <w:r w:rsidRPr="00986D12">
        <w:rPr>
          <w:rFonts w:asciiTheme="minorHAnsi" w:hAnsiTheme="minorHAnsi" w:cstheme="minorHAnsi"/>
        </w:rPr>
        <w:t xml:space="preserve"> ensure that they can respond effectively to regional priorities while maintaining appropriate accountability safeguards (Stakeholder feedback).</w:t>
      </w:r>
    </w:p>
    <w:p w14:paraId="4357B151"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Taken together, the evidence suggests that the institutional foundations for delegated authority and accountability are largely in place. Nevertheless, perceptions regarding the </w:t>
      </w:r>
      <w:r w:rsidRPr="00986D12">
        <w:rPr>
          <w:rFonts w:asciiTheme="minorHAnsi" w:hAnsiTheme="minorHAnsi" w:cstheme="minorHAnsi"/>
        </w:rPr>
        <w:lastRenderedPageBreak/>
        <w:t>practical functioning of delegation arrangements and the ability of regional offices to exercise autonomy effectively remain mixed. Strengthening operational transparency, clarifying the balance between decentralization and oversight, and reinforcing mechanisms for identifying and addressing implementation challenges may further enhance the effectiveness of delegation arrangements within the regional presence.</w:t>
      </w:r>
    </w:p>
    <w:p w14:paraId="6BBE382F" w14:textId="77777777" w:rsidR="00805A5A" w:rsidRPr="003E5ECC" w:rsidRDefault="00805A5A" w:rsidP="00805A5A">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54A4AB5C" w14:textId="636CB4B9" w:rsidR="00250529" w:rsidRPr="00986D12" w:rsidRDefault="00DC1CB6" w:rsidP="00986D12">
      <w:pPr>
        <w:jc w:val="both"/>
        <w:rPr>
          <w:rFonts w:asciiTheme="minorHAnsi" w:hAnsiTheme="minorHAnsi" w:cstheme="minorHAnsi"/>
        </w:rPr>
      </w:pPr>
      <w:r>
        <w:rPr>
          <w:rFonts w:asciiTheme="minorHAnsi" w:hAnsiTheme="minorHAnsi" w:cstheme="minorHAnsi"/>
          <w:b/>
        </w:rPr>
        <w:t>O</w:t>
      </w:r>
      <w:r w:rsidR="00250529" w:rsidRPr="00986D12">
        <w:rPr>
          <w:rFonts w:asciiTheme="minorHAnsi" w:hAnsiTheme="minorHAnsi" w:cstheme="minorHAnsi"/>
          <w:b/>
        </w:rPr>
        <w:t>perational balance between delegation of authority and accountability mechanisms.</w:t>
      </w:r>
      <w:r w:rsidR="00250529" w:rsidRPr="00986D12">
        <w:rPr>
          <w:rFonts w:asciiTheme="minorHAnsi" w:hAnsiTheme="minorHAnsi" w:cstheme="minorHAnsi"/>
        </w:rPr>
        <w:t xml:space="preserve"> </w:t>
      </w:r>
      <w:r>
        <w:rPr>
          <w:rFonts w:asciiTheme="minorHAnsi" w:hAnsiTheme="minorHAnsi" w:cstheme="minorHAnsi"/>
        </w:rPr>
        <w:t xml:space="preserve"> </w:t>
      </w:r>
      <w:r w:rsidR="00805A5A">
        <w:rPr>
          <w:rFonts w:asciiTheme="minorHAnsi" w:hAnsiTheme="minorHAnsi" w:cstheme="minorHAnsi"/>
        </w:rPr>
        <w:t>Evidence suggests that a</w:t>
      </w:r>
      <w:r w:rsidR="00250529" w:rsidRPr="00986D12">
        <w:rPr>
          <w:rFonts w:asciiTheme="minorHAnsi" w:hAnsiTheme="minorHAnsi" w:cstheme="minorHAnsi"/>
        </w:rPr>
        <w:t>lthough governance frameworks are in place, feedback suggests that the balance between decentralization and oversight could benefit from some additional clarification. Further outlining responsibilities, decision making authority, and related accountability safeguards could help reinforce confidence in delegated authority arrangements.</w:t>
      </w:r>
    </w:p>
    <w:p w14:paraId="4C4EBA2B" w14:textId="6DD8119D" w:rsidR="00250529" w:rsidRPr="00986D12" w:rsidRDefault="00E206BF" w:rsidP="00986D12">
      <w:pPr>
        <w:jc w:val="both"/>
        <w:rPr>
          <w:rFonts w:asciiTheme="minorHAnsi" w:hAnsiTheme="minorHAnsi" w:cstheme="minorHAnsi"/>
        </w:rPr>
      </w:pPr>
      <w:r>
        <w:rPr>
          <w:rFonts w:asciiTheme="minorHAnsi" w:hAnsiTheme="minorHAnsi" w:cstheme="minorHAnsi"/>
          <w:b/>
        </w:rPr>
        <w:t>F</w:t>
      </w:r>
      <w:r w:rsidR="00250529" w:rsidRPr="00986D12">
        <w:rPr>
          <w:rFonts w:asciiTheme="minorHAnsi" w:hAnsiTheme="minorHAnsi" w:cstheme="minorHAnsi"/>
          <w:b/>
        </w:rPr>
        <w:t>inancial transparency and access to operational information at the regional level.</w:t>
      </w:r>
      <w:r>
        <w:rPr>
          <w:rFonts w:asciiTheme="minorHAnsi" w:hAnsiTheme="minorHAnsi" w:cstheme="minorHAnsi"/>
          <w:b/>
        </w:rPr>
        <w:t xml:space="preserve"> </w:t>
      </w:r>
      <w:r w:rsidRPr="00805A5A">
        <w:rPr>
          <w:rFonts w:asciiTheme="minorHAnsi" w:hAnsiTheme="minorHAnsi" w:cstheme="minorHAnsi"/>
          <w:bCs/>
        </w:rPr>
        <w:t xml:space="preserve">Evidence </w:t>
      </w:r>
      <w:r w:rsidR="00805A5A" w:rsidRPr="00805A5A">
        <w:rPr>
          <w:rFonts w:asciiTheme="minorHAnsi" w:hAnsiTheme="minorHAnsi" w:cstheme="minorHAnsi"/>
          <w:bCs/>
        </w:rPr>
        <w:t xml:space="preserve">indicates that </w:t>
      </w:r>
      <w:r w:rsidRPr="00805A5A">
        <w:rPr>
          <w:rFonts w:asciiTheme="minorHAnsi" w:hAnsiTheme="minorHAnsi" w:cstheme="minorHAnsi"/>
          <w:bCs/>
        </w:rPr>
        <w:t>p</w:t>
      </w:r>
      <w:r w:rsidR="00250529" w:rsidRPr="00986D12">
        <w:rPr>
          <w:rFonts w:asciiTheme="minorHAnsi" w:hAnsiTheme="minorHAnsi" w:cstheme="minorHAnsi"/>
        </w:rPr>
        <w:t xml:space="preserve">roviding regional and area offices with more timely access to project level financial information and operational data could help support more effective management of delegated responsibilities and contribute to stronger </w:t>
      </w:r>
      <w:r w:rsidR="00F37A70" w:rsidRPr="00986D12">
        <w:rPr>
          <w:rFonts w:asciiTheme="minorHAnsi" w:hAnsiTheme="minorHAnsi" w:cstheme="minorHAnsi"/>
        </w:rPr>
        <w:t>results-based</w:t>
      </w:r>
      <w:r w:rsidR="00250529" w:rsidRPr="00986D12">
        <w:rPr>
          <w:rFonts w:asciiTheme="minorHAnsi" w:hAnsiTheme="minorHAnsi" w:cstheme="minorHAnsi"/>
        </w:rPr>
        <w:t xml:space="preserve"> management practices.</w:t>
      </w:r>
    </w:p>
    <w:p w14:paraId="0348E3FC" w14:textId="54C4B491" w:rsidR="00250529" w:rsidRPr="00986D12" w:rsidRDefault="006966DE" w:rsidP="00986D12">
      <w:pPr>
        <w:jc w:val="both"/>
        <w:rPr>
          <w:rFonts w:asciiTheme="minorHAnsi" w:hAnsiTheme="minorHAnsi" w:cstheme="minorHAnsi"/>
        </w:rPr>
      </w:pPr>
      <w:r>
        <w:rPr>
          <w:rFonts w:asciiTheme="minorHAnsi" w:hAnsiTheme="minorHAnsi" w:cstheme="minorHAnsi"/>
          <w:b/>
        </w:rPr>
        <w:t>M</w:t>
      </w:r>
      <w:r w:rsidR="00250529" w:rsidRPr="00986D12">
        <w:rPr>
          <w:rFonts w:asciiTheme="minorHAnsi" w:hAnsiTheme="minorHAnsi" w:cstheme="minorHAnsi"/>
          <w:b/>
        </w:rPr>
        <w:t>echanisms for identifying and communicating implementation challenges.</w:t>
      </w:r>
      <w:r w:rsidR="00250529" w:rsidRPr="00986D12">
        <w:rPr>
          <w:rFonts w:asciiTheme="minorHAnsi" w:hAnsiTheme="minorHAnsi" w:cstheme="minorHAnsi"/>
        </w:rPr>
        <w:t xml:space="preserve"> Creating more systematic feedback loops between regional offices and headquarters could help improve the early identification of operational challenges during implementation and support timely programme adjustments.</w:t>
      </w:r>
    </w:p>
    <w:p w14:paraId="1E5EDE4A" w14:textId="7970EE99" w:rsidR="00250529" w:rsidRPr="00986D12" w:rsidRDefault="006966DE" w:rsidP="00986D12">
      <w:pPr>
        <w:jc w:val="both"/>
        <w:rPr>
          <w:rFonts w:asciiTheme="minorHAnsi" w:hAnsiTheme="minorHAnsi" w:cstheme="minorHAnsi"/>
        </w:rPr>
      </w:pPr>
      <w:r>
        <w:rPr>
          <w:rFonts w:asciiTheme="minorHAnsi" w:hAnsiTheme="minorHAnsi" w:cstheme="minorHAnsi"/>
          <w:b/>
        </w:rPr>
        <w:t>C</w:t>
      </w:r>
      <w:r w:rsidR="00250529" w:rsidRPr="00986D12">
        <w:rPr>
          <w:rFonts w:asciiTheme="minorHAnsi" w:hAnsiTheme="minorHAnsi" w:cstheme="minorHAnsi"/>
          <w:b/>
        </w:rPr>
        <w:t>oordination between headquarters and regional offices in addressing operational constraints.</w:t>
      </w:r>
      <w:r w:rsidR="00502693">
        <w:rPr>
          <w:rFonts w:asciiTheme="minorHAnsi" w:hAnsiTheme="minorHAnsi" w:cstheme="minorHAnsi"/>
          <w:b/>
        </w:rPr>
        <w:t xml:space="preserve"> </w:t>
      </w:r>
      <w:r w:rsidR="005E4DE5">
        <w:rPr>
          <w:rFonts w:asciiTheme="minorHAnsi" w:hAnsiTheme="minorHAnsi" w:cstheme="minorHAnsi"/>
        </w:rPr>
        <w:t>Findings suggest that s</w:t>
      </w:r>
      <w:r w:rsidR="00250529" w:rsidRPr="00986D12">
        <w:rPr>
          <w:rFonts w:asciiTheme="minorHAnsi" w:hAnsiTheme="minorHAnsi" w:cstheme="minorHAnsi"/>
        </w:rPr>
        <w:t>trengthening coordination mechanisms across organizational units could help address recurring challenges related to administrative procedures, recruitment timelines, and project implementation, thereby supporting the overall operational effectiveness of regional presence.</w:t>
      </w:r>
    </w:p>
    <w:p w14:paraId="38828903" w14:textId="77777777" w:rsidR="00250529" w:rsidRPr="00986D12" w:rsidRDefault="00250529" w:rsidP="00986D12">
      <w:pPr>
        <w:pStyle w:val="SoWtitle"/>
        <w:jc w:val="both"/>
        <w:rPr>
          <w:rFonts w:asciiTheme="minorHAnsi" w:hAnsiTheme="minorHAnsi" w:cstheme="minorHAnsi"/>
        </w:rPr>
      </w:pPr>
      <w:bookmarkStart w:id="79" w:name="_Toc224213036"/>
      <w:bookmarkStart w:id="80" w:name="_Toc224236467"/>
      <w:r w:rsidRPr="00986D12">
        <w:rPr>
          <w:rFonts w:asciiTheme="minorHAnsi" w:hAnsiTheme="minorHAnsi" w:cstheme="minorHAnsi"/>
        </w:rPr>
        <w:t>Scope of Work 6 — Analyse how regional presence is integrated into the Human Resources strategic plan, with a focus on training and career development including identifying and addressing gaps in organizational culture and skills, as well as specifying the number and types of staff training conducted at each regional or area office</w:t>
      </w:r>
      <w:bookmarkEnd w:id="79"/>
      <w:bookmarkEnd w:id="80"/>
    </w:p>
    <w:p w14:paraId="02CF178D" w14:textId="390B8E72"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5DC73F6F"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combined evidence indicates that regional presence is already integrated into the broader human resources and performance management architecture of ITU, particularly through the alignment of individual workplans with strategic and operational frameworks.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analysis shows that staff workplans are anchored in the Strategic Plan and Kigali Action Plan through standardized templates, supervisory verification and performance assessment criteria, which supports coherence and accountability across the regional presence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 Survey results also show moderately positive perceptions regarding integration of regional presence into the Human Resources Strategic Plan and Recruitment Strategy, suggesting that this institutional integration is recognized, even if not yet perceived as fully mature in all respects (MS </w:t>
      </w:r>
      <w:proofErr w:type="spellStart"/>
      <w:r w:rsidRPr="00986D12">
        <w:rPr>
          <w:rFonts w:asciiTheme="minorHAnsi" w:hAnsiTheme="minorHAnsi" w:cstheme="minorHAnsi"/>
        </w:rPr>
        <w:t>Q6_a</w:t>
      </w:r>
      <w:proofErr w:type="spellEnd"/>
      <w:r w:rsidRPr="00986D12">
        <w:rPr>
          <w:rFonts w:asciiTheme="minorHAnsi" w:hAnsiTheme="minorHAnsi" w:cstheme="minorHAnsi"/>
        </w:rPr>
        <w:t>).</w:t>
      </w:r>
    </w:p>
    <w:p w14:paraId="3FD95C8B" w14:textId="54ADE1B2" w:rsidR="00250529" w:rsidRPr="00986D12" w:rsidRDefault="00250529" w:rsidP="00986D12">
      <w:pPr>
        <w:jc w:val="both"/>
        <w:rPr>
          <w:rFonts w:asciiTheme="minorHAnsi" w:hAnsiTheme="minorHAnsi" w:cstheme="minorBidi"/>
        </w:rPr>
      </w:pPr>
      <w:r w:rsidRPr="6671E7E0">
        <w:rPr>
          <w:rFonts w:asciiTheme="minorHAnsi" w:hAnsiTheme="minorHAnsi" w:cstheme="minorBidi"/>
        </w:rPr>
        <w:t xml:space="preserve">Internal Assessment results show very strong support for additional training and capacity building for Regional Office staff, indicating broad confidence that investment in staff development would further enhance regional effectiveness (IA </w:t>
      </w:r>
      <w:proofErr w:type="spellStart"/>
      <w:r w:rsidRPr="6671E7E0">
        <w:rPr>
          <w:rFonts w:asciiTheme="minorHAnsi" w:hAnsiTheme="minorHAnsi" w:cstheme="minorBidi"/>
        </w:rPr>
        <w:t>Q9_m</w:t>
      </w:r>
      <w:proofErr w:type="spellEnd"/>
      <w:r w:rsidRPr="6671E7E0">
        <w:rPr>
          <w:rFonts w:asciiTheme="minorHAnsi" w:hAnsiTheme="minorHAnsi" w:cstheme="minorBidi"/>
        </w:rPr>
        <w:t xml:space="preserve">). This is consistent with </w:t>
      </w:r>
      <w:proofErr w:type="spellStart"/>
      <w:r w:rsidRPr="6671E7E0">
        <w:rPr>
          <w:rFonts w:asciiTheme="minorHAnsi" w:hAnsiTheme="minorHAnsi" w:cstheme="minorBidi"/>
        </w:rPr>
        <w:lastRenderedPageBreak/>
        <w:t>KPI</w:t>
      </w:r>
      <w:proofErr w:type="spellEnd"/>
      <w:r w:rsidRPr="6671E7E0">
        <w:rPr>
          <w:rFonts w:asciiTheme="minorHAnsi" w:hAnsiTheme="minorHAnsi" w:cstheme="minorBidi"/>
        </w:rPr>
        <w:t xml:space="preserve"> analysis pointing to the role of the Human Resources Transformation Plan in strengthening regional delivery through simplified performance management, deployment of implementation support roles, and improved HR analytics and digital HR services (</w:t>
      </w:r>
      <w:proofErr w:type="spellStart"/>
      <w:r w:rsidRPr="6671E7E0">
        <w:rPr>
          <w:rFonts w:asciiTheme="minorHAnsi" w:hAnsiTheme="minorHAnsi" w:cstheme="minorBidi"/>
        </w:rPr>
        <w:t>KPI</w:t>
      </w:r>
      <w:proofErr w:type="spellEnd"/>
      <w:r w:rsidRPr="6671E7E0">
        <w:rPr>
          <w:rFonts w:asciiTheme="minorHAnsi" w:hAnsiTheme="minorHAnsi" w:cstheme="minorBidi"/>
        </w:rPr>
        <w:t xml:space="preserve"> </w:t>
      </w:r>
      <w:proofErr w:type="spellStart"/>
      <w:r w:rsidRPr="6671E7E0">
        <w:rPr>
          <w:rFonts w:asciiTheme="minorHAnsi" w:hAnsiTheme="minorHAnsi" w:cstheme="minorBidi"/>
        </w:rPr>
        <w:t>27_b</w:t>
      </w:r>
      <w:proofErr w:type="spellEnd"/>
      <w:r w:rsidRPr="6671E7E0">
        <w:rPr>
          <w:rFonts w:asciiTheme="minorHAnsi" w:hAnsiTheme="minorHAnsi" w:cstheme="minorBidi"/>
        </w:rPr>
        <w:t>). Taken together, these findings suggest that the institutional direction is in place and that additional training is viewed not as a corrective response to failure, but as a practical lever to deepen implementation and reinforce delivery capacity (</w:t>
      </w:r>
      <w:proofErr w:type="spellStart"/>
      <w:r w:rsidRPr="6671E7E0">
        <w:rPr>
          <w:rFonts w:asciiTheme="minorHAnsi" w:hAnsiTheme="minorHAnsi" w:cstheme="minorBidi"/>
        </w:rPr>
        <w:t>KPI</w:t>
      </w:r>
      <w:proofErr w:type="spellEnd"/>
      <w:r w:rsidRPr="6671E7E0">
        <w:rPr>
          <w:rFonts w:asciiTheme="minorHAnsi" w:hAnsiTheme="minorHAnsi" w:cstheme="minorBidi"/>
        </w:rPr>
        <w:t xml:space="preserve"> </w:t>
      </w:r>
      <w:proofErr w:type="spellStart"/>
      <w:r w:rsidRPr="6671E7E0">
        <w:rPr>
          <w:rFonts w:asciiTheme="minorHAnsi" w:hAnsiTheme="minorHAnsi" w:cstheme="minorBidi"/>
        </w:rPr>
        <w:t>27_b</w:t>
      </w:r>
      <w:proofErr w:type="spellEnd"/>
      <w:r w:rsidRPr="6671E7E0">
        <w:rPr>
          <w:rFonts w:asciiTheme="minorHAnsi" w:hAnsiTheme="minorHAnsi" w:cstheme="minorBidi"/>
        </w:rPr>
        <w:t xml:space="preserve">; IA </w:t>
      </w:r>
      <w:proofErr w:type="spellStart"/>
      <w:r w:rsidRPr="6671E7E0">
        <w:rPr>
          <w:rFonts w:asciiTheme="minorHAnsi" w:hAnsiTheme="minorHAnsi" w:cstheme="minorBidi"/>
        </w:rPr>
        <w:t>Q9_m</w:t>
      </w:r>
      <w:proofErr w:type="spellEnd"/>
      <w:r w:rsidRPr="6671E7E0">
        <w:rPr>
          <w:rFonts w:asciiTheme="minorHAnsi" w:hAnsiTheme="minorHAnsi" w:cstheme="minorBidi"/>
        </w:rPr>
        <w:t>).</w:t>
      </w:r>
    </w:p>
    <w:p w14:paraId="10C01B7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evidence also points to opportunities for strengthening the skills base available to Regional and Area Offices, particularly through access to broader technical expertise and mobility mechanisms. The analysis of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24_b</w:t>
      </w:r>
      <w:proofErr w:type="spellEnd"/>
      <w:r w:rsidRPr="00986D12">
        <w:rPr>
          <w:rFonts w:asciiTheme="minorHAnsi" w:hAnsiTheme="minorHAnsi" w:cstheme="minorHAnsi"/>
        </w:rPr>
        <w:t xml:space="preserve"> indicates that One-ITU representation is institutionally embedded, but that operational depth and continuity of technical support from across the three Sectors are not uniformly experienced. For SoW 6, this matters because career development and skills strengthening depend not only on formal HR integration, but also on practical access to specialized expertise that can enrich staff capabilities and support learning through implementation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24_b</w:t>
      </w:r>
      <w:proofErr w:type="spellEnd"/>
      <w:r w:rsidRPr="00986D12">
        <w:rPr>
          <w:rFonts w:asciiTheme="minorHAnsi" w:hAnsiTheme="minorHAnsi" w:cstheme="minorHAnsi"/>
        </w:rPr>
        <w:t xml:space="preserve">). Survey findings on staff mobility are encouraging, with clear support for the view that implementation of the mobility policy would have a positive impact on regional presence, suggesting that mobility is seen as a constructive mechanism for professional development and organizational strengthening (IA </w:t>
      </w:r>
      <w:proofErr w:type="spellStart"/>
      <w:r w:rsidRPr="00986D12">
        <w:rPr>
          <w:rFonts w:asciiTheme="minorHAnsi" w:hAnsiTheme="minorHAnsi" w:cstheme="minorHAnsi"/>
        </w:rPr>
        <w:t>Q13</w:t>
      </w:r>
      <w:proofErr w:type="spellEnd"/>
      <w:r w:rsidRPr="00986D12">
        <w:rPr>
          <w:rFonts w:asciiTheme="minorHAnsi" w:hAnsiTheme="minorHAnsi" w:cstheme="minorHAnsi"/>
        </w:rPr>
        <w:t>).</w:t>
      </w:r>
    </w:p>
    <w:p w14:paraId="34EA44FA"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evidence suggests that some elements of the HR framework could be made more operationally visible at regional office level.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25_a</w:t>
      </w:r>
      <w:proofErr w:type="spellEnd"/>
      <w:r w:rsidRPr="00986D12">
        <w:rPr>
          <w:rFonts w:asciiTheme="minorHAnsi" w:hAnsiTheme="minorHAnsi" w:cstheme="minorHAnsi"/>
        </w:rPr>
        <w:t xml:space="preserve"> shows that ITU has established a strong organization-wide workforce reporting mechanism, notably through the Workforce Analytics Dashboard and related reporting tools. However, the same analysis notes that reporting is more complete for regular staff than for the full range of staffing modalities that may shape regional presence. </w:t>
      </w:r>
    </w:p>
    <w:p w14:paraId="1A64ECC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In parallel,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27_b</w:t>
      </w:r>
      <w:proofErr w:type="spellEnd"/>
      <w:r w:rsidRPr="00986D12">
        <w:rPr>
          <w:rFonts w:asciiTheme="minorHAnsi" w:hAnsiTheme="minorHAnsi" w:cstheme="minorHAnsi"/>
        </w:rPr>
        <w:t xml:space="preserve"> indicates that progress has been made in embedding HR transformation and results-based management, while still leaving room for stronger region-specific visibility and more integrated links between resources, staffing and results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25_a</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27_b</w:t>
      </w:r>
      <w:proofErr w:type="spellEnd"/>
      <w:r w:rsidRPr="00986D12">
        <w:rPr>
          <w:rFonts w:asciiTheme="minorHAnsi" w:hAnsiTheme="minorHAnsi" w:cstheme="minorHAnsi"/>
        </w:rPr>
        <w:t xml:space="preserve">). </w:t>
      </w:r>
    </w:p>
    <w:p w14:paraId="2CDBA25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This suggests that the strategic and accountability foundations are present, and that further refinement could help regional offices better translate HR frameworks into locally visible staffing and development pathways.</w:t>
      </w:r>
    </w:p>
    <w:p w14:paraId="466C32D4" w14:textId="77777777" w:rsidR="00502693" w:rsidRPr="003E5ECC" w:rsidRDefault="00502693" w:rsidP="00502693">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6CFD6A37" w14:textId="5A3D8953" w:rsidR="00250529" w:rsidRPr="00986D12" w:rsidRDefault="001605D7" w:rsidP="00986D12">
      <w:pPr>
        <w:jc w:val="both"/>
        <w:rPr>
          <w:rFonts w:asciiTheme="minorHAnsi" w:hAnsiTheme="minorHAnsi" w:cstheme="minorHAnsi"/>
        </w:rPr>
      </w:pPr>
      <w:r>
        <w:rPr>
          <w:rFonts w:asciiTheme="minorHAnsi" w:hAnsiTheme="minorHAnsi" w:cstheme="minorHAnsi"/>
          <w:b/>
        </w:rPr>
        <w:t>O</w:t>
      </w:r>
      <w:r w:rsidR="00250529" w:rsidRPr="00986D12">
        <w:rPr>
          <w:rFonts w:asciiTheme="minorHAnsi" w:hAnsiTheme="minorHAnsi" w:cstheme="minorHAnsi"/>
          <w:b/>
        </w:rPr>
        <w:t>perational translation of the Human Resources Strategic Plan at regional level.</w:t>
      </w:r>
      <w:r w:rsidR="00250529" w:rsidRPr="00986D12">
        <w:rPr>
          <w:rFonts w:asciiTheme="minorHAnsi" w:hAnsiTheme="minorHAnsi" w:cstheme="minorHAnsi"/>
        </w:rPr>
        <w:t xml:space="preserve"> </w:t>
      </w:r>
      <w:r w:rsidR="003D6B41">
        <w:rPr>
          <w:rFonts w:asciiTheme="minorHAnsi" w:hAnsiTheme="minorHAnsi" w:cstheme="minorHAnsi"/>
        </w:rPr>
        <w:t>Evidence indicates that b</w:t>
      </w:r>
      <w:r w:rsidR="00250529" w:rsidRPr="00986D12">
        <w:rPr>
          <w:rFonts w:asciiTheme="minorHAnsi" w:hAnsiTheme="minorHAnsi" w:cstheme="minorHAnsi"/>
        </w:rPr>
        <w:t xml:space="preserve">uilding on the existing alignment of workplans, making the regional implications of HR planning more visible in </w:t>
      </w:r>
      <w:r w:rsidR="00503421" w:rsidRPr="00986D12">
        <w:rPr>
          <w:rFonts w:asciiTheme="minorHAnsi" w:hAnsiTheme="minorHAnsi" w:cstheme="minorHAnsi"/>
        </w:rPr>
        <w:t>day-to-day</w:t>
      </w:r>
      <w:r w:rsidR="00250529" w:rsidRPr="00986D12">
        <w:rPr>
          <w:rFonts w:asciiTheme="minorHAnsi" w:hAnsiTheme="minorHAnsi" w:cstheme="minorHAnsi"/>
        </w:rPr>
        <w:t xml:space="preserve"> management tools—such as clearer links between workplans, outputs, staffing profiles, and professional development needs—could help strengthen the practical application of the HR Strategic Plan at the regional level.</w:t>
      </w:r>
    </w:p>
    <w:p w14:paraId="50E0BCF6" w14:textId="381A7C53" w:rsidR="00250529" w:rsidRPr="00986D12" w:rsidRDefault="00250529" w:rsidP="00986D12">
      <w:pPr>
        <w:jc w:val="both"/>
        <w:rPr>
          <w:rFonts w:asciiTheme="minorHAnsi" w:hAnsiTheme="minorHAnsi" w:cstheme="minorHAnsi"/>
        </w:rPr>
      </w:pPr>
      <w:r w:rsidRPr="00986D12">
        <w:rPr>
          <w:rFonts w:asciiTheme="minorHAnsi" w:hAnsiTheme="minorHAnsi" w:cstheme="minorHAnsi"/>
          <w:b/>
        </w:rPr>
        <w:t>Structured training and capacity-building pathways for Regional Office staff.</w:t>
      </w:r>
      <w:r w:rsidRPr="00986D12">
        <w:rPr>
          <w:rFonts w:asciiTheme="minorHAnsi" w:hAnsiTheme="minorHAnsi" w:cstheme="minorHAnsi"/>
        </w:rPr>
        <w:t xml:space="preserve"> </w:t>
      </w:r>
      <w:r w:rsidR="001E44DE">
        <w:rPr>
          <w:rFonts w:asciiTheme="minorHAnsi" w:hAnsiTheme="minorHAnsi" w:cstheme="minorHAnsi"/>
        </w:rPr>
        <w:t xml:space="preserve">There is </w:t>
      </w:r>
      <w:r w:rsidRPr="00986D12">
        <w:rPr>
          <w:rFonts w:asciiTheme="minorHAnsi" w:hAnsiTheme="minorHAnsi" w:cstheme="minorHAnsi"/>
        </w:rPr>
        <w:t xml:space="preserve">  </w:t>
      </w:r>
      <w:r w:rsidR="00E02925">
        <w:rPr>
          <w:rFonts w:asciiTheme="minorHAnsi" w:hAnsiTheme="minorHAnsi" w:cstheme="minorHAnsi"/>
        </w:rPr>
        <w:t>evidence-based</w:t>
      </w:r>
      <w:r w:rsidR="0014425D">
        <w:rPr>
          <w:rFonts w:asciiTheme="minorHAnsi" w:hAnsiTheme="minorHAnsi" w:cstheme="minorHAnsi"/>
        </w:rPr>
        <w:t xml:space="preserve"> </w:t>
      </w:r>
      <w:r w:rsidRPr="00986D12">
        <w:rPr>
          <w:rFonts w:asciiTheme="minorHAnsi" w:hAnsiTheme="minorHAnsi" w:cstheme="minorHAnsi"/>
        </w:rPr>
        <w:t xml:space="preserve">support for additional training, </w:t>
      </w:r>
      <w:r w:rsidR="00FA5FAC">
        <w:rPr>
          <w:rFonts w:asciiTheme="minorHAnsi" w:hAnsiTheme="minorHAnsi" w:cstheme="minorHAnsi"/>
        </w:rPr>
        <w:t xml:space="preserve">and </w:t>
      </w:r>
      <w:r w:rsidRPr="00986D12">
        <w:rPr>
          <w:rFonts w:asciiTheme="minorHAnsi" w:hAnsiTheme="minorHAnsi" w:cstheme="minorHAnsi"/>
        </w:rPr>
        <w:t xml:space="preserve">a more systematic regional learning approach, with training plans that </w:t>
      </w:r>
      <w:r w:rsidR="000E1665">
        <w:rPr>
          <w:rFonts w:asciiTheme="minorHAnsi" w:hAnsiTheme="minorHAnsi" w:cstheme="minorHAnsi"/>
        </w:rPr>
        <w:t>are better aligned with</w:t>
      </w:r>
      <w:r w:rsidRPr="00986D12">
        <w:rPr>
          <w:rFonts w:asciiTheme="minorHAnsi" w:hAnsiTheme="minorHAnsi" w:cstheme="minorHAnsi"/>
        </w:rPr>
        <w:t xml:space="preserve"> operational roles, emerging technical needs and cross-sector collaboration requirements.</w:t>
      </w:r>
    </w:p>
    <w:p w14:paraId="58BE0DD8" w14:textId="659DD9D7" w:rsidR="00250529" w:rsidRPr="00986D12" w:rsidRDefault="001E44DE" w:rsidP="00986D12">
      <w:pPr>
        <w:jc w:val="both"/>
        <w:rPr>
          <w:rFonts w:asciiTheme="minorHAnsi" w:hAnsiTheme="minorHAnsi" w:cstheme="minorHAnsi"/>
        </w:rPr>
      </w:pPr>
      <w:r>
        <w:rPr>
          <w:rFonts w:asciiTheme="minorHAnsi" w:hAnsiTheme="minorHAnsi" w:cstheme="minorHAnsi"/>
          <w:b/>
        </w:rPr>
        <w:t>M</w:t>
      </w:r>
      <w:r w:rsidR="00250529" w:rsidRPr="00986D12">
        <w:rPr>
          <w:rFonts w:asciiTheme="minorHAnsi" w:hAnsiTheme="minorHAnsi" w:cstheme="minorHAnsi"/>
          <w:b/>
        </w:rPr>
        <w:t>obility as a development instrument for regional presence.</w:t>
      </w:r>
      <w:r w:rsidR="00250529" w:rsidRPr="00986D12">
        <w:rPr>
          <w:rFonts w:asciiTheme="minorHAnsi" w:hAnsiTheme="minorHAnsi" w:cstheme="minorHAnsi"/>
        </w:rPr>
        <w:t xml:space="preserve"> The positive perception o</w:t>
      </w:r>
      <w:r w:rsidR="000E1665">
        <w:rPr>
          <w:rFonts w:asciiTheme="minorHAnsi" w:hAnsiTheme="minorHAnsi" w:cstheme="minorHAnsi"/>
        </w:rPr>
        <w:t>n</w:t>
      </w:r>
      <w:r w:rsidR="00250529" w:rsidRPr="00986D12">
        <w:rPr>
          <w:rFonts w:asciiTheme="minorHAnsi" w:hAnsiTheme="minorHAnsi" w:cstheme="minorHAnsi"/>
        </w:rPr>
        <w:t xml:space="preserve"> staff mobility provides a basis for advancing mobility arrangements that support skills transfer, exposure to different operational contexts and stronger links between headquarters and the field.</w:t>
      </w:r>
    </w:p>
    <w:p w14:paraId="0E260791" w14:textId="7B42E7B6" w:rsidR="00250529" w:rsidRPr="00986D12" w:rsidRDefault="0014425D" w:rsidP="00986D12">
      <w:pPr>
        <w:jc w:val="both"/>
        <w:rPr>
          <w:rFonts w:asciiTheme="minorHAnsi" w:hAnsiTheme="minorHAnsi" w:cstheme="minorHAnsi"/>
        </w:rPr>
      </w:pPr>
      <w:r>
        <w:rPr>
          <w:rFonts w:asciiTheme="minorHAnsi" w:hAnsiTheme="minorHAnsi" w:cstheme="minorHAnsi"/>
          <w:b/>
        </w:rPr>
        <w:lastRenderedPageBreak/>
        <w:t>V</w:t>
      </w:r>
      <w:r w:rsidR="00250529" w:rsidRPr="00986D12">
        <w:rPr>
          <w:rFonts w:asciiTheme="minorHAnsi" w:hAnsiTheme="minorHAnsi" w:cstheme="minorHAnsi"/>
          <w:b/>
        </w:rPr>
        <w:t>isibility of regional staffing profiles and development-relevant workforce information</w:t>
      </w:r>
      <w:r w:rsidR="00E02925">
        <w:rPr>
          <w:rFonts w:asciiTheme="minorHAnsi" w:hAnsiTheme="minorHAnsi" w:cstheme="minorHAnsi"/>
          <w:b/>
        </w:rPr>
        <w:t>.</w:t>
      </w:r>
      <w:r w:rsidR="00A64B92">
        <w:rPr>
          <w:rFonts w:asciiTheme="minorHAnsi" w:hAnsiTheme="minorHAnsi" w:cstheme="minorHAnsi"/>
        </w:rPr>
        <w:t xml:space="preserve"> The </w:t>
      </w:r>
      <w:r>
        <w:rPr>
          <w:rFonts w:asciiTheme="minorHAnsi" w:hAnsiTheme="minorHAnsi" w:cstheme="minorHAnsi"/>
        </w:rPr>
        <w:t>findings suggest that e</w:t>
      </w:r>
      <w:r w:rsidR="00250529" w:rsidRPr="00986D12">
        <w:rPr>
          <w:rFonts w:asciiTheme="minorHAnsi" w:hAnsiTheme="minorHAnsi" w:cstheme="minorHAnsi"/>
        </w:rPr>
        <w:t xml:space="preserve">xisting workforce reporting mechanisms provide a solid </w:t>
      </w:r>
      <w:r w:rsidR="00F01D84" w:rsidRPr="00986D12">
        <w:rPr>
          <w:rFonts w:asciiTheme="minorHAnsi" w:hAnsiTheme="minorHAnsi" w:cstheme="minorHAnsi"/>
        </w:rPr>
        <w:t>foundation but</w:t>
      </w:r>
      <w:r w:rsidR="00250529" w:rsidRPr="00986D12">
        <w:rPr>
          <w:rFonts w:asciiTheme="minorHAnsi" w:hAnsiTheme="minorHAnsi" w:cstheme="minorHAnsi"/>
        </w:rPr>
        <w:t xml:space="preserve"> could be complemented by clearer information on regional staffing—covering different categories of personnel and their roles—to better support planning for skills development and succession.</w:t>
      </w:r>
    </w:p>
    <w:p w14:paraId="63FCEEF6" w14:textId="6CA9D2CE" w:rsidR="00250529" w:rsidRPr="00986D12" w:rsidRDefault="00F01D84" w:rsidP="00986D12">
      <w:pPr>
        <w:jc w:val="both"/>
        <w:rPr>
          <w:rFonts w:asciiTheme="minorHAnsi" w:hAnsiTheme="minorHAnsi" w:cstheme="minorBidi"/>
        </w:rPr>
      </w:pPr>
      <w:r w:rsidRPr="6671E7E0">
        <w:rPr>
          <w:rFonts w:asciiTheme="minorHAnsi" w:hAnsiTheme="minorHAnsi" w:cstheme="minorBidi"/>
          <w:b/>
        </w:rPr>
        <w:t>A</w:t>
      </w:r>
      <w:r w:rsidR="00250529" w:rsidRPr="6671E7E0">
        <w:rPr>
          <w:rFonts w:asciiTheme="minorHAnsi" w:hAnsiTheme="minorHAnsi" w:cstheme="minorBidi"/>
          <w:b/>
        </w:rPr>
        <w:t>ccess to specialized cross-sector expertise as part of staff development.</w:t>
      </w:r>
      <w:r w:rsidR="00250529" w:rsidRPr="6671E7E0">
        <w:rPr>
          <w:rFonts w:asciiTheme="minorHAnsi" w:hAnsiTheme="minorHAnsi" w:cstheme="minorBidi"/>
        </w:rPr>
        <w:t xml:space="preserve"> </w:t>
      </w:r>
      <w:r w:rsidR="001D23EE" w:rsidRPr="6671E7E0">
        <w:rPr>
          <w:rFonts w:asciiTheme="minorHAnsi" w:hAnsiTheme="minorHAnsi" w:cstheme="minorBidi"/>
        </w:rPr>
        <w:t>Evidence indicates that c</w:t>
      </w:r>
      <w:r w:rsidR="00250529" w:rsidRPr="6671E7E0">
        <w:rPr>
          <w:rFonts w:asciiTheme="minorHAnsi" w:hAnsiTheme="minorHAnsi" w:cstheme="minorBidi"/>
        </w:rPr>
        <w:t>areer development in regional offices could benefit from more structured and sustained access to ITU</w:t>
      </w:r>
      <w:r w:rsidR="5B530091" w:rsidRPr="6671E7E0">
        <w:rPr>
          <w:rFonts w:asciiTheme="minorHAnsi" w:hAnsiTheme="minorHAnsi" w:cstheme="minorBidi"/>
        </w:rPr>
        <w:t>-</w:t>
      </w:r>
      <w:r w:rsidR="00250529" w:rsidRPr="6671E7E0">
        <w:rPr>
          <w:rFonts w:asciiTheme="minorHAnsi" w:hAnsiTheme="minorHAnsi" w:cstheme="minorBidi"/>
        </w:rPr>
        <w:t>T and ITU</w:t>
      </w:r>
      <w:r w:rsidR="5A58EF5A" w:rsidRPr="6671E7E0">
        <w:rPr>
          <w:rFonts w:asciiTheme="minorHAnsi" w:hAnsiTheme="minorHAnsi" w:cstheme="minorBidi"/>
        </w:rPr>
        <w:t>-</w:t>
      </w:r>
      <w:r w:rsidR="00250529" w:rsidRPr="6671E7E0">
        <w:rPr>
          <w:rFonts w:asciiTheme="minorHAnsi" w:hAnsiTheme="minorHAnsi" w:cstheme="minorBidi"/>
        </w:rPr>
        <w:t>R expertise, helping to link learning opportunities, technical support, and delivery needs more closely in practice.</w:t>
      </w:r>
    </w:p>
    <w:p w14:paraId="7968306D" w14:textId="77777777" w:rsidR="00250529" w:rsidRPr="00986D12" w:rsidRDefault="00250529" w:rsidP="00986D12">
      <w:pPr>
        <w:pStyle w:val="SoWtitle"/>
        <w:jc w:val="both"/>
        <w:rPr>
          <w:rFonts w:asciiTheme="minorHAnsi" w:hAnsiTheme="minorHAnsi" w:cstheme="minorHAnsi"/>
        </w:rPr>
      </w:pPr>
      <w:bookmarkStart w:id="81" w:name="_Toc224213037"/>
      <w:bookmarkStart w:id="82" w:name="_Toc224236468"/>
      <w:r w:rsidRPr="00986D12">
        <w:rPr>
          <w:rFonts w:asciiTheme="minorHAnsi" w:hAnsiTheme="minorHAnsi" w:cstheme="minorHAnsi"/>
        </w:rPr>
        <w:t>Scope of Work 7 — Compare all the regional and area offices' capacity-building and development activities against the framework of ITU Academy training centres</w:t>
      </w:r>
      <w:bookmarkEnd w:id="81"/>
      <w:bookmarkEnd w:id="82"/>
    </w:p>
    <w:p w14:paraId="2D16B65E" w14:textId="2F088F90"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5B5EF5DC"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Capacity-development activities delivered through the ITU Academy ecosystem represent a significant component of the Union’s training offer. Between 2023 and 2025, </w:t>
      </w:r>
      <w:r w:rsidRPr="00E02925">
        <w:rPr>
          <w:rFonts w:asciiTheme="minorHAnsi" w:hAnsiTheme="minorHAnsi" w:cstheme="minorHAnsi"/>
        </w:rPr>
        <w:t>294 instructor-led training activities</w:t>
      </w:r>
      <w:r w:rsidRPr="00986D12">
        <w:rPr>
          <w:rFonts w:asciiTheme="minorHAnsi" w:hAnsiTheme="minorHAnsi" w:cstheme="minorHAnsi"/>
        </w:rPr>
        <w:t xml:space="preserve"> were recorded on the ITU Academy platform. Of these, </w:t>
      </w:r>
      <w:r w:rsidRPr="00E02925">
        <w:rPr>
          <w:rFonts w:asciiTheme="minorHAnsi" w:hAnsiTheme="minorHAnsi" w:cstheme="minorHAnsi"/>
        </w:rPr>
        <w:t>215 activities (73%)</w:t>
      </w:r>
      <w:r w:rsidRPr="00986D12">
        <w:rPr>
          <w:rFonts w:asciiTheme="minorHAnsi" w:hAnsiTheme="minorHAnsi" w:cstheme="minorHAnsi"/>
        </w:rPr>
        <w:t xml:space="preserve"> were delivered as global or multi-regional initiatives, while </w:t>
      </w:r>
      <w:r w:rsidRPr="00E02925">
        <w:rPr>
          <w:rFonts w:asciiTheme="minorHAnsi" w:hAnsiTheme="minorHAnsi" w:cstheme="minorHAnsi"/>
        </w:rPr>
        <w:t>79 activities</w:t>
      </w:r>
      <w:r w:rsidRPr="00986D12">
        <w:rPr>
          <w:rFonts w:asciiTheme="minorHAnsi" w:hAnsiTheme="minorHAnsi" w:cstheme="minorHAnsi"/>
        </w:rPr>
        <w:t xml:space="preserve"> were delivered at regional level across Regional and Area Offices. Regional activities included </w:t>
      </w:r>
      <w:r w:rsidRPr="00E02925">
        <w:rPr>
          <w:rFonts w:asciiTheme="minorHAnsi" w:hAnsiTheme="minorHAnsi" w:cstheme="minorHAnsi"/>
        </w:rPr>
        <w:t>26 courses in the Americas, 20 in Asia and the Pacific, 17 in Africa, 7 in the Arab States, 5 in Europe, and 4 in CIS countries</w:t>
      </w:r>
      <w:r w:rsidRPr="00986D12">
        <w:rPr>
          <w:rFonts w:asciiTheme="minorHAnsi" w:hAnsiTheme="minorHAnsi" w:cstheme="minorHAnsi"/>
        </w:rPr>
        <w:t>.</w:t>
      </w:r>
    </w:p>
    <w:p w14:paraId="650ADE39"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ITU Academy Training Centre network plays a central role within this global training architecture. Of the </w:t>
      </w:r>
      <w:r w:rsidRPr="00E02925">
        <w:rPr>
          <w:rFonts w:asciiTheme="minorHAnsi" w:hAnsiTheme="minorHAnsi" w:cstheme="minorHAnsi"/>
        </w:rPr>
        <w:t>215 global training activities</w:t>
      </w:r>
      <w:r w:rsidRPr="00986D12">
        <w:rPr>
          <w:rFonts w:asciiTheme="minorHAnsi" w:hAnsiTheme="minorHAnsi" w:cstheme="minorHAnsi"/>
        </w:rPr>
        <w:t xml:space="preserve">, </w:t>
      </w:r>
      <w:r w:rsidRPr="00E02925">
        <w:rPr>
          <w:rFonts w:asciiTheme="minorHAnsi" w:hAnsiTheme="minorHAnsi" w:cstheme="minorHAnsi"/>
        </w:rPr>
        <w:t>153 were organized by ITU Academy Training Centres</w:t>
      </w:r>
      <w:r w:rsidRPr="00986D12">
        <w:rPr>
          <w:rFonts w:asciiTheme="minorHAnsi" w:hAnsiTheme="minorHAnsi" w:cstheme="minorHAnsi"/>
        </w:rPr>
        <w:t xml:space="preserve">, accounting for approximately </w:t>
      </w:r>
      <w:r w:rsidRPr="00E02925">
        <w:rPr>
          <w:rFonts w:asciiTheme="minorHAnsi" w:hAnsiTheme="minorHAnsi" w:cstheme="minorHAnsi"/>
        </w:rPr>
        <w:t>66% of global courses delivered during the period</w:t>
      </w:r>
      <w:r w:rsidRPr="00986D12">
        <w:rPr>
          <w:rFonts w:asciiTheme="minorHAnsi" w:hAnsiTheme="minorHAnsi" w:cstheme="minorHAnsi"/>
        </w:rPr>
        <w:t>. This highlights the importance of the ATC network as a core institutional partner in delivering large-scale capacity-development initiatives across the ITU membership.</w:t>
      </w:r>
    </w:p>
    <w:p w14:paraId="6CFC20B9"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Participation patterns reflect a similar distribution. Across all courses recorded during the period, a total of </w:t>
      </w:r>
      <w:r w:rsidRPr="00E02925">
        <w:rPr>
          <w:rFonts w:asciiTheme="minorHAnsi" w:hAnsiTheme="minorHAnsi" w:cstheme="minorHAnsi"/>
        </w:rPr>
        <w:t>12,333 participants</w:t>
      </w:r>
      <w:r w:rsidRPr="00986D12">
        <w:rPr>
          <w:rFonts w:asciiTheme="minorHAnsi" w:hAnsiTheme="minorHAnsi" w:cstheme="minorHAnsi"/>
        </w:rPr>
        <w:t xml:space="preserve"> were accepted into instructor-led training activities. Of these, </w:t>
      </w:r>
      <w:r w:rsidRPr="00E02925">
        <w:rPr>
          <w:rFonts w:asciiTheme="minorHAnsi" w:hAnsiTheme="minorHAnsi" w:cstheme="minorHAnsi"/>
        </w:rPr>
        <w:t>9,491 participants took part in global courses</w:t>
      </w:r>
      <w:r w:rsidRPr="00986D12">
        <w:rPr>
          <w:rFonts w:asciiTheme="minorHAnsi" w:hAnsiTheme="minorHAnsi" w:cstheme="minorHAnsi"/>
        </w:rPr>
        <w:t xml:space="preserve">, representing an average </w:t>
      </w:r>
      <w:r w:rsidRPr="00E02925">
        <w:rPr>
          <w:rFonts w:asciiTheme="minorHAnsi" w:hAnsiTheme="minorHAnsi" w:cstheme="minorHAnsi"/>
        </w:rPr>
        <w:t>74% share of total enrolments</w:t>
      </w:r>
      <w:r w:rsidRPr="00986D12">
        <w:rPr>
          <w:rFonts w:asciiTheme="minorHAnsi" w:hAnsiTheme="minorHAnsi" w:cstheme="minorHAnsi"/>
        </w:rPr>
        <w:t xml:space="preserve">. Participation in courses delivered through ITU Academy Training Centres also represents a significant share of overall enrolments, with </w:t>
      </w:r>
      <w:r w:rsidRPr="00E02925">
        <w:rPr>
          <w:rFonts w:asciiTheme="minorHAnsi" w:hAnsiTheme="minorHAnsi" w:cstheme="minorHAnsi"/>
        </w:rPr>
        <w:t>67% of participants attending ATC-organized courses</w:t>
      </w:r>
      <w:r w:rsidRPr="00986D12">
        <w:rPr>
          <w:rFonts w:asciiTheme="minorHAnsi" w:hAnsiTheme="minorHAnsi" w:cstheme="minorHAnsi"/>
        </w:rPr>
        <w:t>.</w:t>
      </w:r>
    </w:p>
    <w:p w14:paraId="1F804841"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Participation across regions demonstrates broad engagement with the ITU capacity-development offer. Over the period reviewed, participation levels reached </w:t>
      </w:r>
      <w:r w:rsidRPr="00E02925">
        <w:rPr>
          <w:rFonts w:asciiTheme="minorHAnsi" w:hAnsiTheme="minorHAnsi" w:cstheme="minorHAnsi"/>
        </w:rPr>
        <w:t>4,767 learners from Africa</w:t>
      </w:r>
      <w:r w:rsidRPr="00986D12">
        <w:rPr>
          <w:rFonts w:asciiTheme="minorHAnsi" w:hAnsiTheme="minorHAnsi" w:cstheme="minorHAnsi"/>
        </w:rPr>
        <w:t xml:space="preserve">, </w:t>
      </w:r>
      <w:r w:rsidRPr="00E02925">
        <w:rPr>
          <w:rFonts w:asciiTheme="minorHAnsi" w:hAnsiTheme="minorHAnsi" w:cstheme="minorHAnsi"/>
        </w:rPr>
        <w:t>2,665 from the Americas</w:t>
      </w:r>
      <w:r w:rsidRPr="00986D12">
        <w:rPr>
          <w:rFonts w:asciiTheme="minorHAnsi" w:hAnsiTheme="minorHAnsi" w:cstheme="minorHAnsi"/>
        </w:rPr>
        <w:t xml:space="preserve">, </w:t>
      </w:r>
      <w:r w:rsidRPr="00E02925">
        <w:rPr>
          <w:rFonts w:asciiTheme="minorHAnsi" w:hAnsiTheme="minorHAnsi" w:cstheme="minorHAnsi"/>
        </w:rPr>
        <w:t>2,294 from Asia and the Pacific</w:t>
      </w:r>
      <w:r w:rsidRPr="00986D12">
        <w:rPr>
          <w:rFonts w:asciiTheme="minorHAnsi" w:hAnsiTheme="minorHAnsi" w:cstheme="minorHAnsi"/>
        </w:rPr>
        <w:t xml:space="preserve">, </w:t>
      </w:r>
      <w:r w:rsidRPr="00E02925">
        <w:rPr>
          <w:rFonts w:asciiTheme="minorHAnsi" w:hAnsiTheme="minorHAnsi" w:cstheme="minorHAnsi"/>
        </w:rPr>
        <w:t>1,434 from the Arab States</w:t>
      </w:r>
      <w:r w:rsidRPr="00986D12">
        <w:rPr>
          <w:rFonts w:asciiTheme="minorHAnsi" w:hAnsiTheme="minorHAnsi" w:cstheme="minorHAnsi"/>
        </w:rPr>
        <w:t xml:space="preserve">, </w:t>
      </w:r>
      <w:r w:rsidRPr="00E02925">
        <w:rPr>
          <w:rFonts w:asciiTheme="minorHAnsi" w:hAnsiTheme="minorHAnsi" w:cstheme="minorHAnsi"/>
        </w:rPr>
        <w:t>843 from Europe</w:t>
      </w:r>
      <w:r w:rsidRPr="00986D12">
        <w:rPr>
          <w:rFonts w:asciiTheme="minorHAnsi" w:hAnsiTheme="minorHAnsi" w:cstheme="minorHAnsi"/>
        </w:rPr>
        <w:t xml:space="preserve">, and </w:t>
      </w:r>
      <w:r w:rsidRPr="00E02925">
        <w:rPr>
          <w:rFonts w:asciiTheme="minorHAnsi" w:hAnsiTheme="minorHAnsi" w:cstheme="minorHAnsi"/>
        </w:rPr>
        <w:t>330 from CIS countries</w:t>
      </w:r>
      <w:r w:rsidRPr="00986D12">
        <w:rPr>
          <w:rFonts w:asciiTheme="minorHAnsi" w:hAnsiTheme="minorHAnsi" w:cstheme="minorHAnsi"/>
        </w:rPr>
        <w:t xml:space="preserve">. Across all regions, </w:t>
      </w:r>
      <w:proofErr w:type="gramStart"/>
      <w:r w:rsidRPr="00986D12">
        <w:rPr>
          <w:rFonts w:asciiTheme="minorHAnsi" w:hAnsiTheme="minorHAnsi" w:cstheme="minorHAnsi"/>
        </w:rPr>
        <w:t>the majority of</w:t>
      </w:r>
      <w:proofErr w:type="gramEnd"/>
      <w:r w:rsidRPr="00986D12">
        <w:rPr>
          <w:rFonts w:asciiTheme="minorHAnsi" w:hAnsiTheme="minorHAnsi" w:cstheme="minorHAnsi"/>
        </w:rPr>
        <w:t xml:space="preserve"> participants attended global training activities rather than regionally delivered courses. The share of learners participating in global courses ranged from </w:t>
      </w:r>
      <w:r w:rsidRPr="00E02925">
        <w:rPr>
          <w:rFonts w:asciiTheme="minorHAnsi" w:hAnsiTheme="minorHAnsi" w:cstheme="minorHAnsi"/>
        </w:rPr>
        <w:t>60% in CIS countries to 84% in Europe</w:t>
      </w:r>
      <w:r w:rsidRPr="00986D12">
        <w:rPr>
          <w:rFonts w:asciiTheme="minorHAnsi" w:hAnsiTheme="minorHAnsi" w:cstheme="minorHAnsi"/>
        </w:rPr>
        <w:t xml:space="preserve">, with </w:t>
      </w:r>
      <w:r w:rsidRPr="00E02925">
        <w:rPr>
          <w:rFonts w:asciiTheme="minorHAnsi" w:hAnsiTheme="minorHAnsi" w:cstheme="minorHAnsi"/>
        </w:rPr>
        <w:t>Africa and Asia-Pacific both reaching 83%</w:t>
      </w:r>
      <w:r w:rsidRPr="00986D12">
        <w:rPr>
          <w:rFonts w:asciiTheme="minorHAnsi" w:hAnsiTheme="minorHAnsi" w:cstheme="minorHAnsi"/>
        </w:rPr>
        <w:t>.</w:t>
      </w:r>
    </w:p>
    <w:p w14:paraId="1760A09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These participation patterns suggest that globally accessible training courses constitute an important channel for knowledge exchange across the ITU membership. Global courses appear to provide opportunities for learners to engage with broader technical and regulatory perspectives while participating in learning environments that bring together participants from multiple regions. At the same time, regionally delivered training initiatives remain an </w:t>
      </w:r>
      <w:r w:rsidRPr="00986D12">
        <w:rPr>
          <w:rFonts w:asciiTheme="minorHAnsi" w:hAnsiTheme="minorHAnsi" w:cstheme="minorHAnsi"/>
        </w:rPr>
        <w:lastRenderedPageBreak/>
        <w:t>important mechanism for addressing region-specific policy and regulatory priorities and supporting engagement with national stakeholders.</w:t>
      </w:r>
    </w:p>
    <w:p w14:paraId="70FD4C18"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The available evidence also highlights differences in the way capacity-development activities have historically been recorded across institutional systems. While the ITU Academy platform provides a comprehensive record of training activities delivered through the ITU Academy Training Centre framework, some regional initiatives have previously been captured through other internal mechanisms. Efforts to harmonize reporting practices are therefore expected to strengthen the completeness and comparability of capacity-development data across the organization.</w:t>
      </w:r>
    </w:p>
    <w:p w14:paraId="405D1800"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Progress in this direction is already underway. Institutional guidance introduced through the </w:t>
      </w:r>
      <w:r w:rsidRPr="00986D12">
        <w:rPr>
          <w:rFonts w:asciiTheme="minorHAnsi" w:hAnsiTheme="minorHAnsi" w:cstheme="minorHAnsi"/>
          <w:i/>
        </w:rPr>
        <w:t>Capacity Development Manual</w:t>
      </w:r>
      <w:r w:rsidRPr="00986D12">
        <w:rPr>
          <w:rFonts w:asciiTheme="minorHAnsi" w:hAnsiTheme="minorHAnsi" w:cstheme="minorHAnsi"/>
        </w:rPr>
        <w:t xml:space="preserve"> has established the ITU Academy platform as the centralized system for recording training activities across the Union, including those coordinated by Regional and Area Offices. The gradual implementation of this approach is expected to strengthen institutional visibility of capacity-development initiatives and provide a more consistent basis for comparing regional and global training activities.</w:t>
      </w:r>
    </w:p>
    <w:p w14:paraId="4E6E856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Taken together, the evidence indicates that the ITU Academy Training Centre framework currently provides a strong global training platform, both in terms of the number of courses delivered and the scale of participation. Regional and Area Offices continue to play an important complementary role by delivering training activities tailored to regional contexts and priorities. As reporting practices become increasingly harmonized, the resulting dataset will support a clearer understanding of how these delivery channels jointly contribute to strengthening capacity development across the ITU membership.</w:t>
      </w:r>
    </w:p>
    <w:p w14:paraId="6C8B3E07" w14:textId="77777777" w:rsidR="00E02925" w:rsidRPr="003E5ECC" w:rsidRDefault="00E02925" w:rsidP="00E02925">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0D111FD6" w14:textId="0EF82481" w:rsidR="00250529" w:rsidRPr="00986D12" w:rsidRDefault="00F01D84" w:rsidP="00986D12">
      <w:pPr>
        <w:jc w:val="both"/>
        <w:rPr>
          <w:rFonts w:asciiTheme="minorHAnsi" w:hAnsiTheme="minorHAnsi" w:cstheme="minorBidi"/>
        </w:rPr>
      </w:pPr>
      <w:r w:rsidRPr="6671E7E0">
        <w:rPr>
          <w:rFonts w:asciiTheme="minorHAnsi" w:hAnsiTheme="minorHAnsi" w:cstheme="minorBidi"/>
          <w:b/>
        </w:rPr>
        <w:t>B</w:t>
      </w:r>
      <w:r w:rsidR="00250529" w:rsidRPr="6671E7E0">
        <w:rPr>
          <w:rFonts w:asciiTheme="minorHAnsi" w:hAnsiTheme="minorHAnsi" w:cstheme="minorBidi"/>
          <w:b/>
        </w:rPr>
        <w:t>alance between global and regional training delivery</w:t>
      </w:r>
      <w:r w:rsidR="00E02925" w:rsidRPr="6671E7E0">
        <w:rPr>
          <w:rFonts w:asciiTheme="minorHAnsi" w:hAnsiTheme="minorHAnsi" w:cstheme="minorBidi"/>
          <w:b/>
        </w:rPr>
        <w:t xml:space="preserve">. </w:t>
      </w:r>
      <w:r w:rsidR="003747E5" w:rsidRPr="6671E7E0">
        <w:rPr>
          <w:rFonts w:asciiTheme="minorHAnsi" w:hAnsiTheme="minorHAnsi" w:cstheme="minorBidi"/>
        </w:rPr>
        <w:t>Evidence suggests that</w:t>
      </w:r>
      <w:r w:rsidR="00250529" w:rsidRPr="6671E7E0">
        <w:rPr>
          <w:rFonts w:asciiTheme="minorHAnsi" w:hAnsiTheme="minorHAnsi" w:cstheme="minorBidi"/>
          <w:b/>
        </w:rPr>
        <w:t xml:space="preserve"> </w:t>
      </w:r>
      <w:r w:rsidR="00250529" w:rsidRPr="6671E7E0">
        <w:rPr>
          <w:rFonts w:asciiTheme="minorHAnsi" w:hAnsiTheme="minorHAnsi" w:cstheme="minorBidi"/>
        </w:rPr>
        <w:t>periodically reviewing the balance between global and regional offerings can help ensure that region</w:t>
      </w:r>
      <w:r w:rsidR="2C076BD4" w:rsidRPr="6671E7E0">
        <w:rPr>
          <w:rFonts w:asciiTheme="minorHAnsi" w:hAnsiTheme="minorHAnsi" w:cstheme="minorBidi"/>
        </w:rPr>
        <w:t>-</w:t>
      </w:r>
      <w:r w:rsidR="00250529" w:rsidRPr="6671E7E0">
        <w:rPr>
          <w:rFonts w:asciiTheme="minorHAnsi" w:hAnsiTheme="minorHAnsi" w:cstheme="minorBidi"/>
        </w:rPr>
        <w:t>specific priorities are reflected, while preserving the benefits of globally accessible courses.</w:t>
      </w:r>
    </w:p>
    <w:p w14:paraId="64FF0B24" w14:textId="796312F9" w:rsidR="00250529" w:rsidRPr="00986D12" w:rsidRDefault="003747E5" w:rsidP="00986D12">
      <w:pPr>
        <w:jc w:val="both"/>
        <w:rPr>
          <w:rFonts w:asciiTheme="minorHAnsi" w:hAnsiTheme="minorHAnsi" w:cstheme="minorHAnsi"/>
          <w:b/>
        </w:rPr>
      </w:pPr>
      <w:r>
        <w:rPr>
          <w:rFonts w:asciiTheme="minorHAnsi" w:hAnsiTheme="minorHAnsi" w:cstheme="minorHAnsi"/>
          <w:b/>
        </w:rPr>
        <w:t>C</w:t>
      </w:r>
      <w:r w:rsidR="00250529" w:rsidRPr="00986D12">
        <w:rPr>
          <w:rFonts w:asciiTheme="minorHAnsi" w:hAnsiTheme="minorHAnsi" w:cstheme="minorHAnsi"/>
          <w:b/>
        </w:rPr>
        <w:t>ollaboration with the ITU Academy Training Centre network.</w:t>
      </w:r>
      <w:r>
        <w:rPr>
          <w:rFonts w:asciiTheme="minorHAnsi" w:hAnsiTheme="minorHAnsi" w:cstheme="minorHAnsi"/>
          <w:b/>
        </w:rPr>
        <w:t xml:space="preserve"> </w:t>
      </w:r>
      <w:r w:rsidR="001D23EE" w:rsidRPr="0089550A">
        <w:rPr>
          <w:rFonts w:asciiTheme="minorHAnsi" w:hAnsiTheme="minorHAnsi" w:cstheme="minorHAnsi"/>
          <w:bCs/>
        </w:rPr>
        <w:t xml:space="preserve">Taken together the evidence points to </w:t>
      </w:r>
      <w:r w:rsidR="00250529" w:rsidRPr="00E02925">
        <w:rPr>
          <w:rFonts w:asciiTheme="minorHAnsi" w:hAnsiTheme="minorHAnsi" w:cstheme="minorHAnsi"/>
          <w:bCs/>
        </w:rPr>
        <w:t>the central role of the ITU Academy Training Centres in delivering</w:t>
      </w:r>
      <w:r w:rsidR="00250529" w:rsidRPr="00986D12">
        <w:rPr>
          <w:rFonts w:asciiTheme="minorHAnsi" w:hAnsiTheme="minorHAnsi" w:cstheme="minorHAnsi"/>
        </w:rPr>
        <w:t xml:space="preserve"> a large share of global courses</w:t>
      </w:r>
      <w:r w:rsidR="00ED417C">
        <w:rPr>
          <w:rFonts w:asciiTheme="minorHAnsi" w:hAnsiTheme="minorHAnsi" w:cstheme="minorHAnsi"/>
        </w:rPr>
        <w:t xml:space="preserve"> and suggests that </w:t>
      </w:r>
      <w:r w:rsidR="00250529" w:rsidRPr="00986D12">
        <w:rPr>
          <w:rFonts w:asciiTheme="minorHAnsi" w:hAnsiTheme="minorHAnsi" w:cstheme="minorHAnsi"/>
        </w:rPr>
        <w:t>further leveraging the ATC network could help expand access to specialized content and support broader participation across regions.</w:t>
      </w:r>
    </w:p>
    <w:p w14:paraId="275B447A" w14:textId="526F3906" w:rsidR="00250529" w:rsidRPr="00986D12" w:rsidRDefault="003747E5" w:rsidP="00986D12">
      <w:pPr>
        <w:jc w:val="both"/>
        <w:rPr>
          <w:rFonts w:asciiTheme="minorHAnsi" w:hAnsiTheme="minorHAnsi" w:cstheme="minorHAnsi"/>
          <w:b/>
        </w:rPr>
      </w:pPr>
      <w:r>
        <w:rPr>
          <w:rFonts w:asciiTheme="minorHAnsi" w:hAnsiTheme="minorHAnsi" w:cstheme="minorHAnsi"/>
          <w:b/>
        </w:rPr>
        <w:t>Co</w:t>
      </w:r>
      <w:r w:rsidR="00250529" w:rsidRPr="00986D12">
        <w:rPr>
          <w:rFonts w:asciiTheme="minorHAnsi" w:hAnsiTheme="minorHAnsi" w:cstheme="minorHAnsi"/>
          <w:b/>
        </w:rPr>
        <w:t xml:space="preserve">nsistency of data capturing for capacity development activities. </w:t>
      </w:r>
      <w:r w:rsidR="0055462C" w:rsidRPr="0089550A">
        <w:rPr>
          <w:rFonts w:asciiTheme="minorHAnsi" w:hAnsiTheme="minorHAnsi" w:cstheme="minorHAnsi"/>
          <w:bCs/>
        </w:rPr>
        <w:t>Findings indicate that</w:t>
      </w:r>
      <w:r w:rsidR="0055462C">
        <w:rPr>
          <w:rFonts w:asciiTheme="minorHAnsi" w:hAnsiTheme="minorHAnsi" w:cstheme="minorHAnsi"/>
          <w:b/>
        </w:rPr>
        <w:t xml:space="preserve"> </w:t>
      </w:r>
      <w:r w:rsidR="0055462C">
        <w:rPr>
          <w:rFonts w:asciiTheme="minorHAnsi" w:hAnsiTheme="minorHAnsi" w:cstheme="minorHAnsi"/>
        </w:rPr>
        <w:t>c</w:t>
      </w:r>
      <w:r w:rsidR="00250529" w:rsidRPr="00986D12">
        <w:rPr>
          <w:rFonts w:asciiTheme="minorHAnsi" w:hAnsiTheme="minorHAnsi" w:cstheme="minorHAnsi"/>
        </w:rPr>
        <w:t xml:space="preserve">ontinuing efforts to harmonize the way training activities are recorded could help provide a </w:t>
      </w:r>
      <w:bookmarkStart w:id="83" w:name="_Int_y1cu4RbD"/>
      <w:proofErr w:type="gramStart"/>
      <w:r w:rsidR="00250529" w:rsidRPr="00986D12">
        <w:rPr>
          <w:rFonts w:asciiTheme="minorHAnsi" w:hAnsiTheme="minorHAnsi" w:cstheme="minorHAnsi"/>
        </w:rPr>
        <w:t>more complete and comparable</w:t>
      </w:r>
      <w:bookmarkEnd w:id="83"/>
      <w:proofErr w:type="gramEnd"/>
      <w:r w:rsidR="00250529" w:rsidRPr="00986D12">
        <w:rPr>
          <w:rFonts w:asciiTheme="minorHAnsi" w:hAnsiTheme="minorHAnsi" w:cstheme="minorHAnsi"/>
        </w:rPr>
        <w:t xml:space="preserve"> picture of capacity development initiatives delivered at global and regional levels.</w:t>
      </w:r>
    </w:p>
    <w:p w14:paraId="735EB6C3" w14:textId="0FEB8116" w:rsidR="00250529" w:rsidRPr="00986D12" w:rsidRDefault="0055462C" w:rsidP="00986D12">
      <w:pPr>
        <w:jc w:val="both"/>
        <w:rPr>
          <w:rFonts w:asciiTheme="minorHAnsi" w:hAnsiTheme="minorHAnsi" w:cstheme="minorHAnsi"/>
          <w:b/>
        </w:rPr>
      </w:pPr>
      <w:r>
        <w:rPr>
          <w:rFonts w:asciiTheme="minorHAnsi" w:hAnsiTheme="minorHAnsi" w:cstheme="minorHAnsi"/>
          <w:b/>
        </w:rPr>
        <w:t>V</w:t>
      </w:r>
      <w:r w:rsidR="00250529" w:rsidRPr="00986D12">
        <w:rPr>
          <w:rFonts w:asciiTheme="minorHAnsi" w:hAnsiTheme="minorHAnsi" w:cstheme="minorHAnsi"/>
          <w:b/>
        </w:rPr>
        <w:t>isibility of capacity</w:t>
      </w:r>
      <w:r w:rsidR="00250529" w:rsidRPr="00986D12">
        <w:rPr>
          <w:rFonts w:asciiTheme="minorHAnsi" w:hAnsiTheme="minorHAnsi" w:cstheme="minorHAnsi"/>
          <w:b/>
          <w:bCs/>
        </w:rPr>
        <w:t xml:space="preserve"> </w:t>
      </w:r>
      <w:r w:rsidR="00250529" w:rsidRPr="00986D12">
        <w:rPr>
          <w:rFonts w:asciiTheme="minorHAnsi" w:hAnsiTheme="minorHAnsi" w:cstheme="minorHAnsi"/>
          <w:b/>
        </w:rPr>
        <w:t xml:space="preserve">development participation trends. </w:t>
      </w:r>
      <w:r w:rsidR="00250529" w:rsidRPr="00986D12">
        <w:rPr>
          <w:rFonts w:asciiTheme="minorHAnsi" w:hAnsiTheme="minorHAnsi" w:cstheme="minorHAnsi"/>
        </w:rPr>
        <w:t>Developing clearer summaries of regional and global participation patterns could help inform planning of future training offers by highlighting where demand is strongest and how learners engage with different types of capacity development initiatives.</w:t>
      </w:r>
    </w:p>
    <w:p w14:paraId="13964AC2" w14:textId="28DC246F" w:rsidR="00250529" w:rsidRPr="00986D12" w:rsidRDefault="00250529" w:rsidP="00986D12">
      <w:pPr>
        <w:pStyle w:val="SoWtitle"/>
        <w:jc w:val="both"/>
        <w:rPr>
          <w:rFonts w:asciiTheme="minorHAnsi" w:hAnsiTheme="minorHAnsi" w:cstheme="minorHAnsi"/>
        </w:rPr>
      </w:pPr>
      <w:bookmarkStart w:id="84" w:name="_Toc224213038"/>
      <w:bookmarkStart w:id="85" w:name="_Toc224236469"/>
      <w:r w:rsidRPr="00986D12">
        <w:rPr>
          <w:rFonts w:asciiTheme="minorHAnsi" w:hAnsiTheme="minorHAnsi" w:cstheme="minorHAnsi"/>
        </w:rPr>
        <w:lastRenderedPageBreak/>
        <w:t xml:space="preserve">Scope of Work 8 — Identify barriers, challenges faced by staff to participate at events, including associated costs, or expected outcomes </w:t>
      </w:r>
      <w:proofErr w:type="gramStart"/>
      <w:r w:rsidRPr="00986D12">
        <w:rPr>
          <w:rFonts w:asciiTheme="minorHAnsi" w:hAnsiTheme="minorHAnsi" w:cstheme="minorHAnsi"/>
        </w:rPr>
        <w:t>as a way to</w:t>
      </w:r>
      <w:proofErr w:type="gramEnd"/>
      <w:r w:rsidRPr="00986D12">
        <w:rPr>
          <w:rFonts w:asciiTheme="minorHAnsi" w:hAnsiTheme="minorHAnsi" w:cstheme="minorHAnsi"/>
        </w:rPr>
        <w:t xml:space="preserve"> improve participation in ITU events as appropriate, and additionally provide </w:t>
      </w:r>
      <w:r w:rsidR="00A900EE">
        <w:rPr>
          <w:rFonts w:asciiTheme="minorHAnsi" w:hAnsiTheme="minorHAnsi" w:cstheme="minorHAnsi"/>
        </w:rPr>
        <w:t>recommendations</w:t>
      </w:r>
      <w:r w:rsidRPr="00986D12">
        <w:rPr>
          <w:rFonts w:asciiTheme="minorHAnsi" w:hAnsiTheme="minorHAnsi" w:cstheme="minorHAnsi"/>
        </w:rPr>
        <w:t xml:space="preserve"> on how to improve Regional and Area Office participation</w:t>
      </w:r>
      <w:bookmarkEnd w:id="84"/>
      <w:bookmarkEnd w:id="85"/>
    </w:p>
    <w:p w14:paraId="07BEA7F5" w14:textId="43091387"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383E0D50"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Evidence suggests that participation of Regional and Area Office staff in regional and global events is widely regarded as important for coordination, stakeholder engagement and institutional visibility, but that this participation is affected by a set of practical barriers. The strongest available evidence points to logistical and financial constraints, including complex travel routes, visa delays, limited flight availability, accommodation costs that may exceed applicable allowances, short lead times and coordination issues between headquarters and regional offices when missions are planned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10). These factors indicate that the challenge is not the perceived value of participation itself, but the operational conditions under which such participation takes place.</w:t>
      </w:r>
    </w:p>
    <w:p w14:paraId="3F918F74"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Survey evidence mapped directly to this Scope of Work shows strong support for strengthening staff participation in events through more structured measures. Membership responses indicate clear support for an action plan to enhance Regional and Area Office staff participation in events, and similarly strong support for staff engagement with regional stakeholders at global events </w:t>
      </w:r>
      <w:proofErr w:type="gramStart"/>
      <w:r w:rsidRPr="00986D12">
        <w:rPr>
          <w:rFonts w:asciiTheme="minorHAnsi" w:hAnsiTheme="minorHAnsi" w:cstheme="minorHAnsi"/>
        </w:rPr>
        <w:t>as a way to</w:t>
      </w:r>
      <w:proofErr w:type="gramEnd"/>
      <w:r w:rsidRPr="00986D12">
        <w:rPr>
          <w:rFonts w:asciiTheme="minorHAnsi" w:hAnsiTheme="minorHAnsi" w:cstheme="minorHAnsi"/>
        </w:rPr>
        <w:t xml:space="preserve"> improve coordination and communication (MS </w:t>
      </w:r>
      <w:proofErr w:type="spellStart"/>
      <w:r w:rsidRPr="00986D12">
        <w:rPr>
          <w:rFonts w:asciiTheme="minorHAnsi" w:hAnsiTheme="minorHAnsi" w:cstheme="minorHAnsi"/>
        </w:rPr>
        <w:t>Q5_l</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Q7_a</w:t>
      </w:r>
      <w:proofErr w:type="spellEnd"/>
      <w:r w:rsidRPr="00986D12">
        <w:rPr>
          <w:rFonts w:asciiTheme="minorHAnsi" w:hAnsiTheme="minorHAnsi" w:cstheme="minorHAnsi"/>
        </w:rPr>
        <w:t xml:space="preserve">). The conclusion emerging from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12 is consistent with this pattern: respondents see more systematic planning, prioritisation and follow up of staff participation as likely to increase the value derived from event engagement (</w:t>
      </w:r>
      <w:proofErr w:type="spellStart"/>
      <w:r w:rsidRPr="00986D12">
        <w:rPr>
          <w:rFonts w:asciiTheme="minorHAnsi" w:hAnsiTheme="minorHAnsi" w:cstheme="minorHAnsi"/>
        </w:rPr>
        <w:t>KPI</w:t>
      </w:r>
      <w:proofErr w:type="spellEnd"/>
      <w:r w:rsidRPr="00986D12">
        <w:rPr>
          <w:rFonts w:asciiTheme="minorHAnsi" w:hAnsiTheme="minorHAnsi" w:cstheme="minorHAnsi"/>
        </w:rPr>
        <w:t> 12).</w:t>
      </w:r>
    </w:p>
    <w:p w14:paraId="4E39235D"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broader event-related evidence also indicates that Regional and Area Offices are already supporting a substantial and diverse portfolio of regional events. The available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evidence shows that events in the regions account for a sizeable share of ITU’s event activity and that support provided by Regional and Area Offices extends well beyond venue logistics to include administrative, technical and coordination functions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15). This is relevant to SoW 8 because it suggests that staff participation is not occurring in a marginal activity area; rather, it is linked to a large and operationally significant event ecosystem in which participation decisions have meaningful effects on regional presence and stakeholder engagement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15).</w:t>
      </w:r>
    </w:p>
    <w:p w14:paraId="010E98E8"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available evidence also suggests that participation constraints are linked to broader workload and resourcing patterns. The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13 analysis points to substantial variation in workload across regions in terms of countries served and projects implemented, with cross-regional coordination demands also significant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13). This supports the interpretation that staff participation in events competes with wider delivery demands and that barriers cannot be understood only as travel or cost issues in isolation. Open-ended evidence cited in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10 and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12 further reinforces this, highlighting concerns around limited staffing capacity, late involvement of regional offices in event planning, insufficient visibility of Regional and Area Office contributions, and the need for clearer communication channels and more structured engagement formats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10;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12).</w:t>
      </w:r>
    </w:p>
    <w:p w14:paraId="280CA1E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Taken together, the evidence indicates that event participation by Regional and Area Office staff is viewed as valuable and worth strengthening, but current arrangements are affected by operational frictions that reduce consistency and potential impact. The dominant pattern is therefore not weak demand for participation, but strong support for participation combined </w:t>
      </w:r>
      <w:r w:rsidRPr="00986D12">
        <w:rPr>
          <w:rFonts w:asciiTheme="minorHAnsi" w:hAnsiTheme="minorHAnsi" w:cstheme="minorHAnsi"/>
        </w:rPr>
        <w:lastRenderedPageBreak/>
        <w:t>with identifiable logistical, financial, workload and coordination constraints that limit how effectively that participation can be organized and leveraged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10;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12; MS </w:t>
      </w:r>
      <w:proofErr w:type="spellStart"/>
      <w:r w:rsidRPr="00986D12">
        <w:rPr>
          <w:rFonts w:asciiTheme="minorHAnsi" w:hAnsiTheme="minorHAnsi" w:cstheme="minorHAnsi"/>
        </w:rPr>
        <w:t>Q5_l</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Q7_a</w:t>
      </w:r>
      <w:proofErr w:type="spellEnd"/>
      <w:r w:rsidRPr="00986D12">
        <w:rPr>
          <w:rFonts w:asciiTheme="minorHAnsi" w:hAnsiTheme="minorHAnsi" w:cstheme="minorHAnsi"/>
        </w:rPr>
        <w:t>).</w:t>
      </w:r>
    </w:p>
    <w:p w14:paraId="3D78BF9B" w14:textId="77777777" w:rsidR="00E20811" w:rsidRPr="003E5ECC" w:rsidRDefault="00E20811" w:rsidP="00E20811">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60684BEC" w14:textId="55C1BDDB" w:rsidR="00250529" w:rsidRPr="00986D12" w:rsidRDefault="00ED417C" w:rsidP="00986D12">
      <w:pPr>
        <w:jc w:val="both"/>
        <w:rPr>
          <w:rFonts w:asciiTheme="minorHAnsi" w:hAnsiTheme="minorHAnsi" w:cstheme="minorHAnsi"/>
        </w:rPr>
      </w:pPr>
      <w:r>
        <w:rPr>
          <w:rFonts w:asciiTheme="minorHAnsi" w:hAnsiTheme="minorHAnsi" w:cstheme="minorHAnsi"/>
        </w:rPr>
        <w:t>A</w:t>
      </w:r>
      <w:r w:rsidR="00250529" w:rsidRPr="00986D12">
        <w:rPr>
          <w:rFonts w:asciiTheme="minorHAnsi" w:hAnsiTheme="minorHAnsi" w:cstheme="minorHAnsi"/>
          <w:b/>
        </w:rPr>
        <w:t>ction plan for Regional and Area Office staff participation in events.</w:t>
      </w:r>
      <w:r w:rsidR="00250529" w:rsidRPr="00986D12">
        <w:rPr>
          <w:rFonts w:asciiTheme="minorHAnsi" w:hAnsiTheme="minorHAnsi" w:cstheme="minorHAnsi"/>
        </w:rPr>
        <w:t xml:space="preserve"> </w:t>
      </w:r>
      <w:r w:rsidR="00AC6DB4">
        <w:rPr>
          <w:rFonts w:asciiTheme="minorHAnsi" w:hAnsiTheme="minorHAnsi" w:cstheme="minorHAnsi"/>
        </w:rPr>
        <w:t xml:space="preserve">Evidence suggests that </w:t>
      </w:r>
      <w:r w:rsidR="00655E1C">
        <w:rPr>
          <w:rFonts w:asciiTheme="minorHAnsi" w:hAnsiTheme="minorHAnsi" w:cstheme="minorHAnsi"/>
        </w:rPr>
        <w:t>e</w:t>
      </w:r>
      <w:r w:rsidR="00250529" w:rsidRPr="00986D12">
        <w:rPr>
          <w:rFonts w:asciiTheme="minorHAnsi" w:hAnsiTheme="minorHAnsi" w:cstheme="minorHAnsi"/>
        </w:rPr>
        <w:t>xploring a more systematic approach to selecting, preparing for, and following up on staff participation in events could help align engagement with strategic priorities and support clearer institutional value from these activities.</w:t>
      </w:r>
    </w:p>
    <w:p w14:paraId="1C358107" w14:textId="0CDAC717" w:rsidR="00250529" w:rsidRPr="00986D12" w:rsidRDefault="007D0FD8" w:rsidP="00986D12">
      <w:pPr>
        <w:jc w:val="both"/>
        <w:rPr>
          <w:rFonts w:asciiTheme="minorHAnsi" w:hAnsiTheme="minorHAnsi" w:cstheme="minorHAnsi"/>
        </w:rPr>
      </w:pPr>
      <w:r>
        <w:rPr>
          <w:rFonts w:asciiTheme="minorHAnsi" w:hAnsiTheme="minorHAnsi" w:cstheme="minorHAnsi"/>
          <w:b/>
        </w:rPr>
        <w:t>T</w:t>
      </w:r>
      <w:r w:rsidR="00250529" w:rsidRPr="00986D12">
        <w:rPr>
          <w:rFonts w:asciiTheme="minorHAnsi" w:hAnsiTheme="minorHAnsi" w:cstheme="minorHAnsi"/>
          <w:b/>
        </w:rPr>
        <w:t>ravel and mission-planning constraints.</w:t>
      </w:r>
      <w:r w:rsidR="00250529" w:rsidRPr="00986D12">
        <w:rPr>
          <w:rFonts w:asciiTheme="minorHAnsi" w:hAnsiTheme="minorHAnsi" w:cstheme="minorHAnsi"/>
        </w:rPr>
        <w:t xml:space="preserve"> </w:t>
      </w:r>
      <w:r w:rsidR="00C92FA3">
        <w:rPr>
          <w:rFonts w:asciiTheme="minorHAnsi" w:hAnsiTheme="minorHAnsi" w:cstheme="minorHAnsi"/>
        </w:rPr>
        <w:t>Data analysis suggests that e</w:t>
      </w:r>
      <w:r w:rsidR="00250529" w:rsidRPr="00986D12">
        <w:rPr>
          <w:rFonts w:asciiTheme="minorHAnsi" w:hAnsiTheme="minorHAnsi" w:cstheme="minorHAnsi"/>
        </w:rPr>
        <w:t>xploring ways to plan missions earlier, strengthen coordination, and take visa, routing, and accommodation constraints into account more systematically could help reduce avoidable barriers to staff participation.</w:t>
      </w:r>
    </w:p>
    <w:p w14:paraId="4BA3B512" w14:textId="1280CC56" w:rsidR="00250529" w:rsidRPr="00986D12" w:rsidRDefault="00250529" w:rsidP="00986D12">
      <w:pPr>
        <w:jc w:val="both"/>
        <w:rPr>
          <w:rFonts w:asciiTheme="minorHAnsi" w:hAnsiTheme="minorHAnsi" w:cstheme="minorHAnsi"/>
        </w:rPr>
      </w:pPr>
      <w:r w:rsidRPr="00986D12">
        <w:rPr>
          <w:rFonts w:asciiTheme="minorHAnsi" w:hAnsiTheme="minorHAnsi" w:cstheme="minorHAnsi"/>
          <w:b/>
        </w:rPr>
        <w:t>Integrat</w:t>
      </w:r>
      <w:r w:rsidR="00E51A99">
        <w:rPr>
          <w:rFonts w:asciiTheme="minorHAnsi" w:hAnsiTheme="minorHAnsi" w:cstheme="minorHAnsi"/>
          <w:b/>
        </w:rPr>
        <w:t xml:space="preserve">ion of </w:t>
      </w:r>
      <w:r w:rsidRPr="00986D12">
        <w:rPr>
          <w:rFonts w:asciiTheme="minorHAnsi" w:hAnsiTheme="minorHAnsi" w:cstheme="minorHAnsi"/>
          <w:b/>
        </w:rPr>
        <w:t>Regional and Area Offices into event planning processes.</w:t>
      </w:r>
      <w:r w:rsidRPr="00986D12">
        <w:rPr>
          <w:rFonts w:asciiTheme="minorHAnsi" w:hAnsiTheme="minorHAnsi" w:cstheme="minorHAnsi"/>
        </w:rPr>
        <w:t xml:space="preserve"> Earlier involvement of Regional and Area Offices in the design and planning of regional and global events could help improve coordination, clarify staff roles, and make participation more purposeful and operationally relevant.</w:t>
      </w:r>
    </w:p>
    <w:p w14:paraId="626650F9" w14:textId="65612D9F" w:rsidR="00250529" w:rsidRPr="00986D12" w:rsidRDefault="00250529" w:rsidP="00986D12">
      <w:pPr>
        <w:jc w:val="both"/>
        <w:rPr>
          <w:rFonts w:asciiTheme="minorHAnsi" w:hAnsiTheme="minorHAnsi" w:cstheme="minorHAnsi"/>
        </w:rPr>
      </w:pPr>
      <w:r w:rsidRPr="00986D12">
        <w:rPr>
          <w:rFonts w:asciiTheme="minorHAnsi" w:hAnsiTheme="minorHAnsi" w:cstheme="minorHAnsi"/>
          <w:b/>
        </w:rPr>
        <w:t>Link</w:t>
      </w:r>
      <w:r w:rsidR="00E51A99">
        <w:rPr>
          <w:rFonts w:asciiTheme="minorHAnsi" w:hAnsiTheme="minorHAnsi" w:cstheme="minorHAnsi"/>
          <w:b/>
        </w:rPr>
        <w:t>age of</w:t>
      </w:r>
      <w:r w:rsidRPr="00986D12">
        <w:rPr>
          <w:rFonts w:asciiTheme="minorHAnsi" w:hAnsiTheme="minorHAnsi" w:cstheme="minorHAnsi"/>
          <w:b/>
        </w:rPr>
        <w:t xml:space="preserve"> participation planning to workload and resource conditions across regions.</w:t>
      </w:r>
      <w:r w:rsidRPr="00986D12">
        <w:rPr>
          <w:rFonts w:asciiTheme="minorHAnsi" w:hAnsiTheme="minorHAnsi" w:cstheme="minorHAnsi"/>
        </w:rPr>
        <w:t xml:space="preserve"> </w:t>
      </w:r>
      <w:r w:rsidR="007D0FD8">
        <w:rPr>
          <w:rFonts w:asciiTheme="minorHAnsi" w:hAnsiTheme="minorHAnsi" w:cstheme="minorHAnsi"/>
        </w:rPr>
        <w:t>Evidence suggests that a</w:t>
      </w:r>
      <w:r w:rsidRPr="00986D12">
        <w:rPr>
          <w:rFonts w:asciiTheme="minorHAnsi" w:hAnsiTheme="minorHAnsi" w:cstheme="minorHAnsi"/>
        </w:rPr>
        <w:t>ligning participation expectations with staffing levels, project portfolios, and wider operational demands could help ensure that event engagement remains feasible and sustainable across different regional contexts.</w:t>
      </w:r>
    </w:p>
    <w:p w14:paraId="0A3D4DB5" w14:textId="54F1C4E0" w:rsidR="00250529" w:rsidRPr="00986D12" w:rsidRDefault="00E51A99" w:rsidP="00986D12">
      <w:pPr>
        <w:jc w:val="both"/>
        <w:rPr>
          <w:rFonts w:asciiTheme="minorHAnsi" w:hAnsiTheme="minorHAnsi" w:cstheme="minorHAnsi"/>
        </w:rPr>
      </w:pPr>
      <w:r>
        <w:rPr>
          <w:rFonts w:asciiTheme="minorHAnsi" w:hAnsiTheme="minorHAnsi" w:cstheme="minorHAnsi"/>
          <w:b/>
        </w:rPr>
        <w:t>F</w:t>
      </w:r>
      <w:r w:rsidR="00250529" w:rsidRPr="00986D12">
        <w:rPr>
          <w:rFonts w:asciiTheme="minorHAnsi" w:hAnsiTheme="minorHAnsi" w:cstheme="minorHAnsi"/>
          <w:b/>
        </w:rPr>
        <w:t>ollow</w:t>
      </w:r>
      <w:r w:rsidR="00250529" w:rsidRPr="00986D12">
        <w:rPr>
          <w:rFonts w:asciiTheme="minorHAnsi" w:hAnsiTheme="minorHAnsi" w:cstheme="minorHAnsi"/>
          <w:b/>
          <w:bCs/>
        </w:rPr>
        <w:t xml:space="preserve"> </w:t>
      </w:r>
      <w:r w:rsidR="00250529" w:rsidRPr="00986D12">
        <w:rPr>
          <w:rFonts w:asciiTheme="minorHAnsi" w:hAnsiTheme="minorHAnsi" w:cstheme="minorHAnsi"/>
          <w:b/>
        </w:rPr>
        <w:t>up and visibility mechanisms after event participation.</w:t>
      </w:r>
      <w:r w:rsidR="00250529" w:rsidRPr="00986D12">
        <w:rPr>
          <w:rFonts w:asciiTheme="minorHAnsi" w:hAnsiTheme="minorHAnsi" w:cstheme="minorHAnsi"/>
        </w:rPr>
        <w:t xml:space="preserve"> </w:t>
      </w:r>
      <w:r>
        <w:rPr>
          <w:rFonts w:asciiTheme="minorHAnsi" w:hAnsiTheme="minorHAnsi" w:cstheme="minorHAnsi"/>
        </w:rPr>
        <w:t>Evidence supports d</w:t>
      </w:r>
      <w:r w:rsidR="00250529" w:rsidRPr="00986D12">
        <w:rPr>
          <w:rFonts w:asciiTheme="minorHAnsi" w:hAnsiTheme="minorHAnsi" w:cstheme="minorHAnsi"/>
        </w:rPr>
        <w:t xml:space="preserve">eveloping clearer reporting, communication, and follow up arrangements </w:t>
      </w:r>
      <w:r>
        <w:rPr>
          <w:rFonts w:asciiTheme="minorHAnsi" w:hAnsiTheme="minorHAnsi" w:cstheme="minorHAnsi"/>
        </w:rPr>
        <w:t xml:space="preserve">that </w:t>
      </w:r>
      <w:r w:rsidR="00250529" w:rsidRPr="00986D12">
        <w:rPr>
          <w:rFonts w:asciiTheme="minorHAnsi" w:hAnsiTheme="minorHAnsi" w:cstheme="minorHAnsi"/>
        </w:rPr>
        <w:t>could help ensure that staff participation contributes to stronger stakeholder engagement, improved coordination outcomes, and increased visibility of Regional and Area Office contributions.</w:t>
      </w:r>
    </w:p>
    <w:p w14:paraId="6CDAC5C9" w14:textId="77777777" w:rsidR="00250529" w:rsidRPr="00986D12" w:rsidRDefault="00250529" w:rsidP="00986D12">
      <w:pPr>
        <w:pStyle w:val="SoWtitle"/>
        <w:jc w:val="both"/>
        <w:rPr>
          <w:rFonts w:asciiTheme="minorHAnsi" w:hAnsiTheme="minorHAnsi" w:cstheme="minorHAnsi"/>
        </w:rPr>
      </w:pPr>
      <w:bookmarkStart w:id="86" w:name="_Toc224213039"/>
      <w:bookmarkStart w:id="87" w:name="_Toc224236470"/>
      <w:r w:rsidRPr="00986D12">
        <w:rPr>
          <w:rFonts w:asciiTheme="minorHAnsi" w:hAnsiTheme="minorHAnsi" w:cstheme="minorHAnsi"/>
        </w:rPr>
        <w:t xml:space="preserve">Scope of Work 9 — Assess whether the reporting to the ITU Council and Bureaux on regional presence provides adequate information regarding its activities to meet ITU's strategic plan, Kigali Action Plan, regional initiatives, annual four-year rolling operational plans of the General Secretariat and the three Sectors, and addressing Member States' requests for assistance considering the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detailed in Annex 1</w:t>
      </w:r>
      <w:bookmarkEnd w:id="86"/>
      <w:bookmarkEnd w:id="87"/>
    </w:p>
    <w:p w14:paraId="1FE2903B" w14:textId="27CDC7D9"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51C3E39A"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combined evidence indicates that reporting on regional presence provides a functioning and credible basis for communication with Council and the Advisory Bodies, with the strongest positive perceptions associated with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and Council. Survey results point to moderate but positive views on whether reporting provides adequate information on activities and projects across the relevant governance channels, while the Internal Assessment shows somewhat stronger internal confidence for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and Council reporting than for TSAG and RAG (MS </w:t>
      </w:r>
      <w:proofErr w:type="spellStart"/>
      <w:r w:rsidRPr="00986D12">
        <w:rPr>
          <w:rFonts w:asciiTheme="minorHAnsi" w:hAnsiTheme="minorHAnsi" w:cstheme="minorHAnsi"/>
        </w:rPr>
        <w:t>Q21_a</w:t>
      </w:r>
      <w:proofErr w:type="spellEnd"/>
      <w:r w:rsidRPr="00986D12">
        <w:rPr>
          <w:rFonts w:asciiTheme="minorHAnsi" w:hAnsiTheme="minorHAnsi" w:cstheme="minorHAnsi"/>
        </w:rPr>
        <w:t>–</w:t>
      </w:r>
      <w:proofErr w:type="spellStart"/>
      <w:r w:rsidRPr="00986D12">
        <w:rPr>
          <w:rFonts w:asciiTheme="minorHAnsi" w:hAnsiTheme="minorHAnsi" w:cstheme="minorHAnsi"/>
        </w:rPr>
        <w:t>Q21_d</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Q16_a</w:t>
      </w:r>
      <w:proofErr w:type="spellEnd"/>
      <w:r w:rsidRPr="00986D12">
        <w:rPr>
          <w:rFonts w:asciiTheme="minorHAnsi" w:hAnsiTheme="minorHAnsi" w:cstheme="minorHAnsi"/>
        </w:rPr>
        <w:t>–</w:t>
      </w:r>
      <w:proofErr w:type="spellStart"/>
      <w:r w:rsidRPr="00986D12">
        <w:rPr>
          <w:rFonts w:asciiTheme="minorHAnsi" w:hAnsiTheme="minorHAnsi" w:cstheme="minorHAnsi"/>
        </w:rPr>
        <w:t>Q16_d</w:t>
      </w:r>
      <w:proofErr w:type="spellEnd"/>
      <w:r w:rsidRPr="00986D12">
        <w:rPr>
          <w:rFonts w:asciiTheme="minorHAnsi" w:hAnsiTheme="minorHAnsi" w:cstheme="minorHAnsi"/>
        </w:rPr>
        <w:t>). This overall pattern suggests that the reporting architecture is established and valued, while still offering room to improve consistency and usefulness across all reporting audiences.</w:t>
      </w:r>
    </w:p>
    <w:p w14:paraId="62FF5F50" w14:textId="77777777" w:rsidR="00250529" w:rsidRPr="00986D12" w:rsidRDefault="00250529" w:rsidP="00986D12">
      <w:pPr>
        <w:jc w:val="both"/>
        <w:rPr>
          <w:rFonts w:asciiTheme="minorHAnsi" w:hAnsiTheme="minorHAnsi" w:cstheme="minorHAnsi"/>
        </w:rPr>
      </w:pP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evidence also points to several strengths in the substance of reporting.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25_c</w:t>
      </w:r>
      <w:proofErr w:type="spellEnd"/>
      <w:r w:rsidRPr="00986D12">
        <w:rPr>
          <w:rFonts w:asciiTheme="minorHAnsi" w:hAnsiTheme="minorHAnsi" w:cstheme="minorHAnsi"/>
        </w:rPr>
        <w:t xml:space="preserve"> indicates that ITU has structured reporting channels that document implementation of activities across </w:t>
      </w:r>
      <w:r w:rsidRPr="00986D12">
        <w:rPr>
          <w:rFonts w:asciiTheme="minorHAnsi" w:hAnsiTheme="minorHAnsi" w:cstheme="minorHAnsi"/>
        </w:rPr>
        <w:lastRenderedPageBreak/>
        <w:t xml:space="preserve">regional presence, while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8 shows that </w:t>
      </w:r>
      <w:proofErr w:type="spellStart"/>
      <w:r w:rsidRPr="00986D12">
        <w:rPr>
          <w:rFonts w:asciiTheme="minorHAnsi" w:hAnsiTheme="minorHAnsi" w:cstheme="minorHAnsi"/>
        </w:rPr>
        <w:t>KPI</w:t>
      </w:r>
      <w:proofErr w:type="spellEnd"/>
      <w:r w:rsidRPr="00986D12">
        <w:rPr>
          <w:rFonts w:asciiTheme="minorHAnsi" w:hAnsiTheme="minorHAnsi" w:cstheme="minorHAnsi"/>
        </w:rPr>
        <w:t>-based reporting is seen as a useful mechanism for aligning regional activities with the Strategic Plan and the Kigali Action Plan. Interview insights reinforce this finding by emphasizing the value of structured coordination, measurable indicators and transparent monitoring to translate global priorities into meaningful regional outcomes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8;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25_c</w:t>
      </w:r>
      <w:proofErr w:type="spellEnd"/>
      <w:r w:rsidRPr="00986D12">
        <w:rPr>
          <w:rFonts w:asciiTheme="minorHAnsi" w:hAnsiTheme="minorHAnsi" w:cstheme="minorHAnsi"/>
        </w:rPr>
        <w:t xml:space="preserve">; RTO interviews). Staff engagement in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development further strengthens this picture, as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9 suggests that participation in indicator design helps connect reporting frameworks to operational realities and improves institutional alignment.</w:t>
      </w:r>
    </w:p>
    <w:p w14:paraId="79F86E21" w14:textId="161DE566"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evidence also points to opportunities to further strengthen the analytical quality of reporting.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26 indicates that current arrangements are broadly adequate for presenting challenges</w:t>
      </w:r>
      <w:r w:rsidR="00BE67F4">
        <w:rPr>
          <w:rFonts w:asciiTheme="minorHAnsi" w:hAnsiTheme="minorHAnsi" w:cstheme="minorHAnsi"/>
        </w:rPr>
        <w:t>, recommendations</w:t>
      </w:r>
      <w:r w:rsidRPr="00986D12">
        <w:rPr>
          <w:rFonts w:asciiTheme="minorHAnsi" w:hAnsiTheme="minorHAnsi" w:cstheme="minorHAnsi"/>
        </w:rPr>
        <w:t xml:space="preserve"> and oversight-related </w:t>
      </w:r>
      <w:r w:rsidR="00BE67F4" w:rsidRPr="00986D12">
        <w:rPr>
          <w:rFonts w:asciiTheme="minorHAnsi" w:hAnsiTheme="minorHAnsi" w:cstheme="minorHAnsi"/>
        </w:rPr>
        <w:t>matters but</w:t>
      </w:r>
      <w:r w:rsidRPr="00986D12">
        <w:rPr>
          <w:rFonts w:asciiTheme="minorHAnsi" w:hAnsiTheme="minorHAnsi" w:cstheme="minorHAnsi"/>
        </w:rPr>
        <w:t xml:space="preserve"> could do more to distinguish clearly between activities delivered, implementation bottlenecks, lessons learned and corrective actions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26). Survey findings on oversight are consistent with this interpretation: support for more oversight by Advisory Bodies and Council is moderate rather than polarized, which suggests that stronger oversight is generally seen as potentially constructive when linked to clearer and more useful reporting (MS </w:t>
      </w:r>
      <w:proofErr w:type="spellStart"/>
      <w:r w:rsidRPr="00986D12">
        <w:rPr>
          <w:rFonts w:asciiTheme="minorHAnsi" w:hAnsiTheme="minorHAnsi" w:cstheme="minorHAnsi"/>
        </w:rPr>
        <w:t>Q5_b</w:t>
      </w:r>
      <w:proofErr w:type="spellEnd"/>
      <w:r w:rsidRPr="00986D12">
        <w:rPr>
          <w:rFonts w:asciiTheme="minorHAnsi" w:hAnsiTheme="minorHAnsi" w:cstheme="minorHAnsi"/>
        </w:rPr>
        <w:t>).</w:t>
      </w:r>
    </w:p>
    <w:p w14:paraId="4AA5E1AC" w14:textId="13F643B6"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Operational reporting constraints also remain visible.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7 identifies timely access to detailed financial information as an important reporting bottleneck, and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shows that while request acknowledgement is consistently rapid, completion times vary widely depending on complexity, funding availability and coordination requirements. This implies that reporting on responsiveness and delivery benefits from contextual explanation rather than simple headline timing measures alone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7). In practice, stronger reporting </w:t>
      </w:r>
      <w:r w:rsidR="00AF1E4E">
        <w:rPr>
          <w:rFonts w:asciiTheme="minorHAnsi" w:hAnsiTheme="minorHAnsi" w:cstheme="minorHAnsi"/>
        </w:rPr>
        <w:t>c</w:t>
      </w:r>
      <w:r w:rsidRPr="00986D12">
        <w:rPr>
          <w:rFonts w:asciiTheme="minorHAnsi" w:hAnsiTheme="minorHAnsi" w:cstheme="minorHAnsi"/>
        </w:rPr>
        <w:t>ould therefore benefit from a clearer presentation of implementation timelines, complexity factors and resource dependencies, so that governance bodies can more easily distinguish between normal variation in delivery and issues requiring attention.</w:t>
      </w:r>
    </w:p>
    <w:p w14:paraId="26E58087" w14:textId="44E31B46" w:rsidR="00774233" w:rsidRDefault="00250529" w:rsidP="00384BB4">
      <w:pPr>
        <w:jc w:val="both"/>
        <w:rPr>
          <w:rFonts w:asciiTheme="minorHAnsi" w:hAnsiTheme="minorHAnsi" w:cstheme="minorHAnsi"/>
        </w:rPr>
      </w:pPr>
      <w:r w:rsidRPr="00986D12">
        <w:rPr>
          <w:rFonts w:asciiTheme="minorHAnsi" w:hAnsiTheme="minorHAnsi" w:cstheme="minorHAnsi"/>
        </w:rPr>
        <w:t>Open-ended responses add a consistent message on what users would find most valuable in strengthened reporting. Recurring themes include calls for regular reporting on project milestones, key performance indicators, regional outcomes, clearer follow up on initiatives, and more accessible information through dashboards or centralized hubs (Open-ended survey responses). These expectations are broadly aligned with interview feedback emphasizing transparency, measurable indicators and closer linkage between reporting and implementation follow up (RTO interviews). The additional stakeholder feedback in the mapping document also points to the value of ensuring that activities of area offices are clearly reflected in the workplans of the corresponding regional offices, which further underlines the importance of coherence and visibility in reporting (Stakeholder feedback).</w:t>
      </w:r>
    </w:p>
    <w:p w14:paraId="1192E77E" w14:textId="77777777" w:rsidR="001123B4" w:rsidRPr="003E5ECC" w:rsidRDefault="001123B4" w:rsidP="001123B4">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7644CAEA" w14:textId="68806067" w:rsidR="00250529" w:rsidRPr="00986D12" w:rsidRDefault="00E51A99" w:rsidP="00986D12">
      <w:pPr>
        <w:jc w:val="both"/>
        <w:rPr>
          <w:rFonts w:asciiTheme="minorHAnsi" w:hAnsiTheme="minorHAnsi" w:cstheme="minorHAnsi"/>
        </w:rPr>
      </w:pPr>
      <w:r>
        <w:rPr>
          <w:rFonts w:asciiTheme="minorHAnsi" w:hAnsiTheme="minorHAnsi" w:cstheme="minorHAnsi"/>
          <w:b/>
        </w:rPr>
        <w:t>A</w:t>
      </w:r>
      <w:r w:rsidR="00250529" w:rsidRPr="00986D12">
        <w:rPr>
          <w:rFonts w:asciiTheme="minorHAnsi" w:hAnsiTheme="minorHAnsi" w:cstheme="minorHAnsi"/>
          <w:b/>
        </w:rPr>
        <w:t>nalytical structure of reporting to governance bodies.</w:t>
      </w:r>
      <w:r w:rsidR="00250529" w:rsidRPr="00986D12">
        <w:rPr>
          <w:rFonts w:asciiTheme="minorHAnsi" w:hAnsiTheme="minorHAnsi" w:cstheme="minorHAnsi"/>
        </w:rPr>
        <w:t xml:space="preserve"> </w:t>
      </w:r>
      <w:r>
        <w:rPr>
          <w:rFonts w:asciiTheme="minorHAnsi" w:hAnsiTheme="minorHAnsi" w:cstheme="minorHAnsi"/>
        </w:rPr>
        <w:t>Evidence indicates that r</w:t>
      </w:r>
      <w:r w:rsidR="00250529" w:rsidRPr="00986D12">
        <w:rPr>
          <w:rFonts w:asciiTheme="minorHAnsi" w:hAnsiTheme="minorHAnsi" w:cstheme="minorHAnsi"/>
        </w:rPr>
        <w:t xml:space="preserve">eporting could more clearly differentiate between activities delivered, implementation challenges, lessons learned, </w:t>
      </w:r>
      <w:r>
        <w:rPr>
          <w:rFonts w:asciiTheme="minorHAnsi" w:hAnsiTheme="minorHAnsi" w:cstheme="minorHAnsi"/>
        </w:rPr>
        <w:t xml:space="preserve">recommendations </w:t>
      </w:r>
      <w:r w:rsidR="00250529" w:rsidRPr="00986D12">
        <w:rPr>
          <w:rFonts w:asciiTheme="minorHAnsi" w:hAnsiTheme="minorHAnsi" w:cstheme="minorHAnsi"/>
        </w:rPr>
        <w:t>and follow up actions, so that Council and Advisory Bodies receive a more decision-useful picture of progress.</w:t>
      </w:r>
    </w:p>
    <w:p w14:paraId="48296499" w14:textId="1FFF3792" w:rsidR="00250529" w:rsidRPr="00986D12" w:rsidRDefault="00934FBD" w:rsidP="00986D12">
      <w:pPr>
        <w:jc w:val="both"/>
        <w:rPr>
          <w:rFonts w:asciiTheme="minorHAnsi" w:hAnsiTheme="minorHAnsi" w:cstheme="minorHAnsi"/>
        </w:rPr>
      </w:pPr>
      <w:r>
        <w:rPr>
          <w:rFonts w:asciiTheme="minorHAnsi" w:hAnsiTheme="minorHAnsi" w:cstheme="minorHAnsi"/>
          <w:b/>
        </w:rPr>
        <w:t>V</w:t>
      </w:r>
      <w:r w:rsidR="00250529" w:rsidRPr="00986D12">
        <w:rPr>
          <w:rFonts w:asciiTheme="minorHAnsi" w:hAnsiTheme="minorHAnsi" w:cstheme="minorHAnsi"/>
          <w:b/>
        </w:rPr>
        <w:t>isibility of implementation progress through structured milestone reporting.</w:t>
      </w:r>
      <w:r w:rsidR="00250529" w:rsidRPr="00986D12">
        <w:rPr>
          <w:rFonts w:asciiTheme="minorHAnsi" w:hAnsiTheme="minorHAnsi" w:cstheme="minorHAnsi"/>
        </w:rPr>
        <w:t xml:space="preserve"> Introducing more systematic presentation of milestones, regional outcomes and </w:t>
      </w:r>
      <w:proofErr w:type="spellStart"/>
      <w:r w:rsidR="00250529" w:rsidRPr="00986D12">
        <w:rPr>
          <w:rFonts w:asciiTheme="minorHAnsi" w:hAnsiTheme="minorHAnsi" w:cstheme="minorHAnsi"/>
        </w:rPr>
        <w:t>KPI</w:t>
      </w:r>
      <w:proofErr w:type="spellEnd"/>
      <w:r w:rsidR="00250529" w:rsidRPr="00986D12">
        <w:rPr>
          <w:rFonts w:asciiTheme="minorHAnsi" w:hAnsiTheme="minorHAnsi" w:cstheme="minorHAnsi"/>
        </w:rPr>
        <w:t>-linked progress updates could help make implementation reporting easier to interpret and more closely aligned with stakeholder expectations.</w:t>
      </w:r>
    </w:p>
    <w:p w14:paraId="77052981" w14:textId="2F68ACD0" w:rsidR="00250529" w:rsidRPr="00986D12" w:rsidRDefault="00934FBD" w:rsidP="00986D12">
      <w:pPr>
        <w:jc w:val="both"/>
        <w:rPr>
          <w:rFonts w:asciiTheme="minorHAnsi" w:hAnsiTheme="minorHAnsi" w:cstheme="minorHAnsi"/>
        </w:rPr>
      </w:pPr>
      <w:r>
        <w:rPr>
          <w:rFonts w:asciiTheme="minorHAnsi" w:hAnsiTheme="minorHAnsi" w:cstheme="minorHAnsi"/>
          <w:b/>
        </w:rPr>
        <w:lastRenderedPageBreak/>
        <w:t>C</w:t>
      </w:r>
      <w:r w:rsidR="00250529" w:rsidRPr="00986D12">
        <w:rPr>
          <w:rFonts w:asciiTheme="minorHAnsi" w:hAnsiTheme="minorHAnsi" w:cstheme="minorHAnsi"/>
          <w:b/>
        </w:rPr>
        <w:t>ontextualization of responsiveness and delivery timelines.</w:t>
      </w:r>
      <w:r w:rsidR="00250529" w:rsidRPr="00986D12">
        <w:rPr>
          <w:rFonts w:asciiTheme="minorHAnsi" w:hAnsiTheme="minorHAnsi" w:cstheme="minorHAnsi"/>
        </w:rPr>
        <w:t xml:space="preserve"> </w:t>
      </w:r>
      <w:r w:rsidR="001B51C4">
        <w:rPr>
          <w:rFonts w:asciiTheme="minorHAnsi" w:hAnsiTheme="minorHAnsi" w:cstheme="minorHAnsi"/>
        </w:rPr>
        <w:t>Evidence indicates that r</w:t>
      </w:r>
      <w:r w:rsidR="00250529" w:rsidRPr="00986D12">
        <w:rPr>
          <w:rFonts w:asciiTheme="minorHAnsi" w:hAnsiTheme="minorHAnsi" w:cstheme="minorHAnsi"/>
        </w:rPr>
        <w:t>eporting on Member State requests could benefit from more explicit context on how factors such as complexity, funding availability, and coordination requirements influence completion time, helping governance bodies interpret implementation pace more accurately.</w:t>
      </w:r>
    </w:p>
    <w:p w14:paraId="1C163798" w14:textId="25DE040B" w:rsidR="00250529" w:rsidRPr="00986D12" w:rsidRDefault="002D0EB7" w:rsidP="00986D12">
      <w:pPr>
        <w:jc w:val="both"/>
        <w:rPr>
          <w:rFonts w:asciiTheme="minorHAnsi" w:hAnsiTheme="minorHAnsi" w:cstheme="minorBidi"/>
        </w:rPr>
      </w:pPr>
      <w:r w:rsidRPr="6671E7E0">
        <w:rPr>
          <w:rFonts w:asciiTheme="minorHAnsi" w:hAnsiTheme="minorHAnsi" w:cstheme="minorBidi"/>
          <w:b/>
        </w:rPr>
        <w:t>A</w:t>
      </w:r>
      <w:r w:rsidR="00250529" w:rsidRPr="6671E7E0">
        <w:rPr>
          <w:rFonts w:asciiTheme="minorHAnsi" w:hAnsiTheme="minorHAnsi" w:cstheme="minorBidi"/>
          <w:b/>
        </w:rPr>
        <w:t>ccessibility of reporting information through dashboard-style tools or consolidated reporting views.</w:t>
      </w:r>
      <w:r w:rsidR="00250529" w:rsidRPr="6671E7E0">
        <w:rPr>
          <w:rFonts w:asciiTheme="minorHAnsi" w:hAnsiTheme="minorHAnsi" w:cstheme="minorBidi"/>
        </w:rPr>
        <w:t xml:space="preserve"> </w:t>
      </w:r>
      <w:r w:rsidRPr="6671E7E0">
        <w:rPr>
          <w:rFonts w:asciiTheme="minorHAnsi" w:hAnsiTheme="minorHAnsi" w:cstheme="minorBidi"/>
        </w:rPr>
        <w:t>Findings su</w:t>
      </w:r>
      <w:r w:rsidR="001123B4" w:rsidRPr="6671E7E0">
        <w:rPr>
          <w:rFonts w:asciiTheme="minorHAnsi" w:hAnsiTheme="minorHAnsi" w:cstheme="minorBidi"/>
        </w:rPr>
        <w:t>ggest that</w:t>
      </w:r>
      <w:r w:rsidRPr="6671E7E0">
        <w:rPr>
          <w:rFonts w:asciiTheme="minorHAnsi" w:hAnsiTheme="minorHAnsi" w:cstheme="minorBidi"/>
        </w:rPr>
        <w:t xml:space="preserve"> e</w:t>
      </w:r>
      <w:r w:rsidR="00250529" w:rsidRPr="6671E7E0">
        <w:rPr>
          <w:rFonts w:asciiTheme="minorHAnsi" w:hAnsiTheme="minorHAnsi" w:cstheme="minorBidi"/>
        </w:rPr>
        <w:t>xploring more user</w:t>
      </w:r>
      <w:r w:rsidR="2AA6DFDD" w:rsidRPr="6671E7E0">
        <w:rPr>
          <w:rFonts w:asciiTheme="minorHAnsi" w:hAnsiTheme="minorHAnsi" w:cstheme="minorBidi"/>
        </w:rPr>
        <w:t>-</w:t>
      </w:r>
      <w:r w:rsidR="00250529" w:rsidRPr="6671E7E0">
        <w:rPr>
          <w:rFonts w:asciiTheme="minorHAnsi" w:hAnsiTheme="minorHAnsi" w:cstheme="minorBidi"/>
        </w:rPr>
        <w:t>friendly reporting formats could help improve transparency, make it easier to aggregate information across regions, and help support governance bodies in tracking implementation trends and bottlenecks over time.</w:t>
      </w:r>
    </w:p>
    <w:p w14:paraId="1B5F9445" w14:textId="30098A3D" w:rsidR="00250529" w:rsidRPr="00986D12" w:rsidRDefault="001C54F6" w:rsidP="00986D12">
      <w:pPr>
        <w:jc w:val="both"/>
        <w:rPr>
          <w:rFonts w:asciiTheme="minorHAnsi" w:hAnsiTheme="minorHAnsi" w:cstheme="minorHAnsi"/>
        </w:rPr>
      </w:pPr>
      <w:r>
        <w:rPr>
          <w:rFonts w:asciiTheme="minorHAnsi" w:hAnsiTheme="minorHAnsi" w:cstheme="minorHAnsi"/>
          <w:b/>
        </w:rPr>
        <w:t>I</w:t>
      </w:r>
      <w:r w:rsidR="00250529" w:rsidRPr="00986D12">
        <w:rPr>
          <w:rFonts w:asciiTheme="minorHAnsi" w:hAnsiTheme="minorHAnsi" w:cstheme="minorHAnsi"/>
          <w:b/>
        </w:rPr>
        <w:t>ntegration of area office activity into regional reporting narratives.</w:t>
      </w:r>
      <w:r w:rsidR="00250529" w:rsidRPr="00986D12">
        <w:rPr>
          <w:rFonts w:asciiTheme="minorHAnsi" w:hAnsiTheme="minorHAnsi" w:cstheme="minorHAnsi"/>
        </w:rPr>
        <w:t xml:space="preserve"> Reporting could be strengthened by more consistently showing how Area Office activities align with the workplans, results, and implementation logic of their respective Regional Office, helping to improve coherence and visibility across reporting.</w:t>
      </w:r>
    </w:p>
    <w:p w14:paraId="3CC7CA92" w14:textId="77777777" w:rsidR="00250529" w:rsidRPr="00986D12" w:rsidRDefault="00250529" w:rsidP="00986D12">
      <w:pPr>
        <w:pStyle w:val="SoWtitle"/>
        <w:jc w:val="both"/>
        <w:rPr>
          <w:rFonts w:asciiTheme="minorHAnsi" w:eastAsia="Avenir Nxt2 W1G" w:hAnsiTheme="minorHAnsi" w:cstheme="minorHAnsi"/>
        </w:rPr>
      </w:pPr>
      <w:bookmarkStart w:id="88" w:name="_Toc224213040"/>
      <w:bookmarkStart w:id="89" w:name="_Toc224236471"/>
      <w:r w:rsidRPr="00986D12">
        <w:rPr>
          <w:rFonts w:asciiTheme="minorHAnsi" w:hAnsiTheme="minorHAnsi" w:cstheme="minorHAnsi"/>
        </w:rPr>
        <w:t xml:space="preserve">Scope of Work 10 — Evaluate the mechanisms, using set objectives, including communication mechanisms, and impact of coordination, planning, and implementation between the </w:t>
      </w:r>
      <w:r w:rsidRPr="00986D12">
        <w:rPr>
          <w:rFonts w:asciiTheme="minorHAnsi" w:eastAsia="Avenir Nxt2 W1G" w:hAnsiTheme="minorHAnsi" w:cstheme="minorHAnsi"/>
        </w:rPr>
        <w:t>Regional Offices and Area Offices and General Secretariat, the three Bureaux, and regional organisations for ITU regional events, meetings, and conferences and identify improvements and actions that would enhance synergies in the coordination and communication of activities, projects and initiatives between regional offices/area offices and ITU headquarters</w:t>
      </w:r>
      <w:bookmarkEnd w:id="88"/>
      <w:bookmarkEnd w:id="89"/>
    </w:p>
    <w:p w14:paraId="57B32305" w14:textId="17321454"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0E536ACF"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combined evidence indicates that coordination arrangements between regional presence, headquarters and the three Bureaux are established and functioning, with particularly strong support for practical improvements that would deepen synergies. Membership views are notably positive on mechanisms that enhance participation in regional and global ITU activities, and there is also strong internal support for improved communication between Regional Offices, the Bureaux and the General Secretariat (MS </w:t>
      </w:r>
      <w:proofErr w:type="spellStart"/>
      <w:r w:rsidRPr="00986D12">
        <w:rPr>
          <w:rFonts w:asciiTheme="minorHAnsi" w:hAnsiTheme="minorHAnsi" w:cstheme="minorHAnsi"/>
        </w:rPr>
        <w:t>Q7_b</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Q9_k</w:t>
      </w:r>
      <w:proofErr w:type="spellEnd"/>
      <w:r w:rsidRPr="00986D12">
        <w:rPr>
          <w:rFonts w:asciiTheme="minorHAnsi" w:hAnsiTheme="minorHAnsi" w:cstheme="minorHAnsi"/>
        </w:rPr>
        <w:t>). This points to a solid foundation for coordination, while also showing that stakeholders see clear value in making these arrangements more visible, more systematic and more operationally connected.</w:t>
      </w:r>
    </w:p>
    <w:p w14:paraId="31354192" w14:textId="77777777" w:rsidR="00250529" w:rsidRPr="00986D12" w:rsidRDefault="00250529" w:rsidP="00986D12">
      <w:pPr>
        <w:jc w:val="both"/>
        <w:rPr>
          <w:rFonts w:asciiTheme="minorHAnsi" w:hAnsiTheme="minorHAnsi" w:cstheme="minorHAnsi"/>
        </w:rPr>
      </w:pP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evidence reinforces that the One-ITU model is institutionally embedded, but that implementation is not perceived as equally strong in all dimensions. The analysis of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24 shows that focal-point arrangements and coordination mechanisms are in place, and that participation across the three Sectors is already occurring. Perceptions of active participation and access to cross-Sector technical expertise remain moderate, and there is strong support for greater access to dedicated ITU-T and ITU-R expertise as well as stronger physical presence from all Bureaux in the regions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24; IA </w:t>
      </w:r>
      <w:proofErr w:type="spellStart"/>
      <w:r w:rsidRPr="00986D12">
        <w:rPr>
          <w:rFonts w:asciiTheme="minorHAnsi" w:hAnsiTheme="minorHAnsi" w:cstheme="minorHAnsi"/>
        </w:rPr>
        <w:t>Q5_a</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Q5_b</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Q9_a</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Q5_c</w:t>
      </w:r>
      <w:proofErr w:type="spellEnd"/>
      <w:r w:rsidRPr="00986D12">
        <w:rPr>
          <w:rFonts w:asciiTheme="minorHAnsi" w:hAnsiTheme="minorHAnsi" w:cstheme="minorHAnsi"/>
        </w:rPr>
        <w:t>). This suggests that coordination structures exist, but their operational depth and continuity could be further strengthened.</w:t>
      </w:r>
    </w:p>
    <w:p w14:paraId="6321449F"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Survey results also show that the experience of coordination is more mixed when viewed from inside the organization. Perceptions are moderate regarding the effectiveness of cooperation among the three Bureaux and the clarity of strategic guidance received from headquarters, and staff views on active participation of Regional and Area Offices in all three Sectors are similarly moderate (IA </w:t>
      </w:r>
      <w:proofErr w:type="spellStart"/>
      <w:r w:rsidRPr="00986D12">
        <w:rPr>
          <w:rFonts w:asciiTheme="minorHAnsi" w:hAnsiTheme="minorHAnsi" w:cstheme="minorHAnsi"/>
        </w:rPr>
        <w:t>Q1</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Q2</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Q4</w:t>
      </w:r>
      <w:proofErr w:type="spellEnd"/>
      <w:r w:rsidRPr="00986D12">
        <w:rPr>
          <w:rFonts w:asciiTheme="minorHAnsi" w:hAnsiTheme="minorHAnsi" w:cstheme="minorHAnsi"/>
        </w:rPr>
        <w:t xml:space="preserve">). In addition, responses on duplication among the Bureaux are divided rather than conclusive, suggesting that coordination is working in many </w:t>
      </w:r>
      <w:r w:rsidRPr="00986D12">
        <w:rPr>
          <w:rFonts w:asciiTheme="minorHAnsi" w:hAnsiTheme="minorHAnsi" w:cstheme="minorHAnsi"/>
        </w:rPr>
        <w:lastRenderedPageBreak/>
        <w:t xml:space="preserve">cases but is not always experienced as fully streamlined or consistently aligned across functions (IA </w:t>
      </w:r>
      <w:proofErr w:type="spellStart"/>
      <w:r w:rsidRPr="00986D12">
        <w:rPr>
          <w:rFonts w:asciiTheme="minorHAnsi" w:hAnsiTheme="minorHAnsi" w:cstheme="minorHAnsi"/>
        </w:rPr>
        <w:t>Q19</w:t>
      </w:r>
      <w:proofErr w:type="spellEnd"/>
      <w:r w:rsidRPr="00986D12">
        <w:rPr>
          <w:rFonts w:asciiTheme="minorHAnsi" w:hAnsiTheme="minorHAnsi" w:cstheme="minorHAnsi"/>
        </w:rPr>
        <w:t>).</w:t>
      </w:r>
    </w:p>
    <w:p w14:paraId="0E5265A6"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Interview insights are consistent with this interpretation. RTO feedback emphasizes the importance of stronger integration of the three ITU Bureaux in regional work, clearer communication channels, better identification of subject-matter experts, and closer structured cooperation with regional organizations. Interviews also underline the value of regional offices acting as listening posts able to translate regional priorities into the broader ITU agenda, which is closely aligned with the objectives of this Scope of Work (RTO interviews). Additional stakeholder feedback similarly stresses that activities of regional and area offices should reflect the coordinated objectives of all three Sectors and enhance member participation in ITU work.</w:t>
      </w:r>
    </w:p>
    <w:p w14:paraId="0A125BA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Open-ended responses add a practical communication dimension to the analysis. Comments highlight the importance of direct communication, messaging platforms, social media, websites and more targeted communications approaches, while other responses emphasize joint planning, stronger alignment between global and regional priorities, and platforms that amplify regional voices in global policy dialogue (Open-ended survey responses). Together, these qualitative inputs suggest that stakeholders value not only formal coordination structures, but also more agile and audience-appropriate communication channels that make coordination visible and actionable in day-to-day regional work.</w:t>
      </w:r>
    </w:p>
    <w:p w14:paraId="3D752D9B" w14:textId="77777777" w:rsidR="006A2312" w:rsidRPr="003E5ECC" w:rsidRDefault="006A2312" w:rsidP="006A2312">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56105E8E" w14:textId="27A3FC43" w:rsidR="00250529" w:rsidRPr="00986D12" w:rsidRDefault="001C54F6" w:rsidP="00986D12">
      <w:pPr>
        <w:jc w:val="both"/>
        <w:rPr>
          <w:rFonts w:asciiTheme="minorHAnsi" w:hAnsiTheme="minorHAnsi" w:cstheme="minorHAnsi"/>
        </w:rPr>
      </w:pPr>
      <w:r>
        <w:rPr>
          <w:rFonts w:asciiTheme="minorHAnsi" w:hAnsiTheme="minorHAnsi" w:cstheme="minorHAnsi"/>
          <w:b/>
        </w:rPr>
        <w:t>S</w:t>
      </w:r>
      <w:r w:rsidR="00250529" w:rsidRPr="00986D12">
        <w:rPr>
          <w:rFonts w:asciiTheme="minorHAnsi" w:hAnsiTheme="minorHAnsi" w:cstheme="minorHAnsi"/>
          <w:b/>
        </w:rPr>
        <w:t xml:space="preserve">tructured cross-bureau coordination at regional level. </w:t>
      </w:r>
      <w:r w:rsidRPr="0089550A">
        <w:rPr>
          <w:rFonts w:asciiTheme="minorHAnsi" w:hAnsiTheme="minorHAnsi" w:cstheme="minorHAnsi"/>
          <w:bCs/>
        </w:rPr>
        <w:t>Evidence suggests that</w:t>
      </w:r>
      <w:r>
        <w:rPr>
          <w:rFonts w:asciiTheme="minorHAnsi" w:hAnsiTheme="minorHAnsi" w:cstheme="minorHAnsi"/>
          <w:b/>
        </w:rPr>
        <w:t xml:space="preserve"> </w:t>
      </w:r>
      <w:r>
        <w:rPr>
          <w:rFonts w:asciiTheme="minorHAnsi" w:hAnsiTheme="minorHAnsi" w:cstheme="minorHAnsi"/>
        </w:rPr>
        <w:t>b</w:t>
      </w:r>
      <w:r w:rsidR="00250529" w:rsidRPr="00986D12">
        <w:rPr>
          <w:rFonts w:asciiTheme="minorHAnsi" w:hAnsiTheme="minorHAnsi" w:cstheme="minorHAnsi"/>
        </w:rPr>
        <w:t>uilding on existing One</w:t>
      </w:r>
      <w:r w:rsidR="00250529" w:rsidRPr="00986D12">
        <w:rPr>
          <w:rFonts w:asciiTheme="minorHAnsi" w:hAnsiTheme="minorHAnsi" w:cstheme="minorHAnsi"/>
        </w:rPr>
        <w:noBreakHyphen/>
        <w:t>ITU arrangements, establishing more regular and visible coordination mechanisms between Regional Offices, the General Secretariat, and the three Bureaux could help support clearer planning interfaces for regional events, initiatives, and member engagement.</w:t>
      </w:r>
    </w:p>
    <w:p w14:paraId="4D086180" w14:textId="5C3C5CB5" w:rsidR="00250529" w:rsidRPr="00986D12" w:rsidRDefault="00A057D5" w:rsidP="00986D12">
      <w:pPr>
        <w:jc w:val="both"/>
        <w:rPr>
          <w:rFonts w:asciiTheme="minorHAnsi" w:hAnsiTheme="minorHAnsi" w:cstheme="minorBidi"/>
        </w:rPr>
      </w:pPr>
      <w:r w:rsidRPr="3ABAAE00">
        <w:rPr>
          <w:rFonts w:asciiTheme="minorHAnsi" w:hAnsiTheme="minorHAnsi" w:cstheme="minorBidi"/>
          <w:b/>
        </w:rPr>
        <w:t>A</w:t>
      </w:r>
      <w:r w:rsidR="00250529" w:rsidRPr="3ABAAE00">
        <w:rPr>
          <w:rFonts w:asciiTheme="minorHAnsi" w:hAnsiTheme="minorHAnsi" w:cstheme="minorBidi"/>
          <w:b/>
        </w:rPr>
        <w:t>ccess to dedicated cross-Sector expertise.</w:t>
      </w:r>
      <w:r w:rsidR="00250529" w:rsidRPr="3ABAAE00">
        <w:rPr>
          <w:rFonts w:asciiTheme="minorHAnsi" w:hAnsiTheme="minorHAnsi" w:cstheme="minorBidi"/>
        </w:rPr>
        <w:t xml:space="preserve"> </w:t>
      </w:r>
      <w:r w:rsidR="00423DC0" w:rsidRPr="3ABAAE00">
        <w:rPr>
          <w:rFonts w:asciiTheme="minorHAnsi" w:hAnsiTheme="minorHAnsi" w:cstheme="minorBidi"/>
        </w:rPr>
        <w:t>Evidence indicates that e</w:t>
      </w:r>
      <w:r w:rsidR="00250529" w:rsidRPr="3ABAAE00">
        <w:rPr>
          <w:rFonts w:asciiTheme="minorHAnsi" w:hAnsiTheme="minorHAnsi" w:cstheme="minorBidi"/>
        </w:rPr>
        <w:t>xpanding practical access to technical expertise from all three Sectors—through more predictable focal</w:t>
      </w:r>
      <w:r w:rsidR="2DE4B4FB" w:rsidRPr="3ABAAE00">
        <w:rPr>
          <w:rFonts w:asciiTheme="minorHAnsi" w:hAnsiTheme="minorHAnsi" w:cstheme="minorBidi"/>
        </w:rPr>
        <w:t xml:space="preserve"> </w:t>
      </w:r>
      <w:r w:rsidR="00250529" w:rsidRPr="3ABAAE00">
        <w:rPr>
          <w:rFonts w:asciiTheme="minorHAnsi" w:hAnsiTheme="minorHAnsi" w:cstheme="minorBidi"/>
        </w:rPr>
        <w:t>point engagement, clearer expert</w:t>
      </w:r>
      <w:r w:rsidR="1EA0814A" w:rsidRPr="3ABAAE00">
        <w:rPr>
          <w:rFonts w:asciiTheme="minorHAnsi" w:hAnsiTheme="minorHAnsi" w:cstheme="minorBidi"/>
        </w:rPr>
        <w:t xml:space="preserve"> </w:t>
      </w:r>
      <w:r w:rsidR="00250529" w:rsidRPr="3ABAAE00">
        <w:rPr>
          <w:rFonts w:asciiTheme="minorHAnsi" w:hAnsiTheme="minorHAnsi" w:cstheme="minorBidi"/>
        </w:rPr>
        <w:t>identification processes, and sustained support from ITU</w:t>
      </w:r>
      <w:r w:rsidR="7EEC63F6" w:rsidRPr="3ABAAE00">
        <w:rPr>
          <w:rFonts w:asciiTheme="minorHAnsi" w:hAnsiTheme="minorHAnsi" w:cstheme="minorBidi"/>
        </w:rPr>
        <w:t>-</w:t>
      </w:r>
      <w:r w:rsidR="00250529" w:rsidRPr="3ABAAE00">
        <w:rPr>
          <w:rFonts w:asciiTheme="minorHAnsi" w:hAnsiTheme="minorHAnsi" w:cstheme="minorBidi"/>
        </w:rPr>
        <w:t>T and ITU</w:t>
      </w:r>
      <w:r w:rsidR="450FB47F" w:rsidRPr="3ABAAE00">
        <w:rPr>
          <w:rFonts w:asciiTheme="minorHAnsi" w:hAnsiTheme="minorHAnsi" w:cstheme="minorBidi"/>
        </w:rPr>
        <w:t>-</w:t>
      </w:r>
      <w:r w:rsidR="00250529" w:rsidRPr="3ABAAE00">
        <w:rPr>
          <w:rFonts w:asciiTheme="minorHAnsi" w:hAnsiTheme="minorHAnsi" w:cstheme="minorBidi"/>
        </w:rPr>
        <w:t>R where regional demand is high—could help strengthen the technical assistance available to Regional and Area Offices.</w:t>
      </w:r>
    </w:p>
    <w:p w14:paraId="55914543" w14:textId="00D5A07C" w:rsidR="00250529" w:rsidRPr="00986D12" w:rsidRDefault="00A057D5" w:rsidP="00986D12">
      <w:pPr>
        <w:jc w:val="both"/>
        <w:rPr>
          <w:rFonts w:asciiTheme="minorHAnsi" w:hAnsiTheme="minorHAnsi" w:cstheme="minorHAnsi"/>
        </w:rPr>
      </w:pPr>
      <w:r>
        <w:rPr>
          <w:rFonts w:asciiTheme="minorHAnsi" w:hAnsiTheme="minorHAnsi" w:cstheme="minorHAnsi"/>
          <w:b/>
        </w:rPr>
        <w:t>C</w:t>
      </w:r>
      <w:r w:rsidR="00250529" w:rsidRPr="00986D12">
        <w:rPr>
          <w:rFonts w:asciiTheme="minorHAnsi" w:hAnsiTheme="minorHAnsi" w:cstheme="minorHAnsi"/>
          <w:b/>
        </w:rPr>
        <w:t>ommunication channels between headquarters and regional presence.</w:t>
      </w:r>
      <w:r w:rsidR="00250529" w:rsidRPr="00986D12">
        <w:rPr>
          <w:rFonts w:asciiTheme="minorHAnsi" w:hAnsiTheme="minorHAnsi" w:cstheme="minorHAnsi"/>
        </w:rPr>
        <w:t xml:space="preserve"> </w:t>
      </w:r>
      <w:r>
        <w:rPr>
          <w:rFonts w:asciiTheme="minorHAnsi" w:hAnsiTheme="minorHAnsi" w:cstheme="minorHAnsi"/>
        </w:rPr>
        <w:t>The findings indicate that c</w:t>
      </w:r>
      <w:r w:rsidR="00250529" w:rsidRPr="00986D12">
        <w:rPr>
          <w:rFonts w:asciiTheme="minorHAnsi" w:hAnsiTheme="minorHAnsi" w:cstheme="minorHAnsi"/>
        </w:rPr>
        <w:t>ommunication could be strengthened through clearer guidance flows, more regular operational exchanges, and better use of simple, direct communication formats that support timely coordination.</w:t>
      </w:r>
    </w:p>
    <w:p w14:paraId="411B0C68" w14:textId="57E93B49" w:rsidR="00250529" w:rsidRPr="00986D12" w:rsidRDefault="00A057D5" w:rsidP="00986D12">
      <w:pPr>
        <w:jc w:val="both"/>
        <w:rPr>
          <w:rFonts w:asciiTheme="minorHAnsi" w:hAnsiTheme="minorHAnsi" w:cstheme="minorHAnsi"/>
        </w:rPr>
      </w:pPr>
      <w:r>
        <w:rPr>
          <w:rFonts w:asciiTheme="minorHAnsi" w:hAnsiTheme="minorHAnsi" w:cstheme="minorHAnsi"/>
          <w:b/>
        </w:rPr>
        <w:t>C</w:t>
      </w:r>
      <w:r w:rsidR="00250529" w:rsidRPr="00986D12">
        <w:rPr>
          <w:rFonts w:asciiTheme="minorHAnsi" w:hAnsiTheme="minorHAnsi" w:cstheme="minorHAnsi"/>
          <w:b/>
        </w:rPr>
        <w:t>ollaboration with regional organizations through joint planning.</w:t>
      </w:r>
      <w:r w:rsidR="00250529" w:rsidRPr="00986D12">
        <w:rPr>
          <w:rFonts w:asciiTheme="minorHAnsi" w:hAnsiTheme="minorHAnsi" w:cstheme="minorHAnsi"/>
        </w:rPr>
        <w:t xml:space="preserve"> </w:t>
      </w:r>
      <w:r w:rsidR="00431688">
        <w:rPr>
          <w:rFonts w:asciiTheme="minorHAnsi" w:hAnsiTheme="minorHAnsi" w:cstheme="minorHAnsi"/>
        </w:rPr>
        <w:t>Evidence suggests</w:t>
      </w:r>
      <w:r w:rsidR="005B53C1">
        <w:rPr>
          <w:rFonts w:asciiTheme="minorHAnsi" w:hAnsiTheme="minorHAnsi" w:cstheme="minorHAnsi"/>
        </w:rPr>
        <w:t xml:space="preserve"> that f</w:t>
      </w:r>
      <w:r w:rsidR="00250529" w:rsidRPr="00986D12">
        <w:rPr>
          <w:rFonts w:asciiTheme="minorHAnsi" w:hAnsiTheme="minorHAnsi" w:cstheme="minorHAnsi"/>
        </w:rPr>
        <w:t xml:space="preserve">urther opportunities for </w:t>
      </w:r>
      <w:r w:rsidR="0020034D">
        <w:rPr>
          <w:rFonts w:asciiTheme="minorHAnsi" w:hAnsiTheme="minorHAnsi" w:cstheme="minorHAnsi"/>
        </w:rPr>
        <w:t xml:space="preserve">more </w:t>
      </w:r>
      <w:r w:rsidR="00250529" w:rsidRPr="00986D12">
        <w:rPr>
          <w:rFonts w:asciiTheme="minorHAnsi" w:hAnsiTheme="minorHAnsi" w:cstheme="minorHAnsi"/>
        </w:rPr>
        <w:t>structured dialogue and joint planning with regional organizations could help better connect regional priorities with ITU initiatives and Sector activities, while supporting continued engagement in regional and global ITU processes.</w:t>
      </w:r>
    </w:p>
    <w:p w14:paraId="45B7CF4B" w14:textId="77777777" w:rsidR="00250529" w:rsidRPr="00986D12" w:rsidRDefault="00250529" w:rsidP="00986D12">
      <w:pPr>
        <w:pStyle w:val="SoWtitle"/>
        <w:jc w:val="both"/>
        <w:rPr>
          <w:rFonts w:asciiTheme="minorHAnsi" w:hAnsiTheme="minorHAnsi" w:cstheme="minorHAnsi"/>
        </w:rPr>
      </w:pPr>
      <w:bookmarkStart w:id="90" w:name="_Toc224213041"/>
      <w:bookmarkStart w:id="91" w:name="_Toc224236472"/>
      <w:r w:rsidRPr="00986D12">
        <w:rPr>
          <w:rFonts w:asciiTheme="minorHAnsi" w:hAnsiTheme="minorHAnsi" w:cstheme="minorHAnsi"/>
        </w:rPr>
        <w:lastRenderedPageBreak/>
        <w:t>Scope of Work 11 — Assess membership engagement mechanisms and their effectiveness as well as engagement with other international, regional and sub-regional organisations and UN organisations</w:t>
      </w:r>
      <w:bookmarkEnd w:id="90"/>
      <w:bookmarkEnd w:id="91"/>
    </w:p>
    <w:p w14:paraId="37983E19" w14:textId="2CF03FCA"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6693145B"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The evidence indicates that ITU’s engagement mechanisms are functioning effectively and that Regional and Area Offices play a central role in facilitating interaction between the organization, Member States and regional partners. Regional initiatives, events and project activities demonstrate sustained engagement across regions, while satisfaction and consultation data indicate that these interactions translate into regular dialogue with the membership. Perceptions of ITU effectiveness through Regional and Area Offices are positive, and Member States report frequent consultation with regional offices. Interview feedback similarly highlights the role of regional offices as trusted interlocutors linking ITU activities with regional priorities and institutional frameworks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4;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6; MS </w:t>
      </w:r>
      <w:proofErr w:type="spellStart"/>
      <w:r w:rsidRPr="00986D12">
        <w:rPr>
          <w:rFonts w:asciiTheme="minorHAnsi" w:hAnsiTheme="minorHAnsi" w:cstheme="minorHAnsi"/>
        </w:rPr>
        <w:t>Q10</w:t>
      </w:r>
      <w:proofErr w:type="spellEnd"/>
      <w:r w:rsidRPr="00986D12">
        <w:rPr>
          <w:rFonts w:asciiTheme="minorHAnsi" w:hAnsiTheme="minorHAnsi" w:cstheme="minorHAnsi"/>
        </w:rPr>
        <w:t>; RTO interviews).</w:t>
      </w:r>
    </w:p>
    <w:p w14:paraId="3380C7A4"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Engagement appears particularly strong in areas related to information dissemination, technological platforms and participation support. Membership responses show positive perceptions regarding dissemination of information and data, technological tools enabling interaction with ITU, and awareness-raising and capacity-building activities. Perceptions remain positive but somewhat more moderate regarding communication and advocacy activities, policy dialogue platforms and support for partnerships and resource mobilisation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4;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13_e</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Q12_b</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Q12_c</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Q12_d</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Q12_e</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Q12_f</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Q12_h</w:t>
      </w:r>
      <w:proofErr w:type="spellEnd"/>
      <w:r w:rsidRPr="00986D12">
        <w:rPr>
          <w:rFonts w:asciiTheme="minorHAnsi" w:hAnsiTheme="minorHAnsi" w:cstheme="minorHAnsi"/>
        </w:rPr>
        <w:t>). These findings are consistent with evidence showing that regional offices rely extensively on digital tools and hybrid engagement formats to maintain interaction with Member States and stakeholders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13_e</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15).</w:t>
      </w:r>
    </w:p>
    <w:p w14:paraId="6E77BD96"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Participation in ITU regional and global activities is also geographically broad and institutionally diverse. Between 2022 and 2025, ITU organized 1,067 events and 1,501 meetings across 109 host countries, demonstrating a wide geographic reach. Participation included 173 Member States, as well as 293 Sector Members, 174 Academia or Associate entities and 29 UN entities, indicating engagement across the full spectrum of ITU stakeholders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16). Staff responses similarly underline the importance of regional presence in facilitating participation in ITU processes (IA </w:t>
      </w:r>
      <w:proofErr w:type="spellStart"/>
      <w:r w:rsidRPr="00986D12">
        <w:rPr>
          <w:rFonts w:asciiTheme="minorHAnsi" w:hAnsiTheme="minorHAnsi" w:cstheme="minorHAnsi"/>
        </w:rPr>
        <w:t>Q8</w:t>
      </w:r>
      <w:proofErr w:type="spellEnd"/>
      <w:r w:rsidRPr="00986D12">
        <w:rPr>
          <w:rFonts w:asciiTheme="minorHAnsi" w:hAnsiTheme="minorHAnsi" w:cstheme="minorHAnsi"/>
        </w:rPr>
        <w:t>). Fellowship mechanisms further support participation by enabling delegates from developing countries to attend ITU meetings and events. Evidence indicates that fellowship allocation processes are structured and broadly perceived as transparent and inclusive, with recent improvements aimed at strengthening accessibility and clarity of the application process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22;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23).</w:t>
      </w:r>
    </w:p>
    <w:p w14:paraId="02B109A0"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The evidence also points to areas where engagement could be further strengthened. Requests from Member States are typically acknowledged within 24–48 hours, but completion times vary depending on complexity and coordination requirements, meaning the experience of engagement may differ across types of requests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Perceptions are also more moderate regarding the adequacy of regional presence in relation to office location (MS </w:t>
      </w:r>
      <w:proofErr w:type="spellStart"/>
      <w:r w:rsidRPr="00986D12">
        <w:rPr>
          <w:rFonts w:asciiTheme="minorHAnsi" w:hAnsiTheme="minorHAnsi" w:cstheme="minorHAnsi"/>
        </w:rPr>
        <w:t>Q6_f</w:t>
      </w:r>
      <w:proofErr w:type="spellEnd"/>
      <w:r w:rsidRPr="00986D12">
        <w:rPr>
          <w:rFonts w:asciiTheme="minorHAnsi" w:hAnsiTheme="minorHAnsi" w:cstheme="minorHAnsi"/>
        </w:rPr>
        <w:t xml:space="preserve">) and partnerships supporting national priorities. Staff responses suggest that extrabudgetary activities and partnerships do not always fully address country needs, pointing to opportunities to strengthen resource mobilisation and programme implementation mechanisms (IA </w:t>
      </w:r>
      <w:proofErr w:type="spellStart"/>
      <w:r w:rsidRPr="00986D12">
        <w:rPr>
          <w:rFonts w:asciiTheme="minorHAnsi" w:hAnsiTheme="minorHAnsi" w:cstheme="minorHAnsi"/>
        </w:rPr>
        <w:t>Q17</w:t>
      </w:r>
      <w:proofErr w:type="spellEnd"/>
      <w:r w:rsidRPr="00986D12">
        <w:rPr>
          <w:rFonts w:asciiTheme="minorHAnsi" w:hAnsiTheme="minorHAnsi" w:cstheme="minorHAnsi"/>
        </w:rPr>
        <w:t>).</w:t>
      </w:r>
    </w:p>
    <w:p w14:paraId="5CCAE26A"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lastRenderedPageBreak/>
        <w:t xml:space="preserve">RTO interviews provide additional context. Regional stakeholders emphasize the importance of Regional and Area Offices as coordination hubs linking ITU with regional organizations and helping translate regional priorities into ITU initiatives. Interview responses also highlight opportunities to strengthen collaboration mechanisms, particularly </w:t>
      </w:r>
      <w:proofErr w:type="gramStart"/>
      <w:r w:rsidRPr="00986D12">
        <w:rPr>
          <w:rFonts w:asciiTheme="minorHAnsi" w:hAnsiTheme="minorHAnsi" w:cstheme="minorHAnsi"/>
        </w:rPr>
        <w:t>with regard to</w:t>
      </w:r>
      <w:proofErr w:type="gramEnd"/>
      <w:r w:rsidRPr="00986D12">
        <w:rPr>
          <w:rFonts w:asciiTheme="minorHAnsi" w:hAnsiTheme="minorHAnsi" w:cstheme="minorHAnsi"/>
        </w:rPr>
        <w:t xml:space="preserve"> joint initiatives and resource mobilisation supporting regional programmes (RTO interviews).</w:t>
      </w:r>
    </w:p>
    <w:p w14:paraId="6E5CEB8D"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Interviewees underlined the importance of inclusive engagement with Member States that do not belong to a regional telecommunication organization. These countries generally remain engaged through ITU’s own regional mechanisms and direct interaction with Regional and Area Offices. Open-ended responses similarly emphasize the importance of proactive outreach, accessible digital participation tools and inclusive communication practices to ensure effective engagement regardless of regional institutional affiliation (RTO interviews; Open-ended survey responses).</w:t>
      </w:r>
    </w:p>
    <w:p w14:paraId="7DC57867"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Qualitative feedback further highlights opportunities to enhance engagement practices. Respondents frequently emphasize the importance of combining digital channels, webinars, regional forums and periodic in-person meetings to maintain dialogue with Member States. They also point to the need for stronger follow up to consultations, more regionally tailored communication and closer collaboration with regional organizations in identifying priorities and designing initiatives. Taken together, the evidence indicates that engagement mechanisms are well established and widely used. Their effectiveness could be further strengthened through improved coordination with regional partners, continued development of digital engagement tools and more systematic partnership approaches (Open-ended survey responses; RTO interviews).</w:t>
      </w:r>
    </w:p>
    <w:p w14:paraId="1BA9151C" w14:textId="77777777"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rPr>
        <w:t>Overall, the evidence suggests that Regional and Area Offices provide an important platform for interaction between ITU, its membership and regional stakeholders. Participation patterns and satisfaction indicators point to a positive assessment of these mechanisms, particularly in relation to communication, event-based interaction and participation support. The findings also indicate opportunities to strengthen the consistency and depth of engagement by reinforcing collaboration with regional organizations, improving coordination with UN Country Teams and partners, and ensuring inclusive participation across all Member States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16;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22;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23; MS </w:t>
      </w:r>
      <w:proofErr w:type="spellStart"/>
      <w:r w:rsidRPr="00986D12">
        <w:rPr>
          <w:rFonts w:asciiTheme="minorHAnsi" w:hAnsiTheme="minorHAnsi" w:cstheme="minorHAnsi"/>
        </w:rPr>
        <w:t>Q17</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Q18</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Q20</w:t>
      </w:r>
      <w:proofErr w:type="spellEnd"/>
      <w:r w:rsidRPr="00986D12">
        <w:rPr>
          <w:rFonts w:asciiTheme="minorHAnsi" w:hAnsiTheme="minorHAnsi" w:cstheme="minorHAnsi"/>
        </w:rPr>
        <w:t xml:space="preserve">; IA </w:t>
      </w:r>
      <w:proofErr w:type="spellStart"/>
      <w:r w:rsidRPr="00986D12">
        <w:rPr>
          <w:rFonts w:asciiTheme="minorHAnsi" w:hAnsiTheme="minorHAnsi" w:cstheme="minorHAnsi"/>
        </w:rPr>
        <w:t>Q18</w:t>
      </w:r>
      <w:proofErr w:type="spellEnd"/>
      <w:r w:rsidRPr="00986D12">
        <w:rPr>
          <w:rFonts w:asciiTheme="minorHAnsi" w:hAnsiTheme="minorHAnsi" w:cstheme="minorHAnsi"/>
        </w:rPr>
        <w:t>).</w:t>
      </w:r>
    </w:p>
    <w:p w14:paraId="51EAF2AE" w14:textId="77777777" w:rsidR="005A358D" w:rsidRPr="003E5ECC" w:rsidRDefault="005A358D" w:rsidP="005A358D">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t>Patterns in the evidence</w:t>
      </w:r>
    </w:p>
    <w:p w14:paraId="2C523FE8" w14:textId="227272C6" w:rsidR="00250529" w:rsidRPr="00986D12" w:rsidRDefault="00250529" w:rsidP="00986D12">
      <w:pPr>
        <w:spacing w:before="200" w:after="200"/>
        <w:jc w:val="both"/>
        <w:rPr>
          <w:rFonts w:asciiTheme="minorHAnsi" w:hAnsiTheme="minorHAnsi" w:cstheme="minorHAnsi"/>
        </w:rPr>
      </w:pPr>
      <w:r w:rsidRPr="00986D12">
        <w:rPr>
          <w:rFonts w:asciiTheme="minorHAnsi" w:hAnsiTheme="minorHAnsi" w:cstheme="minorHAnsi"/>
          <w:b/>
        </w:rPr>
        <w:t xml:space="preserve">Structured collaboration with regional organizations to support joint initiatives and resource mobilisation. </w:t>
      </w:r>
      <w:r w:rsidRPr="00986D12">
        <w:rPr>
          <w:rFonts w:asciiTheme="minorHAnsi" w:hAnsiTheme="minorHAnsi" w:cstheme="minorHAnsi"/>
        </w:rPr>
        <w:t>While engagement with regional, sub</w:t>
      </w:r>
      <w:r w:rsidRPr="00986D12">
        <w:rPr>
          <w:rFonts w:asciiTheme="minorHAnsi" w:hAnsiTheme="minorHAnsi" w:cstheme="minorHAnsi"/>
        </w:rPr>
        <w:noBreakHyphen/>
        <w:t xml:space="preserve">regional, and UN system partners is </w:t>
      </w:r>
      <w:r w:rsidR="00A057D5">
        <w:rPr>
          <w:rFonts w:asciiTheme="minorHAnsi" w:hAnsiTheme="minorHAnsi" w:cstheme="minorHAnsi"/>
        </w:rPr>
        <w:t xml:space="preserve">found to be </w:t>
      </w:r>
      <w:r w:rsidRPr="00986D12">
        <w:rPr>
          <w:rFonts w:asciiTheme="minorHAnsi" w:hAnsiTheme="minorHAnsi" w:cstheme="minorHAnsi"/>
        </w:rPr>
        <w:t xml:space="preserve">already active, </w:t>
      </w:r>
      <w:r w:rsidR="00C46915">
        <w:rPr>
          <w:rFonts w:asciiTheme="minorHAnsi" w:hAnsiTheme="minorHAnsi" w:cstheme="minorHAnsi"/>
        </w:rPr>
        <w:t>evidence suggests that</w:t>
      </w:r>
      <w:r w:rsidR="00A057D5">
        <w:rPr>
          <w:rFonts w:asciiTheme="minorHAnsi" w:hAnsiTheme="minorHAnsi" w:cstheme="minorHAnsi"/>
        </w:rPr>
        <w:t xml:space="preserve"> </w:t>
      </w:r>
      <w:r w:rsidRPr="00986D12">
        <w:rPr>
          <w:rFonts w:asciiTheme="minorHAnsi" w:hAnsiTheme="minorHAnsi" w:cstheme="minorHAnsi"/>
        </w:rPr>
        <w:t>more systematic cooperation mechanisms — including structured consultation, joint planning, and clearer cooperation frameworks — could help align ITU initiatives with regional priorities and support more effective mobilisation of financial and technical resources across regional programmes.</w:t>
      </w:r>
    </w:p>
    <w:p w14:paraId="6A6A6818" w14:textId="60DBF030" w:rsidR="00250529" w:rsidRPr="00986D12" w:rsidRDefault="00C46915" w:rsidP="00986D12">
      <w:pPr>
        <w:spacing w:before="200" w:after="200"/>
        <w:jc w:val="both"/>
        <w:rPr>
          <w:rFonts w:asciiTheme="minorHAnsi" w:hAnsiTheme="minorHAnsi" w:cstheme="minorHAnsi"/>
        </w:rPr>
      </w:pPr>
      <w:r>
        <w:rPr>
          <w:rFonts w:asciiTheme="minorHAnsi" w:hAnsiTheme="minorHAnsi" w:cstheme="minorHAnsi"/>
          <w:b/>
        </w:rPr>
        <w:t>C</w:t>
      </w:r>
      <w:r w:rsidR="00250529" w:rsidRPr="00986D12">
        <w:rPr>
          <w:rFonts w:asciiTheme="minorHAnsi" w:hAnsiTheme="minorHAnsi" w:cstheme="minorHAnsi"/>
          <w:b/>
        </w:rPr>
        <w:t xml:space="preserve">onsistency and responsiveness of support provided through regional engagement mechanisms. </w:t>
      </w:r>
      <w:r w:rsidRPr="001226FF">
        <w:rPr>
          <w:rFonts w:asciiTheme="minorHAnsi" w:hAnsiTheme="minorHAnsi" w:cstheme="minorHAnsi"/>
          <w:bCs/>
        </w:rPr>
        <w:t>Evidence indicates that</w:t>
      </w:r>
      <w:r>
        <w:rPr>
          <w:rFonts w:asciiTheme="minorHAnsi" w:hAnsiTheme="minorHAnsi" w:cstheme="minorHAnsi"/>
          <w:b/>
        </w:rPr>
        <w:t xml:space="preserve"> </w:t>
      </w:r>
      <w:r>
        <w:rPr>
          <w:rFonts w:asciiTheme="minorHAnsi" w:hAnsiTheme="minorHAnsi" w:cstheme="minorHAnsi"/>
        </w:rPr>
        <w:t>t</w:t>
      </w:r>
      <w:r w:rsidR="00250529" w:rsidRPr="00986D12">
        <w:rPr>
          <w:rFonts w:asciiTheme="minorHAnsi" w:hAnsiTheme="minorHAnsi" w:cstheme="minorHAnsi"/>
        </w:rPr>
        <w:t xml:space="preserve">hough requests are acknowledged rapidly, variations in completion times suggest opportunities to </w:t>
      </w:r>
      <w:r w:rsidR="00034D5E">
        <w:rPr>
          <w:rFonts w:asciiTheme="minorHAnsi" w:hAnsiTheme="minorHAnsi" w:cstheme="minorHAnsi"/>
        </w:rPr>
        <w:t xml:space="preserve">further </w:t>
      </w:r>
      <w:r w:rsidR="00250529" w:rsidRPr="00986D12">
        <w:rPr>
          <w:rFonts w:asciiTheme="minorHAnsi" w:hAnsiTheme="minorHAnsi" w:cstheme="minorHAnsi"/>
        </w:rPr>
        <w:t>strengthen internal coordination and operational processes supporting Member State requests.</w:t>
      </w:r>
    </w:p>
    <w:p w14:paraId="0F283F22" w14:textId="64E0D4EF" w:rsidR="00250529" w:rsidRPr="00986D12" w:rsidRDefault="00C46915" w:rsidP="00986D12">
      <w:pPr>
        <w:spacing w:before="200" w:after="200"/>
        <w:jc w:val="both"/>
        <w:rPr>
          <w:rFonts w:asciiTheme="minorHAnsi" w:hAnsiTheme="minorHAnsi" w:cstheme="minorHAnsi"/>
        </w:rPr>
      </w:pPr>
      <w:r>
        <w:rPr>
          <w:rFonts w:asciiTheme="minorHAnsi" w:hAnsiTheme="minorHAnsi" w:cstheme="minorHAnsi"/>
          <w:b/>
        </w:rPr>
        <w:lastRenderedPageBreak/>
        <w:t>I</w:t>
      </w:r>
      <w:r w:rsidR="00250529" w:rsidRPr="00986D12">
        <w:rPr>
          <w:rFonts w:asciiTheme="minorHAnsi" w:hAnsiTheme="minorHAnsi" w:cstheme="minorHAnsi"/>
          <w:b/>
        </w:rPr>
        <w:t xml:space="preserve">nclusive engagement with all Member States regardless of regional institutional affiliation. </w:t>
      </w:r>
      <w:r w:rsidR="00250529" w:rsidRPr="00986D12">
        <w:rPr>
          <w:rFonts w:asciiTheme="minorHAnsi" w:hAnsiTheme="minorHAnsi" w:cstheme="minorHAnsi"/>
        </w:rPr>
        <w:t xml:space="preserve">Maintaining proactive outreach, accessible digital participation tools and inclusive communication practices </w:t>
      </w:r>
      <w:r w:rsidR="00661E4E">
        <w:rPr>
          <w:rFonts w:asciiTheme="minorHAnsi" w:hAnsiTheme="minorHAnsi" w:cstheme="minorHAnsi"/>
        </w:rPr>
        <w:t>could</w:t>
      </w:r>
      <w:r w:rsidR="00250529" w:rsidRPr="00986D12">
        <w:rPr>
          <w:rFonts w:asciiTheme="minorHAnsi" w:hAnsiTheme="minorHAnsi" w:cstheme="minorHAnsi"/>
        </w:rPr>
        <w:t xml:space="preserve"> help ensure that all Member States remain effectively connected to ITU activities and consultations.</w:t>
      </w:r>
    </w:p>
    <w:p w14:paraId="160AA9BC" w14:textId="37C29EB5" w:rsidR="00250529" w:rsidRPr="00986D12" w:rsidRDefault="00C46915" w:rsidP="00986D12">
      <w:pPr>
        <w:spacing w:before="200" w:after="200"/>
        <w:jc w:val="both"/>
        <w:rPr>
          <w:rFonts w:asciiTheme="minorHAnsi" w:hAnsiTheme="minorHAnsi" w:cstheme="minorHAnsi"/>
        </w:rPr>
      </w:pPr>
      <w:r>
        <w:rPr>
          <w:rFonts w:asciiTheme="minorHAnsi" w:hAnsiTheme="minorHAnsi" w:cstheme="minorHAnsi"/>
          <w:b/>
        </w:rPr>
        <w:t>T</w:t>
      </w:r>
      <w:r w:rsidR="00250529" w:rsidRPr="00986D12">
        <w:rPr>
          <w:rFonts w:asciiTheme="minorHAnsi" w:hAnsiTheme="minorHAnsi" w:cstheme="minorHAnsi"/>
          <w:b/>
        </w:rPr>
        <w:t>ransparency and usability of participation support mechanisms.</w:t>
      </w:r>
      <w:r w:rsidR="00250529" w:rsidRPr="00986D12">
        <w:rPr>
          <w:rFonts w:asciiTheme="minorHAnsi" w:hAnsiTheme="minorHAnsi" w:cstheme="minorHAnsi"/>
        </w:rPr>
        <w:t xml:space="preserve"> </w:t>
      </w:r>
      <w:r>
        <w:rPr>
          <w:rFonts w:asciiTheme="minorHAnsi" w:hAnsiTheme="minorHAnsi" w:cstheme="minorHAnsi"/>
        </w:rPr>
        <w:t>Evidence indicates that o</w:t>
      </w:r>
      <w:r w:rsidR="00250529" w:rsidRPr="00986D12">
        <w:rPr>
          <w:rFonts w:asciiTheme="minorHAnsi" w:hAnsiTheme="minorHAnsi" w:cstheme="minorHAnsi"/>
        </w:rPr>
        <w:t>ngoing reforms to fellowships and participation support could continue to evolve so that access conditions, allocation patterns, and application procedures are easier to understand and are viewed as fair and accessible by the membership.</w:t>
      </w:r>
    </w:p>
    <w:p w14:paraId="321E557C" w14:textId="77777777" w:rsidR="00250529" w:rsidRPr="00986D12" w:rsidRDefault="00250529" w:rsidP="00986D12">
      <w:pPr>
        <w:pStyle w:val="SoWtitle"/>
        <w:jc w:val="both"/>
        <w:rPr>
          <w:rFonts w:asciiTheme="minorHAnsi" w:hAnsiTheme="minorHAnsi" w:cstheme="minorHAnsi"/>
        </w:rPr>
      </w:pPr>
      <w:bookmarkStart w:id="92" w:name="_Toc224213042"/>
      <w:bookmarkStart w:id="93" w:name="_Toc224236473"/>
      <w:r w:rsidRPr="00986D12">
        <w:rPr>
          <w:rFonts w:asciiTheme="minorHAnsi" w:hAnsiTheme="minorHAnsi" w:cstheme="minorHAnsi"/>
        </w:rPr>
        <w:t>Scope of Work 12 — Propose approaches for the Regional and Area Offices to strengthen the coordination of the work of countries who do not belong to a specific Regional Telecommunication Organisation (RTO), and the respective RTO in the regional preparatory processes for world assemblies and conferences of the Union</w:t>
      </w:r>
      <w:bookmarkEnd w:id="92"/>
      <w:bookmarkEnd w:id="93"/>
    </w:p>
    <w:p w14:paraId="50C234C3" w14:textId="3B408E67" w:rsidR="00250529" w:rsidRPr="00986D12" w:rsidRDefault="00250529" w:rsidP="00986D12">
      <w:pPr>
        <w:pStyle w:val="Subtitle0"/>
        <w:jc w:val="both"/>
        <w:rPr>
          <w:rFonts w:asciiTheme="minorHAnsi" w:hAnsiTheme="minorHAnsi" w:cstheme="minorHAnsi"/>
        </w:rPr>
      </w:pPr>
      <w:r w:rsidRPr="00986D12">
        <w:rPr>
          <w:rFonts w:asciiTheme="minorHAnsi" w:hAnsiTheme="minorHAnsi" w:cstheme="minorHAnsi"/>
        </w:rPr>
        <w:t>Findings</w:t>
      </w:r>
    </w:p>
    <w:p w14:paraId="456EF7F4"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The available evidence suggests that coordination mechanisms between Regional and Area Offices, Regional Telecommunication Organizations (RTOs), and countries that are not members of an RTO are functional but are perceived as only moderately clear by the membership. Survey results indicate relatively limited agreement regarding the adequacy of coordination arrangements for such countries in regional preparatory processes for ITU assemblies and conferences, suggesting that existing mechanisms may not always facilitate effective engagement of countries outside established RTO frameworks (MS </w:t>
      </w:r>
      <w:proofErr w:type="spellStart"/>
      <w:r w:rsidRPr="00986D12">
        <w:rPr>
          <w:rFonts w:asciiTheme="minorHAnsi" w:hAnsiTheme="minorHAnsi" w:cstheme="minorHAnsi"/>
        </w:rPr>
        <w:t>Q8</w:t>
      </w:r>
      <w:proofErr w:type="spellEnd"/>
      <w:r w:rsidRPr="00986D12">
        <w:rPr>
          <w:rFonts w:asciiTheme="minorHAnsi" w:hAnsiTheme="minorHAnsi" w:cstheme="minorHAnsi"/>
        </w:rPr>
        <w:t>).</w:t>
      </w:r>
    </w:p>
    <w:p w14:paraId="4D2B20AF" w14:textId="132B722A" w:rsidR="00250529" w:rsidRPr="00986D12" w:rsidRDefault="00250529" w:rsidP="00986D12">
      <w:pPr>
        <w:jc w:val="both"/>
        <w:rPr>
          <w:rFonts w:asciiTheme="minorHAnsi" w:hAnsiTheme="minorHAnsi" w:cstheme="minorBidi"/>
        </w:rPr>
      </w:pPr>
      <w:r w:rsidRPr="0097338E">
        <w:rPr>
          <w:rFonts w:asciiTheme="minorHAnsi" w:hAnsiTheme="minorHAnsi" w:cstheme="minorBidi"/>
        </w:rPr>
        <w:t xml:space="preserve">Insights from interviews with Regional Telecommunication Organizations indicate that this issue affects only a small subset of Member States and does not generally constitute a major operational challenge. </w:t>
      </w:r>
      <w:r w:rsidR="004971C1" w:rsidRPr="0097338E">
        <w:rPr>
          <w:rFonts w:asciiTheme="minorHAnsi" w:hAnsiTheme="minorHAnsi" w:cstheme="minorBidi"/>
        </w:rPr>
        <w:t>T</w:t>
      </w:r>
      <w:r w:rsidRPr="0097338E">
        <w:rPr>
          <w:rFonts w:asciiTheme="minorHAnsi" w:hAnsiTheme="minorHAnsi" w:cstheme="minorBidi"/>
        </w:rPr>
        <w:t xml:space="preserve">he number of countries not affiliated with an RTO is limited, and coordination </w:t>
      </w:r>
      <w:r w:rsidR="004971C1" w:rsidRPr="0097338E">
        <w:rPr>
          <w:rFonts w:asciiTheme="minorHAnsi" w:hAnsiTheme="minorHAnsi" w:cstheme="minorBidi"/>
        </w:rPr>
        <w:t>in regions</w:t>
      </w:r>
      <w:r w:rsidRPr="0097338E">
        <w:rPr>
          <w:rFonts w:asciiTheme="minorHAnsi" w:hAnsiTheme="minorHAnsi" w:cstheme="minorBidi"/>
        </w:rPr>
        <w:t xml:space="preserve"> has typically developed through pragmatic and largely informal arrangements. Participation in regional preparatory discussions may therefore occur through ad hoc invitations or observer participation in meetings, which stakeholders report can function effectively where there is mutual willingness among the parties involved (RTO interviews).</w:t>
      </w:r>
    </w:p>
    <w:p w14:paraId="0A91B9A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At the same time, interview feedback highlights that Regional and Area Offices can play an important facilitation role in linking ITU processes with regional coordination platforms. Regional offices are often seen as useful interfaces that can help ensure that countries outside RTO frameworks remain informed about preparatory discussions and opportunities to engage in regional exchanges where relevant (RTO interviews).</w:t>
      </w:r>
    </w:p>
    <w:p w14:paraId="138B5073" w14:textId="77777777" w:rsidR="00250529" w:rsidRPr="00986D12" w:rsidRDefault="00250529" w:rsidP="00986D12">
      <w:pPr>
        <w:jc w:val="both"/>
        <w:rPr>
          <w:rFonts w:asciiTheme="minorHAnsi" w:hAnsiTheme="minorHAnsi" w:cstheme="minorHAnsi"/>
        </w:rPr>
      </w:pPr>
      <w:r w:rsidRPr="00986D12">
        <w:rPr>
          <w:rFonts w:asciiTheme="minorHAnsi" w:hAnsiTheme="minorHAnsi" w:cstheme="minorHAnsi"/>
        </w:rPr>
        <w:t xml:space="preserve">Overall, the evidence suggests that coordination arrangements for countries outside RTO structures are generally handled pragmatically and do not represent a major structural obstacle to participation in ITU preparatory processes. Nevertheless, stakeholder feedback indicates that greater clarity and consistency in communication and facilitation practices could further strengthen the inclusiveness and transparency of regional preparatory discussions (MS </w:t>
      </w:r>
      <w:proofErr w:type="spellStart"/>
      <w:r w:rsidRPr="00986D12">
        <w:rPr>
          <w:rFonts w:asciiTheme="minorHAnsi" w:hAnsiTheme="minorHAnsi" w:cstheme="minorHAnsi"/>
        </w:rPr>
        <w:t>Q8</w:t>
      </w:r>
      <w:proofErr w:type="spellEnd"/>
      <w:r w:rsidRPr="00986D12">
        <w:rPr>
          <w:rFonts w:asciiTheme="minorHAnsi" w:hAnsiTheme="minorHAnsi" w:cstheme="minorHAnsi"/>
        </w:rPr>
        <w:t>; RTO interviews; Open-ended survey responses).</w:t>
      </w:r>
    </w:p>
    <w:p w14:paraId="2742CB70" w14:textId="77777777" w:rsidR="00661E4E" w:rsidRPr="003E5ECC" w:rsidRDefault="00661E4E" w:rsidP="00661E4E">
      <w:pPr>
        <w:pStyle w:val="Subtitle0"/>
        <w:rPr>
          <w:rFonts w:asciiTheme="minorHAnsi" w:eastAsia="Times New Roman" w:hAnsiTheme="minorHAnsi" w:cstheme="minorHAnsi"/>
          <w:bCs w:val="0"/>
          <w:kern w:val="0"/>
          <w:sz w:val="24"/>
          <w:szCs w:val="20"/>
          <w:lang w:eastAsia="en-US"/>
          <w14:ligatures w14:val="none"/>
        </w:rPr>
      </w:pPr>
      <w:r w:rsidRPr="003E5ECC">
        <w:rPr>
          <w:rFonts w:asciiTheme="minorHAnsi" w:eastAsia="Times New Roman" w:hAnsiTheme="minorHAnsi" w:cstheme="minorHAnsi"/>
          <w:bCs w:val="0"/>
          <w:kern w:val="0"/>
          <w:sz w:val="24"/>
          <w:szCs w:val="20"/>
          <w:lang w:eastAsia="en-US"/>
          <w14:ligatures w14:val="none"/>
        </w:rPr>
        <w:lastRenderedPageBreak/>
        <w:t>Patterns in the evidence</w:t>
      </w:r>
    </w:p>
    <w:p w14:paraId="494C8D80" w14:textId="09AA2BEA" w:rsidR="00250529" w:rsidRPr="00986D12" w:rsidRDefault="0090538D" w:rsidP="00986D12">
      <w:pPr>
        <w:jc w:val="both"/>
        <w:rPr>
          <w:rFonts w:asciiTheme="minorHAnsi" w:hAnsiTheme="minorHAnsi" w:cstheme="minorHAnsi"/>
        </w:rPr>
      </w:pPr>
      <w:r>
        <w:rPr>
          <w:rFonts w:asciiTheme="minorHAnsi" w:hAnsiTheme="minorHAnsi" w:cstheme="minorHAnsi"/>
          <w:b/>
        </w:rPr>
        <w:t>F</w:t>
      </w:r>
      <w:r w:rsidR="00250529" w:rsidRPr="00986D12">
        <w:rPr>
          <w:rFonts w:asciiTheme="minorHAnsi" w:hAnsiTheme="minorHAnsi" w:cstheme="minorHAnsi"/>
          <w:b/>
        </w:rPr>
        <w:t xml:space="preserve">acilitation role of Regional and Area Offices in regional preparatory coordination. </w:t>
      </w:r>
      <w:r w:rsidRPr="001226FF">
        <w:rPr>
          <w:rFonts w:asciiTheme="minorHAnsi" w:hAnsiTheme="minorHAnsi" w:cstheme="minorHAnsi"/>
          <w:bCs/>
        </w:rPr>
        <w:t xml:space="preserve">Evidence suggests that </w:t>
      </w:r>
      <w:r w:rsidR="00250529" w:rsidRPr="00661E4E">
        <w:rPr>
          <w:rFonts w:asciiTheme="minorHAnsi" w:hAnsiTheme="minorHAnsi" w:cstheme="minorHAnsi"/>
          <w:bCs/>
        </w:rPr>
        <w:t>R</w:t>
      </w:r>
      <w:r w:rsidR="00250529" w:rsidRPr="00986D12">
        <w:rPr>
          <w:rFonts w:asciiTheme="minorHAnsi" w:hAnsiTheme="minorHAnsi" w:cstheme="minorHAnsi"/>
        </w:rPr>
        <w:t xml:space="preserve">egional Offices could play a clearer facilitation role in ensuring that countries not belonging to Regional Telecommunication Organizations are </w:t>
      </w:r>
      <w:r w:rsidR="00612E99">
        <w:rPr>
          <w:rFonts w:asciiTheme="minorHAnsi" w:hAnsiTheme="minorHAnsi" w:cstheme="minorHAnsi"/>
        </w:rPr>
        <w:t xml:space="preserve">more </w:t>
      </w:r>
      <w:r w:rsidR="00250529" w:rsidRPr="00986D12">
        <w:rPr>
          <w:rFonts w:asciiTheme="minorHAnsi" w:hAnsiTheme="minorHAnsi" w:cstheme="minorHAnsi"/>
        </w:rPr>
        <w:t>systematically informed about preparatory meetings, consultations, and documentation related to ITU assemblies and conferences.</w:t>
      </w:r>
    </w:p>
    <w:p w14:paraId="18DD41DE" w14:textId="606374B5" w:rsidR="00250529" w:rsidRPr="00986D12" w:rsidRDefault="0090538D" w:rsidP="00986D12">
      <w:pPr>
        <w:jc w:val="both"/>
        <w:rPr>
          <w:rFonts w:asciiTheme="minorHAnsi" w:hAnsiTheme="minorHAnsi" w:cstheme="minorHAnsi"/>
        </w:rPr>
      </w:pPr>
      <w:r>
        <w:rPr>
          <w:rFonts w:asciiTheme="minorHAnsi" w:hAnsiTheme="minorHAnsi" w:cstheme="minorHAnsi"/>
          <w:b/>
        </w:rPr>
        <w:t>C</w:t>
      </w:r>
      <w:r w:rsidR="00250529" w:rsidRPr="00986D12">
        <w:rPr>
          <w:rFonts w:asciiTheme="minorHAnsi" w:hAnsiTheme="minorHAnsi" w:cstheme="minorHAnsi"/>
          <w:b/>
        </w:rPr>
        <w:t xml:space="preserve">ommunication with Member States outside RTO frameworks. </w:t>
      </w:r>
      <w:r w:rsidR="00250529" w:rsidRPr="00986D12">
        <w:rPr>
          <w:rFonts w:asciiTheme="minorHAnsi" w:hAnsiTheme="minorHAnsi" w:cstheme="minorHAnsi"/>
        </w:rPr>
        <w:t xml:space="preserve">Regional and Area Offices could maintain </w:t>
      </w:r>
      <w:r w:rsidR="000175CD">
        <w:rPr>
          <w:rFonts w:asciiTheme="minorHAnsi" w:hAnsiTheme="minorHAnsi" w:cstheme="minorHAnsi"/>
        </w:rPr>
        <w:t xml:space="preserve">more </w:t>
      </w:r>
      <w:r w:rsidR="00250529" w:rsidRPr="00986D12">
        <w:rPr>
          <w:rFonts w:asciiTheme="minorHAnsi" w:hAnsiTheme="minorHAnsi" w:cstheme="minorHAnsi"/>
        </w:rPr>
        <w:t>regular outreach to countries not affiliated with RTOs to ensure they remain aware of opportunities to participate in regional preparatory discussions and related coordination activities.</w:t>
      </w:r>
    </w:p>
    <w:p w14:paraId="7B34975E" w14:textId="3EBD23D8" w:rsidR="00250529" w:rsidRPr="00986D12" w:rsidRDefault="0090538D" w:rsidP="00986D12">
      <w:pPr>
        <w:jc w:val="both"/>
        <w:rPr>
          <w:rFonts w:asciiTheme="minorHAnsi" w:hAnsiTheme="minorHAnsi" w:cstheme="minorBidi"/>
        </w:rPr>
      </w:pPr>
      <w:r w:rsidRPr="3ABAAE00">
        <w:rPr>
          <w:rFonts w:asciiTheme="minorHAnsi" w:hAnsiTheme="minorHAnsi" w:cstheme="minorBidi"/>
          <w:b/>
        </w:rPr>
        <w:t>I</w:t>
      </w:r>
      <w:r w:rsidR="00250529" w:rsidRPr="3ABAAE00">
        <w:rPr>
          <w:rFonts w:asciiTheme="minorHAnsi" w:hAnsiTheme="minorHAnsi" w:cstheme="minorBidi"/>
          <w:b/>
        </w:rPr>
        <w:t xml:space="preserve">nclusive participation in regional preparatory exchanges. </w:t>
      </w:r>
      <w:r w:rsidR="00285678" w:rsidRPr="3ABAAE00">
        <w:rPr>
          <w:rFonts w:asciiTheme="minorHAnsi" w:hAnsiTheme="minorHAnsi" w:cstheme="minorBidi"/>
        </w:rPr>
        <w:t>Evidence suggests that</w:t>
      </w:r>
      <w:r w:rsidR="00285678" w:rsidRPr="3ABAAE00">
        <w:rPr>
          <w:rFonts w:asciiTheme="minorHAnsi" w:hAnsiTheme="minorHAnsi" w:cstheme="minorBidi"/>
          <w:b/>
        </w:rPr>
        <w:t xml:space="preserve"> </w:t>
      </w:r>
      <w:r w:rsidR="00285678" w:rsidRPr="3ABAAE00">
        <w:rPr>
          <w:rFonts w:asciiTheme="minorHAnsi" w:hAnsiTheme="minorHAnsi" w:cstheme="minorBidi"/>
        </w:rPr>
        <w:t>where</w:t>
      </w:r>
      <w:r w:rsidR="00250529" w:rsidRPr="3ABAAE00">
        <w:rPr>
          <w:rFonts w:asciiTheme="minorHAnsi" w:hAnsiTheme="minorHAnsi" w:cstheme="minorBidi"/>
        </w:rPr>
        <w:t xml:space="preserve"> appropriate, regional preparatory platforms could encourage the participation of countries outside RTO structures to ensure that consultations benefit from the perspectives of all Member States in the region.</w:t>
      </w:r>
    </w:p>
    <w:p w14:paraId="6FD72706" w14:textId="7D04FF3C" w:rsidR="2490D008" w:rsidRDefault="2490D008" w:rsidP="3ABAAE00">
      <w:pPr>
        <w:jc w:val="both"/>
        <w:rPr>
          <w:rFonts w:asciiTheme="minorHAnsi" w:hAnsiTheme="minorHAnsi" w:cstheme="minorBidi"/>
        </w:rPr>
      </w:pPr>
      <w:r w:rsidRPr="3ABAAE00">
        <w:rPr>
          <w:rFonts w:asciiTheme="minorHAnsi" w:hAnsiTheme="minorHAnsi" w:cstheme="minorBidi"/>
        </w:rPr>
        <w:t xml:space="preserve">&lt;The previous presentations specifically refer to the gaps in regional coverage (e.g., re Pacific). This report does not seem to refer to </w:t>
      </w:r>
      <w:proofErr w:type="gramStart"/>
      <w:r w:rsidRPr="3ABAAE00">
        <w:rPr>
          <w:rFonts w:asciiTheme="minorHAnsi" w:hAnsiTheme="minorHAnsi" w:cstheme="minorBidi"/>
        </w:rPr>
        <w:t>it?</w:t>
      </w:r>
      <w:proofErr w:type="gramEnd"/>
      <w:r w:rsidRPr="3ABAAE00">
        <w:rPr>
          <w:rFonts w:asciiTheme="minorHAnsi" w:hAnsiTheme="minorHAnsi" w:cstheme="minorBidi"/>
        </w:rPr>
        <w:t xml:space="preserve"> I think all the data should be reflected&gt;</w:t>
      </w:r>
    </w:p>
    <w:p w14:paraId="2B9FFA6B" w14:textId="77777777" w:rsidR="00250529" w:rsidRPr="00986D12" w:rsidRDefault="00250529" w:rsidP="000E12EC">
      <w:pPr>
        <w:pStyle w:val="Heading1"/>
      </w:pPr>
      <w:bookmarkStart w:id="94" w:name="_Toc224213043"/>
      <w:bookmarkStart w:id="95" w:name="_Toc225163574"/>
      <w:bookmarkStart w:id="96" w:name="_Toc225261101"/>
      <w:r w:rsidRPr="00986D12">
        <w:t>Annexes</w:t>
      </w:r>
      <w:bookmarkEnd w:id="94"/>
      <w:bookmarkEnd w:id="95"/>
      <w:bookmarkEnd w:id="96"/>
    </w:p>
    <w:p w14:paraId="3356ABB8" w14:textId="77777777" w:rsidR="00250529" w:rsidRPr="00986D12" w:rsidRDefault="00250529" w:rsidP="000E12EC">
      <w:pPr>
        <w:pStyle w:val="Heading2"/>
      </w:pPr>
      <w:bookmarkStart w:id="97" w:name="_Toc224213044"/>
      <w:bookmarkStart w:id="98" w:name="_Toc225163575"/>
      <w:bookmarkStart w:id="99" w:name="_Toc225261102"/>
      <w:r w:rsidRPr="000E12EC">
        <w:t>Annex</w:t>
      </w:r>
      <w:r w:rsidRPr="00986D12">
        <w:t xml:space="preserve"> A. </w:t>
      </w:r>
      <w:proofErr w:type="spellStart"/>
      <w:r w:rsidRPr="00986D12">
        <w:t>KPIs</w:t>
      </w:r>
      <w:bookmarkEnd w:id="97"/>
      <w:bookmarkEnd w:id="98"/>
      <w:bookmarkEnd w:id="99"/>
      <w:proofErr w:type="spellEnd"/>
    </w:p>
    <w:p w14:paraId="446EE78D" w14:textId="1788AB3B" w:rsidR="00751508" w:rsidRPr="001226FF" w:rsidRDefault="00751508" w:rsidP="001226FF">
      <w:r>
        <w:t xml:space="preserve">This section provides the </w:t>
      </w:r>
      <w:r w:rsidR="00B33DAF">
        <w:t>evidence-based</w:t>
      </w:r>
      <w:r>
        <w:t xml:space="preserve"> findings per </w:t>
      </w:r>
      <w:proofErr w:type="spellStart"/>
      <w:r>
        <w:t>KPI</w:t>
      </w:r>
      <w:proofErr w:type="spellEnd"/>
      <w:r w:rsidR="00B33DAF">
        <w:t xml:space="preserve"> that fed into the analysis at the Scope of Work level. Where the </w:t>
      </w:r>
      <w:proofErr w:type="spellStart"/>
      <w:r w:rsidR="00B33DAF">
        <w:t>KPI</w:t>
      </w:r>
      <w:proofErr w:type="spellEnd"/>
      <w:r w:rsidR="00B33DAF">
        <w:t xml:space="preserve"> includes desk research, data sources are included.</w:t>
      </w:r>
    </w:p>
    <w:p w14:paraId="1F068B4F" w14:textId="11EF6EF1" w:rsidR="00250529" w:rsidRPr="00986D12" w:rsidRDefault="00250529" w:rsidP="00986D12">
      <w:pPr>
        <w:pStyle w:val="KPItitle"/>
        <w:jc w:val="both"/>
        <w:rPr>
          <w:rFonts w:asciiTheme="minorHAnsi" w:hAnsiTheme="minorHAnsi" w:cstheme="minorHAnsi"/>
        </w:rPr>
      </w:pPr>
      <w:bookmarkStart w:id="100" w:name="_Toc224213045"/>
      <w:bookmarkStart w:id="101" w:name="_Toc224236476"/>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 — The percentage of strategic and action plan objectives being met</w:t>
      </w:r>
      <w:bookmarkEnd w:id="100"/>
      <w:bookmarkEnd w:id="101"/>
    </w:p>
    <w:p w14:paraId="591B2AE4" w14:textId="77777777" w:rsidR="00250529" w:rsidRPr="00986D12" w:rsidRDefault="00250529" w:rsidP="00986D12">
      <w:pPr>
        <w:jc w:val="both"/>
        <w:rPr>
          <w:rFonts w:asciiTheme="minorHAnsi" w:hAnsiTheme="minorHAnsi" w:cstheme="minorHAnsi"/>
        </w:rPr>
      </w:pPr>
      <w:r w:rsidRPr="00986D12">
        <w:rPr>
          <w:rFonts w:asciiTheme="minorHAnsi" w:eastAsia="Avenir Nxt2 W1G" w:hAnsiTheme="minorHAnsi" w:cstheme="minorHAnsi"/>
          <w:color w:val="000000" w:themeColor="text1"/>
        </w:rPr>
        <w:t>Progress towards strategic and action plan objectives is monitored through sectoral operational plans, defined outcome and output indicators, and structured reporting to governing bodies. Performance is not expressed through a single consolidated completion rate but through implementation reporting aligned with the Strategic Plan 2024–2027 and the Kigali Action Plan framework.</w:t>
      </w:r>
    </w:p>
    <w:p w14:paraId="02495AD4" w14:textId="4061D1EB" w:rsidR="00250529" w:rsidRPr="00986D12" w:rsidRDefault="00250529" w:rsidP="00986D12">
      <w:pPr>
        <w:jc w:val="both"/>
        <w:rPr>
          <w:rFonts w:asciiTheme="minorHAnsi" w:hAnsiTheme="minorHAnsi" w:cstheme="minorHAnsi"/>
        </w:rPr>
      </w:pPr>
      <w:r w:rsidRPr="00986D12">
        <w:rPr>
          <w:rFonts w:asciiTheme="minorHAnsi" w:eastAsia="Avenir Nxt2 W1G" w:hAnsiTheme="minorHAnsi" w:cstheme="minorHAnsi"/>
          <w:color w:val="000000" w:themeColor="text1"/>
        </w:rPr>
        <w:t xml:space="preserve">Across the three sectors, implementation during the 2024–2025 period reflects sustained delivery of planned outputs. Radiocommunication and Standardization activities continued to produce regulatory instruments, </w:t>
      </w:r>
      <w:r w:rsidR="00D15359">
        <w:rPr>
          <w:rFonts w:asciiTheme="minorHAnsi" w:eastAsia="Avenir Nxt2 W1G" w:hAnsiTheme="minorHAnsi" w:cstheme="minorHAnsi"/>
          <w:color w:val="000000" w:themeColor="text1"/>
        </w:rPr>
        <w:t>recommendations</w:t>
      </w:r>
      <w:r w:rsidRPr="00986D12">
        <w:rPr>
          <w:rFonts w:asciiTheme="minorHAnsi" w:eastAsia="Avenir Nxt2 W1G" w:hAnsiTheme="minorHAnsi" w:cstheme="minorHAnsi"/>
          <w:color w:val="000000" w:themeColor="text1"/>
        </w:rPr>
        <w:t xml:space="preserve">, and technical outputs consistent with approved work programmes. Development sector implementation included operational plan activities, regional initiatives and project execution aligned with agreed priorities. </w:t>
      </w:r>
    </w:p>
    <w:p w14:paraId="532E1D01" w14:textId="7D35495F" w:rsidR="00250529" w:rsidRDefault="00250529" w:rsidP="00986D12">
      <w:pPr>
        <w:jc w:val="both"/>
        <w:rPr>
          <w:rFonts w:asciiTheme="minorHAnsi" w:hAnsiTheme="minorHAnsi" w:cstheme="minorHAnsi"/>
        </w:rPr>
      </w:pPr>
      <w:r w:rsidRPr="00986D12">
        <w:rPr>
          <w:rFonts w:asciiTheme="minorHAnsi" w:hAnsiTheme="minorHAnsi" w:cstheme="minorHAnsi"/>
        </w:rPr>
        <w:t xml:space="preserve">In ITU-D, operational </w:t>
      </w:r>
      <w:proofErr w:type="spellStart"/>
      <w:r w:rsidRPr="00986D12">
        <w:rPr>
          <w:rFonts w:asciiTheme="minorHAnsi" w:hAnsiTheme="minorHAnsi" w:cstheme="minorHAnsi"/>
        </w:rPr>
        <w:t>budget</w:t>
      </w:r>
      <w:r w:rsidRPr="00986D12">
        <w:rPr>
          <w:rFonts w:asciiTheme="minorHAnsi" w:hAnsiTheme="minorHAnsi" w:cstheme="minorHAnsi"/>
          <w:vertAlign w:val="superscript"/>
        </w:rPr>
        <w:t>1</w:t>
      </w:r>
      <w:proofErr w:type="spellEnd"/>
      <w:r w:rsidRPr="00986D12">
        <w:rPr>
          <w:rFonts w:asciiTheme="minorHAnsi" w:hAnsiTheme="minorHAnsi" w:cstheme="minorHAnsi"/>
        </w:rPr>
        <w:t xml:space="preserve"> execution reached 84% in 2023, increased to 88% in 2024 and approached 89% in 2025. Project </w:t>
      </w:r>
      <w:proofErr w:type="spellStart"/>
      <w:r w:rsidRPr="00986D12">
        <w:rPr>
          <w:rFonts w:asciiTheme="minorHAnsi" w:hAnsiTheme="minorHAnsi" w:cstheme="minorHAnsi"/>
        </w:rPr>
        <w:t>implementation</w:t>
      </w:r>
      <w:r w:rsidRPr="00986D12">
        <w:rPr>
          <w:rFonts w:asciiTheme="minorHAnsi" w:hAnsiTheme="minorHAnsi" w:cstheme="minorHAnsi"/>
          <w:vertAlign w:val="superscript"/>
        </w:rPr>
        <w:t>2</w:t>
      </w:r>
      <w:proofErr w:type="spellEnd"/>
      <w:r w:rsidRPr="00986D12">
        <w:rPr>
          <w:rFonts w:asciiTheme="minorHAnsi" w:hAnsiTheme="minorHAnsi" w:cstheme="minorHAnsi"/>
        </w:rPr>
        <w:t xml:space="preserve"> between 2023 and 2025 covered more than 150 active projects with a cumulative value of CHF 173.8 million. Additional projects were signed during each reporting year. Under the </w:t>
      </w:r>
      <w:proofErr w:type="spellStart"/>
      <w:r w:rsidRPr="00986D12">
        <w:rPr>
          <w:rFonts w:asciiTheme="minorHAnsi" w:hAnsiTheme="minorHAnsi" w:cstheme="minorHAnsi"/>
        </w:rPr>
        <w:t>Partner2Connect</w:t>
      </w:r>
      <w:proofErr w:type="spellEnd"/>
      <w:r w:rsidRPr="00986D12">
        <w:rPr>
          <w:rFonts w:asciiTheme="minorHAnsi" w:hAnsiTheme="minorHAnsi" w:cstheme="minorHAnsi"/>
        </w:rPr>
        <w:t xml:space="preserve"> framework, USD 8.96 billion was reported in cumulative implementation expenditure as at end of 2025</w:t>
      </w:r>
      <w:r w:rsidRPr="00986D12">
        <w:rPr>
          <w:rFonts w:asciiTheme="minorHAnsi" w:hAnsiTheme="minorHAnsi" w:cstheme="minorHAnsi"/>
          <w:vertAlign w:val="superscript"/>
        </w:rPr>
        <w:t>3</w:t>
      </w:r>
      <w:r w:rsidRPr="00986D12">
        <w:rPr>
          <w:rFonts w:asciiTheme="minorHAnsi" w:hAnsiTheme="minorHAnsi" w:cstheme="minorHAnsi"/>
        </w:rPr>
        <w:t>. These figures reflect active implementation aligned with strategic and action plan commitments.</w:t>
      </w:r>
    </w:p>
    <w:p w14:paraId="19D050C1" w14:textId="77777777" w:rsidR="00986D12" w:rsidRPr="00986D12" w:rsidRDefault="00986D12" w:rsidP="00986D12">
      <w:pPr>
        <w:jc w:val="both"/>
        <w:rPr>
          <w:rFonts w:asciiTheme="minorHAnsi" w:hAnsiTheme="minorHAnsi" w:cstheme="minorHAnsi"/>
        </w:rPr>
      </w:pPr>
    </w:p>
    <w:p w14:paraId="2B1B8CBA" w14:textId="77777777" w:rsidR="00250529" w:rsidRPr="00986D12" w:rsidRDefault="00250529" w:rsidP="0097338E">
      <w:pPr>
        <w:keepNext/>
        <w:jc w:val="center"/>
        <w:rPr>
          <w:rFonts w:asciiTheme="minorHAnsi" w:hAnsiTheme="minorHAnsi" w:cstheme="minorHAnsi"/>
          <w:b/>
        </w:rPr>
      </w:pPr>
      <w:r w:rsidRPr="00986D12">
        <w:rPr>
          <w:rFonts w:asciiTheme="minorHAnsi" w:hAnsiTheme="minorHAnsi" w:cstheme="minorHAnsi"/>
          <w:b/>
          <w:lang w:val="en-US"/>
        </w:rPr>
        <w:lastRenderedPageBreak/>
        <w:t>BDT Projects with implementation between 2023-2025</w:t>
      </w:r>
    </w:p>
    <w:tbl>
      <w:tblPr>
        <w:tblStyle w:val="GridTable5Dark-Accent1"/>
        <w:tblW w:w="0" w:type="auto"/>
        <w:tblLook w:val="04A0" w:firstRow="1" w:lastRow="0" w:firstColumn="1" w:lastColumn="0" w:noHBand="0" w:noVBand="1"/>
      </w:tblPr>
      <w:tblGrid>
        <w:gridCol w:w="2685"/>
        <w:gridCol w:w="1980"/>
        <w:gridCol w:w="3825"/>
      </w:tblGrid>
      <w:tr w:rsidR="00250529" w:rsidRPr="007B2205" w14:paraId="328EF6BF" w14:textId="77777777" w:rsidTr="007B220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5AF2927C" w14:textId="77777777" w:rsidR="00250529" w:rsidRPr="007B2205" w:rsidRDefault="00250529" w:rsidP="007B2205">
            <w:pPr>
              <w:rPr>
                <w:sz w:val="20"/>
                <w:szCs w:val="20"/>
              </w:rPr>
            </w:pPr>
            <w:r w:rsidRPr="007B2205">
              <w:rPr>
                <w:sz w:val="20"/>
                <w:szCs w:val="20"/>
              </w:rPr>
              <w:t>Region</w:t>
            </w:r>
          </w:p>
        </w:tc>
        <w:tc>
          <w:tcPr>
            <w:tcW w:w="1980" w:type="dxa"/>
          </w:tcPr>
          <w:p w14:paraId="26EA93DD"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sz w:val="20"/>
                <w:szCs w:val="20"/>
              </w:rPr>
            </w:pPr>
            <w:r w:rsidRPr="007B2205">
              <w:rPr>
                <w:sz w:val="20"/>
                <w:szCs w:val="20"/>
              </w:rPr>
              <w:t>Count of Project No</w:t>
            </w:r>
          </w:p>
        </w:tc>
        <w:tc>
          <w:tcPr>
            <w:tcW w:w="3825" w:type="dxa"/>
          </w:tcPr>
          <w:p w14:paraId="10373F95"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sz w:val="20"/>
                <w:szCs w:val="20"/>
              </w:rPr>
            </w:pPr>
            <w:r w:rsidRPr="007B2205">
              <w:rPr>
                <w:sz w:val="20"/>
                <w:szCs w:val="20"/>
              </w:rPr>
              <w:t>Total (CHF) million</w:t>
            </w:r>
          </w:p>
        </w:tc>
      </w:tr>
      <w:tr w:rsidR="00250529" w:rsidRPr="007B2205" w14:paraId="420E7E05" w14:textId="77777777" w:rsidTr="007B220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319CB908" w14:textId="77777777" w:rsidR="00250529" w:rsidRPr="007B2205" w:rsidRDefault="00250529" w:rsidP="007B2205">
            <w:pPr>
              <w:rPr>
                <w:sz w:val="20"/>
                <w:szCs w:val="20"/>
              </w:rPr>
            </w:pPr>
            <w:r w:rsidRPr="007B2205">
              <w:rPr>
                <w:sz w:val="20"/>
                <w:szCs w:val="20"/>
              </w:rPr>
              <w:t>Africa</w:t>
            </w:r>
          </w:p>
        </w:tc>
        <w:tc>
          <w:tcPr>
            <w:tcW w:w="1980" w:type="dxa"/>
          </w:tcPr>
          <w:p w14:paraId="647331DC"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26</w:t>
            </w:r>
          </w:p>
        </w:tc>
        <w:tc>
          <w:tcPr>
            <w:tcW w:w="3825" w:type="dxa"/>
          </w:tcPr>
          <w:p w14:paraId="324CA97A"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31.0</w:t>
            </w:r>
          </w:p>
        </w:tc>
      </w:tr>
      <w:tr w:rsidR="00250529" w:rsidRPr="007B2205" w14:paraId="0F8B8328" w14:textId="77777777" w:rsidTr="007B2205">
        <w:trPr>
          <w:trHeight w:val="285"/>
        </w:trPr>
        <w:tc>
          <w:tcPr>
            <w:cnfStyle w:val="001000000000" w:firstRow="0" w:lastRow="0" w:firstColumn="1" w:lastColumn="0" w:oddVBand="0" w:evenVBand="0" w:oddHBand="0" w:evenHBand="0" w:firstRowFirstColumn="0" w:firstRowLastColumn="0" w:lastRowFirstColumn="0" w:lastRowLastColumn="0"/>
            <w:tcW w:w="2685" w:type="dxa"/>
          </w:tcPr>
          <w:p w14:paraId="41055158" w14:textId="77777777" w:rsidR="00250529" w:rsidRPr="007B2205" w:rsidRDefault="00250529" w:rsidP="007B2205">
            <w:pPr>
              <w:rPr>
                <w:sz w:val="20"/>
                <w:szCs w:val="20"/>
              </w:rPr>
            </w:pPr>
            <w:r w:rsidRPr="007B2205">
              <w:rPr>
                <w:sz w:val="20"/>
                <w:szCs w:val="20"/>
              </w:rPr>
              <w:t>The Americas</w:t>
            </w:r>
          </w:p>
        </w:tc>
        <w:tc>
          <w:tcPr>
            <w:tcW w:w="1980" w:type="dxa"/>
          </w:tcPr>
          <w:p w14:paraId="040E7A69"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24</w:t>
            </w:r>
          </w:p>
        </w:tc>
        <w:tc>
          <w:tcPr>
            <w:tcW w:w="3825" w:type="dxa"/>
          </w:tcPr>
          <w:p w14:paraId="3A7AAEAA"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74.6</w:t>
            </w:r>
          </w:p>
        </w:tc>
      </w:tr>
      <w:tr w:rsidR="00250529" w:rsidRPr="007B2205" w14:paraId="1336B9C0" w14:textId="77777777" w:rsidTr="007B220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76334F5F" w14:textId="77777777" w:rsidR="00250529" w:rsidRPr="007B2205" w:rsidRDefault="00250529" w:rsidP="007B2205">
            <w:pPr>
              <w:rPr>
                <w:sz w:val="20"/>
                <w:szCs w:val="20"/>
              </w:rPr>
            </w:pPr>
            <w:r w:rsidRPr="007B2205">
              <w:rPr>
                <w:sz w:val="20"/>
                <w:szCs w:val="20"/>
              </w:rPr>
              <w:t>Arab States</w:t>
            </w:r>
          </w:p>
        </w:tc>
        <w:tc>
          <w:tcPr>
            <w:tcW w:w="1980" w:type="dxa"/>
          </w:tcPr>
          <w:p w14:paraId="2978F868"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10</w:t>
            </w:r>
          </w:p>
        </w:tc>
        <w:tc>
          <w:tcPr>
            <w:tcW w:w="3825" w:type="dxa"/>
          </w:tcPr>
          <w:p w14:paraId="20DE823A"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5.6</w:t>
            </w:r>
          </w:p>
        </w:tc>
      </w:tr>
      <w:tr w:rsidR="00250529" w:rsidRPr="007B2205" w14:paraId="674775F0" w14:textId="77777777" w:rsidTr="007B2205">
        <w:trPr>
          <w:trHeight w:val="285"/>
        </w:trPr>
        <w:tc>
          <w:tcPr>
            <w:cnfStyle w:val="001000000000" w:firstRow="0" w:lastRow="0" w:firstColumn="1" w:lastColumn="0" w:oddVBand="0" w:evenVBand="0" w:oddHBand="0" w:evenHBand="0" w:firstRowFirstColumn="0" w:firstRowLastColumn="0" w:lastRowFirstColumn="0" w:lastRowLastColumn="0"/>
            <w:tcW w:w="2685" w:type="dxa"/>
          </w:tcPr>
          <w:p w14:paraId="3580A396" w14:textId="77777777" w:rsidR="00250529" w:rsidRPr="007B2205" w:rsidRDefault="00250529" w:rsidP="007B2205">
            <w:pPr>
              <w:rPr>
                <w:sz w:val="20"/>
                <w:szCs w:val="20"/>
              </w:rPr>
            </w:pPr>
            <w:r w:rsidRPr="007B2205">
              <w:rPr>
                <w:sz w:val="20"/>
                <w:szCs w:val="20"/>
              </w:rPr>
              <w:t>Asia-Pacific</w:t>
            </w:r>
          </w:p>
        </w:tc>
        <w:tc>
          <w:tcPr>
            <w:tcW w:w="1980" w:type="dxa"/>
          </w:tcPr>
          <w:p w14:paraId="23108B1C"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20</w:t>
            </w:r>
          </w:p>
        </w:tc>
        <w:tc>
          <w:tcPr>
            <w:tcW w:w="3825" w:type="dxa"/>
          </w:tcPr>
          <w:p w14:paraId="4CB56DF0"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9.4</w:t>
            </w:r>
          </w:p>
        </w:tc>
      </w:tr>
      <w:tr w:rsidR="00250529" w:rsidRPr="007B2205" w14:paraId="37907315" w14:textId="77777777" w:rsidTr="007B220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3B846BA7" w14:textId="77777777" w:rsidR="00250529" w:rsidRPr="007B2205" w:rsidRDefault="00250529" w:rsidP="007B2205">
            <w:pPr>
              <w:rPr>
                <w:sz w:val="20"/>
                <w:szCs w:val="20"/>
              </w:rPr>
            </w:pPr>
            <w:r w:rsidRPr="007B2205">
              <w:rPr>
                <w:sz w:val="20"/>
                <w:szCs w:val="20"/>
              </w:rPr>
              <w:t>CIS countries</w:t>
            </w:r>
          </w:p>
        </w:tc>
        <w:tc>
          <w:tcPr>
            <w:tcW w:w="1980" w:type="dxa"/>
          </w:tcPr>
          <w:p w14:paraId="6222BBFC"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5</w:t>
            </w:r>
          </w:p>
        </w:tc>
        <w:tc>
          <w:tcPr>
            <w:tcW w:w="3825" w:type="dxa"/>
          </w:tcPr>
          <w:p w14:paraId="699295F9"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0.9</w:t>
            </w:r>
          </w:p>
        </w:tc>
      </w:tr>
      <w:tr w:rsidR="00250529" w:rsidRPr="007B2205" w14:paraId="7A8C14AE" w14:textId="77777777" w:rsidTr="007B2205">
        <w:trPr>
          <w:trHeight w:val="285"/>
        </w:trPr>
        <w:tc>
          <w:tcPr>
            <w:cnfStyle w:val="001000000000" w:firstRow="0" w:lastRow="0" w:firstColumn="1" w:lastColumn="0" w:oddVBand="0" w:evenVBand="0" w:oddHBand="0" w:evenHBand="0" w:firstRowFirstColumn="0" w:firstRowLastColumn="0" w:lastRowFirstColumn="0" w:lastRowLastColumn="0"/>
            <w:tcW w:w="2685" w:type="dxa"/>
          </w:tcPr>
          <w:p w14:paraId="3B9BCF9C" w14:textId="77777777" w:rsidR="00250529" w:rsidRPr="007B2205" w:rsidRDefault="00250529" w:rsidP="007B2205">
            <w:pPr>
              <w:rPr>
                <w:sz w:val="20"/>
                <w:szCs w:val="20"/>
              </w:rPr>
            </w:pPr>
            <w:r w:rsidRPr="007B2205">
              <w:rPr>
                <w:sz w:val="20"/>
                <w:szCs w:val="20"/>
              </w:rPr>
              <w:t>Europe</w:t>
            </w:r>
          </w:p>
        </w:tc>
        <w:tc>
          <w:tcPr>
            <w:tcW w:w="1980" w:type="dxa"/>
          </w:tcPr>
          <w:p w14:paraId="63786B7C"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5</w:t>
            </w:r>
          </w:p>
        </w:tc>
        <w:tc>
          <w:tcPr>
            <w:tcW w:w="3825" w:type="dxa"/>
          </w:tcPr>
          <w:p w14:paraId="1DC06FC2"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4.4</w:t>
            </w:r>
          </w:p>
        </w:tc>
      </w:tr>
      <w:tr w:rsidR="00250529" w:rsidRPr="007B2205" w14:paraId="77B82FA0" w14:textId="77777777" w:rsidTr="007B220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6B0241AF" w14:textId="77777777" w:rsidR="00250529" w:rsidRPr="007B2205" w:rsidRDefault="00250529" w:rsidP="007B2205">
            <w:pPr>
              <w:rPr>
                <w:sz w:val="20"/>
                <w:szCs w:val="20"/>
                <w:lang w:val="en-US"/>
              </w:rPr>
            </w:pPr>
            <w:r w:rsidRPr="2E3EC43C">
              <w:rPr>
                <w:sz w:val="20"/>
                <w:szCs w:val="20"/>
                <w:lang w:val="en-US"/>
              </w:rPr>
              <w:t xml:space="preserve">World or </w:t>
            </w:r>
            <w:proofErr w:type="gramStart"/>
            <w:r w:rsidRPr="2E3EC43C">
              <w:rPr>
                <w:sz w:val="20"/>
                <w:szCs w:val="20"/>
                <w:lang w:val="en-US"/>
              </w:rPr>
              <w:t>Multi-Regional</w:t>
            </w:r>
            <w:proofErr w:type="gramEnd"/>
          </w:p>
        </w:tc>
        <w:tc>
          <w:tcPr>
            <w:tcW w:w="1980" w:type="dxa"/>
          </w:tcPr>
          <w:p w14:paraId="509EB4C2"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60</w:t>
            </w:r>
          </w:p>
        </w:tc>
        <w:tc>
          <w:tcPr>
            <w:tcW w:w="3825" w:type="dxa"/>
          </w:tcPr>
          <w:p w14:paraId="73895CC0"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sz w:val="20"/>
                <w:szCs w:val="20"/>
              </w:rPr>
            </w:pPr>
            <w:r w:rsidRPr="007B2205">
              <w:rPr>
                <w:sz w:val="20"/>
                <w:szCs w:val="20"/>
              </w:rPr>
              <w:t>47.6</w:t>
            </w:r>
          </w:p>
        </w:tc>
      </w:tr>
      <w:tr w:rsidR="00250529" w:rsidRPr="007B2205" w14:paraId="331D783A" w14:textId="77777777" w:rsidTr="007B2205">
        <w:trPr>
          <w:trHeight w:val="285"/>
        </w:trPr>
        <w:tc>
          <w:tcPr>
            <w:cnfStyle w:val="001000000000" w:firstRow="0" w:lastRow="0" w:firstColumn="1" w:lastColumn="0" w:oddVBand="0" w:evenVBand="0" w:oddHBand="0" w:evenHBand="0" w:firstRowFirstColumn="0" w:firstRowLastColumn="0" w:lastRowFirstColumn="0" w:lastRowLastColumn="0"/>
            <w:tcW w:w="2685" w:type="dxa"/>
          </w:tcPr>
          <w:p w14:paraId="70081352" w14:textId="77777777" w:rsidR="00250529" w:rsidRPr="007B2205" w:rsidRDefault="00250529" w:rsidP="007B2205">
            <w:pPr>
              <w:rPr>
                <w:sz w:val="20"/>
                <w:szCs w:val="20"/>
              </w:rPr>
            </w:pPr>
            <w:r w:rsidRPr="007B2205">
              <w:rPr>
                <w:sz w:val="20"/>
                <w:szCs w:val="20"/>
              </w:rPr>
              <w:t>Total</w:t>
            </w:r>
          </w:p>
        </w:tc>
        <w:tc>
          <w:tcPr>
            <w:tcW w:w="1980" w:type="dxa"/>
          </w:tcPr>
          <w:p w14:paraId="00DA16EC"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150</w:t>
            </w:r>
          </w:p>
        </w:tc>
        <w:tc>
          <w:tcPr>
            <w:tcW w:w="3825" w:type="dxa"/>
          </w:tcPr>
          <w:p w14:paraId="49ADFF06"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sz w:val="20"/>
                <w:szCs w:val="20"/>
              </w:rPr>
            </w:pPr>
            <w:r w:rsidRPr="007B2205">
              <w:rPr>
                <w:sz w:val="20"/>
                <w:szCs w:val="20"/>
              </w:rPr>
              <w:t>173.8</w:t>
            </w:r>
          </w:p>
        </w:tc>
      </w:tr>
    </w:tbl>
    <w:p w14:paraId="0C9A0F5B" w14:textId="77777777" w:rsidR="00250529" w:rsidRPr="00986D12" w:rsidRDefault="00250529" w:rsidP="00507BF5">
      <w:pPr>
        <w:pStyle w:val="Notes"/>
        <w:rPr>
          <w:rFonts w:asciiTheme="minorHAnsi" w:eastAsia="Avenir Nxt2 W1G" w:hAnsiTheme="minorHAnsi" w:cstheme="minorHAnsi"/>
          <w:color w:val="000000" w:themeColor="text1"/>
        </w:rPr>
      </w:pPr>
      <w:r w:rsidRPr="00986D12">
        <w:rPr>
          <w:rFonts w:asciiTheme="minorHAnsi" w:eastAsia="Avenir Nxt2 W1G" w:hAnsiTheme="minorHAnsi" w:cstheme="minorHAnsi"/>
        </w:rPr>
        <w:t>Source: BDT Project Support Division</w:t>
      </w:r>
      <w:r w:rsidRPr="00986D12">
        <w:rPr>
          <w:rFonts w:asciiTheme="minorHAnsi" w:eastAsia="Avenir Nxt2 W1G" w:hAnsiTheme="minorHAnsi" w:cstheme="minorHAnsi"/>
          <w:color w:val="000000" w:themeColor="text1"/>
        </w:rPr>
        <w:t>.</w:t>
      </w:r>
    </w:p>
    <w:p w14:paraId="0D4BD813"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Outcome and output indicators adopted to monitor implementation provide structured measurement across priority domains including connectivity expansion, affordability, regulatory development, cybersecurity capacity and digital skills. Reporting confirms continued expansion of connectivity coverage, progress in affordability metrics, increased training activities and advancement of cybersecurity commitments in Member States.</w:t>
      </w:r>
    </w:p>
    <w:p w14:paraId="31AD055A"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Regional and Area Offices are integrated into operational delivery mechanisms. Regional initiatives under the Kigali Action Plan are implemented through a combination of operational activities and externally funded projects. Annual Regional Development Forums provide a mechanism for reviewing progress and aligning forward activities with regional priorities.</w:t>
      </w:r>
    </w:p>
    <w:p w14:paraId="55B32D3A" w14:textId="77777777" w:rsidR="00250529" w:rsidRPr="00986D12" w:rsidRDefault="00250529" w:rsidP="005B5E68">
      <w:pPr>
        <w:jc w:val="both"/>
        <w:rPr>
          <w:rFonts w:asciiTheme="minorHAnsi" w:hAnsiTheme="minorHAnsi" w:cstheme="minorHAnsi"/>
        </w:rPr>
      </w:pPr>
      <w:r w:rsidRPr="00986D12">
        <w:rPr>
          <w:rStyle w:val="eop"/>
          <w:rFonts w:asciiTheme="minorHAnsi" w:eastAsia="Avenir Nxt2 W1G" w:hAnsiTheme="minorHAnsi" w:cstheme="minorHAnsi"/>
          <w:color w:val="000000" w:themeColor="text1"/>
        </w:rPr>
        <w:t xml:space="preserve">Across all regions (Asia-Pacific, Africa, Europe, Americas, CIS, Arab States), interviews with the RTOs revealed: </w:t>
      </w:r>
    </w:p>
    <w:p w14:paraId="55DAFA9D" w14:textId="4E2655AB" w:rsidR="00250529" w:rsidRPr="00986D12" w:rsidRDefault="008C431B" w:rsidP="008C431B">
      <w:pPr>
        <w:pStyle w:val="Bulletlist"/>
        <w:numPr>
          <w:ilvl w:val="0"/>
          <w:numId w:val="0"/>
        </w:numPr>
        <w:ind w:left="720" w:hanging="360"/>
        <w:jc w:val="both"/>
        <w:rPr>
          <w:rFonts w:asciiTheme="minorHAnsi" w:eastAsia="Avenir Nxt2 W1G" w:hAnsiTheme="minorHAnsi" w:cstheme="minorHAnsi"/>
          <w:color w:val="000000" w:themeColor="text1"/>
        </w:rPr>
      </w:pPr>
      <w:r w:rsidRPr="00986D12">
        <w:rPr>
          <w:rFonts w:ascii="Symbol" w:eastAsia="Avenir Nxt2 W1G" w:hAnsi="Symbol" w:cstheme="minorHAnsi"/>
          <w:color w:val="000000" w:themeColor="text1"/>
        </w:rPr>
        <w:t></w:t>
      </w:r>
      <w:r w:rsidRPr="00986D12">
        <w:rPr>
          <w:rFonts w:ascii="Symbol" w:eastAsia="Avenir Nxt2 W1G" w:hAnsi="Symbol" w:cstheme="minorHAnsi"/>
          <w:color w:val="000000" w:themeColor="text1"/>
        </w:rPr>
        <w:tab/>
      </w:r>
      <w:r w:rsidR="00250529" w:rsidRPr="00986D12">
        <w:rPr>
          <w:rStyle w:val="eop"/>
          <w:rFonts w:asciiTheme="minorHAnsi" w:eastAsia="Avenir Nxt2 W1G" w:hAnsiTheme="minorHAnsi" w:cstheme="minorHAnsi"/>
          <w:color w:val="000000" w:themeColor="text1"/>
        </w:rPr>
        <w:t xml:space="preserve">Regional presence is recognized and valued. </w:t>
      </w:r>
    </w:p>
    <w:p w14:paraId="4CCD2C21" w14:textId="6D220BA9" w:rsidR="00250529" w:rsidRPr="00986D12" w:rsidRDefault="008C431B" w:rsidP="008C431B">
      <w:pPr>
        <w:pStyle w:val="Bulletlist"/>
        <w:numPr>
          <w:ilvl w:val="0"/>
          <w:numId w:val="0"/>
        </w:numPr>
        <w:ind w:left="720" w:hanging="360"/>
        <w:jc w:val="both"/>
        <w:rPr>
          <w:rFonts w:asciiTheme="minorHAnsi" w:eastAsia="Avenir Nxt2 W1G" w:hAnsiTheme="minorHAnsi" w:cstheme="minorHAnsi"/>
          <w:color w:val="000000" w:themeColor="text1"/>
        </w:rPr>
      </w:pPr>
      <w:r w:rsidRPr="00986D12">
        <w:rPr>
          <w:rFonts w:ascii="Symbol" w:eastAsia="Avenir Nxt2 W1G" w:hAnsi="Symbol" w:cstheme="minorHAnsi"/>
          <w:color w:val="000000" w:themeColor="text1"/>
        </w:rPr>
        <w:t></w:t>
      </w:r>
      <w:r w:rsidRPr="00986D12">
        <w:rPr>
          <w:rFonts w:ascii="Symbol" w:eastAsia="Avenir Nxt2 W1G" w:hAnsi="Symbol" w:cstheme="minorHAnsi"/>
          <w:color w:val="000000" w:themeColor="text1"/>
        </w:rPr>
        <w:tab/>
      </w:r>
      <w:r w:rsidR="00250529" w:rsidRPr="00986D12">
        <w:rPr>
          <w:rStyle w:val="eop"/>
          <w:rFonts w:asciiTheme="minorHAnsi" w:eastAsia="Avenir Nxt2 W1G" w:hAnsiTheme="minorHAnsi" w:cstheme="minorHAnsi"/>
          <w:color w:val="000000" w:themeColor="text1"/>
        </w:rPr>
        <w:t xml:space="preserve">RTO–ITU cooperation is functioning effectively. </w:t>
      </w:r>
    </w:p>
    <w:p w14:paraId="7622D8AF" w14:textId="285201F6" w:rsidR="00250529" w:rsidRPr="00986D12" w:rsidRDefault="008C431B" w:rsidP="008C431B">
      <w:pPr>
        <w:pStyle w:val="Bulletlist"/>
        <w:numPr>
          <w:ilvl w:val="0"/>
          <w:numId w:val="0"/>
        </w:numPr>
        <w:ind w:left="720" w:hanging="360"/>
        <w:jc w:val="both"/>
        <w:rPr>
          <w:rFonts w:asciiTheme="minorHAnsi" w:eastAsia="Avenir Nxt2 W1G" w:hAnsiTheme="minorHAnsi" w:cstheme="minorHAnsi"/>
          <w:color w:val="000000" w:themeColor="text1"/>
        </w:rPr>
      </w:pPr>
      <w:r w:rsidRPr="00986D12">
        <w:rPr>
          <w:rFonts w:ascii="Symbol" w:eastAsia="Avenir Nxt2 W1G" w:hAnsi="Symbol" w:cstheme="minorHAnsi"/>
          <w:color w:val="000000" w:themeColor="text1"/>
        </w:rPr>
        <w:t></w:t>
      </w:r>
      <w:r w:rsidRPr="00986D12">
        <w:rPr>
          <w:rFonts w:ascii="Symbol" w:eastAsia="Avenir Nxt2 W1G" w:hAnsi="Symbol" w:cstheme="minorHAnsi"/>
          <w:color w:val="000000" w:themeColor="text1"/>
        </w:rPr>
        <w:tab/>
      </w:r>
      <w:r w:rsidR="00250529" w:rsidRPr="00986D12">
        <w:rPr>
          <w:rStyle w:val="eop"/>
          <w:rFonts w:asciiTheme="minorHAnsi" w:eastAsia="Avenir Nxt2 W1G" w:hAnsiTheme="minorHAnsi" w:cstheme="minorHAnsi"/>
          <w:color w:val="000000" w:themeColor="text1"/>
        </w:rPr>
        <w:t xml:space="preserve">Alignment with regional priorities is generally strong. </w:t>
      </w:r>
    </w:p>
    <w:p w14:paraId="31DFA497" w14:textId="073F7401" w:rsidR="00250529" w:rsidRPr="00986D12" w:rsidRDefault="008C431B" w:rsidP="008C431B">
      <w:pPr>
        <w:pStyle w:val="Bulletlist"/>
        <w:numPr>
          <w:ilvl w:val="0"/>
          <w:numId w:val="0"/>
        </w:numPr>
        <w:ind w:left="720" w:hanging="360"/>
        <w:jc w:val="both"/>
        <w:rPr>
          <w:rFonts w:asciiTheme="minorHAnsi" w:eastAsia="Avenir Nxt2 W1G" w:hAnsiTheme="minorHAnsi" w:cstheme="minorHAnsi"/>
          <w:color w:val="000000" w:themeColor="text1"/>
        </w:rPr>
      </w:pPr>
      <w:r w:rsidRPr="00986D12">
        <w:rPr>
          <w:rFonts w:ascii="Symbol" w:eastAsia="Avenir Nxt2 W1G" w:hAnsi="Symbol" w:cstheme="minorHAnsi"/>
          <w:color w:val="000000" w:themeColor="text1"/>
        </w:rPr>
        <w:t></w:t>
      </w:r>
      <w:r w:rsidRPr="00986D12">
        <w:rPr>
          <w:rFonts w:ascii="Symbol" w:eastAsia="Avenir Nxt2 W1G" w:hAnsi="Symbol" w:cstheme="minorHAnsi"/>
          <w:color w:val="000000" w:themeColor="text1"/>
        </w:rPr>
        <w:tab/>
      </w:r>
      <w:r w:rsidR="00250529" w:rsidRPr="00986D12">
        <w:rPr>
          <w:rStyle w:val="eop"/>
          <w:rFonts w:asciiTheme="minorHAnsi" w:eastAsia="Avenir Nxt2 W1G" w:hAnsiTheme="minorHAnsi" w:cstheme="minorHAnsi"/>
          <w:color w:val="000000" w:themeColor="text1"/>
        </w:rPr>
        <w:t xml:space="preserve">Capacity-building work is appreciated. </w:t>
      </w:r>
    </w:p>
    <w:p w14:paraId="6BBA07CC" w14:textId="0B6A4756" w:rsidR="00250529" w:rsidRPr="00986D12" w:rsidRDefault="008C431B" w:rsidP="008C431B">
      <w:pPr>
        <w:pStyle w:val="Bulletlist"/>
        <w:numPr>
          <w:ilvl w:val="0"/>
          <w:numId w:val="0"/>
        </w:numPr>
        <w:ind w:left="720" w:hanging="360"/>
        <w:jc w:val="both"/>
        <w:rPr>
          <w:rFonts w:asciiTheme="minorHAnsi" w:eastAsia="Avenir Nxt2 W1G" w:hAnsiTheme="minorHAnsi" w:cstheme="minorHAnsi"/>
          <w:color w:val="000000" w:themeColor="text1"/>
        </w:rPr>
      </w:pPr>
      <w:r w:rsidRPr="00986D12">
        <w:rPr>
          <w:rFonts w:ascii="Symbol" w:eastAsia="Avenir Nxt2 W1G" w:hAnsi="Symbol" w:cstheme="minorHAnsi"/>
          <w:color w:val="000000" w:themeColor="text1"/>
        </w:rPr>
        <w:t></w:t>
      </w:r>
      <w:r w:rsidRPr="00986D12">
        <w:rPr>
          <w:rFonts w:ascii="Symbol" w:eastAsia="Avenir Nxt2 W1G" w:hAnsi="Symbol" w:cstheme="minorHAnsi"/>
          <w:color w:val="000000" w:themeColor="text1"/>
        </w:rPr>
        <w:tab/>
      </w:r>
      <w:r w:rsidR="00250529" w:rsidRPr="00986D12">
        <w:rPr>
          <w:rStyle w:val="eop"/>
          <w:rFonts w:asciiTheme="minorHAnsi" w:eastAsia="Avenir Nxt2 W1G" w:hAnsiTheme="minorHAnsi" w:cstheme="minorHAnsi"/>
          <w:color w:val="000000" w:themeColor="text1"/>
        </w:rPr>
        <w:t>Regional offices are seen as credible convening platforms.</w:t>
      </w:r>
    </w:p>
    <w:p w14:paraId="6AC3B47A" w14:textId="531C78EA" w:rsidR="00AB0AA2" w:rsidRPr="00986D12" w:rsidRDefault="00250529" w:rsidP="00AB0AA2">
      <w:pPr>
        <w:pStyle w:val="Subtitle0"/>
        <w:rPr>
          <w:rFonts w:asciiTheme="minorHAnsi" w:hAnsiTheme="minorHAnsi" w:cstheme="minorHAnsi"/>
        </w:rPr>
      </w:pPr>
      <w:r w:rsidRPr="00986D12">
        <w:rPr>
          <w:rFonts w:asciiTheme="minorHAnsi" w:hAnsiTheme="minorHAnsi" w:cstheme="minorHAnsi"/>
        </w:rPr>
        <w:t xml:space="preserve">Conclusion </w:t>
      </w:r>
    </w:p>
    <w:p w14:paraId="174372D8"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Institutional reporting combined with overall positive responses in terms of satisfaction levels from Membership in the Membership survey and interview responses, confirms sustained advancement across core strategic objectives and action plan priorities during the reporting period. Overall, structured reporting demonstrates that strategic and action plan objectives are being actively pursued through measurable outputs, defined indicators and operational execution across sectors and regions.</w:t>
      </w:r>
    </w:p>
    <w:p w14:paraId="1199822B" w14:textId="77777777" w:rsidR="00250529" w:rsidRPr="00986D12" w:rsidRDefault="00250529" w:rsidP="00507BF5">
      <w:pPr>
        <w:pStyle w:val="Subtitle0"/>
        <w:rPr>
          <w:rFonts w:asciiTheme="minorHAnsi" w:eastAsia="Avenir Nxt2 W1G" w:hAnsiTheme="minorHAnsi" w:cstheme="minorHAnsi"/>
          <w:color w:val="000000" w:themeColor="text1"/>
        </w:rPr>
      </w:pPr>
      <w:r w:rsidRPr="00986D12">
        <w:rPr>
          <w:rFonts w:asciiTheme="minorHAnsi" w:hAnsiTheme="minorHAnsi" w:cstheme="minorHAnsi"/>
        </w:rPr>
        <w:t>Data Sources</w:t>
      </w:r>
    </w:p>
    <w:p w14:paraId="492359DA" w14:textId="1836DA88"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1.</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Annual Report on the implementation of the strategic plan and the activities of the Union 2024, Council Document </w:t>
      </w:r>
      <w:hyperlink r:id="rId44">
        <w:proofErr w:type="spellStart"/>
        <w:r w:rsidR="00250529" w:rsidRPr="008C431B">
          <w:rPr>
            <w:rStyle w:val="Hyperlink"/>
            <w:rFonts w:asciiTheme="minorHAnsi" w:eastAsia="Avenir Nxt2 W1G" w:hAnsiTheme="minorHAnsi" w:cstheme="minorHAnsi"/>
            <w:lang w:val="en-US"/>
          </w:rPr>
          <w:t>C25</w:t>
        </w:r>
        <w:proofErr w:type="spellEnd"/>
        <w:r w:rsidR="00250529" w:rsidRPr="008C431B">
          <w:rPr>
            <w:rStyle w:val="Hyperlink"/>
            <w:rFonts w:asciiTheme="minorHAnsi" w:eastAsia="Avenir Nxt2 W1G" w:hAnsiTheme="minorHAnsi" w:cstheme="minorHAnsi"/>
            <w:lang w:val="en-US"/>
          </w:rPr>
          <w:t>/35</w:t>
        </w:r>
      </w:hyperlink>
      <w:r w:rsidR="00250529" w:rsidRPr="008C431B">
        <w:rPr>
          <w:rFonts w:asciiTheme="minorHAnsi" w:hAnsiTheme="minorHAnsi" w:cstheme="minorHAnsi"/>
        </w:rPr>
        <w:t>.</w:t>
      </w:r>
    </w:p>
    <w:p w14:paraId="6C3ADCCE" w14:textId="19D0ACDA"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2.</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Initial draft performance indicators for strategic plan 2028-2031, Council Working Group 2025 Document </w:t>
      </w:r>
      <w:hyperlink r:id="rId45">
        <w:r w:rsidR="00250529" w:rsidRPr="008C431B">
          <w:rPr>
            <w:rStyle w:val="Hyperlink"/>
            <w:rFonts w:asciiTheme="minorHAnsi" w:eastAsia="Avenir Nxt2 W1G" w:hAnsiTheme="minorHAnsi" w:cstheme="minorHAnsi"/>
            <w:lang w:val="en-US"/>
          </w:rPr>
          <w:t>CWG-SFP-3/7</w:t>
        </w:r>
      </w:hyperlink>
      <w:r w:rsidR="00250529" w:rsidRPr="008C431B">
        <w:rPr>
          <w:rFonts w:asciiTheme="minorHAnsi" w:hAnsiTheme="minorHAnsi" w:cstheme="minorHAnsi"/>
        </w:rPr>
        <w:t>.</w:t>
      </w:r>
    </w:p>
    <w:p w14:paraId="2935B828" w14:textId="691C8BA9"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lastRenderedPageBreak/>
        <w:t>3.</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ITU-R draft operational plan for 2026-2029 and 2024 performance report RAG 2025 Document </w:t>
      </w:r>
      <w:hyperlink r:id="rId46">
        <w:r w:rsidR="00250529" w:rsidRPr="008C431B">
          <w:rPr>
            <w:rStyle w:val="Hyperlink"/>
            <w:rFonts w:asciiTheme="minorHAnsi" w:eastAsia="Avenir Nxt2 W1G" w:hAnsiTheme="minorHAnsi" w:cstheme="minorHAnsi"/>
            <w:lang w:val="en-US"/>
          </w:rPr>
          <w:t>RAG/37</w:t>
        </w:r>
      </w:hyperlink>
      <w:r w:rsidR="00250529" w:rsidRPr="008C431B">
        <w:rPr>
          <w:rFonts w:asciiTheme="minorHAnsi" w:hAnsiTheme="minorHAnsi" w:cstheme="minorHAnsi"/>
        </w:rPr>
        <w:t>.</w:t>
      </w:r>
    </w:p>
    <w:p w14:paraId="0CE6B0F9" w14:textId="5DB83374"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4.</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ITU-T draft operational plan for 2026-2029 and 2024 performance report TSAG 2025 Document </w:t>
      </w:r>
      <w:hyperlink r:id="rId47">
        <w:r w:rsidR="00250529" w:rsidRPr="008C431B">
          <w:rPr>
            <w:rStyle w:val="Hyperlink"/>
            <w:rFonts w:asciiTheme="minorHAnsi" w:eastAsia="Avenir Nxt2 W1G" w:hAnsiTheme="minorHAnsi" w:cstheme="minorHAnsi"/>
            <w:lang w:val="en-US"/>
          </w:rPr>
          <w:t>TSAG-</w:t>
        </w:r>
        <w:proofErr w:type="spellStart"/>
        <w:r w:rsidR="00250529" w:rsidRPr="008C431B">
          <w:rPr>
            <w:rStyle w:val="Hyperlink"/>
            <w:rFonts w:asciiTheme="minorHAnsi" w:eastAsia="Avenir Nxt2 W1G" w:hAnsiTheme="minorHAnsi" w:cstheme="minorHAnsi"/>
            <w:lang w:val="en-US"/>
          </w:rPr>
          <w:t>TD137</w:t>
        </w:r>
        <w:proofErr w:type="spellEnd"/>
      </w:hyperlink>
      <w:r w:rsidR="00250529" w:rsidRPr="008C431B">
        <w:rPr>
          <w:rFonts w:asciiTheme="minorHAnsi" w:hAnsiTheme="minorHAnsi" w:cstheme="minorHAnsi"/>
        </w:rPr>
        <w:t>.</w:t>
      </w:r>
    </w:p>
    <w:p w14:paraId="091FFD27" w14:textId="65B9A8D0"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5.</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ITU-D draft operational plan for 2026-2029 and 2024 performance report </w:t>
      </w:r>
      <w:proofErr w:type="spellStart"/>
      <w:r w:rsidR="00250529" w:rsidRPr="008C431B">
        <w:rPr>
          <w:rFonts w:asciiTheme="minorHAnsi" w:hAnsiTheme="minorHAnsi" w:cstheme="minorHAnsi"/>
          <w:lang w:val="en-US"/>
        </w:rPr>
        <w:t>TDAG</w:t>
      </w:r>
      <w:proofErr w:type="spellEnd"/>
      <w:r w:rsidR="00250529" w:rsidRPr="008C431B">
        <w:rPr>
          <w:rFonts w:asciiTheme="minorHAnsi" w:hAnsiTheme="minorHAnsi" w:cstheme="minorHAnsi"/>
          <w:lang w:val="en-US"/>
        </w:rPr>
        <w:t xml:space="preserve"> 2025 Document </w:t>
      </w:r>
      <w:hyperlink r:id="rId48">
        <w:proofErr w:type="spellStart"/>
        <w:r w:rsidR="00250529" w:rsidRPr="008C431B">
          <w:rPr>
            <w:rStyle w:val="Hyperlink"/>
            <w:rFonts w:asciiTheme="minorHAnsi" w:eastAsia="Avenir Nxt2 W1G" w:hAnsiTheme="minorHAnsi" w:cstheme="minorHAnsi"/>
            <w:lang w:val="en-US"/>
          </w:rPr>
          <w:t>TDAG</w:t>
        </w:r>
        <w:proofErr w:type="spellEnd"/>
        <w:r w:rsidR="00250529" w:rsidRPr="008C431B">
          <w:rPr>
            <w:rStyle w:val="Hyperlink"/>
            <w:rFonts w:asciiTheme="minorHAnsi" w:eastAsia="Avenir Nxt2 W1G" w:hAnsiTheme="minorHAnsi" w:cstheme="minorHAnsi"/>
            <w:lang w:val="en-US"/>
          </w:rPr>
          <w:t>-25/40</w:t>
        </w:r>
      </w:hyperlink>
      <w:r w:rsidR="00250529" w:rsidRPr="008C431B">
        <w:rPr>
          <w:rFonts w:asciiTheme="minorHAnsi" w:hAnsiTheme="minorHAnsi" w:cstheme="minorHAnsi"/>
        </w:rPr>
        <w:t>.</w:t>
      </w:r>
    </w:p>
    <w:p w14:paraId="2B3F7997" w14:textId="1B4AE550"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6.</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BDT Operational plan dashboards as indicated in </w:t>
      </w:r>
      <w:proofErr w:type="spellStart"/>
      <w:r w:rsidR="00250529" w:rsidRPr="008C431B">
        <w:rPr>
          <w:rFonts w:asciiTheme="minorHAnsi" w:hAnsiTheme="minorHAnsi" w:cstheme="minorHAnsi"/>
          <w:lang w:val="en-US"/>
        </w:rPr>
        <w:t>TDAG</w:t>
      </w:r>
      <w:proofErr w:type="spellEnd"/>
      <w:r w:rsidR="00250529" w:rsidRPr="008C431B">
        <w:rPr>
          <w:rFonts w:asciiTheme="minorHAnsi" w:hAnsiTheme="minorHAnsi" w:cstheme="minorHAnsi"/>
          <w:lang w:val="en-US"/>
        </w:rPr>
        <w:t xml:space="preserve">-24 and </w:t>
      </w:r>
      <w:proofErr w:type="spellStart"/>
      <w:r w:rsidR="00250529" w:rsidRPr="008C431B">
        <w:rPr>
          <w:rFonts w:asciiTheme="minorHAnsi" w:hAnsiTheme="minorHAnsi" w:cstheme="minorHAnsi"/>
          <w:lang w:val="en-US"/>
        </w:rPr>
        <w:t>TDAG</w:t>
      </w:r>
      <w:proofErr w:type="spellEnd"/>
      <w:r w:rsidR="00250529" w:rsidRPr="008C431B">
        <w:rPr>
          <w:rFonts w:asciiTheme="minorHAnsi" w:hAnsiTheme="minorHAnsi" w:cstheme="minorHAnsi"/>
          <w:lang w:val="en-US"/>
        </w:rPr>
        <w:t>-25 Documents:</w:t>
      </w:r>
    </w:p>
    <w:p w14:paraId="3D286714" w14:textId="465663EE" w:rsidR="00250529" w:rsidRPr="008C431B" w:rsidRDefault="008C431B" w:rsidP="008C431B">
      <w:pPr>
        <w:spacing w:before="60" w:after="60"/>
        <w:ind w:left="1080" w:hanging="360"/>
        <w:rPr>
          <w:rFonts w:asciiTheme="minorHAnsi" w:eastAsia="Avenir Nxt2 W1G" w:hAnsiTheme="minorHAnsi" w:cstheme="minorHAnsi"/>
          <w:color w:val="000000" w:themeColor="text1"/>
        </w:rPr>
      </w:pPr>
      <w:r w:rsidRPr="00986D12">
        <w:rPr>
          <w:rFonts w:ascii="Avenir Nxt2 W1G" w:eastAsia="Avenir Nxt2 W1G" w:hAnsi="Avenir Nxt2 W1G" w:cstheme="minorHAnsi"/>
          <w:color w:val="000000" w:themeColor="text1"/>
          <w:kern w:val="2"/>
          <w:sz w:val="22"/>
          <w:szCs w:val="22"/>
          <w14:ligatures w14:val="standardContextual"/>
        </w:rPr>
        <w:t>a.</w:t>
      </w:r>
      <w:r w:rsidRPr="00986D12">
        <w:rPr>
          <w:rFonts w:ascii="Avenir Nxt2 W1G" w:eastAsia="Avenir Nxt2 W1G" w:hAnsi="Avenir Nxt2 W1G" w:cstheme="minorHAnsi"/>
          <w:color w:val="000000" w:themeColor="text1"/>
          <w:kern w:val="2"/>
          <w:sz w:val="22"/>
          <w:szCs w:val="22"/>
          <w14:ligatures w14:val="standardContextual"/>
        </w:rPr>
        <w:tab/>
      </w:r>
      <w:hyperlink r:id="rId49">
        <w:r w:rsidR="00250529" w:rsidRPr="008C431B">
          <w:rPr>
            <w:rStyle w:val="Hyperlink"/>
            <w:rFonts w:asciiTheme="minorHAnsi" w:eastAsia="Avenir Nxt2 W1G" w:hAnsiTheme="minorHAnsi" w:cstheme="minorHAnsi"/>
            <w:lang w:val="en-US"/>
          </w:rPr>
          <w:t>https://www.itu.int/en/ITU-D/Conferences/TDAG/Pages/dashboards/2025/Regional-Initiatives.aspx</w:t>
        </w:r>
      </w:hyperlink>
      <w:r w:rsidR="00250529" w:rsidRPr="008C431B">
        <w:rPr>
          <w:rFonts w:asciiTheme="minorHAnsi" w:hAnsiTheme="minorHAnsi" w:cstheme="minorHAnsi"/>
        </w:rPr>
        <w:t>.</w:t>
      </w:r>
    </w:p>
    <w:p w14:paraId="52074035" w14:textId="3944DD76" w:rsidR="00250529" w:rsidRPr="008C431B" w:rsidRDefault="008C431B" w:rsidP="008C431B">
      <w:pPr>
        <w:spacing w:before="60" w:after="60"/>
        <w:ind w:left="1080" w:hanging="360"/>
        <w:rPr>
          <w:rFonts w:asciiTheme="minorHAnsi" w:eastAsia="Avenir Nxt2 W1G" w:hAnsiTheme="minorHAnsi" w:cstheme="minorHAnsi"/>
          <w:color w:val="000000" w:themeColor="text1"/>
        </w:rPr>
      </w:pPr>
      <w:r w:rsidRPr="00986D12">
        <w:rPr>
          <w:rFonts w:ascii="Avenir Nxt2 W1G" w:eastAsia="Avenir Nxt2 W1G" w:hAnsi="Avenir Nxt2 W1G" w:cstheme="minorHAnsi"/>
          <w:color w:val="000000" w:themeColor="text1"/>
          <w:kern w:val="2"/>
          <w:sz w:val="22"/>
          <w:szCs w:val="22"/>
          <w14:ligatures w14:val="standardContextual"/>
        </w:rPr>
        <w:t>b.</w:t>
      </w:r>
      <w:r w:rsidRPr="00986D12">
        <w:rPr>
          <w:rFonts w:ascii="Avenir Nxt2 W1G" w:eastAsia="Avenir Nxt2 W1G" w:hAnsi="Avenir Nxt2 W1G" w:cstheme="minorHAnsi"/>
          <w:color w:val="000000" w:themeColor="text1"/>
          <w:kern w:val="2"/>
          <w:sz w:val="22"/>
          <w:szCs w:val="22"/>
          <w14:ligatures w14:val="standardContextual"/>
        </w:rPr>
        <w:tab/>
      </w:r>
      <w:hyperlink r:id="rId50">
        <w:r w:rsidR="00250529" w:rsidRPr="008C431B">
          <w:rPr>
            <w:rStyle w:val="Hyperlink"/>
            <w:rFonts w:asciiTheme="minorHAnsi" w:eastAsia="Avenir Nxt2 W1G" w:hAnsiTheme="minorHAnsi" w:cstheme="minorHAnsi"/>
            <w:lang w:val="en-US"/>
          </w:rPr>
          <w:t>https://www.itu.int/en/ITU-D/Conferences/TDAG/Pages/dashboards/2025/Operational-Plan-Reporting-Dashboard.aspx</w:t>
        </w:r>
      </w:hyperlink>
      <w:r w:rsidR="00250529" w:rsidRPr="008C431B">
        <w:rPr>
          <w:rFonts w:asciiTheme="minorHAnsi" w:hAnsiTheme="minorHAnsi" w:cstheme="minorHAnsi"/>
        </w:rPr>
        <w:t>.</w:t>
      </w:r>
    </w:p>
    <w:p w14:paraId="7B371834" w14:textId="388F6E21"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7.</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Report on the implementation of the Kigali Action Plan (KAP), WTDC-25 Document </w:t>
      </w:r>
      <w:hyperlink r:id="rId51">
        <w:r w:rsidR="00250529" w:rsidRPr="008C431B">
          <w:rPr>
            <w:rStyle w:val="Hyperlink"/>
            <w:rFonts w:asciiTheme="minorHAnsi" w:eastAsia="Avenir Nxt2 W1G" w:hAnsiTheme="minorHAnsi" w:cstheme="minorHAnsi"/>
            <w:lang w:val="en-US"/>
          </w:rPr>
          <w:t>WTDC-25/2</w:t>
        </w:r>
      </w:hyperlink>
      <w:r w:rsidR="00250529" w:rsidRPr="008C431B">
        <w:rPr>
          <w:rFonts w:asciiTheme="minorHAnsi" w:hAnsiTheme="minorHAnsi" w:cstheme="minorHAnsi"/>
        </w:rPr>
        <w:t>.</w:t>
      </w:r>
    </w:p>
    <w:p w14:paraId="0BA872C3" w14:textId="3591B124" w:rsidR="00250529" w:rsidRPr="008C431B" w:rsidRDefault="008C431B" w:rsidP="008C431B">
      <w:pPr>
        <w:spacing w:before="60" w:after="60"/>
        <w:ind w:left="720" w:hanging="360"/>
        <w:rPr>
          <w:rFonts w:asciiTheme="minorHAnsi" w:hAnsiTheme="minorHAnsi" w:cstheme="minorHAnsi"/>
        </w:rPr>
      </w:pPr>
      <w:r w:rsidRPr="00986D12">
        <w:rPr>
          <w:rFonts w:ascii="Avenir Nxt2 W1G" w:eastAsia="Aptos" w:hAnsi="Avenir Nxt2 W1G" w:cstheme="minorHAnsi"/>
          <w:kern w:val="2"/>
          <w:sz w:val="22"/>
          <w:szCs w:val="22"/>
          <w14:ligatures w14:val="standardContextual"/>
        </w:rPr>
        <w:t>8.</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lang w:val="en-US"/>
        </w:rPr>
        <w:t xml:space="preserve">Reporting on the implementation of the Kigali Action Plan (KAP), </w:t>
      </w:r>
      <w:proofErr w:type="spellStart"/>
      <w:r w:rsidR="00250529" w:rsidRPr="008C431B">
        <w:rPr>
          <w:rFonts w:asciiTheme="minorHAnsi" w:hAnsiTheme="minorHAnsi" w:cstheme="minorHAnsi"/>
          <w:lang w:val="en-US"/>
        </w:rPr>
        <w:t>TDAG</w:t>
      </w:r>
      <w:proofErr w:type="spellEnd"/>
      <w:r w:rsidR="00250529" w:rsidRPr="008C431B">
        <w:rPr>
          <w:rFonts w:asciiTheme="minorHAnsi" w:hAnsiTheme="minorHAnsi" w:cstheme="minorHAnsi"/>
          <w:lang w:val="en-US"/>
        </w:rPr>
        <w:t>-24 Document </w:t>
      </w:r>
      <w:proofErr w:type="spellStart"/>
      <w:r w:rsidR="00250529">
        <w:fldChar w:fldCharType="begin"/>
      </w:r>
      <w:r w:rsidR="00250529">
        <w:instrText>HYPERLINK "https://www.itu.int/md/D22-TDAG31-C-0002/en" \h</w:instrText>
      </w:r>
      <w:r w:rsidR="00250529">
        <w:fldChar w:fldCharType="separate"/>
      </w:r>
      <w:r w:rsidR="00250529" w:rsidRPr="008C431B">
        <w:rPr>
          <w:rStyle w:val="Hyperlink"/>
          <w:rFonts w:asciiTheme="minorHAnsi" w:eastAsia="Avenir Nxt2 W1G" w:hAnsiTheme="minorHAnsi" w:cstheme="minorHAnsi"/>
          <w:lang w:val="en-US"/>
        </w:rPr>
        <w:t>TDAG</w:t>
      </w:r>
      <w:proofErr w:type="spellEnd"/>
      <w:r w:rsidR="00250529" w:rsidRPr="008C431B">
        <w:rPr>
          <w:rStyle w:val="Hyperlink"/>
          <w:rFonts w:asciiTheme="minorHAnsi" w:eastAsia="Avenir Nxt2 W1G" w:hAnsiTheme="minorHAnsi" w:cstheme="minorHAnsi"/>
          <w:lang w:val="en-US"/>
        </w:rPr>
        <w:t>-24/2</w:t>
      </w:r>
      <w:r w:rsidR="00250529">
        <w:fldChar w:fldCharType="end"/>
      </w:r>
      <w:r w:rsidR="00250529" w:rsidRPr="008C431B">
        <w:rPr>
          <w:rFonts w:asciiTheme="minorHAnsi" w:hAnsiTheme="minorHAnsi" w:cstheme="minorHAnsi"/>
        </w:rPr>
        <w:t>.</w:t>
      </w:r>
    </w:p>
    <w:p w14:paraId="58475DA8" w14:textId="77777777" w:rsidR="00250529" w:rsidRPr="00986D12" w:rsidRDefault="00250529" w:rsidP="00507BF5">
      <w:pPr>
        <w:pStyle w:val="KPItitle"/>
        <w:rPr>
          <w:rFonts w:asciiTheme="minorHAnsi" w:hAnsiTheme="minorHAnsi" w:cstheme="minorHAnsi"/>
        </w:rPr>
      </w:pPr>
      <w:bookmarkStart w:id="102" w:name="_Toc224213046"/>
      <w:bookmarkStart w:id="103" w:name="_Toc224236477"/>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 — The percentage of staff work/performance plans explicitly aligned with the Strategic Plan and Kigali Action Plan</w:t>
      </w:r>
      <w:bookmarkEnd w:id="102"/>
      <w:bookmarkEnd w:id="103"/>
    </w:p>
    <w:p w14:paraId="44E0E66C"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Formal alignment between staff workplans and the ITU Strategic Plan and Kigali Action Plan is embedded in the performance management framework. Workplans are required to reference strategic objectives and relevant Kigali Action Plan outputs, ensuring traceability between individual deliverables and institutional priorities.</w:t>
      </w:r>
    </w:p>
    <w:p w14:paraId="02F4A8C3"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 xml:space="preserve">Performance planning templates (yearly time surveys) include explicit fields requiring linkage to ITU outputs as defined in the draft four-year rolling operation plan of the Union. Individual commitments are therefore structured around defined outputs and expected results derived from the Strategic Plan and Kigali Action Plan. Alignment is embedded in the planning architecture rather than left to discretionary interpretation. </w:t>
      </w:r>
    </w:p>
    <w:p w14:paraId="7EFAE70D"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Supervisory review mechanisms reinforce consistency across Regional and Area Offices. Alignment with strategic objectives is verified during the performance planning cycle and monitored during performance assessment. This establishes a direct connection between individual performance evaluation and institutional strategic commitments.</w:t>
      </w:r>
    </w:p>
    <w:p w14:paraId="7A7ECFFD"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Workplans are structured around outputs, thematic priorities and regional initiatives derived from the Strategic Plan and Kigali Action Plan. This ensures that staff contributions are positioned within agreed programme frameworks and contribute to measurable strategic outcomes.</w:t>
      </w:r>
    </w:p>
    <w:p w14:paraId="6DFE0DD3"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The integration of strategic objectives into individual workplans strengthens institutional coherence across bureaux and regional presence. It supports accountability by linking staff performance assessment directly to the achievement of strategic outputs and regional priorities. Aggregated reporting is facilitated through the upward traceability of individual deliverables to programme-level results.</w:t>
      </w:r>
    </w:p>
    <w:p w14:paraId="46654DAA"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lastRenderedPageBreak/>
        <w:t>Flexibility is maintained to reflect regional specificities and operational realities. While strategic alignment is mandatory, workplans allow adaptation to contextual demands and project portfolios at regional level. This balance supports both strategic consistency and operational responsiveness.</w:t>
      </w:r>
    </w:p>
    <w:p w14:paraId="37614FE5" w14:textId="77777777" w:rsidR="00250529" w:rsidRPr="00986D12" w:rsidRDefault="00250529" w:rsidP="005B5E68">
      <w:pPr>
        <w:spacing w:before="200" w:after="200"/>
        <w:jc w:val="both"/>
        <w:rPr>
          <w:rFonts w:asciiTheme="minorHAnsi" w:hAnsiTheme="minorHAnsi" w:cstheme="minorHAnsi"/>
        </w:rPr>
      </w:pPr>
      <w:r w:rsidRPr="00986D12">
        <w:rPr>
          <w:rFonts w:asciiTheme="minorHAnsi" w:hAnsiTheme="minorHAnsi" w:cstheme="minorHAnsi"/>
        </w:rPr>
        <w:t>An analysis of regional staff contribution is provided in the tables below.</w:t>
      </w:r>
    </w:p>
    <w:p w14:paraId="2B42D591" w14:textId="77777777" w:rsidR="00250529" w:rsidRPr="00986D12" w:rsidRDefault="00250529" w:rsidP="00507BF5">
      <w:pPr>
        <w:pStyle w:val="Subtitle0"/>
        <w:jc w:val="center"/>
        <w:rPr>
          <w:rFonts w:asciiTheme="minorHAnsi" w:eastAsia="Avenir Nxt2 W1G" w:hAnsiTheme="minorHAnsi" w:cstheme="minorHAnsi"/>
        </w:rPr>
      </w:pPr>
      <w:r w:rsidRPr="00986D12">
        <w:rPr>
          <w:rFonts w:asciiTheme="minorHAnsi" w:eastAsia="Avenir Nxt2 W1G" w:hAnsiTheme="minorHAnsi" w:cstheme="minorHAnsi"/>
          <w:lang w:val="en-US"/>
        </w:rPr>
        <w:t>Regional Staff contribution to ITU outputs in 2025 (Percentage of time)</w:t>
      </w:r>
    </w:p>
    <w:tbl>
      <w:tblPr>
        <w:tblStyle w:val="GridTable4-Accent1"/>
        <w:tblW w:w="5000" w:type="pct"/>
        <w:tblLook w:val="04A0" w:firstRow="1" w:lastRow="0" w:firstColumn="1" w:lastColumn="0" w:noHBand="0" w:noVBand="1"/>
      </w:tblPr>
      <w:tblGrid>
        <w:gridCol w:w="1772"/>
        <w:gridCol w:w="1349"/>
        <w:gridCol w:w="2182"/>
        <w:gridCol w:w="1879"/>
        <w:gridCol w:w="1879"/>
      </w:tblGrid>
      <w:tr w:rsidR="00250529" w:rsidRPr="00986D12" w14:paraId="1FC065A6" w14:textId="77777777" w:rsidTr="007B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3E07D931" w14:textId="77777777" w:rsidR="00250529" w:rsidRPr="00986D12" w:rsidRDefault="00250529" w:rsidP="00507BF5">
            <w:pPr>
              <w:pStyle w:val="Tabletitle0"/>
              <w:keepNext/>
              <w:rPr>
                <w:rFonts w:asciiTheme="minorHAnsi" w:hAnsiTheme="minorHAnsi" w:cstheme="minorHAnsi"/>
                <w:b/>
              </w:rPr>
            </w:pPr>
            <w:r w:rsidRPr="00986D12">
              <w:rPr>
                <w:rFonts w:asciiTheme="minorHAnsi" w:hAnsiTheme="minorHAnsi" w:cstheme="minorHAnsi"/>
                <w:b/>
              </w:rPr>
              <w:t xml:space="preserve">Region </w:t>
            </w:r>
          </w:p>
        </w:tc>
        <w:tc>
          <w:tcPr>
            <w:tcW w:w="1335" w:type="dxa"/>
          </w:tcPr>
          <w:p w14:paraId="4E240B82" w14:textId="77777777" w:rsidR="00250529" w:rsidRPr="00986D12" w:rsidRDefault="00250529" w:rsidP="00507BF5">
            <w:pPr>
              <w:pStyle w:val="Tabletitle0"/>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986D12">
              <w:rPr>
                <w:rFonts w:asciiTheme="minorHAnsi" w:hAnsiTheme="minorHAnsi" w:cstheme="minorHAnsi"/>
                <w:b/>
              </w:rPr>
              <w:t>General secretariat</w:t>
            </w:r>
          </w:p>
        </w:tc>
        <w:tc>
          <w:tcPr>
            <w:tcW w:w="2160" w:type="dxa"/>
          </w:tcPr>
          <w:p w14:paraId="57DA6AD8" w14:textId="77777777" w:rsidR="00250529" w:rsidRPr="00986D12" w:rsidRDefault="00250529" w:rsidP="00507BF5">
            <w:pPr>
              <w:pStyle w:val="Tabletitle0"/>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986D12">
              <w:rPr>
                <w:rFonts w:asciiTheme="minorHAnsi" w:hAnsiTheme="minorHAnsi" w:cstheme="minorHAnsi"/>
                <w:b/>
              </w:rPr>
              <w:t>BR</w:t>
            </w:r>
          </w:p>
        </w:tc>
        <w:tc>
          <w:tcPr>
            <w:tcW w:w="1860" w:type="dxa"/>
          </w:tcPr>
          <w:p w14:paraId="7141BA88" w14:textId="77777777" w:rsidR="00250529" w:rsidRPr="00986D12" w:rsidRDefault="00250529" w:rsidP="00507BF5">
            <w:pPr>
              <w:pStyle w:val="Tabletitle0"/>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986D12">
              <w:rPr>
                <w:rFonts w:asciiTheme="minorHAnsi" w:hAnsiTheme="minorHAnsi" w:cstheme="minorHAnsi"/>
                <w:b/>
              </w:rPr>
              <w:t>TSB</w:t>
            </w:r>
          </w:p>
        </w:tc>
        <w:tc>
          <w:tcPr>
            <w:tcW w:w="1860" w:type="dxa"/>
          </w:tcPr>
          <w:p w14:paraId="019DD9FD" w14:textId="77777777" w:rsidR="00250529" w:rsidRPr="00986D12" w:rsidRDefault="00250529" w:rsidP="00507BF5">
            <w:pPr>
              <w:pStyle w:val="Tabletitle0"/>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986D12">
              <w:rPr>
                <w:rFonts w:asciiTheme="minorHAnsi" w:hAnsiTheme="minorHAnsi" w:cstheme="minorHAnsi"/>
                <w:b/>
              </w:rPr>
              <w:t>BDT</w:t>
            </w:r>
          </w:p>
        </w:tc>
      </w:tr>
      <w:tr w:rsidR="00250529" w:rsidRPr="00986D12" w14:paraId="7A83F7EC" w14:textId="77777777" w:rsidTr="007B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330867A0" w14:textId="77777777" w:rsidR="00250529" w:rsidRPr="00986D12" w:rsidRDefault="00250529" w:rsidP="00507BF5">
            <w:pPr>
              <w:pStyle w:val="Texttable"/>
              <w:rPr>
                <w:rFonts w:asciiTheme="minorHAnsi" w:eastAsia="Avenir Nxt2 W1G" w:hAnsiTheme="minorHAnsi" w:cstheme="minorHAnsi"/>
              </w:rPr>
            </w:pPr>
            <w:proofErr w:type="spellStart"/>
            <w:r w:rsidRPr="00986D12">
              <w:rPr>
                <w:rFonts w:asciiTheme="minorHAnsi" w:eastAsia="Avenir Nxt2 W1G" w:hAnsiTheme="minorHAnsi" w:cstheme="minorHAnsi"/>
              </w:rPr>
              <w:t>AFR</w:t>
            </w:r>
            <w:proofErr w:type="spellEnd"/>
            <w:r w:rsidRPr="00986D12">
              <w:rPr>
                <w:rFonts w:asciiTheme="minorHAnsi" w:eastAsia="Avenir Nxt2 W1G" w:hAnsiTheme="minorHAnsi" w:cstheme="minorHAnsi"/>
              </w:rPr>
              <w:t xml:space="preserve"> </w:t>
            </w:r>
          </w:p>
        </w:tc>
        <w:tc>
          <w:tcPr>
            <w:tcW w:w="1335" w:type="dxa"/>
          </w:tcPr>
          <w:p w14:paraId="647C2DB1"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30%</w:t>
            </w:r>
          </w:p>
        </w:tc>
        <w:tc>
          <w:tcPr>
            <w:tcW w:w="2160" w:type="dxa"/>
          </w:tcPr>
          <w:p w14:paraId="0AF1C937"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7%</w:t>
            </w:r>
          </w:p>
        </w:tc>
        <w:tc>
          <w:tcPr>
            <w:tcW w:w="1860" w:type="dxa"/>
          </w:tcPr>
          <w:p w14:paraId="78C0FFF8"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14%</w:t>
            </w:r>
          </w:p>
        </w:tc>
        <w:tc>
          <w:tcPr>
            <w:tcW w:w="1860" w:type="dxa"/>
          </w:tcPr>
          <w:p w14:paraId="1F28C7C1"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lang w:val="en-US"/>
              </w:rPr>
              <w:t>48%</w:t>
            </w:r>
          </w:p>
        </w:tc>
      </w:tr>
      <w:tr w:rsidR="00250529" w:rsidRPr="00986D12" w14:paraId="1A303C7D" w14:textId="77777777" w:rsidTr="007B2205">
        <w:tc>
          <w:tcPr>
            <w:cnfStyle w:val="001000000000" w:firstRow="0" w:lastRow="0" w:firstColumn="1" w:lastColumn="0" w:oddVBand="0" w:evenVBand="0" w:oddHBand="0" w:evenHBand="0" w:firstRowFirstColumn="0" w:firstRowLastColumn="0" w:lastRowFirstColumn="0" w:lastRowLastColumn="0"/>
            <w:tcW w:w="1755" w:type="dxa"/>
          </w:tcPr>
          <w:p w14:paraId="33CB1D82" w14:textId="77777777" w:rsidR="00250529" w:rsidRPr="00986D12" w:rsidRDefault="00250529" w:rsidP="00507BF5">
            <w:pPr>
              <w:pStyle w:val="Texttable"/>
              <w:rPr>
                <w:rFonts w:asciiTheme="minorHAnsi" w:eastAsia="Avenir Nxt2 W1G" w:hAnsiTheme="minorHAnsi" w:cstheme="minorHAnsi"/>
              </w:rPr>
            </w:pPr>
            <w:r w:rsidRPr="00986D12">
              <w:rPr>
                <w:rFonts w:asciiTheme="minorHAnsi" w:eastAsia="Avenir Nxt2 W1G" w:hAnsiTheme="minorHAnsi" w:cstheme="minorHAnsi"/>
                <w:color w:val="000000" w:themeColor="text1"/>
              </w:rPr>
              <w:t xml:space="preserve">AMS </w:t>
            </w:r>
          </w:p>
        </w:tc>
        <w:tc>
          <w:tcPr>
            <w:tcW w:w="1335" w:type="dxa"/>
          </w:tcPr>
          <w:p w14:paraId="1237D8F9"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11%</w:t>
            </w:r>
          </w:p>
        </w:tc>
        <w:tc>
          <w:tcPr>
            <w:tcW w:w="2160" w:type="dxa"/>
          </w:tcPr>
          <w:p w14:paraId="038B8CA5"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2%</w:t>
            </w:r>
          </w:p>
        </w:tc>
        <w:tc>
          <w:tcPr>
            <w:tcW w:w="1860" w:type="dxa"/>
          </w:tcPr>
          <w:p w14:paraId="1B9F54A9"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7%</w:t>
            </w:r>
          </w:p>
        </w:tc>
        <w:tc>
          <w:tcPr>
            <w:tcW w:w="1860" w:type="dxa"/>
          </w:tcPr>
          <w:p w14:paraId="4A7F8C25"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lang w:val="en-US"/>
              </w:rPr>
              <w:t>79%</w:t>
            </w:r>
          </w:p>
        </w:tc>
      </w:tr>
      <w:tr w:rsidR="00250529" w:rsidRPr="00986D12" w14:paraId="74CBDE63" w14:textId="77777777" w:rsidTr="007B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478D411B" w14:textId="77777777" w:rsidR="00250529" w:rsidRPr="00986D12" w:rsidRDefault="00250529" w:rsidP="00507BF5">
            <w:pPr>
              <w:pStyle w:val="Texttable"/>
              <w:rPr>
                <w:rFonts w:asciiTheme="minorHAnsi" w:eastAsia="Avenir Nxt2 W1G" w:hAnsiTheme="minorHAnsi" w:cstheme="minorHAnsi"/>
              </w:rPr>
            </w:pPr>
            <w:r w:rsidRPr="00986D12">
              <w:rPr>
                <w:rFonts w:asciiTheme="minorHAnsi" w:eastAsia="Avenir Nxt2 W1G" w:hAnsiTheme="minorHAnsi" w:cstheme="minorHAnsi"/>
              </w:rPr>
              <w:t xml:space="preserve">ARB </w:t>
            </w:r>
          </w:p>
        </w:tc>
        <w:tc>
          <w:tcPr>
            <w:tcW w:w="1335" w:type="dxa"/>
          </w:tcPr>
          <w:p w14:paraId="11077D68"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11%</w:t>
            </w:r>
          </w:p>
        </w:tc>
        <w:tc>
          <w:tcPr>
            <w:tcW w:w="2160" w:type="dxa"/>
          </w:tcPr>
          <w:p w14:paraId="6762B507"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1%</w:t>
            </w:r>
          </w:p>
        </w:tc>
        <w:tc>
          <w:tcPr>
            <w:tcW w:w="1860" w:type="dxa"/>
          </w:tcPr>
          <w:p w14:paraId="50C7BADD"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2%</w:t>
            </w:r>
          </w:p>
        </w:tc>
        <w:tc>
          <w:tcPr>
            <w:tcW w:w="1860" w:type="dxa"/>
          </w:tcPr>
          <w:p w14:paraId="19588AA7"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lang w:val="en-US"/>
              </w:rPr>
              <w:t>86%</w:t>
            </w:r>
          </w:p>
        </w:tc>
      </w:tr>
      <w:tr w:rsidR="00250529" w:rsidRPr="00986D12" w14:paraId="5AD0D025" w14:textId="77777777" w:rsidTr="007B2205">
        <w:tc>
          <w:tcPr>
            <w:cnfStyle w:val="001000000000" w:firstRow="0" w:lastRow="0" w:firstColumn="1" w:lastColumn="0" w:oddVBand="0" w:evenVBand="0" w:oddHBand="0" w:evenHBand="0" w:firstRowFirstColumn="0" w:firstRowLastColumn="0" w:lastRowFirstColumn="0" w:lastRowLastColumn="0"/>
            <w:tcW w:w="1755" w:type="dxa"/>
          </w:tcPr>
          <w:p w14:paraId="4C1F853C" w14:textId="77777777" w:rsidR="00250529" w:rsidRPr="00986D12" w:rsidRDefault="00250529" w:rsidP="00507BF5">
            <w:pPr>
              <w:pStyle w:val="Texttable"/>
              <w:rPr>
                <w:rFonts w:asciiTheme="minorHAnsi" w:eastAsia="Avenir Nxt2 W1G" w:hAnsiTheme="minorHAnsi" w:cstheme="minorHAnsi"/>
                <w:color w:val="000000" w:themeColor="text1"/>
              </w:rPr>
            </w:pPr>
            <w:r w:rsidRPr="00986D12">
              <w:rPr>
                <w:rFonts w:asciiTheme="minorHAnsi" w:eastAsia="Avenir Nxt2 W1G" w:hAnsiTheme="minorHAnsi" w:cstheme="minorHAnsi"/>
                <w:color w:val="000000" w:themeColor="text1"/>
              </w:rPr>
              <w:t xml:space="preserve">ASP </w:t>
            </w:r>
          </w:p>
        </w:tc>
        <w:tc>
          <w:tcPr>
            <w:tcW w:w="1335" w:type="dxa"/>
          </w:tcPr>
          <w:p w14:paraId="70471FA4"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7%</w:t>
            </w:r>
          </w:p>
        </w:tc>
        <w:tc>
          <w:tcPr>
            <w:tcW w:w="2160" w:type="dxa"/>
          </w:tcPr>
          <w:p w14:paraId="7395D667"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4%</w:t>
            </w:r>
          </w:p>
        </w:tc>
        <w:tc>
          <w:tcPr>
            <w:tcW w:w="1860" w:type="dxa"/>
          </w:tcPr>
          <w:p w14:paraId="564F2920"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3%</w:t>
            </w:r>
          </w:p>
        </w:tc>
        <w:tc>
          <w:tcPr>
            <w:tcW w:w="1860" w:type="dxa"/>
          </w:tcPr>
          <w:p w14:paraId="35E98645"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lang w:val="en-US"/>
              </w:rPr>
              <w:t>86%</w:t>
            </w:r>
          </w:p>
        </w:tc>
      </w:tr>
      <w:tr w:rsidR="00250529" w:rsidRPr="00986D12" w14:paraId="36E56E7A" w14:textId="77777777" w:rsidTr="007B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17CDF56F" w14:textId="77777777" w:rsidR="00250529" w:rsidRPr="00986D12" w:rsidRDefault="00250529" w:rsidP="00507BF5">
            <w:pPr>
              <w:pStyle w:val="Texttable"/>
              <w:rPr>
                <w:rFonts w:asciiTheme="minorHAnsi" w:eastAsia="Avenir Nxt2 W1G" w:hAnsiTheme="minorHAnsi" w:cstheme="minorHAnsi"/>
                <w:color w:val="000000" w:themeColor="text1"/>
              </w:rPr>
            </w:pPr>
            <w:r w:rsidRPr="00986D12">
              <w:rPr>
                <w:rFonts w:asciiTheme="minorHAnsi" w:eastAsia="Avenir Nxt2 W1G" w:hAnsiTheme="minorHAnsi" w:cstheme="minorHAnsi"/>
              </w:rPr>
              <w:t xml:space="preserve">CIS </w:t>
            </w:r>
          </w:p>
        </w:tc>
        <w:tc>
          <w:tcPr>
            <w:tcW w:w="1335" w:type="dxa"/>
          </w:tcPr>
          <w:p w14:paraId="534D5C92"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10%</w:t>
            </w:r>
          </w:p>
        </w:tc>
        <w:tc>
          <w:tcPr>
            <w:tcW w:w="2160" w:type="dxa"/>
          </w:tcPr>
          <w:p w14:paraId="59E51E2F"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5%</w:t>
            </w:r>
          </w:p>
        </w:tc>
        <w:tc>
          <w:tcPr>
            <w:tcW w:w="1860" w:type="dxa"/>
          </w:tcPr>
          <w:p w14:paraId="45C3E669"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5%</w:t>
            </w:r>
          </w:p>
        </w:tc>
        <w:tc>
          <w:tcPr>
            <w:tcW w:w="1860" w:type="dxa"/>
          </w:tcPr>
          <w:p w14:paraId="076B3539" w14:textId="77777777" w:rsidR="00250529" w:rsidRPr="00986D12" w:rsidRDefault="00250529" w:rsidP="00507BF5">
            <w:pPr>
              <w:pStyle w:val="Texttable"/>
              <w:jc w:val="center"/>
              <w:cnfStyle w:val="000000100000" w:firstRow="0" w:lastRow="0" w:firstColumn="0" w:lastColumn="0" w:oddVBand="0" w:evenVBand="0" w:oddHBand="1"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lang w:val="en-US"/>
              </w:rPr>
              <w:t>80%</w:t>
            </w:r>
          </w:p>
        </w:tc>
      </w:tr>
      <w:tr w:rsidR="00250529" w:rsidRPr="00986D12" w14:paraId="4FEA4164" w14:textId="77777777" w:rsidTr="007B2205">
        <w:tc>
          <w:tcPr>
            <w:cnfStyle w:val="001000000000" w:firstRow="0" w:lastRow="0" w:firstColumn="1" w:lastColumn="0" w:oddVBand="0" w:evenVBand="0" w:oddHBand="0" w:evenHBand="0" w:firstRowFirstColumn="0" w:firstRowLastColumn="0" w:lastRowFirstColumn="0" w:lastRowLastColumn="0"/>
            <w:tcW w:w="1755" w:type="dxa"/>
          </w:tcPr>
          <w:p w14:paraId="1ACBFC97" w14:textId="77777777" w:rsidR="00250529" w:rsidRPr="00986D12" w:rsidRDefault="00250529" w:rsidP="00507BF5">
            <w:pPr>
              <w:pStyle w:val="Texttable"/>
              <w:rPr>
                <w:rFonts w:asciiTheme="minorHAnsi" w:eastAsia="Avenir Nxt2 W1G" w:hAnsiTheme="minorHAnsi" w:cstheme="minorHAnsi"/>
              </w:rPr>
            </w:pPr>
            <w:r w:rsidRPr="00986D12">
              <w:rPr>
                <w:rFonts w:asciiTheme="minorHAnsi" w:eastAsia="Avenir Nxt2 W1G" w:hAnsiTheme="minorHAnsi" w:cstheme="minorHAnsi"/>
                <w:color w:val="000000" w:themeColor="text1"/>
              </w:rPr>
              <w:t xml:space="preserve">EUR </w:t>
            </w:r>
          </w:p>
        </w:tc>
        <w:tc>
          <w:tcPr>
            <w:tcW w:w="1335" w:type="dxa"/>
          </w:tcPr>
          <w:p w14:paraId="1EA5DE29"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4%</w:t>
            </w:r>
          </w:p>
        </w:tc>
        <w:tc>
          <w:tcPr>
            <w:tcW w:w="2160" w:type="dxa"/>
          </w:tcPr>
          <w:p w14:paraId="5C48924D"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2%</w:t>
            </w:r>
          </w:p>
        </w:tc>
        <w:tc>
          <w:tcPr>
            <w:tcW w:w="1860" w:type="dxa"/>
          </w:tcPr>
          <w:p w14:paraId="672171C8"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rPr>
              <w:t>3%</w:t>
            </w:r>
          </w:p>
        </w:tc>
        <w:tc>
          <w:tcPr>
            <w:tcW w:w="1860" w:type="dxa"/>
          </w:tcPr>
          <w:p w14:paraId="0916EF62" w14:textId="77777777" w:rsidR="00250529" w:rsidRPr="00986D12" w:rsidRDefault="00250529" w:rsidP="00507BF5">
            <w:pPr>
              <w:pStyle w:val="Texttable"/>
              <w:jc w:val="center"/>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rPr>
            </w:pPr>
            <w:r w:rsidRPr="00986D12">
              <w:rPr>
                <w:rFonts w:asciiTheme="minorHAnsi" w:eastAsia="Avenir Nxt2 W1G" w:hAnsiTheme="minorHAnsi" w:cstheme="minorHAnsi"/>
                <w:lang w:val="en-US"/>
              </w:rPr>
              <w:t>91%</w:t>
            </w:r>
          </w:p>
        </w:tc>
      </w:tr>
    </w:tbl>
    <w:p w14:paraId="68DB7B68" w14:textId="77777777" w:rsidR="00250529" w:rsidRPr="00986D12" w:rsidRDefault="00250529" w:rsidP="00507BF5">
      <w:pPr>
        <w:pStyle w:val="Notes"/>
        <w:rPr>
          <w:rFonts w:asciiTheme="minorHAnsi" w:hAnsiTheme="minorHAnsi" w:cstheme="minorHAnsi"/>
        </w:rPr>
      </w:pPr>
      <w:r w:rsidRPr="00986D12">
        <w:rPr>
          <w:rFonts w:asciiTheme="minorHAnsi" w:eastAsia="Avenir Nxt2 W1G" w:hAnsiTheme="minorHAnsi" w:cstheme="minorHAnsi"/>
          <w:color w:val="000000" w:themeColor="text1"/>
        </w:rPr>
        <w:t xml:space="preserve">Source: Regional staff data was extracted from </w:t>
      </w:r>
      <w:r w:rsidRPr="00986D12">
        <w:rPr>
          <w:rFonts w:asciiTheme="minorHAnsi" w:hAnsiTheme="minorHAnsi" w:cstheme="minorHAnsi"/>
          <w:lang w:val="en-US"/>
        </w:rPr>
        <w:t>BDT time survey 2025</w:t>
      </w:r>
    </w:p>
    <w:p w14:paraId="471A3C11" w14:textId="77777777" w:rsidR="00250529" w:rsidRPr="00986D12" w:rsidRDefault="00250529" w:rsidP="00507BF5">
      <w:pPr>
        <w:pStyle w:val="Subtitle0"/>
        <w:jc w:val="center"/>
        <w:rPr>
          <w:rFonts w:asciiTheme="minorHAnsi" w:eastAsia="Avenir Nxt2 W1G" w:hAnsiTheme="minorHAnsi" w:cstheme="minorHAnsi"/>
          <w:lang w:val="en-US"/>
        </w:rPr>
      </w:pPr>
      <w:r w:rsidRPr="00986D12">
        <w:rPr>
          <w:rFonts w:asciiTheme="minorHAnsi" w:eastAsia="Avenir Nxt2 W1G" w:hAnsiTheme="minorHAnsi" w:cstheme="minorHAnsi"/>
          <w:lang w:val="en-US"/>
        </w:rPr>
        <w:t xml:space="preserve">Regional Staff </w:t>
      </w:r>
      <w:proofErr w:type="spellStart"/>
      <w:r w:rsidRPr="00986D12">
        <w:rPr>
          <w:rFonts w:asciiTheme="minorHAnsi" w:eastAsia="Avenir Nxt2 W1G" w:hAnsiTheme="minorHAnsi" w:cstheme="minorHAnsi"/>
          <w:lang w:val="en-US"/>
        </w:rPr>
        <w:t>contribution</w:t>
      </w:r>
      <w:r w:rsidRPr="00986D12">
        <w:rPr>
          <w:rFonts w:asciiTheme="minorHAnsi" w:hAnsiTheme="minorHAnsi" w:cstheme="minorHAnsi"/>
          <w:vertAlign w:val="superscript"/>
          <w:lang w:val="en-US"/>
        </w:rPr>
        <w:t>1</w:t>
      </w:r>
      <w:proofErr w:type="spellEnd"/>
      <w:r w:rsidRPr="00986D12">
        <w:rPr>
          <w:rFonts w:asciiTheme="minorHAnsi" w:eastAsia="Avenir Nxt2 W1G" w:hAnsiTheme="minorHAnsi" w:cstheme="minorHAnsi"/>
          <w:lang w:val="en-US"/>
        </w:rPr>
        <w:t xml:space="preserve"> to ITU thematic priorities for 2025 (Percentage of time)</w:t>
      </w:r>
    </w:p>
    <w:tbl>
      <w:tblPr>
        <w:tblStyle w:val="GridTable4-Accent1"/>
        <w:tblW w:w="5000" w:type="pct"/>
        <w:tblLook w:val="04A0" w:firstRow="1" w:lastRow="0" w:firstColumn="1" w:lastColumn="0" w:noHBand="0" w:noVBand="1"/>
      </w:tblPr>
      <w:tblGrid>
        <w:gridCol w:w="3477"/>
        <w:gridCol w:w="930"/>
        <w:gridCol w:w="930"/>
        <w:gridCol w:w="931"/>
        <w:gridCol w:w="931"/>
        <w:gridCol w:w="931"/>
        <w:gridCol w:w="931"/>
      </w:tblGrid>
      <w:tr w:rsidR="00250529" w:rsidRPr="007B2205" w14:paraId="7C31F4F7" w14:textId="77777777" w:rsidTr="007B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47F389C" w14:textId="77777777" w:rsidR="00250529" w:rsidRPr="007B2205" w:rsidRDefault="00250529" w:rsidP="007B2205">
            <w:pPr>
              <w:rPr>
                <w:rFonts w:eastAsia="Avenir Nxt2 W1G"/>
                <w:sz w:val="20"/>
                <w:szCs w:val="16"/>
              </w:rPr>
            </w:pPr>
            <w:r w:rsidRPr="007B2205">
              <w:rPr>
                <w:rFonts w:eastAsia="Avenir Nxt2 W1G"/>
                <w:sz w:val="20"/>
                <w:szCs w:val="16"/>
              </w:rPr>
              <w:t>Thematic Priority</w:t>
            </w:r>
            <w:r w:rsidRPr="007B2205">
              <w:rPr>
                <w:sz w:val="20"/>
                <w:szCs w:val="16"/>
              </w:rPr>
              <w:t> </w:t>
            </w:r>
            <w:r w:rsidRPr="007B2205">
              <w:rPr>
                <w:rFonts w:eastAsia="Avenir Nxt2 W1G"/>
                <w:sz w:val="20"/>
                <w:szCs w:val="16"/>
              </w:rPr>
              <w:t> </w:t>
            </w:r>
          </w:p>
        </w:tc>
        <w:tc>
          <w:tcPr>
            <w:tcW w:w="915" w:type="dxa"/>
            <w:hideMark/>
          </w:tcPr>
          <w:p w14:paraId="2FAB89BF"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rFonts w:eastAsia="Avenir Nxt2 W1G"/>
                <w:sz w:val="20"/>
                <w:szCs w:val="16"/>
              </w:rPr>
            </w:pPr>
            <w:proofErr w:type="spellStart"/>
            <w:r w:rsidRPr="007B2205">
              <w:rPr>
                <w:rFonts w:eastAsia="Avenir Nxt2 W1G"/>
                <w:sz w:val="20"/>
                <w:szCs w:val="16"/>
              </w:rPr>
              <w:t>AFR</w:t>
            </w:r>
            <w:proofErr w:type="spellEnd"/>
          </w:p>
        </w:tc>
        <w:tc>
          <w:tcPr>
            <w:tcW w:w="915" w:type="dxa"/>
            <w:hideMark/>
          </w:tcPr>
          <w:p w14:paraId="62D02C64"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AMS</w:t>
            </w:r>
          </w:p>
        </w:tc>
        <w:tc>
          <w:tcPr>
            <w:tcW w:w="915" w:type="dxa"/>
            <w:hideMark/>
          </w:tcPr>
          <w:p w14:paraId="6743E785"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ARB</w:t>
            </w:r>
          </w:p>
        </w:tc>
        <w:tc>
          <w:tcPr>
            <w:tcW w:w="915" w:type="dxa"/>
            <w:hideMark/>
          </w:tcPr>
          <w:p w14:paraId="3315C870"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ASP</w:t>
            </w:r>
          </w:p>
        </w:tc>
        <w:tc>
          <w:tcPr>
            <w:tcW w:w="915" w:type="dxa"/>
            <w:hideMark/>
          </w:tcPr>
          <w:p w14:paraId="65B73279"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CIS</w:t>
            </w:r>
          </w:p>
        </w:tc>
        <w:tc>
          <w:tcPr>
            <w:tcW w:w="915" w:type="dxa"/>
            <w:hideMark/>
          </w:tcPr>
          <w:p w14:paraId="4018383B" w14:textId="77777777" w:rsidR="00250529" w:rsidRPr="007B2205" w:rsidRDefault="00250529" w:rsidP="007B2205">
            <w:pPr>
              <w:cnfStyle w:val="100000000000" w:firstRow="1"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EUR</w:t>
            </w:r>
          </w:p>
        </w:tc>
      </w:tr>
      <w:tr w:rsidR="00250529" w:rsidRPr="007B2205" w14:paraId="25692664" w14:textId="77777777" w:rsidTr="007B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238F9727" w14:textId="77777777" w:rsidR="00250529" w:rsidRPr="007B2205" w:rsidRDefault="00250529" w:rsidP="007B2205">
            <w:pPr>
              <w:rPr>
                <w:rFonts w:eastAsia="Avenir Nxt2 W1G"/>
                <w:sz w:val="20"/>
                <w:szCs w:val="16"/>
              </w:rPr>
            </w:pPr>
            <w:r w:rsidRPr="007B2205">
              <w:rPr>
                <w:rFonts w:eastAsia="Avenir Nxt2 W1G"/>
                <w:sz w:val="20"/>
                <w:szCs w:val="16"/>
              </w:rPr>
              <w:t>Spectrum for Space &amp; Terrestrial Services</w:t>
            </w:r>
            <w:r w:rsidRPr="007B2205">
              <w:rPr>
                <w:sz w:val="20"/>
                <w:szCs w:val="16"/>
              </w:rPr>
              <w:t> </w:t>
            </w:r>
            <w:r w:rsidRPr="007B2205">
              <w:rPr>
                <w:rFonts w:eastAsia="Avenir Nxt2 W1G"/>
                <w:sz w:val="20"/>
                <w:szCs w:val="16"/>
              </w:rPr>
              <w:t> </w:t>
            </w:r>
          </w:p>
        </w:tc>
        <w:tc>
          <w:tcPr>
            <w:tcW w:w="915" w:type="dxa"/>
            <w:hideMark/>
          </w:tcPr>
          <w:p w14:paraId="56A66A8A"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6.0%</w:t>
            </w:r>
          </w:p>
        </w:tc>
        <w:tc>
          <w:tcPr>
            <w:tcW w:w="915" w:type="dxa"/>
            <w:hideMark/>
          </w:tcPr>
          <w:p w14:paraId="495212E3"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1.5%</w:t>
            </w:r>
          </w:p>
        </w:tc>
        <w:tc>
          <w:tcPr>
            <w:tcW w:w="915" w:type="dxa"/>
            <w:hideMark/>
          </w:tcPr>
          <w:p w14:paraId="6CAB77BD"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0.7%</w:t>
            </w:r>
          </w:p>
        </w:tc>
        <w:tc>
          <w:tcPr>
            <w:tcW w:w="915" w:type="dxa"/>
            <w:hideMark/>
          </w:tcPr>
          <w:p w14:paraId="091D6F5F"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3.4%</w:t>
            </w:r>
          </w:p>
        </w:tc>
        <w:tc>
          <w:tcPr>
            <w:tcW w:w="915" w:type="dxa"/>
            <w:hideMark/>
          </w:tcPr>
          <w:p w14:paraId="49463D98"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4.1%</w:t>
            </w:r>
          </w:p>
        </w:tc>
        <w:tc>
          <w:tcPr>
            <w:tcW w:w="915" w:type="dxa"/>
            <w:hideMark/>
          </w:tcPr>
          <w:p w14:paraId="26B5BEE5"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1.6%</w:t>
            </w:r>
          </w:p>
        </w:tc>
      </w:tr>
      <w:tr w:rsidR="00250529" w:rsidRPr="007B2205" w14:paraId="441671C6" w14:textId="77777777" w:rsidTr="007B2205">
        <w:tc>
          <w:tcPr>
            <w:cnfStyle w:val="001000000000" w:firstRow="0" w:lastRow="0" w:firstColumn="1" w:lastColumn="0" w:oddVBand="0" w:evenVBand="0" w:oddHBand="0" w:evenHBand="0" w:firstRowFirstColumn="0" w:firstRowLastColumn="0" w:lastRowFirstColumn="0" w:lastRowLastColumn="0"/>
            <w:tcW w:w="3420" w:type="dxa"/>
            <w:hideMark/>
          </w:tcPr>
          <w:p w14:paraId="4DF2A3F1" w14:textId="77777777" w:rsidR="00250529" w:rsidRPr="007B2205" w:rsidRDefault="00250529" w:rsidP="007B2205">
            <w:pPr>
              <w:rPr>
                <w:rFonts w:eastAsia="Avenir Nxt2 W1G"/>
                <w:sz w:val="20"/>
                <w:szCs w:val="16"/>
              </w:rPr>
            </w:pPr>
            <w:r w:rsidRPr="007B2205">
              <w:rPr>
                <w:rFonts w:eastAsia="Avenir Nxt2 W1G"/>
                <w:sz w:val="20"/>
                <w:szCs w:val="16"/>
              </w:rPr>
              <w:t>International Telecommunication Numbering Resources</w:t>
            </w:r>
            <w:r w:rsidRPr="007B2205">
              <w:rPr>
                <w:sz w:val="20"/>
                <w:szCs w:val="16"/>
              </w:rPr>
              <w:t> </w:t>
            </w:r>
            <w:r w:rsidRPr="007B2205">
              <w:rPr>
                <w:rFonts w:eastAsia="Avenir Nxt2 W1G"/>
                <w:sz w:val="20"/>
                <w:szCs w:val="16"/>
              </w:rPr>
              <w:t> </w:t>
            </w:r>
          </w:p>
        </w:tc>
        <w:tc>
          <w:tcPr>
            <w:tcW w:w="915" w:type="dxa"/>
            <w:hideMark/>
          </w:tcPr>
          <w:p w14:paraId="708837AE"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0.7%</w:t>
            </w:r>
          </w:p>
        </w:tc>
        <w:tc>
          <w:tcPr>
            <w:tcW w:w="915" w:type="dxa"/>
            <w:hideMark/>
          </w:tcPr>
          <w:p w14:paraId="34CCF3F7"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0.4%</w:t>
            </w:r>
          </w:p>
        </w:tc>
        <w:tc>
          <w:tcPr>
            <w:tcW w:w="915" w:type="dxa"/>
            <w:hideMark/>
          </w:tcPr>
          <w:p w14:paraId="35B817FC"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0.1%</w:t>
            </w:r>
          </w:p>
        </w:tc>
        <w:tc>
          <w:tcPr>
            <w:tcW w:w="915" w:type="dxa"/>
            <w:hideMark/>
          </w:tcPr>
          <w:p w14:paraId="727CDC6F"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0.2%</w:t>
            </w:r>
          </w:p>
        </w:tc>
        <w:tc>
          <w:tcPr>
            <w:tcW w:w="915" w:type="dxa"/>
            <w:hideMark/>
          </w:tcPr>
          <w:p w14:paraId="3B218FE0"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0.2%</w:t>
            </w:r>
          </w:p>
        </w:tc>
        <w:tc>
          <w:tcPr>
            <w:tcW w:w="915" w:type="dxa"/>
            <w:hideMark/>
          </w:tcPr>
          <w:p w14:paraId="11996077"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0.1%</w:t>
            </w:r>
          </w:p>
        </w:tc>
      </w:tr>
      <w:tr w:rsidR="00250529" w:rsidRPr="007B2205" w14:paraId="7E50F3CA" w14:textId="77777777" w:rsidTr="007B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2C1789C7" w14:textId="77777777" w:rsidR="00250529" w:rsidRPr="007B2205" w:rsidRDefault="00250529" w:rsidP="007B2205">
            <w:pPr>
              <w:rPr>
                <w:rFonts w:eastAsia="Avenir Nxt2 W1G"/>
                <w:sz w:val="20"/>
                <w:szCs w:val="16"/>
              </w:rPr>
            </w:pPr>
            <w:r w:rsidRPr="007B2205">
              <w:rPr>
                <w:rFonts w:eastAsia="Avenir Nxt2 W1G"/>
                <w:sz w:val="20"/>
                <w:szCs w:val="16"/>
              </w:rPr>
              <w:t>Inclusive &amp; Secure Telecommunications / ICT Infrastructure &amp; Services</w:t>
            </w:r>
            <w:r w:rsidRPr="007B2205">
              <w:rPr>
                <w:sz w:val="20"/>
                <w:szCs w:val="16"/>
              </w:rPr>
              <w:t> </w:t>
            </w:r>
            <w:r w:rsidRPr="007B2205">
              <w:rPr>
                <w:rFonts w:eastAsia="Avenir Nxt2 W1G"/>
                <w:sz w:val="20"/>
                <w:szCs w:val="16"/>
              </w:rPr>
              <w:t> </w:t>
            </w:r>
          </w:p>
        </w:tc>
        <w:tc>
          <w:tcPr>
            <w:tcW w:w="915" w:type="dxa"/>
            <w:hideMark/>
          </w:tcPr>
          <w:p w14:paraId="1E0D70C2"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20.7%</w:t>
            </w:r>
          </w:p>
        </w:tc>
        <w:tc>
          <w:tcPr>
            <w:tcW w:w="915" w:type="dxa"/>
            <w:hideMark/>
          </w:tcPr>
          <w:p w14:paraId="04AB97AD"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27.8%</w:t>
            </w:r>
          </w:p>
        </w:tc>
        <w:tc>
          <w:tcPr>
            <w:tcW w:w="915" w:type="dxa"/>
            <w:hideMark/>
          </w:tcPr>
          <w:p w14:paraId="45E6691E"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28.1%</w:t>
            </w:r>
          </w:p>
        </w:tc>
        <w:tc>
          <w:tcPr>
            <w:tcW w:w="915" w:type="dxa"/>
            <w:hideMark/>
          </w:tcPr>
          <w:p w14:paraId="335B7040"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28.5%</w:t>
            </w:r>
          </w:p>
        </w:tc>
        <w:tc>
          <w:tcPr>
            <w:tcW w:w="915" w:type="dxa"/>
            <w:hideMark/>
          </w:tcPr>
          <w:p w14:paraId="55EE249C"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27.4%</w:t>
            </w:r>
          </w:p>
        </w:tc>
        <w:tc>
          <w:tcPr>
            <w:tcW w:w="915" w:type="dxa"/>
            <w:hideMark/>
          </w:tcPr>
          <w:p w14:paraId="2BFF5AF3"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29.9%</w:t>
            </w:r>
          </w:p>
        </w:tc>
      </w:tr>
      <w:tr w:rsidR="00250529" w:rsidRPr="007B2205" w14:paraId="5BC9CFCF" w14:textId="77777777" w:rsidTr="007B2205">
        <w:tc>
          <w:tcPr>
            <w:cnfStyle w:val="001000000000" w:firstRow="0" w:lastRow="0" w:firstColumn="1" w:lastColumn="0" w:oddVBand="0" w:evenVBand="0" w:oddHBand="0" w:evenHBand="0" w:firstRowFirstColumn="0" w:firstRowLastColumn="0" w:lastRowFirstColumn="0" w:lastRowLastColumn="0"/>
            <w:tcW w:w="3420" w:type="dxa"/>
            <w:hideMark/>
          </w:tcPr>
          <w:p w14:paraId="02A59295" w14:textId="77777777" w:rsidR="00250529" w:rsidRPr="007B2205" w:rsidRDefault="00250529" w:rsidP="007B2205">
            <w:pPr>
              <w:rPr>
                <w:rFonts w:eastAsia="Avenir Nxt2 W1G"/>
                <w:sz w:val="20"/>
                <w:szCs w:val="16"/>
              </w:rPr>
            </w:pPr>
            <w:r w:rsidRPr="007B2205">
              <w:rPr>
                <w:rFonts w:eastAsia="Avenir Nxt2 W1G"/>
                <w:sz w:val="20"/>
                <w:szCs w:val="16"/>
              </w:rPr>
              <w:t>Digital Applications</w:t>
            </w:r>
            <w:r w:rsidRPr="007B2205">
              <w:rPr>
                <w:sz w:val="20"/>
                <w:szCs w:val="16"/>
              </w:rPr>
              <w:t> </w:t>
            </w:r>
            <w:r w:rsidRPr="007B2205">
              <w:rPr>
                <w:rFonts w:eastAsia="Avenir Nxt2 W1G"/>
                <w:sz w:val="20"/>
                <w:szCs w:val="16"/>
              </w:rPr>
              <w:t> </w:t>
            </w:r>
          </w:p>
        </w:tc>
        <w:tc>
          <w:tcPr>
            <w:tcW w:w="915" w:type="dxa"/>
            <w:hideMark/>
          </w:tcPr>
          <w:p w14:paraId="24F51DE5"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20.2%</w:t>
            </w:r>
          </w:p>
        </w:tc>
        <w:tc>
          <w:tcPr>
            <w:tcW w:w="915" w:type="dxa"/>
            <w:hideMark/>
          </w:tcPr>
          <w:p w14:paraId="6A88A3C5"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27.7%</w:t>
            </w:r>
          </w:p>
        </w:tc>
        <w:tc>
          <w:tcPr>
            <w:tcW w:w="915" w:type="dxa"/>
            <w:hideMark/>
          </w:tcPr>
          <w:p w14:paraId="16FFBBA6"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28.0%</w:t>
            </w:r>
          </w:p>
        </w:tc>
        <w:tc>
          <w:tcPr>
            <w:tcW w:w="915" w:type="dxa"/>
            <w:hideMark/>
          </w:tcPr>
          <w:p w14:paraId="6BCE852D"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28.2%</w:t>
            </w:r>
          </w:p>
        </w:tc>
        <w:tc>
          <w:tcPr>
            <w:tcW w:w="915" w:type="dxa"/>
            <w:hideMark/>
          </w:tcPr>
          <w:p w14:paraId="6CD80030"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27.1%</w:t>
            </w:r>
          </w:p>
        </w:tc>
        <w:tc>
          <w:tcPr>
            <w:tcW w:w="915" w:type="dxa"/>
            <w:hideMark/>
          </w:tcPr>
          <w:p w14:paraId="358C208F" w14:textId="77777777" w:rsidR="00250529" w:rsidRPr="007B2205" w:rsidRDefault="00250529" w:rsidP="007B2205">
            <w:pPr>
              <w:cnfStyle w:val="000000000000" w:firstRow="0" w:lastRow="0" w:firstColumn="0" w:lastColumn="0" w:oddVBand="0" w:evenVBand="0" w:oddHBand="0" w:evenHBand="0" w:firstRowFirstColumn="0" w:firstRowLastColumn="0" w:lastRowFirstColumn="0" w:lastRowLastColumn="0"/>
              <w:rPr>
                <w:rFonts w:eastAsia="Avenir Nxt2 W1G"/>
                <w:sz w:val="20"/>
                <w:szCs w:val="16"/>
              </w:rPr>
            </w:pPr>
            <w:r w:rsidRPr="007B2205">
              <w:rPr>
                <w:rFonts w:eastAsia="Avenir Nxt2 W1G"/>
                <w:sz w:val="20"/>
                <w:szCs w:val="16"/>
              </w:rPr>
              <w:t>29.7%</w:t>
            </w:r>
          </w:p>
        </w:tc>
      </w:tr>
      <w:tr w:rsidR="00250529" w:rsidRPr="007B2205" w14:paraId="135469ED" w14:textId="77777777" w:rsidTr="007B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68362B70" w14:textId="77777777" w:rsidR="00250529" w:rsidRPr="007B2205" w:rsidRDefault="00250529" w:rsidP="007B2205">
            <w:pPr>
              <w:rPr>
                <w:rFonts w:eastAsia="Avenir Nxt2 W1G"/>
                <w:sz w:val="20"/>
                <w:szCs w:val="16"/>
              </w:rPr>
            </w:pPr>
            <w:r w:rsidRPr="007B2205">
              <w:rPr>
                <w:rFonts w:eastAsia="Avenir Nxt2 W1G"/>
                <w:sz w:val="20"/>
                <w:szCs w:val="16"/>
              </w:rPr>
              <w:t>Enabling Environment</w:t>
            </w:r>
            <w:r w:rsidRPr="007B2205">
              <w:rPr>
                <w:sz w:val="20"/>
                <w:szCs w:val="16"/>
              </w:rPr>
              <w:t> </w:t>
            </w:r>
            <w:r w:rsidRPr="007B2205">
              <w:rPr>
                <w:rFonts w:eastAsia="Avenir Nxt2 W1G"/>
                <w:sz w:val="20"/>
                <w:szCs w:val="16"/>
              </w:rPr>
              <w:t> </w:t>
            </w:r>
          </w:p>
        </w:tc>
        <w:tc>
          <w:tcPr>
            <w:tcW w:w="915" w:type="dxa"/>
            <w:hideMark/>
          </w:tcPr>
          <w:p w14:paraId="012D4F78"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22.2%</w:t>
            </w:r>
          </w:p>
        </w:tc>
        <w:tc>
          <w:tcPr>
            <w:tcW w:w="915" w:type="dxa"/>
            <w:hideMark/>
          </w:tcPr>
          <w:p w14:paraId="424E51A9"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31.2%</w:t>
            </w:r>
          </w:p>
        </w:tc>
        <w:tc>
          <w:tcPr>
            <w:tcW w:w="915" w:type="dxa"/>
            <w:hideMark/>
          </w:tcPr>
          <w:p w14:paraId="519F9A89"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32.3%</w:t>
            </w:r>
          </w:p>
        </w:tc>
        <w:tc>
          <w:tcPr>
            <w:tcW w:w="915" w:type="dxa"/>
            <w:hideMark/>
          </w:tcPr>
          <w:p w14:paraId="72F84C6A"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32.7%</w:t>
            </w:r>
          </w:p>
        </w:tc>
        <w:tc>
          <w:tcPr>
            <w:tcW w:w="915" w:type="dxa"/>
            <w:hideMark/>
          </w:tcPr>
          <w:p w14:paraId="3A9865C2"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31.3%</w:t>
            </w:r>
          </w:p>
        </w:tc>
        <w:tc>
          <w:tcPr>
            <w:tcW w:w="915" w:type="dxa"/>
            <w:hideMark/>
          </w:tcPr>
          <w:p w14:paraId="0384A902" w14:textId="77777777" w:rsidR="00250529" w:rsidRPr="007B2205" w:rsidRDefault="00250529" w:rsidP="007B2205">
            <w:pPr>
              <w:cnfStyle w:val="000000100000" w:firstRow="0" w:lastRow="0" w:firstColumn="0" w:lastColumn="0" w:oddVBand="0" w:evenVBand="0" w:oddHBand="1" w:evenHBand="0" w:firstRowFirstColumn="0" w:firstRowLastColumn="0" w:lastRowFirstColumn="0" w:lastRowLastColumn="0"/>
              <w:rPr>
                <w:rFonts w:eastAsia="Avenir Nxt2 W1G"/>
                <w:sz w:val="20"/>
                <w:szCs w:val="16"/>
              </w:rPr>
            </w:pPr>
            <w:r w:rsidRPr="007B2205">
              <w:rPr>
                <w:rFonts w:eastAsia="Avenir Nxt2 W1G"/>
                <w:sz w:val="20"/>
                <w:szCs w:val="16"/>
              </w:rPr>
              <w:t>34.3%</w:t>
            </w:r>
          </w:p>
        </w:tc>
      </w:tr>
    </w:tbl>
    <w:p w14:paraId="2870656B" w14:textId="77777777" w:rsidR="00250529" w:rsidRPr="00986D12" w:rsidRDefault="00250529" w:rsidP="00507BF5">
      <w:pPr>
        <w:pStyle w:val="Notes"/>
        <w:rPr>
          <w:rFonts w:asciiTheme="minorHAnsi" w:eastAsia="Avenir Nxt2 W1G" w:hAnsiTheme="minorHAnsi" w:cstheme="minorHAnsi"/>
        </w:rPr>
      </w:pPr>
      <w:r w:rsidRPr="00986D12">
        <w:rPr>
          <w:rFonts w:asciiTheme="minorHAnsi" w:eastAsia="Avenir Nxt2 W1G" w:hAnsiTheme="minorHAnsi" w:cstheme="minorHAnsi"/>
        </w:rPr>
        <w:t xml:space="preserve">Source: ITU-T, ITU-R ITU-D draft operational plans for 2026-2029 and 2024 performance report (Documents </w:t>
      </w:r>
      <w:hyperlink r:id="rId52" w:history="1">
        <w:r w:rsidRPr="00986D12">
          <w:rPr>
            <w:rStyle w:val="Hyperlink"/>
            <w:rFonts w:asciiTheme="minorHAnsi" w:eastAsia="Avenir Nxt2 W1G" w:hAnsiTheme="minorHAnsi" w:cstheme="minorHAnsi"/>
          </w:rPr>
          <w:t>TSAG-</w:t>
        </w:r>
        <w:proofErr w:type="spellStart"/>
        <w:r w:rsidRPr="00986D12">
          <w:rPr>
            <w:rStyle w:val="Hyperlink"/>
            <w:rFonts w:asciiTheme="minorHAnsi" w:eastAsia="Avenir Nxt2 W1G" w:hAnsiTheme="minorHAnsi" w:cstheme="minorHAnsi"/>
          </w:rPr>
          <w:t>TD137</w:t>
        </w:r>
        <w:proofErr w:type="spellEnd"/>
      </w:hyperlink>
      <w:r w:rsidRPr="00986D12">
        <w:rPr>
          <w:rFonts w:asciiTheme="minorHAnsi" w:eastAsia="Avenir Nxt2 W1G" w:hAnsiTheme="minorHAnsi" w:cstheme="minorHAnsi"/>
        </w:rPr>
        <w:t xml:space="preserve">, </w:t>
      </w:r>
      <w:hyperlink r:id="rId53" w:history="1">
        <w:r w:rsidRPr="00986D12">
          <w:rPr>
            <w:rStyle w:val="Hyperlink"/>
            <w:rFonts w:asciiTheme="minorHAnsi" w:eastAsia="Avenir Nxt2 W1G" w:hAnsiTheme="minorHAnsi" w:cstheme="minorHAnsi"/>
          </w:rPr>
          <w:t>RAG/37</w:t>
        </w:r>
      </w:hyperlink>
      <w:r w:rsidRPr="00986D12">
        <w:rPr>
          <w:rFonts w:asciiTheme="minorHAnsi" w:eastAsia="Avenir Nxt2 W1G" w:hAnsiTheme="minorHAnsi" w:cstheme="minorHAnsi"/>
        </w:rPr>
        <w:t xml:space="preserve">, </w:t>
      </w:r>
      <w:hyperlink r:id="rId54" w:tgtFrame="_blank" w:history="1">
        <w:proofErr w:type="spellStart"/>
        <w:r w:rsidRPr="00986D12">
          <w:rPr>
            <w:rStyle w:val="Hyperlink"/>
            <w:rFonts w:asciiTheme="minorHAnsi" w:eastAsia="Avenir Nxt2 W1G" w:hAnsiTheme="minorHAnsi" w:cstheme="minorHAnsi"/>
          </w:rPr>
          <w:t>TDAG</w:t>
        </w:r>
        <w:proofErr w:type="spellEnd"/>
        <w:r w:rsidRPr="00986D12">
          <w:rPr>
            <w:rStyle w:val="Hyperlink"/>
            <w:rFonts w:asciiTheme="minorHAnsi" w:eastAsia="Avenir Nxt2 W1G" w:hAnsiTheme="minorHAnsi" w:cstheme="minorHAnsi"/>
          </w:rPr>
          <w:t>-25/40</w:t>
        </w:r>
      </w:hyperlink>
      <w:r w:rsidRPr="00986D12">
        <w:rPr>
          <w:rFonts w:asciiTheme="minorHAnsi" w:eastAsia="Avenir Nxt2 W1G" w:hAnsiTheme="minorHAnsi" w:cstheme="minorHAnsi"/>
        </w:rPr>
        <w:t>) and regional staff data extracted from the BDT time survey 2025.</w:t>
      </w:r>
    </w:p>
    <w:p w14:paraId="3E99990C" w14:textId="03AC2BD1" w:rsidR="004F2F9C" w:rsidRPr="00986D12" w:rsidRDefault="00250529" w:rsidP="004F2F9C">
      <w:pPr>
        <w:pStyle w:val="Subtitle0"/>
        <w:rPr>
          <w:rFonts w:asciiTheme="minorHAnsi" w:hAnsiTheme="minorHAnsi" w:cstheme="minorHAnsi"/>
        </w:rPr>
      </w:pPr>
      <w:r w:rsidRPr="00986D12">
        <w:rPr>
          <w:rFonts w:asciiTheme="minorHAnsi" w:eastAsia="Avenir Nxt2 W1G" w:hAnsiTheme="minorHAnsi" w:cstheme="minorHAnsi"/>
        </w:rPr>
        <w:t xml:space="preserve">Conclusion  </w:t>
      </w:r>
    </w:p>
    <w:p w14:paraId="4F879264" w14:textId="42FDC33C" w:rsidR="00250529" w:rsidRPr="00986D12" w:rsidRDefault="00F32029" w:rsidP="005B5E68">
      <w:pPr>
        <w:jc w:val="both"/>
        <w:rPr>
          <w:rFonts w:asciiTheme="minorHAnsi" w:hAnsiTheme="minorHAnsi" w:cstheme="minorHAnsi"/>
        </w:rPr>
      </w:pPr>
      <w:r>
        <w:rPr>
          <w:rFonts w:asciiTheme="minorHAnsi" w:eastAsia="Avenir Nxt2 W1G" w:hAnsiTheme="minorHAnsi" w:cstheme="minorHAnsi"/>
        </w:rPr>
        <w:t xml:space="preserve">Evidence indicates that </w:t>
      </w:r>
      <w:r>
        <w:rPr>
          <w:rFonts w:asciiTheme="minorHAnsi" w:hAnsiTheme="minorHAnsi" w:cstheme="minorHAnsi"/>
        </w:rPr>
        <w:t>s</w:t>
      </w:r>
      <w:r w:rsidR="00250529" w:rsidRPr="00986D12">
        <w:rPr>
          <w:rFonts w:asciiTheme="minorHAnsi" w:hAnsiTheme="minorHAnsi" w:cstheme="minorHAnsi"/>
        </w:rPr>
        <w:t>taff work/performance plans are anchored in the Strategic Plan and Kigali Action Plan through standardized templates, supervisory verification and performance assessment criteria. The alignment framework supports coherence, accountability and institutional consistency across the regional presence.</w:t>
      </w:r>
    </w:p>
    <w:p w14:paraId="1F07DA7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To better capture the contribution of ITU staff time and effort towards planned Outputs, in alignment with Result Based Management, the following may be considered:</w:t>
      </w:r>
    </w:p>
    <w:p w14:paraId="417B2E91" w14:textId="380599A8" w:rsidR="00250529" w:rsidRPr="001226FF" w:rsidRDefault="008C431B" w:rsidP="008C431B">
      <w:pPr>
        <w:pStyle w:val="Bulletlist"/>
        <w:numPr>
          <w:ilvl w:val="0"/>
          <w:numId w:val="0"/>
        </w:numPr>
        <w:ind w:left="720" w:hanging="360"/>
        <w:jc w:val="both"/>
        <w:rPr>
          <w:rFonts w:asciiTheme="minorHAnsi" w:eastAsia="Times New Roman" w:hAnsiTheme="minorHAnsi" w:cstheme="minorHAnsi"/>
          <w:sz w:val="24"/>
          <w:szCs w:val="20"/>
          <w:lang w:eastAsia="en-US"/>
        </w:rPr>
      </w:pPr>
      <w:r w:rsidRPr="001226FF">
        <w:rPr>
          <w:rFonts w:ascii="Symbol" w:eastAsia="Times New Roman" w:hAnsi="Symbol" w:cstheme="minorHAnsi"/>
          <w:sz w:val="24"/>
          <w:szCs w:val="20"/>
          <w:lang w:eastAsia="en-US"/>
        </w:rPr>
        <w:t></w:t>
      </w:r>
      <w:r w:rsidRPr="001226FF">
        <w:rPr>
          <w:rFonts w:ascii="Symbol" w:eastAsia="Times New Roman" w:hAnsi="Symbol" w:cstheme="minorHAnsi"/>
          <w:sz w:val="24"/>
          <w:szCs w:val="20"/>
          <w:lang w:eastAsia="en-US"/>
        </w:rPr>
        <w:tab/>
      </w:r>
      <w:r w:rsidR="00250529" w:rsidRPr="001226FF">
        <w:rPr>
          <w:rFonts w:asciiTheme="minorHAnsi" w:eastAsia="Times New Roman" w:hAnsiTheme="minorHAnsi" w:cstheme="minorHAnsi"/>
          <w:sz w:val="24"/>
          <w:szCs w:val="20"/>
          <w:lang w:eastAsia="en-US"/>
        </w:rPr>
        <w:t>integrating the yearly time surveys component into the individual workplans as reflected in ITU’s electronic Performance Management and Development System (e-</w:t>
      </w:r>
      <w:proofErr w:type="spellStart"/>
      <w:r w:rsidR="00250529" w:rsidRPr="001226FF">
        <w:rPr>
          <w:rFonts w:asciiTheme="minorHAnsi" w:eastAsia="Times New Roman" w:hAnsiTheme="minorHAnsi" w:cstheme="minorHAnsi"/>
          <w:sz w:val="24"/>
          <w:szCs w:val="20"/>
          <w:lang w:eastAsia="en-US"/>
        </w:rPr>
        <w:t>PMDS</w:t>
      </w:r>
      <w:proofErr w:type="spellEnd"/>
      <w:r w:rsidR="00250529" w:rsidRPr="001226FF">
        <w:rPr>
          <w:rFonts w:asciiTheme="minorHAnsi" w:eastAsia="Times New Roman" w:hAnsiTheme="minorHAnsi" w:cstheme="minorHAnsi"/>
          <w:sz w:val="24"/>
          <w:szCs w:val="20"/>
          <w:lang w:eastAsia="en-US"/>
        </w:rPr>
        <w:t>).</w:t>
      </w:r>
    </w:p>
    <w:p w14:paraId="5DB0DDF2" w14:textId="0B32D442" w:rsidR="00250529" w:rsidRPr="001226FF" w:rsidRDefault="008C431B" w:rsidP="008C431B">
      <w:pPr>
        <w:pStyle w:val="Bulletlist"/>
        <w:numPr>
          <w:ilvl w:val="0"/>
          <w:numId w:val="0"/>
        </w:numPr>
        <w:ind w:left="720" w:hanging="360"/>
        <w:jc w:val="both"/>
        <w:rPr>
          <w:rFonts w:asciiTheme="minorHAnsi" w:eastAsia="Times New Roman" w:hAnsiTheme="minorHAnsi" w:cstheme="minorHAnsi"/>
          <w:sz w:val="24"/>
          <w:szCs w:val="20"/>
          <w:lang w:eastAsia="en-US"/>
        </w:rPr>
      </w:pPr>
      <w:r w:rsidRPr="001226FF">
        <w:rPr>
          <w:rFonts w:ascii="Symbol" w:eastAsia="Times New Roman" w:hAnsi="Symbol" w:cstheme="minorHAnsi"/>
          <w:sz w:val="24"/>
          <w:szCs w:val="20"/>
          <w:lang w:eastAsia="en-US"/>
        </w:rPr>
        <w:lastRenderedPageBreak/>
        <w:t></w:t>
      </w:r>
      <w:r w:rsidRPr="001226FF">
        <w:rPr>
          <w:rFonts w:ascii="Symbol" w:eastAsia="Times New Roman" w:hAnsi="Symbol" w:cstheme="minorHAnsi"/>
          <w:sz w:val="24"/>
          <w:szCs w:val="20"/>
          <w:lang w:eastAsia="en-US"/>
        </w:rPr>
        <w:tab/>
      </w:r>
      <w:r w:rsidR="00250529" w:rsidRPr="001226FF">
        <w:rPr>
          <w:rFonts w:asciiTheme="minorHAnsi" w:eastAsia="Times New Roman" w:hAnsiTheme="minorHAnsi" w:cstheme="minorHAnsi"/>
          <w:sz w:val="24"/>
          <w:szCs w:val="20"/>
          <w:lang w:eastAsia="en-US"/>
        </w:rPr>
        <w:t>ensuring that the ITU outputs as defined in the draft four-year rolling operation plan align with future sector action plans.</w:t>
      </w:r>
    </w:p>
    <w:p w14:paraId="653F6507"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Data Sources</w:t>
      </w:r>
    </w:p>
    <w:p w14:paraId="4C13AEC2" w14:textId="794946EC"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Annual Report on the implementation of the strategic plan and the activities of the Union 2024, Council Document </w:t>
      </w:r>
      <w:hyperlink r:id="rId55" w:history="1">
        <w:proofErr w:type="spellStart"/>
        <w:r w:rsidR="00250529" w:rsidRPr="008C431B">
          <w:rPr>
            <w:rStyle w:val="Hyperlink"/>
            <w:rFonts w:asciiTheme="minorHAnsi" w:hAnsiTheme="minorHAnsi" w:cstheme="minorHAnsi"/>
          </w:rPr>
          <w:t>C25</w:t>
        </w:r>
        <w:proofErr w:type="spellEnd"/>
        <w:r w:rsidR="00250529" w:rsidRPr="008C431B">
          <w:rPr>
            <w:rStyle w:val="Hyperlink"/>
            <w:rFonts w:asciiTheme="minorHAnsi" w:hAnsiTheme="minorHAnsi" w:cstheme="minorHAnsi"/>
          </w:rPr>
          <w:t>/35</w:t>
        </w:r>
      </w:hyperlink>
    </w:p>
    <w:p w14:paraId="2A2433ED" w14:textId="06B8FA87"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2.</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Initial draft performance indicators for strategic plan 2028-2031, Council Working Group 2025 Document </w:t>
      </w:r>
      <w:hyperlink r:id="rId56" w:history="1">
        <w:r w:rsidR="00250529" w:rsidRPr="008C431B">
          <w:rPr>
            <w:rStyle w:val="Hyperlink"/>
            <w:rFonts w:asciiTheme="minorHAnsi" w:hAnsiTheme="minorHAnsi" w:cstheme="minorHAnsi"/>
          </w:rPr>
          <w:t>CWG-SFP-3/7</w:t>
        </w:r>
      </w:hyperlink>
    </w:p>
    <w:p w14:paraId="49E8D0B5" w14:textId="59692421"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Linking ITU strategic, financial and operational plans, Council Working Group 2025 Document </w:t>
      </w:r>
      <w:hyperlink r:id="rId57" w:history="1">
        <w:r w:rsidR="00250529" w:rsidRPr="008C431B">
          <w:rPr>
            <w:rStyle w:val="Hyperlink"/>
            <w:rFonts w:asciiTheme="minorHAnsi" w:hAnsiTheme="minorHAnsi" w:cstheme="minorHAnsi"/>
          </w:rPr>
          <w:t>CWG-SFP-3/6</w:t>
        </w:r>
      </w:hyperlink>
    </w:p>
    <w:p w14:paraId="039B7FC8" w14:textId="5D761F14"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4.</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ITU-R draft operational plan for 2026-2029 and 2024 performance report RAG 2025 Document </w:t>
      </w:r>
      <w:hyperlink r:id="rId58" w:history="1">
        <w:r w:rsidR="00250529" w:rsidRPr="008C431B">
          <w:rPr>
            <w:rStyle w:val="Hyperlink"/>
            <w:rFonts w:asciiTheme="minorHAnsi" w:hAnsiTheme="minorHAnsi" w:cstheme="minorHAnsi"/>
          </w:rPr>
          <w:t>RAG/37</w:t>
        </w:r>
      </w:hyperlink>
    </w:p>
    <w:p w14:paraId="7F81CED4" w14:textId="0402658E"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5.</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ITU-T draft operational plan for 2026-2029 and 2024 performance report TSAG 2025 Document </w:t>
      </w:r>
      <w:hyperlink r:id="rId59" w:history="1">
        <w:r w:rsidR="00250529" w:rsidRPr="008C431B">
          <w:rPr>
            <w:rStyle w:val="Hyperlink"/>
            <w:rFonts w:asciiTheme="minorHAnsi" w:hAnsiTheme="minorHAnsi" w:cstheme="minorHAnsi"/>
          </w:rPr>
          <w:t>TSAG-</w:t>
        </w:r>
        <w:proofErr w:type="spellStart"/>
        <w:r w:rsidR="00250529" w:rsidRPr="008C431B">
          <w:rPr>
            <w:rStyle w:val="Hyperlink"/>
            <w:rFonts w:asciiTheme="minorHAnsi" w:hAnsiTheme="minorHAnsi" w:cstheme="minorHAnsi"/>
          </w:rPr>
          <w:t>TD137</w:t>
        </w:r>
        <w:proofErr w:type="spellEnd"/>
      </w:hyperlink>
    </w:p>
    <w:p w14:paraId="31E89D8B" w14:textId="3408A966"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6.</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ITU-D draft operational plan for 2026-2029 and 2024 performance report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xml:space="preserve"> 2025 Document </w:t>
      </w:r>
      <w:hyperlink r:id="rId60" w:history="1">
        <w:proofErr w:type="spellStart"/>
        <w:r w:rsidR="00250529" w:rsidRPr="008C431B">
          <w:rPr>
            <w:rStyle w:val="Hyperlink"/>
            <w:rFonts w:asciiTheme="minorHAnsi" w:hAnsiTheme="minorHAnsi" w:cstheme="minorHAnsi"/>
          </w:rPr>
          <w:t>TDAG</w:t>
        </w:r>
        <w:proofErr w:type="spellEnd"/>
        <w:r w:rsidR="00250529" w:rsidRPr="008C431B">
          <w:rPr>
            <w:rStyle w:val="Hyperlink"/>
            <w:rFonts w:asciiTheme="minorHAnsi" w:hAnsiTheme="minorHAnsi" w:cstheme="minorHAnsi"/>
          </w:rPr>
          <w:t>-25/40</w:t>
        </w:r>
      </w:hyperlink>
    </w:p>
    <w:p w14:paraId="43F0A128" w14:textId="66D8566C"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7.</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BDT Time survey 2025 (internal)</w:t>
      </w:r>
    </w:p>
    <w:p w14:paraId="01635633" w14:textId="59989B62"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8.</w:t>
      </w:r>
      <w:r w:rsidRPr="00986D12">
        <w:rPr>
          <w:rFonts w:asciiTheme="minorHAnsi" w:eastAsia="Aptos" w:hAnsiTheme="minorHAnsi" w:cstheme="minorHAnsi"/>
          <w:kern w:val="2"/>
          <w:sz w:val="22"/>
          <w:szCs w:val="22"/>
          <w14:ligatures w14:val="standardContextual"/>
        </w:rPr>
        <w:tab/>
      </w:r>
      <w:hyperlink r:id="rId61" w:history="1">
        <w:r w:rsidR="00250529" w:rsidRPr="008C431B">
          <w:rPr>
            <w:rStyle w:val="Hyperlink"/>
            <w:rFonts w:asciiTheme="minorHAnsi" w:hAnsiTheme="minorHAnsi" w:cstheme="minorHAnsi"/>
          </w:rPr>
          <w:t>Draft four year rolling operational plan for the Union for 2024-2027</w:t>
        </w:r>
      </w:hyperlink>
    </w:p>
    <w:p w14:paraId="5AEE8DC2" w14:textId="53D3ACA9"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9.</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Liaison statement from the Council Working Group on financial and human resources to Sector Advisory Groups and the Inter-Sector Coordination Group – Strengthening Sector Membership engagement and revenues, Document </w:t>
      </w:r>
      <w:hyperlink r:id="rId62" w:history="1">
        <w:proofErr w:type="spellStart"/>
        <w:r w:rsidR="00250529" w:rsidRPr="008C431B">
          <w:rPr>
            <w:rStyle w:val="Hyperlink"/>
            <w:rFonts w:asciiTheme="minorHAnsi" w:hAnsiTheme="minorHAnsi" w:cstheme="minorHAnsi"/>
          </w:rPr>
          <w:t>TDAG</w:t>
        </w:r>
        <w:proofErr w:type="spellEnd"/>
        <w:r w:rsidR="00250529" w:rsidRPr="008C431B">
          <w:rPr>
            <w:rStyle w:val="Hyperlink"/>
            <w:rFonts w:asciiTheme="minorHAnsi" w:hAnsiTheme="minorHAnsi" w:cstheme="minorHAnsi"/>
          </w:rPr>
          <w:t>-25/37</w:t>
        </w:r>
      </w:hyperlink>
    </w:p>
    <w:p w14:paraId="0CC14444" w14:textId="63418526"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10.</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Report on the implementation of the Kigali Action Plan (KAP), WTDC-25 Document </w:t>
      </w:r>
      <w:hyperlink r:id="rId63" w:history="1">
        <w:r w:rsidR="00250529" w:rsidRPr="008C431B">
          <w:rPr>
            <w:rStyle w:val="Hyperlink"/>
            <w:rFonts w:asciiTheme="minorHAnsi" w:hAnsiTheme="minorHAnsi" w:cstheme="minorHAnsi"/>
          </w:rPr>
          <w:t>WTDC-25/2</w:t>
        </w:r>
      </w:hyperlink>
    </w:p>
    <w:p w14:paraId="6D649C26" w14:textId="30F260D7"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Progress report on the implementation of the human resources transformation plan and of Resolution 48 (Rev. Bucharest, 2022), Council Document </w:t>
      </w:r>
      <w:hyperlink r:id="rId64" w:history="1">
        <w:proofErr w:type="spellStart"/>
        <w:r w:rsidR="00250529" w:rsidRPr="008C431B">
          <w:rPr>
            <w:rStyle w:val="Hyperlink"/>
            <w:rFonts w:asciiTheme="minorHAnsi" w:hAnsiTheme="minorHAnsi" w:cstheme="minorHAnsi"/>
          </w:rPr>
          <w:t>C25</w:t>
        </w:r>
        <w:proofErr w:type="spellEnd"/>
        <w:r w:rsidR="00250529" w:rsidRPr="008C431B">
          <w:rPr>
            <w:rStyle w:val="Hyperlink"/>
            <w:rFonts w:asciiTheme="minorHAnsi" w:hAnsiTheme="minorHAnsi" w:cstheme="minorHAnsi"/>
          </w:rPr>
          <w:t>/66</w:t>
        </w:r>
      </w:hyperlink>
    </w:p>
    <w:p w14:paraId="47C74787" w14:textId="33F2A63E" w:rsidR="00250529" w:rsidRPr="008C431B" w:rsidRDefault="008C431B" w:rsidP="008C431B">
      <w:pPr>
        <w:spacing w:before="60" w:after="60"/>
        <w:ind w:left="720" w:hanging="360"/>
        <w:jc w:val="both"/>
        <w:rPr>
          <w:rFonts w:asciiTheme="minorHAnsi" w:hAnsiTheme="minorHAnsi" w:cstheme="minorHAnsi"/>
          <w:color w:val="000000" w:themeColor="text1"/>
        </w:rPr>
      </w:pPr>
      <w:r w:rsidRPr="00986D12">
        <w:rPr>
          <w:rFonts w:asciiTheme="minorHAnsi" w:eastAsia="Aptos" w:hAnsiTheme="minorHAnsi" w:cstheme="minorHAnsi"/>
          <w:color w:val="000000" w:themeColor="text1"/>
          <w:kern w:val="2"/>
          <w:sz w:val="22"/>
          <w:szCs w:val="22"/>
          <w14:ligatures w14:val="standardContextual"/>
        </w:rPr>
        <w:t>12.</w:t>
      </w:r>
      <w:r w:rsidRPr="00986D12">
        <w:rPr>
          <w:rFonts w:asciiTheme="minorHAnsi" w:eastAsia="Aptos" w:hAnsiTheme="minorHAnsi" w:cstheme="minorHAnsi"/>
          <w:color w:val="000000" w:themeColor="text1"/>
          <w:kern w:val="2"/>
          <w:sz w:val="22"/>
          <w:szCs w:val="22"/>
          <w14:ligatures w14:val="standardContextual"/>
        </w:rPr>
        <w:tab/>
      </w:r>
      <w:r w:rsidR="00250529" w:rsidRPr="008C431B">
        <w:rPr>
          <w:rFonts w:asciiTheme="minorHAnsi" w:hAnsiTheme="minorHAnsi" w:cstheme="minorHAnsi"/>
        </w:rPr>
        <w:t>Report</w:t>
      </w:r>
      <w:r w:rsidR="00250529" w:rsidRPr="008C431B">
        <w:rPr>
          <w:rFonts w:asciiTheme="minorHAnsi" w:hAnsiTheme="minorHAnsi" w:cstheme="minorHAnsi"/>
          <w:color w:val="000000" w:themeColor="text1"/>
        </w:rPr>
        <w:t xml:space="preserve"> on implementation and current text of PP Resolutions </w:t>
      </w:r>
      <w:hyperlink r:id="rId65">
        <w:r w:rsidR="00250529" w:rsidRPr="008C431B">
          <w:rPr>
            <w:rStyle w:val="Hyperlink"/>
            <w:rFonts w:asciiTheme="minorHAnsi" w:eastAsia="Avenir Nxt2 W1G" w:hAnsiTheme="minorHAnsi" w:cstheme="minorHAnsi"/>
          </w:rPr>
          <w:t>https://</w:t>
        </w:r>
        <w:proofErr w:type="spellStart"/>
        <w:r w:rsidR="00250529" w:rsidRPr="008C431B">
          <w:rPr>
            <w:rStyle w:val="Hyperlink"/>
            <w:rFonts w:asciiTheme="minorHAnsi" w:eastAsia="Avenir Nxt2 W1G" w:hAnsiTheme="minorHAnsi" w:cstheme="minorHAnsi"/>
          </w:rPr>
          <w:t>www.itu.int</w:t>
        </w:r>
        <w:proofErr w:type="spellEnd"/>
        <w:r w:rsidR="00250529" w:rsidRPr="008C431B">
          <w:rPr>
            <w:rStyle w:val="Hyperlink"/>
            <w:rFonts w:asciiTheme="minorHAnsi" w:eastAsia="Avenir Nxt2 W1G" w:hAnsiTheme="minorHAnsi" w:cstheme="minorHAnsi"/>
          </w:rPr>
          <w:t>/</w:t>
        </w:r>
        <w:proofErr w:type="spellStart"/>
        <w:r w:rsidR="00250529" w:rsidRPr="008C431B">
          <w:rPr>
            <w:rStyle w:val="Hyperlink"/>
            <w:rFonts w:asciiTheme="minorHAnsi" w:eastAsia="Avenir Nxt2 W1G" w:hAnsiTheme="minorHAnsi" w:cstheme="minorHAnsi"/>
          </w:rPr>
          <w:t>net4</w:t>
        </w:r>
        <w:proofErr w:type="spellEnd"/>
        <w:r w:rsidR="00250529" w:rsidRPr="008C431B">
          <w:rPr>
            <w:rStyle w:val="Hyperlink"/>
            <w:rFonts w:asciiTheme="minorHAnsi" w:eastAsia="Avenir Nxt2 W1G" w:hAnsiTheme="minorHAnsi" w:cstheme="minorHAnsi"/>
          </w:rPr>
          <w:t>/Search/</w:t>
        </w:r>
        <w:proofErr w:type="spellStart"/>
        <w:r w:rsidR="00250529" w:rsidRPr="008C431B">
          <w:rPr>
            <w:rStyle w:val="Hyperlink"/>
            <w:rFonts w:asciiTheme="minorHAnsi" w:eastAsia="Avenir Nxt2 W1G" w:hAnsiTheme="minorHAnsi" w:cstheme="minorHAnsi"/>
          </w:rPr>
          <w:t>CL25</w:t>
        </w:r>
        <w:proofErr w:type="spellEnd"/>
        <w:r w:rsidR="00250529" w:rsidRPr="008C431B">
          <w:rPr>
            <w:rStyle w:val="Hyperlink"/>
            <w:rFonts w:asciiTheme="minorHAnsi" w:eastAsia="Avenir Nxt2 W1G" w:hAnsiTheme="minorHAnsi" w:cstheme="minorHAnsi"/>
          </w:rPr>
          <w:t>/Main/Reader</w:t>
        </w:r>
      </w:hyperlink>
    </w:p>
    <w:p w14:paraId="430FEB45" w14:textId="77777777" w:rsidR="00250529" w:rsidRPr="00986D12" w:rsidRDefault="00250529" w:rsidP="005B5E68">
      <w:pPr>
        <w:pStyle w:val="KPItitle"/>
        <w:jc w:val="both"/>
        <w:rPr>
          <w:rFonts w:asciiTheme="minorHAnsi" w:hAnsiTheme="minorHAnsi" w:cstheme="minorHAnsi"/>
        </w:rPr>
      </w:pPr>
      <w:bookmarkStart w:id="104" w:name="_Toc224213047"/>
      <w:bookmarkStart w:id="105" w:name="_Toc224236478"/>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 The average time taken for Regional and Area Office staff to complete Member State requests for assistance</w:t>
      </w:r>
      <w:bookmarkEnd w:id="104"/>
      <w:bookmarkEnd w:id="105"/>
    </w:p>
    <w:p w14:paraId="54C19F1D" w14:textId="77777777" w:rsidR="00250529" w:rsidRPr="00986D12" w:rsidRDefault="00250529" w:rsidP="005B5E68">
      <w:pPr>
        <w:jc w:val="both"/>
        <w:rPr>
          <w:rFonts w:asciiTheme="minorHAnsi" w:hAnsiTheme="minorHAnsi" w:cstheme="minorHAnsi"/>
        </w:rPr>
      </w:pPr>
      <w:proofErr w:type="spellStart"/>
      <w:r w:rsidRPr="00986D12">
        <w:rPr>
          <w:rFonts w:asciiTheme="minorHAnsi" w:eastAsia="Avenir Nxt2 W1G" w:hAnsiTheme="minorHAnsi" w:cstheme="minorHAnsi"/>
          <w:color w:val="000000" w:themeColor="text1"/>
        </w:rPr>
        <w:t>KPI</w:t>
      </w:r>
      <w:proofErr w:type="spellEnd"/>
      <w:r w:rsidRPr="00986D12">
        <w:rPr>
          <w:rFonts w:asciiTheme="minorHAnsi" w:eastAsia="Avenir Nxt2 W1G" w:hAnsiTheme="minorHAnsi" w:cstheme="minorHAnsi"/>
          <w:color w:val="000000" w:themeColor="text1"/>
        </w:rPr>
        <w:t xml:space="preserve"> 3 provides insight into the responsiveness and operational efficiency of the ITU Regional and Area Offices in delivering technical assistance, policy support, and capacity-building activities to ITU Member States. The analysis conducted indicates that the average response time to requests from Member States varies significantly depending on the nature of the request, as well as on the availability of funds to cover the request for assistance. While no single defined average time is listed across all ITU Regional and Area offices, the requests are frequently acknowledged and managed within a daily, weekly, and monthly timeframe depending on urgency. </w:t>
      </w:r>
    </w:p>
    <w:p w14:paraId="23020EB4"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 xml:space="preserve">Regional and Area Offices normally provide initial acknowledgement within days, but substantive responses may take several weeks or months to ensure that the response is comprehensive and accurate, reflecting the request from a Member State. Some Member State requests which are received at ITU Headquarters are submitted to Regional Offices and responded to accordingly. </w:t>
      </w:r>
    </w:p>
    <w:p w14:paraId="20FAC9D6" w14:textId="5ABA62C2" w:rsidR="00250529" w:rsidRPr="00986D12" w:rsidRDefault="00250529" w:rsidP="005B5E68">
      <w:pPr>
        <w:jc w:val="both"/>
        <w:rPr>
          <w:rFonts w:asciiTheme="minorHAnsi" w:hAnsiTheme="minorHAnsi" w:cstheme="minorBidi"/>
        </w:rPr>
      </w:pPr>
      <w:r w:rsidRPr="3ABAAE00">
        <w:rPr>
          <w:rFonts w:asciiTheme="minorHAnsi" w:eastAsia="Avenir Nxt2 W1G" w:hAnsiTheme="minorHAnsi" w:cstheme="minorBidi"/>
          <w:color w:val="000000" w:themeColor="text1"/>
        </w:rPr>
        <w:lastRenderedPageBreak/>
        <w:t xml:space="preserve">Based on the sample provided for </w:t>
      </w:r>
      <w:proofErr w:type="spellStart"/>
      <w:r w:rsidRPr="3ABAAE00">
        <w:rPr>
          <w:rFonts w:asciiTheme="minorHAnsi" w:eastAsia="Avenir Nxt2 W1G" w:hAnsiTheme="minorHAnsi" w:cstheme="minorBidi"/>
          <w:color w:val="000000" w:themeColor="text1"/>
        </w:rPr>
        <w:t>Q1</w:t>
      </w:r>
      <w:proofErr w:type="spellEnd"/>
      <w:r w:rsidRPr="3ABAAE00">
        <w:rPr>
          <w:rFonts w:asciiTheme="minorHAnsi" w:eastAsia="Avenir Nxt2 W1G" w:hAnsiTheme="minorHAnsi" w:cstheme="minorBidi"/>
          <w:color w:val="000000" w:themeColor="text1"/>
        </w:rPr>
        <w:t xml:space="preserve"> 2024, there is no single, specific average time established for Regional and Area office staff to complete all types of Member State requests for assistance. However, upon receiving requests, all offices send acknowledgement within 24</w:t>
      </w:r>
      <w:r w:rsidR="5E855080" w:rsidRPr="3ABAAE00">
        <w:rPr>
          <w:rFonts w:asciiTheme="minorHAnsi" w:eastAsia="Avenir Nxt2 W1G" w:hAnsiTheme="minorHAnsi" w:cstheme="minorBidi"/>
          <w:color w:val="000000" w:themeColor="text1"/>
        </w:rPr>
        <w:t>-48</w:t>
      </w:r>
      <w:r w:rsidRPr="3ABAAE00">
        <w:rPr>
          <w:rFonts w:asciiTheme="minorHAnsi" w:eastAsia="Avenir Nxt2 W1G" w:hAnsiTheme="minorHAnsi" w:cstheme="minorBidi"/>
          <w:color w:val="000000" w:themeColor="text1"/>
        </w:rPr>
        <w:t xml:space="preserve"> hours. The request for assistance received in </w:t>
      </w:r>
      <w:proofErr w:type="spellStart"/>
      <w:r w:rsidRPr="3ABAAE00">
        <w:rPr>
          <w:rFonts w:asciiTheme="minorHAnsi" w:eastAsia="Avenir Nxt2 W1G" w:hAnsiTheme="minorHAnsi" w:cstheme="minorBidi"/>
          <w:color w:val="000000" w:themeColor="text1"/>
        </w:rPr>
        <w:t>Q1</w:t>
      </w:r>
      <w:proofErr w:type="spellEnd"/>
      <w:r w:rsidRPr="3ABAAE00">
        <w:rPr>
          <w:rFonts w:asciiTheme="minorHAnsi" w:eastAsia="Avenir Nxt2 W1G" w:hAnsiTheme="minorHAnsi" w:cstheme="minorBidi"/>
          <w:color w:val="000000" w:themeColor="text1"/>
        </w:rPr>
        <w:t xml:space="preserve"> 2024 shows that, on average across the regions, more than 12 requests for capacity building on cybersecurity, AI, and Satellite, Policy and Regulatory framework were received, where acknowledgements were sent within 24 hours; and time taken to completion ranged between 1-3 Months. </w:t>
      </w:r>
    </w:p>
    <w:p w14:paraId="501DE44B" w14:textId="722BCD9D" w:rsidR="00250529" w:rsidRPr="00986D12" w:rsidRDefault="00250529" w:rsidP="005B5E68">
      <w:pPr>
        <w:jc w:val="both"/>
        <w:rPr>
          <w:rFonts w:asciiTheme="minorHAnsi" w:hAnsiTheme="minorHAnsi" w:cstheme="minorBidi"/>
        </w:rPr>
      </w:pPr>
      <w:r w:rsidRPr="3ABAAE00">
        <w:rPr>
          <w:rFonts w:asciiTheme="minorHAnsi" w:eastAsia="Avenir Nxt2 W1G" w:hAnsiTheme="minorHAnsi" w:cstheme="minorBidi"/>
          <w:color w:val="000000" w:themeColor="text1"/>
        </w:rPr>
        <w:t xml:space="preserve">On the other hand, in CIS region, all requests from the Member States were received in </w:t>
      </w:r>
      <w:proofErr w:type="spellStart"/>
      <w:r w:rsidRPr="3ABAAE00">
        <w:rPr>
          <w:rFonts w:asciiTheme="minorHAnsi" w:eastAsia="Avenir Nxt2 W1G" w:hAnsiTheme="minorHAnsi" w:cstheme="minorBidi"/>
          <w:color w:val="000000" w:themeColor="text1"/>
        </w:rPr>
        <w:t>Q3</w:t>
      </w:r>
      <w:proofErr w:type="spellEnd"/>
      <w:r w:rsidRPr="3ABAAE00">
        <w:rPr>
          <w:rFonts w:asciiTheme="minorHAnsi" w:eastAsia="Avenir Nxt2 W1G" w:hAnsiTheme="minorHAnsi" w:cstheme="minorBidi"/>
          <w:color w:val="000000" w:themeColor="text1"/>
        </w:rPr>
        <w:t xml:space="preserve"> 2023 during the consultation process and were incorporated as part of the Operational Plan for 2024 (OP-24), which was implemented starting from </w:t>
      </w:r>
      <w:proofErr w:type="spellStart"/>
      <w:r w:rsidRPr="3ABAAE00">
        <w:rPr>
          <w:rFonts w:asciiTheme="minorHAnsi" w:eastAsia="Avenir Nxt2 W1G" w:hAnsiTheme="minorHAnsi" w:cstheme="minorBidi"/>
          <w:color w:val="000000" w:themeColor="text1"/>
        </w:rPr>
        <w:t>Q1</w:t>
      </w:r>
      <w:proofErr w:type="spellEnd"/>
      <w:r w:rsidRPr="3ABAAE00">
        <w:rPr>
          <w:rFonts w:asciiTheme="minorHAnsi" w:eastAsia="Avenir Nxt2 W1G" w:hAnsiTheme="minorHAnsi" w:cstheme="minorBidi"/>
          <w:color w:val="000000" w:themeColor="text1"/>
        </w:rPr>
        <w:t xml:space="preserve"> 2024. The table (in supplementary information below) summarizes a sample of requests received and time taken to complete the implementation. An analysis of this information is presented below.</w:t>
      </w:r>
    </w:p>
    <w:p w14:paraId="25CBEB03"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Analysis</w:t>
      </w:r>
    </w:p>
    <w:p w14:paraId="1B039CCC" w14:textId="77777777" w:rsidR="00250529" w:rsidRPr="00986D12" w:rsidRDefault="00250529" w:rsidP="005B5E68">
      <w:pPr>
        <w:pStyle w:val="Subtitleitalic"/>
        <w:jc w:val="both"/>
        <w:rPr>
          <w:rFonts w:asciiTheme="minorHAnsi" w:hAnsiTheme="minorHAnsi" w:cstheme="minorHAnsi"/>
        </w:rPr>
      </w:pPr>
      <w:r w:rsidRPr="00986D12">
        <w:rPr>
          <w:rFonts w:asciiTheme="minorHAnsi" w:hAnsiTheme="minorHAnsi" w:cstheme="minorHAnsi"/>
        </w:rPr>
        <w:t>Acknowledgement of Requests</w:t>
      </w:r>
    </w:p>
    <w:p w14:paraId="74A2F541"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 xml:space="preserve">Across </w:t>
      </w:r>
      <w:r w:rsidRPr="00986D12">
        <w:rPr>
          <w:rFonts w:asciiTheme="minorHAnsi" w:hAnsiTheme="minorHAnsi" w:cstheme="minorHAnsi"/>
        </w:rPr>
        <w:t>most regions, requests from Member States are acknowledged typically within 24 to 48 hours, d</w:t>
      </w:r>
      <w:r w:rsidRPr="00986D12">
        <w:rPr>
          <w:rFonts w:asciiTheme="minorHAnsi" w:eastAsia="Avenir Nxt2 W1G" w:hAnsiTheme="minorHAnsi" w:cstheme="minorHAnsi"/>
          <w:color w:val="000000" w:themeColor="text1"/>
        </w:rPr>
        <w:t>emonstrating a strong initial responsiveness. For example:</w:t>
      </w:r>
    </w:p>
    <w:p w14:paraId="2AA7B2D4" w14:textId="3558E55A"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Style w:val="eop"/>
          <w:rFonts w:asciiTheme="minorHAnsi" w:eastAsia="Avenir Nxt2 W1G" w:hAnsiTheme="minorHAnsi" w:cstheme="minorHAnsi"/>
          <w:color w:val="000000" w:themeColor="text1"/>
        </w:rPr>
        <w:t>In the Africa region, several requests were acknowledged within 24 hours.</w:t>
      </w:r>
    </w:p>
    <w:p w14:paraId="7E843E5C" w14:textId="05980DDF"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Style w:val="eop"/>
          <w:rFonts w:asciiTheme="minorHAnsi" w:eastAsia="Avenir Nxt2 W1G" w:hAnsiTheme="minorHAnsi" w:cstheme="minorHAnsi"/>
          <w:color w:val="000000" w:themeColor="text1"/>
        </w:rPr>
        <w:t>In the Americas region acknowledgement for a request supporting a Joint Declaration was also sent within 24 hours.</w:t>
      </w:r>
    </w:p>
    <w:p w14:paraId="32595D56" w14:textId="04748828"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Style w:val="eop"/>
          <w:rFonts w:asciiTheme="minorHAnsi" w:eastAsia="Avenir Nxt2 W1G" w:hAnsiTheme="minorHAnsi" w:cstheme="minorHAnsi"/>
          <w:color w:val="000000" w:themeColor="text1"/>
        </w:rPr>
        <w:t>In the Arab region, most requests were acknowledged within 24–48 hours.</w:t>
      </w:r>
    </w:p>
    <w:p w14:paraId="295E8748" w14:textId="77777777" w:rsidR="00250529" w:rsidRPr="00986D12" w:rsidRDefault="00250529" w:rsidP="005B5E68">
      <w:pPr>
        <w:pStyle w:val="Subtitleitalic"/>
        <w:jc w:val="both"/>
        <w:rPr>
          <w:rFonts w:asciiTheme="minorHAnsi" w:hAnsiTheme="minorHAnsi" w:cstheme="minorHAnsi"/>
        </w:rPr>
      </w:pPr>
      <w:r w:rsidRPr="00986D12">
        <w:rPr>
          <w:rFonts w:asciiTheme="minorHAnsi" w:hAnsiTheme="minorHAnsi" w:cstheme="minorHAnsi"/>
        </w:rPr>
        <w:t>Short-Term Assistance Requests</w:t>
      </w:r>
    </w:p>
    <w:p w14:paraId="2A78A33C"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Several requests were completed within days or weeks, typically when the assistance involved targeted technical support without financial implications or event-related activities. Examples include:</w:t>
      </w:r>
    </w:p>
    <w:p w14:paraId="711AF29C" w14:textId="3E560116"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 xml:space="preserve">Deployment support for </w:t>
      </w:r>
      <w:proofErr w:type="spellStart"/>
      <w:r w:rsidR="00250529" w:rsidRPr="008C431B">
        <w:rPr>
          <w:rStyle w:val="eop"/>
          <w:rFonts w:asciiTheme="minorHAnsi" w:eastAsia="Avenir Nxt2 W1G" w:hAnsiTheme="minorHAnsi" w:cstheme="minorHAnsi"/>
          <w:color w:val="000000" w:themeColor="text1"/>
        </w:rPr>
        <w:t>5G</w:t>
      </w:r>
      <w:proofErr w:type="spellEnd"/>
      <w:r w:rsidR="00250529" w:rsidRPr="008C431B">
        <w:rPr>
          <w:rStyle w:val="eop"/>
          <w:rFonts w:asciiTheme="minorHAnsi" w:eastAsia="Avenir Nxt2 W1G" w:hAnsiTheme="minorHAnsi" w:cstheme="minorHAnsi"/>
          <w:color w:val="000000" w:themeColor="text1"/>
        </w:rPr>
        <w:t xml:space="preserve"> networks in the Africa region delivered within one week.</w:t>
      </w:r>
    </w:p>
    <w:p w14:paraId="31DA4541" w14:textId="741743D9"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Emergency telecommunications and cybersecurity assistance in the Asia and the Pacific region, implemented in approximately 15 days.</w:t>
      </w:r>
    </w:p>
    <w:p w14:paraId="1D9FAEC0" w14:textId="77777777" w:rsidR="00250529" w:rsidRPr="00986D12" w:rsidRDefault="00250529" w:rsidP="005B5E68">
      <w:pPr>
        <w:pStyle w:val="Subtitleitalic"/>
        <w:jc w:val="both"/>
        <w:rPr>
          <w:rFonts w:asciiTheme="minorHAnsi" w:hAnsiTheme="minorHAnsi" w:cstheme="minorHAnsi"/>
        </w:rPr>
      </w:pPr>
      <w:r w:rsidRPr="00986D12">
        <w:rPr>
          <w:rFonts w:asciiTheme="minorHAnsi" w:hAnsiTheme="minorHAnsi" w:cstheme="minorHAnsi"/>
        </w:rPr>
        <w:t>Medium-Term Assistance (1–6 Months)</w:t>
      </w:r>
    </w:p>
    <w:p w14:paraId="11FFB0F4"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Many requests fall within a medium-term implementation period of one to six months. This is particularly common for activities involving policy development, regulatory frameworks, or training programs. These activities may be aligned with ongoing funded work (via OP or projects) or funded via voluntary contributions provided by the recipient of the technical assistance. Examples include:</w:t>
      </w:r>
    </w:p>
    <w:p w14:paraId="193432C5" w14:textId="608B34EE"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Capacity-building initiatives in cybersecurity, artificial intelligence, satellite communications, and regulatory frameworks in the Africa region, which took 1–3 months to complete.</w:t>
      </w:r>
    </w:p>
    <w:p w14:paraId="028C76E7" w14:textId="6233EB3F"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A Joint Declaration negotiation support request in the Americas region, which required one month due to internal coordination, legal review, and high-level engagement.</w:t>
      </w:r>
    </w:p>
    <w:p w14:paraId="61BA2C65" w14:textId="48F14C93"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Requests in the Arab region related to ICT policy formulation and licensing regimes, which took approximately three months to complete.</w:t>
      </w:r>
    </w:p>
    <w:p w14:paraId="3E460C8A" w14:textId="1A271B42"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lastRenderedPageBreak/>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Activities reported by the Commonwealth of Independent States (CIS) region typically require one to six months, depending on complexity and coordination requirements.</w:t>
      </w:r>
    </w:p>
    <w:p w14:paraId="205BDF8E"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i/>
          <w:color w:val="000000" w:themeColor="text1"/>
        </w:rPr>
        <w:t>Long-Term Strategic Assistance</w:t>
      </w:r>
    </w:p>
    <w:p w14:paraId="7F9C00C1"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Some requests require longer implementation periods, particularly those involving institutional development, national strategies, or complex technical systems. This type of assistance normally requires the development of project proposals and the mobilization of extra budgetary funds either from the recipient of the assistance or from third party donors. Examples include:</w:t>
      </w:r>
    </w:p>
    <w:p w14:paraId="1ED5F8D5" w14:textId="69A2BCAA"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Support for development of national Digital Innovation Profiles (DIP) for 2 Member States, which required between 1-2 years to complete.</w:t>
      </w:r>
    </w:p>
    <w:p w14:paraId="11B7BBA7" w14:textId="0E5C29C4"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Support for establishing a Computer Emergency Response Team (CERT) in the Africa region, which required two years to complete.</w:t>
      </w:r>
    </w:p>
    <w:p w14:paraId="50A6B8F4" w14:textId="73F5C0BA"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Assistance with the review and consolidation of a National ICT Policy, which took approximately one year.</w:t>
      </w:r>
    </w:p>
    <w:p w14:paraId="271246D4" w14:textId="43DF6AA7"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Activities in the Europe region, where implementation durations generally range from three to nine months depending on complexity.</w:t>
      </w:r>
    </w:p>
    <w:p w14:paraId="0333F2DC"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Relationship Between Complexity, Urgency, and Completion Time</w:t>
      </w:r>
    </w:p>
    <w:p w14:paraId="7AF88C1A"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The data suggests a strong relationship between task complexity, availability of funding and completion time:</w:t>
      </w:r>
    </w:p>
    <w:p w14:paraId="2C23CBC4" w14:textId="3EBEF68C"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Low-complexity tasks (events, webinars, technical inputs) are typically completed within days or weeks.</w:t>
      </w:r>
    </w:p>
    <w:p w14:paraId="744CF498" w14:textId="23F72014"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Medium-complexity tasks (training programs, policy advisory work) often require 1–3 months.</w:t>
      </w:r>
    </w:p>
    <w:p w14:paraId="4750559E" w14:textId="5E607571"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Style w:val="eop"/>
          <w:rFonts w:asciiTheme="minorHAnsi" w:eastAsia="Avenir Nxt2 W1G" w:hAnsiTheme="minorHAnsi" w:cstheme="minorHAnsi"/>
          <w:color w:val="000000" w:themeColor="text1"/>
        </w:rPr>
        <w:t>High-complexity tasks (institutional frameworks, national strategies, or large-scale technical systems) can extend to one year or more, when extrabudgetary funds needs to be mobilized.</w:t>
      </w:r>
    </w:p>
    <w:p w14:paraId="442BFE38" w14:textId="1D564A5B" w:rsidR="004F2F9C" w:rsidRPr="00986D12" w:rsidRDefault="00250529" w:rsidP="004F2F9C">
      <w:pPr>
        <w:pStyle w:val="Subtitle0"/>
        <w:rPr>
          <w:rFonts w:asciiTheme="minorHAnsi" w:hAnsiTheme="minorHAnsi" w:cstheme="minorHAnsi"/>
        </w:rPr>
      </w:pPr>
      <w:r w:rsidRPr="00986D12">
        <w:rPr>
          <w:rFonts w:asciiTheme="minorHAnsi" w:hAnsiTheme="minorHAnsi" w:cstheme="minorHAnsi"/>
        </w:rPr>
        <w:t xml:space="preserve">Conclusion </w:t>
      </w:r>
    </w:p>
    <w:p w14:paraId="1AD1427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analysis of the table indicates that Regional and Area Offices demonstrate good responsiveness in acknowledging Member State requests, typically within 24 to 48 hours. The completion time varies significantly depending on the complexity and nature of the assistance requested, as well as on the availability of funds to cover the costs of the assistance. Most operational or technical support requests are completed within 10 to 40 days, while advisory and capacity-building initiatives generally take one to six months. More complex strategic initiatives, such as institutional development or national policy frameworks, may require one year or longer, with some exceptional cases extending to two years. </w:t>
      </w:r>
    </w:p>
    <w:p w14:paraId="68F089DA" w14:textId="55D3807C"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Overall, the data suggests that while the average completion timeframe for many assistance requests falls within the range of several weeks to a few months, longer timelines are justified for high-complexity projects that require extensive coordination, expertise, and stakeholder engagement. This variation reflects the diverse nature of Member State requests and underscores the need to evaluate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3 in relation to complexity and scope rather than time alone.</w:t>
      </w:r>
    </w:p>
    <w:p w14:paraId="6EE5653B"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lastRenderedPageBreak/>
        <w:t>Data Source</w:t>
      </w:r>
    </w:p>
    <w:p w14:paraId="71697DFE" w14:textId="778BEBA8" w:rsidR="00250529" w:rsidRPr="008C431B" w:rsidRDefault="008C431B" w:rsidP="008C431B">
      <w:pPr>
        <w:spacing w:before="60" w:after="60"/>
        <w:ind w:left="714" w:hanging="357"/>
        <w:jc w:val="both"/>
        <w:rPr>
          <w:rFonts w:asciiTheme="minorHAnsi" w:hAnsiTheme="minorHAnsi" w:cstheme="minorHAnsi"/>
        </w:rPr>
      </w:pPr>
      <w:r w:rsidRPr="00986D12">
        <w:rPr>
          <w:rFonts w:ascii="Avenir Nxt2 W1G" w:eastAsia="Aptos" w:hAnsi="Avenir Nxt2 W1G" w:cstheme="minorHAnsi"/>
          <w:kern w:val="2"/>
          <w:sz w:val="22"/>
          <w:szCs w:val="22"/>
          <w14:ligatures w14:val="standardContextual"/>
        </w:rPr>
        <w:t>1.</w:t>
      </w:r>
      <w:r w:rsidRPr="00986D12">
        <w:rPr>
          <w:rFonts w:ascii="Avenir Nxt2 W1G" w:eastAsia="Aptos" w:hAnsi="Avenir Nxt2 W1G" w:cstheme="minorHAnsi"/>
          <w:kern w:val="2"/>
          <w:sz w:val="22"/>
          <w:szCs w:val="22"/>
          <w14:ligatures w14:val="standardContextual"/>
        </w:rPr>
        <w:tab/>
      </w:r>
      <w:r w:rsidR="00250529" w:rsidRPr="008C431B">
        <w:rPr>
          <w:rFonts w:asciiTheme="minorHAnsi" w:hAnsiTheme="minorHAnsi" w:cstheme="minorHAnsi"/>
        </w:rPr>
        <w:t>Information Collected from Regional and Area Offices.</w:t>
      </w:r>
    </w:p>
    <w:p w14:paraId="77137953" w14:textId="77777777" w:rsidR="00250529" w:rsidRPr="00986D12" w:rsidRDefault="00250529" w:rsidP="0097338E">
      <w:pPr>
        <w:pStyle w:val="Subtitle0"/>
        <w:keepLines/>
        <w:rPr>
          <w:rFonts w:asciiTheme="minorHAnsi" w:hAnsiTheme="minorHAnsi" w:cstheme="minorHAnsi"/>
        </w:rPr>
      </w:pPr>
      <w:r w:rsidRPr="00986D12">
        <w:rPr>
          <w:rFonts w:asciiTheme="minorHAnsi" w:hAnsiTheme="minorHAnsi" w:cstheme="minorHAnsi"/>
        </w:rPr>
        <w:t>Supplementary information</w:t>
      </w:r>
    </w:p>
    <w:p w14:paraId="41224F53" w14:textId="77777777" w:rsidR="00250529" w:rsidRPr="00986D12" w:rsidRDefault="00250529" w:rsidP="0097338E">
      <w:pPr>
        <w:keepNext/>
        <w:keepLines/>
        <w:spacing w:after="120"/>
        <w:jc w:val="center"/>
        <w:rPr>
          <w:rFonts w:asciiTheme="minorHAnsi" w:hAnsiTheme="minorHAnsi" w:cstheme="minorHAnsi"/>
          <w:b/>
        </w:rPr>
      </w:pPr>
      <w:r w:rsidRPr="00986D12">
        <w:rPr>
          <w:rFonts w:asciiTheme="minorHAnsi" w:hAnsiTheme="minorHAnsi" w:cstheme="minorHAnsi"/>
          <w:b/>
        </w:rPr>
        <w:t>Sample of requests received by the Regional and Area offices</w:t>
      </w:r>
    </w:p>
    <w:tbl>
      <w:tblPr>
        <w:tblStyle w:val="GridTable4-Accent4"/>
        <w:tblW w:w="5000" w:type="pct"/>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86"/>
        <w:gridCol w:w="2991"/>
        <w:gridCol w:w="2966"/>
        <w:gridCol w:w="1110"/>
        <w:gridCol w:w="1102"/>
      </w:tblGrid>
      <w:tr w:rsidR="00250529" w:rsidRPr="00986D12" w14:paraId="15673373" w14:textId="77777777" w:rsidTr="00507BF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01" w:type="dxa"/>
            <w:tcBorders>
              <w:top w:val="single" w:sz="6" w:space="0" w:color="8064A2" w:themeColor="accent4"/>
              <w:left w:val="single" w:sz="6" w:space="0" w:color="8064A2" w:themeColor="accent4"/>
              <w:bottom w:val="single" w:sz="6" w:space="0" w:color="8064A2" w:themeColor="accent4"/>
            </w:tcBorders>
            <w:tcMar>
              <w:left w:w="105" w:type="dxa"/>
              <w:right w:w="105" w:type="dxa"/>
            </w:tcMar>
          </w:tcPr>
          <w:p w14:paraId="5C4A0BD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Regional Office</w:t>
            </w:r>
          </w:p>
        </w:tc>
        <w:tc>
          <w:tcPr>
            <w:tcW w:w="3281" w:type="dxa"/>
            <w:tcBorders>
              <w:top w:val="single" w:sz="6" w:space="0" w:color="8064A2" w:themeColor="accent4"/>
              <w:bottom w:val="single" w:sz="6" w:space="0" w:color="8064A2" w:themeColor="accent4"/>
            </w:tcBorders>
            <w:tcMar>
              <w:left w:w="105" w:type="dxa"/>
              <w:right w:w="105" w:type="dxa"/>
            </w:tcMar>
          </w:tcPr>
          <w:p w14:paraId="1FB49457" w14:textId="77777777" w:rsidR="00250529" w:rsidRPr="00986D12" w:rsidRDefault="00250529" w:rsidP="00507BF5">
            <w:pPr>
              <w:pStyle w:val="Text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86D12">
              <w:rPr>
                <w:rFonts w:asciiTheme="minorHAnsi" w:hAnsiTheme="minorHAnsi" w:cstheme="minorHAnsi"/>
                <w:sz w:val="16"/>
                <w:szCs w:val="16"/>
                <w:lang w:val="en-US"/>
              </w:rPr>
              <w:t xml:space="preserve">Member State Request for assistance description during </w:t>
            </w:r>
            <w:proofErr w:type="spellStart"/>
            <w:r w:rsidRPr="00986D12">
              <w:rPr>
                <w:rFonts w:asciiTheme="minorHAnsi" w:hAnsiTheme="minorHAnsi" w:cstheme="minorHAnsi"/>
                <w:sz w:val="16"/>
                <w:szCs w:val="16"/>
                <w:lang w:val="en-US"/>
              </w:rPr>
              <w:t>Q1</w:t>
            </w:r>
            <w:proofErr w:type="spellEnd"/>
            <w:r w:rsidRPr="00986D12">
              <w:rPr>
                <w:rFonts w:asciiTheme="minorHAnsi" w:hAnsiTheme="minorHAnsi" w:cstheme="minorHAnsi"/>
                <w:sz w:val="16"/>
                <w:szCs w:val="16"/>
                <w:lang w:val="en-US"/>
              </w:rPr>
              <w:t xml:space="preserve"> 2024</w:t>
            </w:r>
          </w:p>
        </w:tc>
        <w:tc>
          <w:tcPr>
            <w:tcW w:w="3181" w:type="dxa"/>
            <w:tcBorders>
              <w:top w:val="single" w:sz="6" w:space="0" w:color="8064A2" w:themeColor="accent4"/>
              <w:bottom w:val="single" w:sz="6" w:space="0" w:color="8064A2" w:themeColor="accent4"/>
            </w:tcBorders>
            <w:tcMar>
              <w:left w:w="105" w:type="dxa"/>
              <w:right w:w="105" w:type="dxa"/>
            </w:tcMar>
          </w:tcPr>
          <w:p w14:paraId="6DAB9CA7" w14:textId="77777777" w:rsidR="00250529" w:rsidRPr="00986D12" w:rsidRDefault="00250529" w:rsidP="00507BF5">
            <w:pPr>
              <w:pStyle w:val="Text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86D12">
              <w:rPr>
                <w:rFonts w:asciiTheme="minorHAnsi" w:hAnsiTheme="minorHAnsi" w:cstheme="minorHAnsi"/>
                <w:sz w:val="16"/>
                <w:szCs w:val="16"/>
                <w:lang w:val="en-US"/>
              </w:rPr>
              <w:t>Average time taken to complete (days/months/Years)</w:t>
            </w:r>
          </w:p>
        </w:tc>
        <w:tc>
          <w:tcPr>
            <w:tcW w:w="1134" w:type="dxa"/>
            <w:tcBorders>
              <w:top w:val="single" w:sz="6" w:space="0" w:color="8064A2" w:themeColor="accent4"/>
              <w:bottom w:val="single" w:sz="6" w:space="0" w:color="8064A2" w:themeColor="accent4"/>
            </w:tcBorders>
            <w:tcMar>
              <w:left w:w="105" w:type="dxa"/>
              <w:right w:w="105" w:type="dxa"/>
            </w:tcMar>
          </w:tcPr>
          <w:p w14:paraId="6BA5A4B5" w14:textId="77777777" w:rsidR="00250529" w:rsidRPr="00986D12" w:rsidRDefault="00250529" w:rsidP="00507BF5">
            <w:pPr>
              <w:pStyle w:val="Text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86D12">
              <w:rPr>
                <w:rFonts w:asciiTheme="minorHAnsi" w:hAnsiTheme="minorHAnsi" w:cstheme="minorHAnsi"/>
                <w:sz w:val="16"/>
                <w:szCs w:val="16"/>
                <w:lang w:val="en-US"/>
              </w:rPr>
              <w:t>Complexity (High/Low)</w:t>
            </w:r>
          </w:p>
        </w:tc>
        <w:tc>
          <w:tcPr>
            <w:tcW w:w="1126" w:type="dxa"/>
            <w:tcBorders>
              <w:top w:val="single" w:sz="6" w:space="0" w:color="8064A2" w:themeColor="accent4"/>
              <w:bottom w:val="single" w:sz="6" w:space="0" w:color="8064A2" w:themeColor="accent4"/>
              <w:right w:val="single" w:sz="6" w:space="0" w:color="8064A2" w:themeColor="accent4"/>
            </w:tcBorders>
            <w:tcMar>
              <w:left w:w="105" w:type="dxa"/>
              <w:right w:w="105" w:type="dxa"/>
            </w:tcMar>
          </w:tcPr>
          <w:p w14:paraId="4CAC9F47" w14:textId="77777777" w:rsidR="00250529" w:rsidRPr="00986D12" w:rsidRDefault="00250529" w:rsidP="00507BF5">
            <w:pPr>
              <w:pStyle w:val="Text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986D12">
              <w:rPr>
                <w:rFonts w:asciiTheme="minorHAnsi" w:hAnsiTheme="minorHAnsi" w:cstheme="minorHAnsi"/>
                <w:sz w:val="16"/>
                <w:szCs w:val="16"/>
                <w:lang w:val="en-US"/>
              </w:rPr>
              <w:t>Urgency</w:t>
            </w:r>
            <w:r w:rsidRPr="00986D12">
              <w:rPr>
                <w:rFonts w:asciiTheme="minorHAnsi" w:hAnsiTheme="minorHAnsi" w:cstheme="minorHAnsi"/>
                <w:sz w:val="16"/>
                <w:szCs w:val="16"/>
              </w:rPr>
              <w:t xml:space="preserve"> </w:t>
            </w:r>
            <w:r w:rsidRPr="00986D12">
              <w:rPr>
                <w:rFonts w:asciiTheme="minorHAnsi" w:hAnsiTheme="minorHAnsi" w:cstheme="minorHAnsi"/>
                <w:sz w:val="16"/>
                <w:szCs w:val="16"/>
              </w:rPr>
              <w:br/>
            </w:r>
            <w:r w:rsidRPr="00986D12">
              <w:rPr>
                <w:rFonts w:asciiTheme="minorHAnsi" w:hAnsiTheme="minorHAnsi" w:cstheme="minorHAnsi"/>
                <w:sz w:val="16"/>
                <w:szCs w:val="16"/>
                <w:lang w:val="en-US"/>
              </w:rPr>
              <w:t>(High/Low)</w:t>
            </w:r>
          </w:p>
        </w:tc>
      </w:tr>
      <w:tr w:rsidR="00250529" w:rsidRPr="00986D12" w14:paraId="3551DCE2"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332D6F49"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7113194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1 request on supporting the establishment of Computer Emergence Response Team (CERT)</w:t>
            </w:r>
          </w:p>
        </w:tc>
        <w:tc>
          <w:tcPr>
            <w:tcW w:w="3181" w:type="dxa"/>
            <w:tcMar>
              <w:left w:w="105" w:type="dxa"/>
              <w:right w:w="105" w:type="dxa"/>
            </w:tcMar>
          </w:tcPr>
          <w:p w14:paraId="04BEEB15"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is sent within 24 hours. Time taken to completion: 2 years.</w:t>
            </w:r>
          </w:p>
        </w:tc>
        <w:tc>
          <w:tcPr>
            <w:tcW w:w="1134" w:type="dxa"/>
            <w:tcMar>
              <w:left w:w="105" w:type="dxa"/>
              <w:right w:w="105" w:type="dxa"/>
            </w:tcMar>
          </w:tcPr>
          <w:p w14:paraId="2B4D300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4B37C37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5023E33D"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2093963B"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58F71DE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4 requests for capacity building on cybersecurity, AI, and Satellite, Policy and Regulatory framework</w:t>
            </w:r>
            <w:r w:rsidRPr="00986D12">
              <w:rPr>
                <w:rFonts w:asciiTheme="minorHAnsi" w:hAnsiTheme="minorHAnsi" w:cstheme="minorHAnsi"/>
                <w:sz w:val="16"/>
                <w:szCs w:val="16"/>
              </w:rPr>
              <w:t xml:space="preserve"> </w:t>
            </w:r>
          </w:p>
        </w:tc>
        <w:tc>
          <w:tcPr>
            <w:tcW w:w="3181" w:type="dxa"/>
            <w:tcMar>
              <w:left w:w="105" w:type="dxa"/>
              <w:right w:w="105" w:type="dxa"/>
            </w:tcMar>
          </w:tcPr>
          <w:p w14:paraId="1B42801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is sent within 24 hours. Time taken to completion: 1-3 months.</w:t>
            </w:r>
          </w:p>
        </w:tc>
        <w:tc>
          <w:tcPr>
            <w:tcW w:w="1134" w:type="dxa"/>
            <w:tcMar>
              <w:left w:w="105" w:type="dxa"/>
              <w:right w:w="105" w:type="dxa"/>
            </w:tcMar>
          </w:tcPr>
          <w:p w14:paraId="6139623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717928E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479923EB"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0BD17E98"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7EF2421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MS request for assistance in regulatory sandboxing</w:t>
            </w:r>
            <w:r w:rsidRPr="00986D12">
              <w:rPr>
                <w:rFonts w:asciiTheme="minorHAnsi" w:hAnsiTheme="minorHAnsi" w:cstheme="minorHAnsi"/>
                <w:sz w:val="16"/>
                <w:szCs w:val="16"/>
              </w:rPr>
              <w:t xml:space="preserve"> </w:t>
            </w:r>
          </w:p>
        </w:tc>
        <w:tc>
          <w:tcPr>
            <w:tcW w:w="3181" w:type="dxa"/>
            <w:tcMar>
              <w:left w:w="105" w:type="dxa"/>
              <w:right w:w="105" w:type="dxa"/>
            </w:tcMar>
          </w:tcPr>
          <w:p w14:paraId="2EDF5BE1"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Acknowledgment in 24 hours; action is ongoing in operational plan 2026 (OP-26).</w:t>
            </w:r>
          </w:p>
        </w:tc>
        <w:tc>
          <w:tcPr>
            <w:tcW w:w="1134" w:type="dxa"/>
            <w:tcMar>
              <w:left w:w="105" w:type="dxa"/>
              <w:right w:w="105" w:type="dxa"/>
            </w:tcMar>
          </w:tcPr>
          <w:p w14:paraId="49D49EA1"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7CD662C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52AB8DAA"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5903D94B"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03B3F3C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MS request for assistance in projects development and cooperation agreement signature</w:t>
            </w:r>
          </w:p>
        </w:tc>
        <w:tc>
          <w:tcPr>
            <w:tcW w:w="3181" w:type="dxa"/>
            <w:tcMar>
              <w:left w:w="105" w:type="dxa"/>
              <w:right w:w="105" w:type="dxa"/>
            </w:tcMar>
          </w:tcPr>
          <w:p w14:paraId="299CEC5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Acknowledgment in 1 week; action is ongoing in OP-26.</w:t>
            </w:r>
          </w:p>
        </w:tc>
        <w:tc>
          <w:tcPr>
            <w:tcW w:w="1134" w:type="dxa"/>
            <w:tcMar>
              <w:left w:w="105" w:type="dxa"/>
              <w:right w:w="105" w:type="dxa"/>
            </w:tcMar>
          </w:tcPr>
          <w:p w14:paraId="0423C2E4"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6AF84CEA"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5653C132"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1A6698E3"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6D04060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MS request for assistance in NETP</w:t>
            </w:r>
            <w:r w:rsidRPr="00986D12">
              <w:rPr>
                <w:rFonts w:asciiTheme="minorHAnsi" w:hAnsiTheme="minorHAnsi" w:cstheme="minorHAnsi"/>
                <w:sz w:val="16"/>
                <w:szCs w:val="16"/>
              </w:rPr>
              <w:t xml:space="preserve"> </w:t>
            </w:r>
          </w:p>
        </w:tc>
        <w:tc>
          <w:tcPr>
            <w:tcW w:w="3181" w:type="dxa"/>
            <w:tcMar>
              <w:left w:w="105" w:type="dxa"/>
              <w:right w:w="105" w:type="dxa"/>
            </w:tcMar>
          </w:tcPr>
          <w:p w14:paraId="4E68BC12"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Acknowledgment in 24 hours; action is ongoing in OP-26.</w:t>
            </w:r>
          </w:p>
        </w:tc>
        <w:tc>
          <w:tcPr>
            <w:tcW w:w="1134" w:type="dxa"/>
            <w:tcMar>
              <w:left w:w="105" w:type="dxa"/>
              <w:right w:w="105" w:type="dxa"/>
            </w:tcMar>
          </w:tcPr>
          <w:p w14:paraId="2303E3E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c>
          <w:tcPr>
            <w:tcW w:w="1126" w:type="dxa"/>
            <w:tcMar>
              <w:left w:w="105" w:type="dxa"/>
              <w:right w:w="105" w:type="dxa"/>
            </w:tcMar>
          </w:tcPr>
          <w:p w14:paraId="674B7EF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52A2EE71"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66277CB8"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13E88BB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MS request for assistance on </w:t>
            </w:r>
            <w:proofErr w:type="spellStart"/>
            <w:proofErr w:type="gramStart"/>
            <w:r w:rsidRPr="00986D12">
              <w:rPr>
                <w:rFonts w:asciiTheme="minorHAnsi" w:hAnsiTheme="minorHAnsi" w:cstheme="minorHAnsi"/>
                <w:sz w:val="16"/>
                <w:szCs w:val="16"/>
                <w:lang w:val="en-US"/>
              </w:rPr>
              <w:t>5G</w:t>
            </w:r>
            <w:proofErr w:type="spellEnd"/>
            <w:r w:rsidRPr="00986D12">
              <w:rPr>
                <w:rFonts w:asciiTheme="minorHAnsi" w:hAnsiTheme="minorHAnsi" w:cstheme="minorHAnsi"/>
                <w:sz w:val="16"/>
                <w:szCs w:val="16"/>
                <w:lang w:val="en-US"/>
              </w:rPr>
              <w:t xml:space="preserve"> networks deployment</w:t>
            </w:r>
            <w:proofErr w:type="gramEnd"/>
            <w:r w:rsidRPr="00986D12">
              <w:rPr>
                <w:rFonts w:asciiTheme="minorHAnsi" w:hAnsiTheme="minorHAnsi" w:cstheme="minorHAnsi"/>
                <w:sz w:val="16"/>
                <w:szCs w:val="16"/>
                <w:lang w:val="en-US"/>
              </w:rPr>
              <w:t xml:space="preserve"> and contribution to digital economy</w:t>
            </w:r>
          </w:p>
        </w:tc>
        <w:tc>
          <w:tcPr>
            <w:tcW w:w="3181" w:type="dxa"/>
            <w:tcMar>
              <w:left w:w="105" w:type="dxa"/>
              <w:right w:w="105" w:type="dxa"/>
            </w:tcMar>
          </w:tcPr>
          <w:p w14:paraId="5B44C26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Acknowledgment in 24 hours; assistance provided within 1 week.</w:t>
            </w:r>
          </w:p>
        </w:tc>
        <w:tc>
          <w:tcPr>
            <w:tcW w:w="1134" w:type="dxa"/>
            <w:tcMar>
              <w:left w:w="105" w:type="dxa"/>
              <w:right w:w="105" w:type="dxa"/>
            </w:tcMar>
          </w:tcPr>
          <w:p w14:paraId="77E29180"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c>
          <w:tcPr>
            <w:tcW w:w="1126" w:type="dxa"/>
            <w:tcMar>
              <w:left w:w="105" w:type="dxa"/>
              <w:right w:w="105" w:type="dxa"/>
            </w:tcMar>
          </w:tcPr>
          <w:p w14:paraId="49F4E28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r>
      <w:tr w:rsidR="00250529" w:rsidRPr="00986D12" w14:paraId="4D8EB7A2"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4FA254FE"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21A37C5A"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MS Request for review and consolidation of their National ICT Policy</w:t>
            </w:r>
          </w:p>
        </w:tc>
        <w:tc>
          <w:tcPr>
            <w:tcW w:w="3181" w:type="dxa"/>
            <w:tcMar>
              <w:left w:w="105" w:type="dxa"/>
              <w:right w:w="105" w:type="dxa"/>
            </w:tcMar>
          </w:tcPr>
          <w:p w14:paraId="17E647A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Meeting held with Member state a day after receiving the invite to clarify requirements and official response sent after two months. Time to complete 1 year.</w:t>
            </w:r>
          </w:p>
        </w:tc>
        <w:tc>
          <w:tcPr>
            <w:tcW w:w="1134" w:type="dxa"/>
            <w:tcMar>
              <w:left w:w="105" w:type="dxa"/>
              <w:right w:w="105" w:type="dxa"/>
            </w:tcMar>
          </w:tcPr>
          <w:p w14:paraId="785701D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3CEF90B1"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r>
      <w:tr w:rsidR="00250529" w:rsidRPr="00986D12" w14:paraId="77FADB68"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772799D0"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4544CA3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2 MS requests for the establishment of national Digital Innovation Profiles (DIP)</w:t>
            </w:r>
          </w:p>
        </w:tc>
        <w:tc>
          <w:tcPr>
            <w:tcW w:w="3181" w:type="dxa"/>
            <w:tcMar>
              <w:left w:w="105" w:type="dxa"/>
              <w:right w:w="105" w:type="dxa"/>
            </w:tcMar>
          </w:tcPr>
          <w:p w14:paraId="7B0E20A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is sent within 24 hours. Time taken to completion: 1-2 years.</w:t>
            </w:r>
          </w:p>
        </w:tc>
        <w:tc>
          <w:tcPr>
            <w:tcW w:w="1134" w:type="dxa"/>
            <w:tcMar>
              <w:left w:w="105" w:type="dxa"/>
              <w:right w:w="105" w:type="dxa"/>
            </w:tcMar>
          </w:tcPr>
          <w:p w14:paraId="680798D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068002D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008873E3"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6DC02009"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lang w:val="en-US"/>
              </w:rPr>
              <w:t>AFR</w:t>
            </w:r>
            <w:proofErr w:type="spellEnd"/>
          </w:p>
        </w:tc>
        <w:tc>
          <w:tcPr>
            <w:tcW w:w="3281" w:type="dxa"/>
            <w:tcMar>
              <w:left w:w="105" w:type="dxa"/>
              <w:right w:w="105" w:type="dxa"/>
            </w:tcMar>
          </w:tcPr>
          <w:p w14:paraId="7E99F1D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1 MS request for assessment of CIRT maturity</w:t>
            </w:r>
          </w:p>
        </w:tc>
        <w:tc>
          <w:tcPr>
            <w:tcW w:w="3181" w:type="dxa"/>
            <w:tcMar>
              <w:left w:w="105" w:type="dxa"/>
              <w:right w:w="105" w:type="dxa"/>
            </w:tcMar>
          </w:tcPr>
          <w:p w14:paraId="72DF35E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is sent within 24 hours. Time taken to completion: 6 months.</w:t>
            </w:r>
          </w:p>
        </w:tc>
        <w:tc>
          <w:tcPr>
            <w:tcW w:w="1134" w:type="dxa"/>
            <w:tcMar>
              <w:left w:w="105" w:type="dxa"/>
              <w:right w:w="105" w:type="dxa"/>
            </w:tcMar>
          </w:tcPr>
          <w:p w14:paraId="782370F9"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02B1F81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p>
        </w:tc>
      </w:tr>
      <w:tr w:rsidR="00250529" w:rsidRPr="00986D12" w14:paraId="0054A273"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0DD28EE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AMS</w:t>
            </w:r>
          </w:p>
        </w:tc>
        <w:tc>
          <w:tcPr>
            <w:tcW w:w="3281" w:type="dxa"/>
            <w:tcMar>
              <w:left w:w="105" w:type="dxa"/>
              <w:right w:w="105" w:type="dxa"/>
            </w:tcMar>
          </w:tcPr>
          <w:p w14:paraId="61C110A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MS request for support for the negotiation and signature of a Joint Declaration</w:t>
            </w:r>
          </w:p>
        </w:tc>
        <w:tc>
          <w:tcPr>
            <w:tcW w:w="3181" w:type="dxa"/>
            <w:tcMar>
              <w:left w:w="105" w:type="dxa"/>
              <w:right w:w="105" w:type="dxa"/>
            </w:tcMar>
          </w:tcPr>
          <w:p w14:paraId="46A97E9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is sent within 24 hours. Time taken to completion: 1 month (including draft review, internal coordination, and high-level decision process).</w:t>
            </w:r>
            <w:r w:rsidRPr="00986D12">
              <w:rPr>
                <w:rFonts w:asciiTheme="minorHAnsi" w:hAnsiTheme="minorHAnsi" w:cstheme="minorHAnsi"/>
                <w:sz w:val="16"/>
                <w:szCs w:val="16"/>
              </w:rPr>
              <w:t xml:space="preserve"> </w:t>
            </w:r>
          </w:p>
        </w:tc>
        <w:tc>
          <w:tcPr>
            <w:tcW w:w="1134" w:type="dxa"/>
            <w:tcMar>
              <w:left w:w="105" w:type="dxa"/>
              <w:right w:w="105" w:type="dxa"/>
            </w:tcMar>
          </w:tcPr>
          <w:p w14:paraId="6F6B412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p>
        </w:tc>
        <w:tc>
          <w:tcPr>
            <w:tcW w:w="1126" w:type="dxa"/>
            <w:tcMar>
              <w:left w:w="105" w:type="dxa"/>
              <w:right w:w="105" w:type="dxa"/>
            </w:tcMar>
          </w:tcPr>
          <w:p w14:paraId="00B023A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r>
      <w:tr w:rsidR="00250529" w:rsidRPr="00986D12" w14:paraId="33760F31"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49E8D50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ARB</w:t>
            </w:r>
          </w:p>
        </w:tc>
        <w:tc>
          <w:tcPr>
            <w:tcW w:w="3281" w:type="dxa"/>
            <w:tcMar>
              <w:left w:w="105" w:type="dxa"/>
              <w:right w:w="105" w:type="dxa"/>
            </w:tcMar>
          </w:tcPr>
          <w:p w14:paraId="0440EB7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2 MS requests on ICTs policy formulation and licensing regime </w:t>
            </w:r>
          </w:p>
        </w:tc>
        <w:tc>
          <w:tcPr>
            <w:tcW w:w="3181" w:type="dxa"/>
            <w:tcMar>
              <w:left w:w="105" w:type="dxa"/>
              <w:right w:w="105" w:type="dxa"/>
            </w:tcMar>
          </w:tcPr>
          <w:p w14:paraId="4996A6C6"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Acknowledgement is sent within 48 hours. Time taken to completion: 1 request took 3 months (including draft </w:t>
            </w:r>
            <w:proofErr w:type="spellStart"/>
            <w:r w:rsidRPr="00986D12">
              <w:rPr>
                <w:rFonts w:asciiTheme="minorHAnsi" w:hAnsiTheme="minorHAnsi" w:cstheme="minorHAnsi"/>
                <w:sz w:val="16"/>
                <w:szCs w:val="16"/>
                <w:lang w:val="en-US"/>
              </w:rPr>
              <w:t>ToR</w:t>
            </w:r>
            <w:proofErr w:type="spellEnd"/>
            <w:r w:rsidRPr="00986D12">
              <w:rPr>
                <w:rFonts w:asciiTheme="minorHAnsi" w:hAnsiTheme="minorHAnsi" w:cstheme="minorHAnsi"/>
                <w:sz w:val="16"/>
                <w:szCs w:val="16"/>
                <w:lang w:val="en-US"/>
              </w:rPr>
              <w:t xml:space="preserve"> review, internal coordination, hiring the expert and finalizing the report. The 2</w:t>
            </w:r>
            <w:r w:rsidRPr="00986D12">
              <w:rPr>
                <w:rFonts w:asciiTheme="minorHAnsi" w:hAnsiTheme="minorHAnsi" w:cstheme="minorHAnsi"/>
                <w:sz w:val="16"/>
                <w:szCs w:val="16"/>
                <w:vertAlign w:val="superscript"/>
                <w:lang w:val="en-US"/>
              </w:rPr>
              <w:t>nd</w:t>
            </w:r>
            <w:r w:rsidRPr="00986D12">
              <w:rPr>
                <w:rFonts w:asciiTheme="minorHAnsi" w:hAnsiTheme="minorHAnsi" w:cstheme="minorHAnsi"/>
                <w:sz w:val="16"/>
                <w:szCs w:val="16"/>
                <w:lang w:val="en-US"/>
              </w:rPr>
              <w:t xml:space="preserve"> request was delayed after </w:t>
            </w:r>
            <w:proofErr w:type="spellStart"/>
            <w:r w:rsidRPr="00986D12">
              <w:rPr>
                <w:rFonts w:asciiTheme="minorHAnsi" w:hAnsiTheme="minorHAnsi" w:cstheme="minorHAnsi"/>
                <w:sz w:val="16"/>
                <w:szCs w:val="16"/>
                <w:lang w:val="en-US"/>
              </w:rPr>
              <w:t>WTDC25</w:t>
            </w:r>
            <w:proofErr w:type="spellEnd"/>
            <w:r w:rsidRPr="00986D12">
              <w:rPr>
                <w:rFonts w:asciiTheme="minorHAnsi" w:hAnsiTheme="minorHAnsi" w:cstheme="minorHAnsi"/>
                <w:sz w:val="16"/>
                <w:szCs w:val="16"/>
                <w:lang w:val="en-US"/>
              </w:rPr>
              <w:t>.</w:t>
            </w:r>
          </w:p>
        </w:tc>
        <w:tc>
          <w:tcPr>
            <w:tcW w:w="1134" w:type="dxa"/>
            <w:tcMar>
              <w:left w:w="105" w:type="dxa"/>
              <w:right w:w="105" w:type="dxa"/>
            </w:tcMar>
          </w:tcPr>
          <w:p w14:paraId="3388D2A5"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2305E02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r>
      <w:tr w:rsidR="00250529" w:rsidRPr="00986D12" w14:paraId="56D1B45A"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5331936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ARB</w:t>
            </w:r>
          </w:p>
        </w:tc>
        <w:tc>
          <w:tcPr>
            <w:tcW w:w="3281" w:type="dxa"/>
            <w:tcMar>
              <w:left w:w="105" w:type="dxa"/>
              <w:right w:w="105" w:type="dxa"/>
            </w:tcMar>
          </w:tcPr>
          <w:p w14:paraId="2FF0D6F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2 MS requests on NETP validation and training on CB </w:t>
            </w:r>
            <w:proofErr w:type="spellStart"/>
            <w:r w:rsidRPr="00986D12">
              <w:rPr>
                <w:rFonts w:asciiTheme="minorHAnsi" w:hAnsiTheme="minorHAnsi" w:cstheme="minorHAnsi"/>
                <w:sz w:val="16"/>
                <w:szCs w:val="16"/>
                <w:lang w:val="en-US"/>
              </w:rPr>
              <w:t>EWS</w:t>
            </w:r>
            <w:proofErr w:type="spellEnd"/>
            <w:r w:rsidRPr="00986D12">
              <w:rPr>
                <w:rFonts w:asciiTheme="minorHAnsi" w:hAnsiTheme="minorHAnsi" w:cstheme="minorHAnsi"/>
                <w:sz w:val="16"/>
                <w:szCs w:val="16"/>
                <w:lang w:val="en-US"/>
              </w:rPr>
              <w:t xml:space="preserve"> and CAP</w:t>
            </w:r>
          </w:p>
        </w:tc>
        <w:tc>
          <w:tcPr>
            <w:tcW w:w="3181" w:type="dxa"/>
            <w:tcMar>
              <w:left w:w="105" w:type="dxa"/>
              <w:right w:w="105" w:type="dxa"/>
            </w:tcMar>
          </w:tcPr>
          <w:p w14:paraId="4574C2C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Acknowledgement is sent within 48 hours. The requests were delayed to </w:t>
            </w:r>
            <w:proofErr w:type="spellStart"/>
            <w:r w:rsidRPr="00986D12">
              <w:rPr>
                <w:rFonts w:asciiTheme="minorHAnsi" w:hAnsiTheme="minorHAnsi" w:cstheme="minorHAnsi"/>
                <w:sz w:val="16"/>
                <w:szCs w:val="16"/>
                <w:lang w:val="en-US"/>
              </w:rPr>
              <w:t>OP26</w:t>
            </w:r>
            <w:proofErr w:type="spellEnd"/>
            <w:r w:rsidRPr="00986D12">
              <w:rPr>
                <w:rFonts w:asciiTheme="minorHAnsi" w:hAnsiTheme="minorHAnsi" w:cstheme="minorHAnsi"/>
                <w:sz w:val="16"/>
                <w:szCs w:val="16"/>
                <w:lang w:val="en-US"/>
              </w:rPr>
              <w:t>.</w:t>
            </w:r>
          </w:p>
        </w:tc>
        <w:tc>
          <w:tcPr>
            <w:tcW w:w="1134" w:type="dxa"/>
            <w:tcMar>
              <w:left w:w="105" w:type="dxa"/>
              <w:right w:w="105" w:type="dxa"/>
            </w:tcMar>
          </w:tcPr>
          <w:p w14:paraId="2B61842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571835B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r>
      <w:tr w:rsidR="00250529" w:rsidRPr="00986D12" w14:paraId="7D8CFC14"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4600B8B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ARB</w:t>
            </w:r>
            <w:r w:rsidRPr="00986D12">
              <w:rPr>
                <w:rFonts w:asciiTheme="minorHAnsi" w:hAnsiTheme="minorHAnsi" w:cstheme="minorHAnsi"/>
                <w:sz w:val="16"/>
                <w:szCs w:val="16"/>
              </w:rPr>
              <w:t xml:space="preserve"> </w:t>
            </w:r>
          </w:p>
        </w:tc>
        <w:tc>
          <w:tcPr>
            <w:tcW w:w="3281" w:type="dxa"/>
            <w:tcMar>
              <w:left w:w="105" w:type="dxa"/>
              <w:right w:w="105" w:type="dxa"/>
            </w:tcMar>
          </w:tcPr>
          <w:p w14:paraId="24BBEE8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1 MS request to support by assessing the enabling environment for immersive technologies</w:t>
            </w:r>
          </w:p>
        </w:tc>
        <w:tc>
          <w:tcPr>
            <w:tcW w:w="3181" w:type="dxa"/>
            <w:tcMar>
              <w:left w:w="105" w:type="dxa"/>
              <w:right w:w="105" w:type="dxa"/>
            </w:tcMar>
          </w:tcPr>
          <w:p w14:paraId="58BB3A1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sent within 48 hours and follow up meetings were set up with the government and the partner involved that eventually led to assisting the country and meeting this request.</w:t>
            </w:r>
            <w:r w:rsidRPr="00986D12">
              <w:rPr>
                <w:rFonts w:asciiTheme="minorHAnsi" w:hAnsiTheme="minorHAnsi" w:cstheme="minorHAnsi"/>
                <w:sz w:val="16"/>
                <w:szCs w:val="16"/>
              </w:rPr>
              <w:t xml:space="preserve"> </w:t>
            </w:r>
          </w:p>
        </w:tc>
        <w:tc>
          <w:tcPr>
            <w:tcW w:w="1134" w:type="dxa"/>
            <w:tcMar>
              <w:left w:w="105" w:type="dxa"/>
              <w:right w:w="105" w:type="dxa"/>
            </w:tcMar>
          </w:tcPr>
          <w:p w14:paraId="21AF6369"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608586B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r>
      <w:tr w:rsidR="00250529" w:rsidRPr="00986D12" w14:paraId="3AE29BE8"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24AF8BE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ARB</w:t>
            </w:r>
            <w:r w:rsidRPr="00986D12">
              <w:rPr>
                <w:rFonts w:asciiTheme="minorHAnsi" w:hAnsiTheme="minorHAnsi" w:cstheme="minorHAnsi"/>
                <w:sz w:val="16"/>
                <w:szCs w:val="16"/>
              </w:rPr>
              <w:t xml:space="preserve"> </w:t>
            </w:r>
          </w:p>
        </w:tc>
        <w:tc>
          <w:tcPr>
            <w:tcW w:w="3281" w:type="dxa"/>
            <w:tcMar>
              <w:left w:w="105" w:type="dxa"/>
              <w:right w:w="105" w:type="dxa"/>
            </w:tcMar>
          </w:tcPr>
          <w:p w14:paraId="7D978B90"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2 MS requests to host events organized by the ITU Arab Regional Office in reply to a circular letter sent out inviting hosts for the regional events</w:t>
            </w:r>
          </w:p>
        </w:tc>
        <w:tc>
          <w:tcPr>
            <w:tcW w:w="3181" w:type="dxa"/>
            <w:tcMar>
              <w:left w:w="105" w:type="dxa"/>
              <w:right w:w="105" w:type="dxa"/>
            </w:tcMar>
          </w:tcPr>
          <w:p w14:paraId="39D2014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Acknowledged receiving the requests within 24 hours.</w:t>
            </w:r>
            <w:r w:rsidRPr="00986D12">
              <w:rPr>
                <w:rFonts w:asciiTheme="minorHAnsi" w:hAnsiTheme="minorHAnsi" w:cstheme="minorHAnsi"/>
                <w:sz w:val="16"/>
                <w:szCs w:val="16"/>
              </w:rPr>
              <w:t xml:space="preserve"> </w:t>
            </w:r>
          </w:p>
        </w:tc>
        <w:tc>
          <w:tcPr>
            <w:tcW w:w="1134" w:type="dxa"/>
            <w:tcMar>
              <w:left w:w="105" w:type="dxa"/>
              <w:right w:w="105" w:type="dxa"/>
            </w:tcMar>
          </w:tcPr>
          <w:p w14:paraId="4889000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c>
          <w:tcPr>
            <w:tcW w:w="1126" w:type="dxa"/>
            <w:tcMar>
              <w:left w:w="105" w:type="dxa"/>
              <w:right w:w="105" w:type="dxa"/>
            </w:tcMar>
          </w:tcPr>
          <w:p w14:paraId="4AD3D01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r>
      <w:tr w:rsidR="00250529" w:rsidRPr="00986D12" w14:paraId="79513242"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2283EAC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lastRenderedPageBreak/>
              <w:t>ARB</w:t>
            </w:r>
            <w:r w:rsidRPr="00986D12">
              <w:rPr>
                <w:rFonts w:asciiTheme="minorHAnsi" w:hAnsiTheme="minorHAnsi" w:cstheme="minorHAnsi"/>
                <w:sz w:val="16"/>
                <w:szCs w:val="16"/>
              </w:rPr>
              <w:t xml:space="preserve"> </w:t>
            </w:r>
          </w:p>
        </w:tc>
        <w:tc>
          <w:tcPr>
            <w:tcW w:w="3281" w:type="dxa"/>
            <w:tcMar>
              <w:left w:w="105" w:type="dxa"/>
              <w:right w:w="105" w:type="dxa"/>
            </w:tcMar>
          </w:tcPr>
          <w:p w14:paraId="39D373F2"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1 MS request to organize a webinar on the metaverse organized within the work of the ITU-T focus group on the metaverse</w:t>
            </w:r>
            <w:r w:rsidRPr="00986D12">
              <w:rPr>
                <w:rFonts w:asciiTheme="minorHAnsi" w:hAnsiTheme="minorHAnsi" w:cstheme="minorHAnsi"/>
                <w:sz w:val="16"/>
                <w:szCs w:val="16"/>
              </w:rPr>
              <w:t xml:space="preserve"> </w:t>
            </w:r>
          </w:p>
        </w:tc>
        <w:tc>
          <w:tcPr>
            <w:tcW w:w="3181" w:type="dxa"/>
            <w:tcMar>
              <w:left w:w="105" w:type="dxa"/>
              <w:right w:w="105" w:type="dxa"/>
            </w:tcMar>
          </w:tcPr>
          <w:p w14:paraId="0013CA9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Acknowledged within 24 hours and coordinated closely with the government and the other partners to contribute to its organization.</w:t>
            </w:r>
          </w:p>
        </w:tc>
        <w:tc>
          <w:tcPr>
            <w:tcW w:w="1134" w:type="dxa"/>
            <w:tcMar>
              <w:left w:w="105" w:type="dxa"/>
              <w:right w:w="105" w:type="dxa"/>
            </w:tcMar>
          </w:tcPr>
          <w:p w14:paraId="12505EE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c>
          <w:tcPr>
            <w:tcW w:w="1126" w:type="dxa"/>
            <w:tcMar>
              <w:left w:w="105" w:type="dxa"/>
              <w:right w:w="105" w:type="dxa"/>
            </w:tcMar>
          </w:tcPr>
          <w:p w14:paraId="30564992"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r>
      <w:tr w:rsidR="00250529" w:rsidRPr="00986D12" w14:paraId="5719EFC9"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3B01FBE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ARB</w:t>
            </w:r>
            <w:r w:rsidRPr="00986D12">
              <w:rPr>
                <w:rFonts w:asciiTheme="minorHAnsi" w:hAnsiTheme="minorHAnsi" w:cstheme="minorHAnsi"/>
                <w:sz w:val="16"/>
                <w:szCs w:val="16"/>
              </w:rPr>
              <w:t xml:space="preserve"> </w:t>
            </w:r>
          </w:p>
        </w:tc>
        <w:tc>
          <w:tcPr>
            <w:tcW w:w="3281" w:type="dxa"/>
            <w:tcMar>
              <w:left w:w="105" w:type="dxa"/>
              <w:right w:w="105" w:type="dxa"/>
            </w:tcMar>
          </w:tcPr>
          <w:p w14:paraId="56296C0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2 MS requests to develop Digital Innovation Profiles (DIP)</w:t>
            </w:r>
          </w:p>
        </w:tc>
        <w:tc>
          <w:tcPr>
            <w:tcW w:w="3181" w:type="dxa"/>
            <w:tcMar>
              <w:left w:w="105" w:type="dxa"/>
              <w:right w:w="105" w:type="dxa"/>
            </w:tcMar>
          </w:tcPr>
          <w:p w14:paraId="0E21978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Acknowledged within 48 hours and coordinated to </w:t>
            </w:r>
            <w:proofErr w:type="gramStart"/>
            <w:r w:rsidRPr="00986D12">
              <w:rPr>
                <w:rFonts w:asciiTheme="minorHAnsi" w:hAnsiTheme="minorHAnsi" w:cstheme="minorHAnsi"/>
                <w:sz w:val="16"/>
                <w:szCs w:val="16"/>
                <w:lang w:val="en-US"/>
              </w:rPr>
              <w:t>setup</w:t>
            </w:r>
            <w:proofErr w:type="gramEnd"/>
            <w:r w:rsidRPr="00986D12">
              <w:rPr>
                <w:rFonts w:asciiTheme="minorHAnsi" w:hAnsiTheme="minorHAnsi" w:cstheme="minorHAnsi"/>
                <w:sz w:val="16"/>
                <w:szCs w:val="16"/>
                <w:lang w:val="en-US"/>
              </w:rPr>
              <w:t xml:space="preserve"> an introduction meeting on the DIP process followed by another kickoff meeting. Eventually, these requests were fulfilled.</w:t>
            </w:r>
          </w:p>
        </w:tc>
        <w:tc>
          <w:tcPr>
            <w:tcW w:w="1134" w:type="dxa"/>
            <w:tcMar>
              <w:left w:w="105" w:type="dxa"/>
              <w:right w:w="105" w:type="dxa"/>
            </w:tcMar>
          </w:tcPr>
          <w:p w14:paraId="39BF6AEA"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7F756E6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r>
      <w:tr w:rsidR="00250529" w:rsidRPr="00986D12" w14:paraId="29588480"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1910E80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ASP</w:t>
            </w:r>
            <w:r w:rsidRPr="00986D12">
              <w:rPr>
                <w:rFonts w:asciiTheme="minorHAnsi" w:hAnsiTheme="minorHAnsi" w:cstheme="minorHAnsi"/>
                <w:sz w:val="16"/>
                <w:szCs w:val="16"/>
              </w:rPr>
              <w:t xml:space="preserve"> </w:t>
            </w:r>
          </w:p>
        </w:tc>
        <w:tc>
          <w:tcPr>
            <w:tcW w:w="3281" w:type="dxa"/>
            <w:tcMar>
              <w:left w:w="105" w:type="dxa"/>
              <w:right w:w="105" w:type="dxa"/>
            </w:tcMar>
          </w:tcPr>
          <w:p w14:paraId="38A257F8"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5 MS requests for digital inclusion, policy and regulation, and capacity development</w:t>
            </w:r>
          </w:p>
        </w:tc>
        <w:tc>
          <w:tcPr>
            <w:tcW w:w="3181" w:type="dxa"/>
            <w:tcMar>
              <w:left w:w="105" w:type="dxa"/>
              <w:right w:w="105" w:type="dxa"/>
            </w:tcMar>
          </w:tcPr>
          <w:p w14:paraId="47158F7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sent within 2-3 days, and the TAs implemented in approximately 40 days.</w:t>
            </w:r>
            <w:r w:rsidRPr="00986D12">
              <w:rPr>
                <w:rFonts w:asciiTheme="minorHAnsi" w:hAnsiTheme="minorHAnsi" w:cstheme="minorHAnsi"/>
                <w:sz w:val="16"/>
                <w:szCs w:val="16"/>
              </w:rPr>
              <w:t xml:space="preserve"> </w:t>
            </w:r>
          </w:p>
        </w:tc>
        <w:tc>
          <w:tcPr>
            <w:tcW w:w="1134" w:type="dxa"/>
            <w:tcMar>
              <w:left w:w="105" w:type="dxa"/>
              <w:right w:w="105" w:type="dxa"/>
            </w:tcMar>
          </w:tcPr>
          <w:p w14:paraId="212EE32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1ECC940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r>
      <w:tr w:rsidR="00250529" w:rsidRPr="00986D12" w14:paraId="1FD9349D"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43DFEAC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ASP</w:t>
            </w:r>
            <w:r w:rsidRPr="00986D12">
              <w:rPr>
                <w:rFonts w:asciiTheme="minorHAnsi" w:hAnsiTheme="minorHAnsi" w:cstheme="minorHAnsi"/>
                <w:sz w:val="16"/>
                <w:szCs w:val="16"/>
              </w:rPr>
              <w:t xml:space="preserve"> </w:t>
            </w:r>
          </w:p>
        </w:tc>
        <w:tc>
          <w:tcPr>
            <w:tcW w:w="3281" w:type="dxa"/>
            <w:tcMar>
              <w:left w:w="105" w:type="dxa"/>
              <w:right w:w="105" w:type="dxa"/>
            </w:tcMar>
          </w:tcPr>
          <w:p w14:paraId="003FC58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4 MS requests for emergency telecom and cybersecurity support</w:t>
            </w:r>
          </w:p>
        </w:tc>
        <w:tc>
          <w:tcPr>
            <w:tcW w:w="3181" w:type="dxa"/>
            <w:tcMar>
              <w:left w:w="105" w:type="dxa"/>
              <w:right w:w="105" w:type="dxa"/>
            </w:tcMar>
          </w:tcPr>
          <w:p w14:paraId="298A1DC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sent within 24 hours, and the TAs implemented in approximately 15 days.</w:t>
            </w:r>
          </w:p>
        </w:tc>
        <w:tc>
          <w:tcPr>
            <w:tcW w:w="1134" w:type="dxa"/>
            <w:tcMar>
              <w:left w:w="105" w:type="dxa"/>
              <w:right w:w="105" w:type="dxa"/>
            </w:tcMar>
          </w:tcPr>
          <w:p w14:paraId="32A4D1D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781384C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r>
      <w:tr w:rsidR="00250529" w:rsidRPr="00986D12" w14:paraId="78416A1A"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6AC4239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ASP</w:t>
            </w:r>
            <w:r w:rsidRPr="00986D12">
              <w:rPr>
                <w:rFonts w:asciiTheme="minorHAnsi" w:hAnsiTheme="minorHAnsi" w:cstheme="minorHAnsi"/>
                <w:sz w:val="16"/>
                <w:szCs w:val="16"/>
              </w:rPr>
              <w:t xml:space="preserve"> </w:t>
            </w:r>
          </w:p>
        </w:tc>
        <w:tc>
          <w:tcPr>
            <w:tcW w:w="3281" w:type="dxa"/>
            <w:tcMar>
              <w:left w:w="105" w:type="dxa"/>
              <w:right w:w="105" w:type="dxa"/>
            </w:tcMar>
          </w:tcPr>
          <w:p w14:paraId="0196D079"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3 MS requests for network and infrastructure, digital services, ICT statistics and e-waste</w:t>
            </w:r>
            <w:r w:rsidRPr="00986D12">
              <w:rPr>
                <w:rFonts w:asciiTheme="minorHAnsi" w:hAnsiTheme="minorHAnsi" w:cstheme="minorHAnsi"/>
                <w:sz w:val="16"/>
                <w:szCs w:val="16"/>
              </w:rPr>
              <w:t xml:space="preserve"> </w:t>
            </w:r>
          </w:p>
        </w:tc>
        <w:tc>
          <w:tcPr>
            <w:tcW w:w="3181" w:type="dxa"/>
            <w:tcMar>
              <w:left w:w="105" w:type="dxa"/>
              <w:right w:w="105" w:type="dxa"/>
            </w:tcMar>
          </w:tcPr>
          <w:p w14:paraId="11C8594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Acknowledgement sent within 2-3 days, and the TAs implemented in approximately 40 days.</w:t>
            </w:r>
          </w:p>
        </w:tc>
        <w:tc>
          <w:tcPr>
            <w:tcW w:w="1134" w:type="dxa"/>
            <w:tcMar>
              <w:left w:w="105" w:type="dxa"/>
              <w:right w:w="105" w:type="dxa"/>
            </w:tcMar>
          </w:tcPr>
          <w:p w14:paraId="4E1679F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High</w:t>
            </w:r>
            <w:r w:rsidRPr="00986D12">
              <w:rPr>
                <w:rFonts w:asciiTheme="minorHAnsi" w:hAnsiTheme="minorHAnsi" w:cstheme="minorHAnsi"/>
                <w:sz w:val="16"/>
                <w:szCs w:val="16"/>
              </w:rPr>
              <w:t xml:space="preserve"> </w:t>
            </w:r>
          </w:p>
        </w:tc>
        <w:tc>
          <w:tcPr>
            <w:tcW w:w="1126" w:type="dxa"/>
            <w:tcMar>
              <w:left w:w="105" w:type="dxa"/>
              <w:right w:w="105" w:type="dxa"/>
            </w:tcMar>
          </w:tcPr>
          <w:p w14:paraId="4F512D3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r>
      <w:tr w:rsidR="00250529" w:rsidRPr="00986D12" w14:paraId="3C460F46"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00906BB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CIS</w:t>
            </w:r>
            <w:r w:rsidRPr="00986D12">
              <w:rPr>
                <w:rFonts w:asciiTheme="minorHAnsi" w:hAnsiTheme="minorHAnsi" w:cstheme="minorHAnsi"/>
                <w:sz w:val="16"/>
                <w:szCs w:val="16"/>
              </w:rPr>
              <w:t xml:space="preserve"> </w:t>
            </w:r>
          </w:p>
        </w:tc>
        <w:tc>
          <w:tcPr>
            <w:tcW w:w="3281" w:type="dxa"/>
            <w:tcMar>
              <w:left w:w="105" w:type="dxa"/>
              <w:right w:w="105" w:type="dxa"/>
            </w:tcMar>
          </w:tcPr>
          <w:p w14:paraId="3F805611"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1 MS request related to Statistics</w:t>
            </w:r>
          </w:p>
        </w:tc>
        <w:tc>
          <w:tcPr>
            <w:tcW w:w="3181" w:type="dxa"/>
            <w:tcMar>
              <w:left w:w="105" w:type="dxa"/>
              <w:right w:w="105" w:type="dxa"/>
            </w:tcMar>
          </w:tcPr>
          <w:p w14:paraId="3972B22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Acknowledgement sent in 2 days. The required information presented </w:t>
            </w:r>
            <w:proofErr w:type="gramStart"/>
            <w:r w:rsidRPr="00986D12">
              <w:rPr>
                <w:rFonts w:asciiTheme="minorHAnsi" w:hAnsiTheme="minorHAnsi" w:cstheme="minorHAnsi"/>
                <w:sz w:val="16"/>
                <w:szCs w:val="16"/>
                <w:lang w:val="en-US"/>
              </w:rPr>
              <w:t>in the course of</w:t>
            </w:r>
            <w:proofErr w:type="gramEnd"/>
            <w:r w:rsidRPr="00986D12">
              <w:rPr>
                <w:rFonts w:asciiTheme="minorHAnsi" w:hAnsiTheme="minorHAnsi" w:cstheme="minorHAnsi"/>
                <w:sz w:val="16"/>
                <w:szCs w:val="16"/>
                <w:lang w:val="en-US"/>
              </w:rPr>
              <w:t xml:space="preserve"> two months.</w:t>
            </w:r>
          </w:p>
        </w:tc>
        <w:tc>
          <w:tcPr>
            <w:tcW w:w="1134" w:type="dxa"/>
            <w:tcMar>
              <w:left w:w="105" w:type="dxa"/>
              <w:right w:w="105" w:type="dxa"/>
            </w:tcMar>
          </w:tcPr>
          <w:p w14:paraId="002A522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Low</w:t>
            </w:r>
            <w:r w:rsidRPr="00986D12">
              <w:rPr>
                <w:rFonts w:asciiTheme="minorHAnsi" w:hAnsiTheme="minorHAnsi" w:cstheme="minorHAnsi"/>
                <w:sz w:val="16"/>
                <w:szCs w:val="16"/>
              </w:rPr>
              <w:t xml:space="preserve"> </w:t>
            </w:r>
          </w:p>
        </w:tc>
        <w:tc>
          <w:tcPr>
            <w:tcW w:w="1126" w:type="dxa"/>
            <w:tcMar>
              <w:left w:w="105" w:type="dxa"/>
              <w:right w:w="105" w:type="dxa"/>
            </w:tcMar>
          </w:tcPr>
          <w:p w14:paraId="729E418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Medium</w:t>
            </w:r>
            <w:r w:rsidRPr="00986D12">
              <w:rPr>
                <w:rFonts w:asciiTheme="minorHAnsi" w:hAnsiTheme="minorHAnsi" w:cstheme="minorHAnsi"/>
                <w:sz w:val="16"/>
                <w:szCs w:val="16"/>
              </w:rPr>
              <w:t xml:space="preserve"> </w:t>
            </w:r>
          </w:p>
        </w:tc>
      </w:tr>
      <w:tr w:rsidR="00250529" w:rsidRPr="00986D12" w14:paraId="15244597" w14:textId="77777777" w:rsidTr="00507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66C4D01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CIS</w:t>
            </w:r>
            <w:r w:rsidRPr="00986D12">
              <w:rPr>
                <w:rFonts w:asciiTheme="minorHAnsi" w:hAnsiTheme="minorHAnsi" w:cstheme="minorHAnsi"/>
                <w:sz w:val="16"/>
                <w:szCs w:val="16"/>
              </w:rPr>
              <w:t xml:space="preserve"> </w:t>
            </w:r>
          </w:p>
        </w:tc>
        <w:tc>
          <w:tcPr>
            <w:tcW w:w="3281" w:type="dxa"/>
            <w:tcMar>
              <w:left w:w="105" w:type="dxa"/>
              <w:right w:w="105" w:type="dxa"/>
            </w:tcMar>
          </w:tcPr>
          <w:p w14:paraId="2770C0A7"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All MS requests were received as part of the OP-24 consultation process in </w:t>
            </w:r>
            <w:proofErr w:type="spellStart"/>
            <w:r w:rsidRPr="00986D12">
              <w:rPr>
                <w:rFonts w:asciiTheme="minorHAnsi" w:hAnsiTheme="minorHAnsi" w:cstheme="minorHAnsi"/>
                <w:sz w:val="16"/>
                <w:szCs w:val="16"/>
                <w:lang w:val="en-US"/>
              </w:rPr>
              <w:t>Q3</w:t>
            </w:r>
            <w:proofErr w:type="spellEnd"/>
            <w:r w:rsidRPr="00986D12">
              <w:rPr>
                <w:rFonts w:asciiTheme="minorHAnsi" w:hAnsiTheme="minorHAnsi" w:cstheme="minorHAnsi"/>
                <w:sz w:val="16"/>
                <w:szCs w:val="16"/>
                <w:lang w:val="en-US"/>
              </w:rPr>
              <w:t xml:space="preserve"> 2023 and were planned according to be implemented in </w:t>
            </w:r>
            <w:proofErr w:type="gramStart"/>
            <w:r w:rsidRPr="00986D12">
              <w:rPr>
                <w:rFonts w:asciiTheme="minorHAnsi" w:hAnsiTheme="minorHAnsi" w:cstheme="minorHAnsi"/>
                <w:sz w:val="16"/>
                <w:szCs w:val="16"/>
                <w:lang w:val="en-US"/>
              </w:rPr>
              <w:t>the OP</w:t>
            </w:r>
            <w:proofErr w:type="gramEnd"/>
            <w:r w:rsidRPr="00986D12">
              <w:rPr>
                <w:rFonts w:asciiTheme="minorHAnsi" w:hAnsiTheme="minorHAnsi" w:cstheme="minorHAnsi"/>
                <w:sz w:val="16"/>
                <w:szCs w:val="16"/>
                <w:lang w:val="en-US"/>
              </w:rPr>
              <w:t>-24</w:t>
            </w:r>
          </w:p>
        </w:tc>
        <w:tc>
          <w:tcPr>
            <w:tcW w:w="3181" w:type="dxa"/>
            <w:tcMar>
              <w:left w:w="105" w:type="dxa"/>
              <w:right w:w="105" w:type="dxa"/>
            </w:tcMar>
          </w:tcPr>
          <w:p w14:paraId="2B9B9186"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 xml:space="preserve">Coordination with Member States done during the preparatory phase, as well as during </w:t>
            </w:r>
            <w:proofErr w:type="spellStart"/>
            <w:r w:rsidRPr="00986D12">
              <w:rPr>
                <w:rFonts w:asciiTheme="minorHAnsi" w:hAnsiTheme="minorHAnsi" w:cstheme="minorHAnsi"/>
                <w:sz w:val="16"/>
                <w:szCs w:val="16"/>
                <w:lang w:val="en-US"/>
              </w:rPr>
              <w:t>organisation</w:t>
            </w:r>
            <w:proofErr w:type="spellEnd"/>
            <w:r w:rsidRPr="00986D12">
              <w:rPr>
                <w:rFonts w:asciiTheme="minorHAnsi" w:hAnsiTheme="minorHAnsi" w:cstheme="minorHAnsi"/>
                <w:sz w:val="16"/>
                <w:szCs w:val="16"/>
                <w:lang w:val="en-US"/>
              </w:rPr>
              <w:t xml:space="preserve"> and implementation of the activity. The duration of activities varies from one to six months, depending on the complexity of the assistance.</w:t>
            </w:r>
          </w:p>
        </w:tc>
        <w:tc>
          <w:tcPr>
            <w:tcW w:w="1134" w:type="dxa"/>
            <w:tcMar>
              <w:left w:w="105" w:type="dxa"/>
              <w:right w:w="105" w:type="dxa"/>
            </w:tcMar>
          </w:tcPr>
          <w:p w14:paraId="0A2A86C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Various levels of complexity</w:t>
            </w:r>
            <w:r w:rsidRPr="00986D12">
              <w:rPr>
                <w:rFonts w:asciiTheme="minorHAnsi" w:hAnsiTheme="minorHAnsi" w:cstheme="minorHAnsi"/>
                <w:sz w:val="16"/>
                <w:szCs w:val="16"/>
              </w:rPr>
              <w:t xml:space="preserve"> </w:t>
            </w:r>
          </w:p>
        </w:tc>
        <w:tc>
          <w:tcPr>
            <w:tcW w:w="1126" w:type="dxa"/>
            <w:tcMar>
              <w:left w:w="105" w:type="dxa"/>
              <w:right w:w="105" w:type="dxa"/>
            </w:tcMar>
          </w:tcPr>
          <w:p w14:paraId="1C80D2D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According to planned OP</w:t>
            </w:r>
            <w:r w:rsidRPr="00986D12">
              <w:rPr>
                <w:rFonts w:asciiTheme="minorHAnsi" w:hAnsiTheme="minorHAnsi" w:cstheme="minorHAnsi"/>
                <w:sz w:val="16"/>
                <w:szCs w:val="16"/>
              </w:rPr>
              <w:t xml:space="preserve"> </w:t>
            </w:r>
          </w:p>
        </w:tc>
      </w:tr>
      <w:tr w:rsidR="00250529" w:rsidRPr="00986D12" w14:paraId="15C72513" w14:textId="77777777" w:rsidTr="00507BF5">
        <w:trPr>
          <w:jc w:val="center"/>
        </w:trPr>
        <w:tc>
          <w:tcPr>
            <w:cnfStyle w:val="001000000000" w:firstRow="0" w:lastRow="0" w:firstColumn="1" w:lastColumn="0" w:oddVBand="0" w:evenVBand="0" w:oddHBand="0" w:evenHBand="0" w:firstRowFirstColumn="0" w:firstRowLastColumn="0" w:lastRowFirstColumn="0" w:lastRowLastColumn="0"/>
            <w:tcW w:w="901" w:type="dxa"/>
            <w:tcMar>
              <w:left w:w="105" w:type="dxa"/>
              <w:right w:w="105" w:type="dxa"/>
            </w:tcMar>
          </w:tcPr>
          <w:p w14:paraId="2B8E650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lang w:val="en-US"/>
              </w:rPr>
              <w:t>EUR</w:t>
            </w:r>
          </w:p>
        </w:tc>
        <w:tc>
          <w:tcPr>
            <w:tcW w:w="3281" w:type="dxa"/>
            <w:tcMar>
              <w:left w:w="105" w:type="dxa"/>
              <w:right w:w="105" w:type="dxa"/>
            </w:tcMar>
          </w:tcPr>
          <w:p w14:paraId="10C6C01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eastAsia="Avenir Nxt2 W1G" w:hAnsiTheme="minorHAnsi" w:cstheme="minorHAnsi"/>
                <w:sz w:val="16"/>
                <w:szCs w:val="16"/>
              </w:rPr>
            </w:pPr>
            <w:r w:rsidRPr="00986D12">
              <w:rPr>
                <w:rFonts w:asciiTheme="minorHAnsi" w:eastAsia="Avenir Nxt2 W1G" w:hAnsiTheme="minorHAnsi" w:cstheme="minorHAnsi"/>
                <w:sz w:val="16"/>
                <w:szCs w:val="16"/>
                <w:lang w:val="en-US"/>
              </w:rPr>
              <w:t xml:space="preserve">All MS requests were received through RDF 2023 </w:t>
            </w:r>
            <w:hyperlink r:id="rId66">
              <w:r w:rsidRPr="00986D12">
                <w:rPr>
                  <w:rStyle w:val="Hyperlink"/>
                  <w:rFonts w:asciiTheme="minorHAnsi" w:eastAsia="Avenir Nxt2 W1G" w:hAnsiTheme="minorHAnsi" w:cstheme="minorHAnsi"/>
                  <w:sz w:val="16"/>
                  <w:szCs w:val="16"/>
                  <w:lang w:val="en-US"/>
                </w:rPr>
                <w:t>process</w:t>
              </w:r>
            </w:hyperlink>
            <w:r w:rsidRPr="00986D12">
              <w:rPr>
                <w:rFonts w:asciiTheme="minorHAnsi" w:eastAsia="Avenir Nxt2 W1G" w:hAnsiTheme="minorHAnsi" w:cstheme="minorHAnsi"/>
                <w:sz w:val="16"/>
                <w:szCs w:val="16"/>
                <w:lang w:val="en-US"/>
              </w:rPr>
              <w:t xml:space="preserve"> and supplemented by the OP-24 consultation process in </w:t>
            </w:r>
            <w:proofErr w:type="spellStart"/>
            <w:r w:rsidRPr="00986D12">
              <w:rPr>
                <w:rFonts w:asciiTheme="minorHAnsi" w:eastAsia="Avenir Nxt2 W1G" w:hAnsiTheme="minorHAnsi" w:cstheme="minorHAnsi"/>
                <w:sz w:val="16"/>
                <w:szCs w:val="16"/>
                <w:lang w:val="en-US"/>
              </w:rPr>
              <w:t>Q3</w:t>
            </w:r>
            <w:proofErr w:type="spellEnd"/>
            <w:r w:rsidRPr="00986D12">
              <w:rPr>
                <w:rFonts w:asciiTheme="minorHAnsi" w:eastAsia="Avenir Nxt2 W1G" w:hAnsiTheme="minorHAnsi" w:cstheme="minorHAnsi"/>
                <w:sz w:val="16"/>
                <w:szCs w:val="16"/>
                <w:lang w:val="en-US"/>
              </w:rPr>
              <w:t xml:space="preserve"> 2023</w:t>
            </w:r>
          </w:p>
        </w:tc>
        <w:tc>
          <w:tcPr>
            <w:tcW w:w="3181" w:type="dxa"/>
            <w:tcMar>
              <w:left w:w="105" w:type="dxa"/>
              <w:right w:w="105" w:type="dxa"/>
            </w:tcMar>
          </w:tcPr>
          <w:p w14:paraId="33C3360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The duration of implementation depends on the complexity of the technical assistance requested by the Member State and varies between 3 to 9 months.</w:t>
            </w:r>
          </w:p>
        </w:tc>
        <w:tc>
          <w:tcPr>
            <w:tcW w:w="1134" w:type="dxa"/>
            <w:tcMar>
              <w:left w:w="105" w:type="dxa"/>
              <w:right w:w="105" w:type="dxa"/>
            </w:tcMar>
          </w:tcPr>
          <w:p w14:paraId="62FD5D7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Various levels of complexity</w:t>
            </w:r>
            <w:r w:rsidRPr="00986D12">
              <w:rPr>
                <w:rFonts w:asciiTheme="minorHAnsi" w:hAnsiTheme="minorHAnsi" w:cstheme="minorHAnsi"/>
                <w:sz w:val="16"/>
                <w:szCs w:val="16"/>
              </w:rPr>
              <w:t xml:space="preserve"> </w:t>
            </w:r>
          </w:p>
        </w:tc>
        <w:tc>
          <w:tcPr>
            <w:tcW w:w="1126" w:type="dxa"/>
            <w:tcMar>
              <w:left w:w="105" w:type="dxa"/>
              <w:right w:w="105" w:type="dxa"/>
            </w:tcMar>
          </w:tcPr>
          <w:p w14:paraId="2CF6DE9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lang w:val="en-US"/>
              </w:rPr>
              <w:t>Varying degrees of urgency</w:t>
            </w:r>
            <w:r w:rsidRPr="00986D12">
              <w:rPr>
                <w:rFonts w:asciiTheme="minorHAnsi" w:hAnsiTheme="minorHAnsi" w:cstheme="minorHAnsi"/>
                <w:sz w:val="16"/>
                <w:szCs w:val="16"/>
              </w:rPr>
              <w:t xml:space="preserve"> </w:t>
            </w:r>
          </w:p>
        </w:tc>
      </w:tr>
    </w:tbl>
    <w:p w14:paraId="13E5FCEE" w14:textId="77777777" w:rsidR="00250529" w:rsidRPr="00986D12" w:rsidRDefault="00250529" w:rsidP="00507BF5">
      <w:pPr>
        <w:rPr>
          <w:rFonts w:asciiTheme="minorHAnsi" w:hAnsiTheme="minorHAnsi" w:cstheme="minorHAnsi"/>
          <w:sz w:val="16"/>
          <w:szCs w:val="16"/>
        </w:rPr>
      </w:pPr>
      <w:r w:rsidRPr="00986D12">
        <w:rPr>
          <w:rFonts w:asciiTheme="minorHAnsi" w:hAnsiTheme="minorHAnsi" w:cstheme="minorHAnsi"/>
          <w:sz w:val="16"/>
          <w:szCs w:val="16"/>
        </w:rPr>
        <w:t xml:space="preserve">Note: </w:t>
      </w:r>
      <w:r w:rsidRPr="00986D12">
        <w:rPr>
          <w:rFonts w:asciiTheme="minorHAnsi" w:hAnsiTheme="minorHAnsi" w:cstheme="minorHAnsi"/>
          <w:sz w:val="16"/>
          <w:szCs w:val="16"/>
          <w:lang w:val="en-US"/>
        </w:rPr>
        <w:t>Complexity refers to the intricacy, technical difficulty, risk, or uncertainty involved in the task, regardless of how long it takes</w:t>
      </w:r>
    </w:p>
    <w:p w14:paraId="792504AF" w14:textId="77777777" w:rsidR="00250529" w:rsidRPr="00986D12" w:rsidRDefault="00250529" w:rsidP="005B5E68">
      <w:pPr>
        <w:pStyle w:val="KPItitle"/>
        <w:jc w:val="both"/>
        <w:rPr>
          <w:rFonts w:asciiTheme="minorHAnsi" w:hAnsiTheme="minorHAnsi" w:cstheme="minorHAnsi"/>
        </w:rPr>
      </w:pPr>
      <w:bookmarkStart w:id="106" w:name="_Toc224213048"/>
      <w:bookmarkStart w:id="107" w:name="_Toc224236479"/>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4 — Feedback scores on the overall satisfaction with the activities of the Regional and Area Offices by their Membership</w:t>
      </w:r>
      <w:bookmarkEnd w:id="106"/>
      <w:bookmarkEnd w:id="107"/>
    </w:p>
    <w:p w14:paraId="1C319FB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Overall satisfaction with the activities of the Regional and Area Offices is positive, with strong signals in areas related to effectiveness, collaboration and information dissemination.</w:t>
      </w:r>
    </w:p>
    <w:p w14:paraId="36C8155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Membership Agreement that ITU is effective in delivering on its mandate and impact on the ground through Regional and Area Offices is high at </w:t>
      </w:r>
      <w:r w:rsidRPr="00986D12" w:rsidDel="00FD7201">
        <w:rPr>
          <w:rFonts w:asciiTheme="minorHAnsi" w:hAnsiTheme="minorHAnsi" w:cstheme="minorHAnsi"/>
        </w:rPr>
        <w:t>71</w:t>
      </w:r>
      <w:r w:rsidRPr="00986D12">
        <w:rPr>
          <w:rFonts w:asciiTheme="minorHAnsi" w:hAnsiTheme="minorHAnsi" w:cstheme="minorHAnsi"/>
        </w:rPr>
        <w:t>% (</w:t>
      </w:r>
      <w:proofErr w:type="spellStart"/>
      <w:r w:rsidRPr="00986D12">
        <w:rPr>
          <w:rFonts w:asciiTheme="minorHAnsi" w:hAnsiTheme="minorHAnsi" w:cstheme="minorHAnsi"/>
        </w:rPr>
        <w:t>Q1</w:t>
      </w:r>
      <w:proofErr w:type="spellEnd"/>
      <w:r w:rsidRPr="00986D12">
        <w:rPr>
          <w:rFonts w:asciiTheme="minorHAnsi" w:hAnsiTheme="minorHAnsi" w:cstheme="minorHAnsi"/>
        </w:rPr>
        <w:t xml:space="preserve">). Satisfaction with the current level of activities is also positive at </w:t>
      </w:r>
      <w:r w:rsidRPr="00986D12" w:rsidDel="000B4D3F">
        <w:rPr>
          <w:rFonts w:asciiTheme="minorHAnsi" w:hAnsiTheme="minorHAnsi" w:cstheme="minorHAnsi"/>
        </w:rPr>
        <w:t>60</w:t>
      </w:r>
      <w:r w:rsidRPr="00986D12">
        <w:rPr>
          <w:rFonts w:asciiTheme="minorHAnsi" w:hAnsiTheme="minorHAnsi" w:cstheme="minorHAnsi"/>
        </w:rPr>
        <w:t>% (</w:t>
      </w:r>
      <w:proofErr w:type="spellStart"/>
      <w:r w:rsidRPr="00986D12">
        <w:rPr>
          <w:rFonts w:asciiTheme="minorHAnsi" w:hAnsiTheme="minorHAnsi" w:cstheme="minorHAnsi"/>
        </w:rPr>
        <w:t>Q2</w:t>
      </w:r>
      <w:proofErr w:type="spellEnd"/>
      <w:r w:rsidRPr="00986D12">
        <w:rPr>
          <w:rFonts w:asciiTheme="minorHAnsi" w:hAnsiTheme="minorHAnsi" w:cstheme="minorHAnsi"/>
        </w:rPr>
        <w:t xml:space="preserve">), indicating broad approval while also suggesting expectations for continued scaling and deepening of engagement. Further, consultation levels are high, with </w:t>
      </w:r>
      <w:r w:rsidRPr="00986D12" w:rsidDel="000B4D3F">
        <w:rPr>
          <w:rFonts w:asciiTheme="minorHAnsi" w:hAnsiTheme="minorHAnsi" w:cstheme="minorHAnsi"/>
        </w:rPr>
        <w:t>74</w:t>
      </w:r>
      <w:r w:rsidRPr="00986D12">
        <w:rPr>
          <w:rFonts w:asciiTheme="minorHAnsi" w:hAnsiTheme="minorHAnsi" w:cstheme="minorHAnsi"/>
        </w:rPr>
        <w:t>% reporting engagement with Regional and/or Area Offices in 2024–2025 (</w:t>
      </w:r>
      <w:proofErr w:type="spellStart"/>
      <w:r w:rsidRPr="00986D12">
        <w:rPr>
          <w:rFonts w:asciiTheme="minorHAnsi" w:hAnsiTheme="minorHAnsi" w:cstheme="minorHAnsi"/>
        </w:rPr>
        <w:t>Q10</w:t>
      </w:r>
      <w:proofErr w:type="spellEnd"/>
      <w:r w:rsidRPr="00986D12">
        <w:rPr>
          <w:rFonts w:asciiTheme="minorHAnsi" w:hAnsiTheme="minorHAnsi" w:cstheme="minorHAnsi"/>
        </w:rPr>
        <w:t>). A majority indicate that lack of physical proximity does not negatively affect support (</w:t>
      </w:r>
      <w:proofErr w:type="spellStart"/>
      <w:r w:rsidRPr="00986D12">
        <w:rPr>
          <w:rFonts w:asciiTheme="minorHAnsi" w:hAnsiTheme="minorHAnsi" w:cstheme="minorHAnsi"/>
        </w:rPr>
        <w:t>Q16</w:t>
      </w:r>
      <w:proofErr w:type="spellEnd"/>
      <w:r w:rsidRPr="00986D12">
        <w:rPr>
          <w:rFonts w:asciiTheme="minorHAnsi" w:hAnsiTheme="minorHAnsi" w:cstheme="minorHAnsi"/>
        </w:rPr>
        <w:t>), although a meaningful minority report some impact, pointing to differing regional contexts.</w:t>
      </w:r>
    </w:p>
    <w:p w14:paraId="34E8058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Interviews with Regional Telecommunication Organizations (RTOs) corroborate the positive assessment emerging from the Membership Survey. Across regions, interview participants expressed satisfaction with the role played by Regional and Area Offices in supporting regional dialogue, participating in regional meetings and facilitating coordination with Member States and regional institutions. Interviewees highlighted regular interaction with regional offices </w:t>
      </w:r>
      <w:r w:rsidRPr="00986D12">
        <w:rPr>
          <w:rFonts w:asciiTheme="minorHAnsi" w:hAnsiTheme="minorHAnsi" w:cstheme="minorHAnsi"/>
        </w:rPr>
        <w:lastRenderedPageBreak/>
        <w:t>and described cooperation as constructive and responsive. While participants also pointed to areas where improvements could strengthen delivery—particularly regarding resources, technical expertise and coordination mechanisms—the overall tenor of the interviews confirms the favourable perceptions reflected in the Membership Survey.</w:t>
      </w:r>
    </w:p>
    <w:p w14:paraId="44299C42"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Collaboration dynamics are particularly strong. Willingness to collaborate reaches </w:t>
      </w:r>
      <w:r w:rsidRPr="00986D12" w:rsidDel="000B4D3F">
        <w:rPr>
          <w:rFonts w:asciiTheme="minorHAnsi" w:hAnsiTheme="minorHAnsi" w:cstheme="minorHAnsi"/>
        </w:rPr>
        <w:t>82</w:t>
      </w:r>
      <w:r w:rsidRPr="00986D12">
        <w:rPr>
          <w:rFonts w:asciiTheme="minorHAnsi" w:hAnsiTheme="minorHAnsi" w:cstheme="minorHAnsi"/>
        </w:rPr>
        <w:t>% when referring to Membership entities (</w:t>
      </w:r>
      <w:proofErr w:type="spellStart"/>
      <w:r w:rsidRPr="00986D12">
        <w:rPr>
          <w:rFonts w:asciiTheme="minorHAnsi" w:hAnsiTheme="minorHAnsi" w:cstheme="minorHAnsi"/>
        </w:rPr>
        <w:t>Q9_a</w:t>
      </w:r>
      <w:proofErr w:type="spellEnd"/>
      <w:r w:rsidRPr="00986D12">
        <w:rPr>
          <w:rFonts w:asciiTheme="minorHAnsi" w:hAnsiTheme="minorHAnsi" w:cstheme="minorHAnsi"/>
        </w:rPr>
        <w:t xml:space="preserve">) and </w:t>
      </w:r>
      <w:r w:rsidRPr="00986D12" w:rsidDel="000B4D3F">
        <w:rPr>
          <w:rFonts w:asciiTheme="minorHAnsi" w:hAnsiTheme="minorHAnsi" w:cstheme="minorHAnsi"/>
        </w:rPr>
        <w:t>60</w:t>
      </w:r>
      <w:r w:rsidRPr="00986D12">
        <w:rPr>
          <w:rFonts w:asciiTheme="minorHAnsi" w:hAnsiTheme="minorHAnsi" w:cstheme="minorHAnsi"/>
        </w:rPr>
        <w:t>% when referring to partners (</w:t>
      </w:r>
      <w:proofErr w:type="spellStart"/>
      <w:r w:rsidRPr="00986D12">
        <w:rPr>
          <w:rFonts w:asciiTheme="minorHAnsi" w:hAnsiTheme="minorHAnsi" w:cstheme="minorHAnsi"/>
        </w:rPr>
        <w:t>Q9_b</w:t>
      </w:r>
      <w:proofErr w:type="spellEnd"/>
      <w:r w:rsidRPr="00986D12">
        <w:rPr>
          <w:rFonts w:asciiTheme="minorHAnsi" w:hAnsiTheme="minorHAnsi" w:cstheme="minorHAnsi"/>
        </w:rPr>
        <w:t>). These results indicate a solid foundation for partnership-based delivery, especially within the Membership itself. Feedback from Regional Telecommunication Organizations provides contextual confirmation of these collaboration patterns. Interviewees describe regular operational interaction between regional offices and regional organizations, including participation of ITU regional staff in regional meetings, technical discussions and joint activities. Such interaction supports continuous dialogue with Member States and helps align regional initiatives with global ITU processes.</w:t>
      </w:r>
    </w:p>
    <w:p w14:paraId="0B5C65FF"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Perceived effectiveness across support functions is highest for dissemination of information and data at </w:t>
      </w:r>
      <w:r w:rsidRPr="00986D12" w:rsidDel="000B4D3F">
        <w:rPr>
          <w:rFonts w:asciiTheme="minorHAnsi" w:hAnsiTheme="minorHAnsi" w:cstheme="minorHAnsi"/>
        </w:rPr>
        <w:t>73</w:t>
      </w:r>
      <w:r w:rsidRPr="00986D12">
        <w:rPr>
          <w:rFonts w:asciiTheme="minorHAnsi" w:hAnsiTheme="minorHAnsi" w:cstheme="minorHAnsi"/>
        </w:rPr>
        <w:t>% (</w:t>
      </w:r>
      <w:proofErr w:type="spellStart"/>
      <w:r w:rsidRPr="00986D12">
        <w:rPr>
          <w:rFonts w:asciiTheme="minorHAnsi" w:hAnsiTheme="minorHAnsi" w:cstheme="minorHAnsi"/>
        </w:rPr>
        <w:t>Q12_c</w:t>
      </w:r>
      <w:proofErr w:type="spellEnd"/>
      <w:r w:rsidRPr="00986D12">
        <w:rPr>
          <w:rFonts w:asciiTheme="minorHAnsi" w:hAnsiTheme="minorHAnsi" w:cstheme="minorHAnsi"/>
        </w:rPr>
        <w:t>) and the use of technological platforms to disseminate relevant information at 70% (</w:t>
      </w:r>
      <w:proofErr w:type="spellStart"/>
      <w:r w:rsidRPr="00986D12">
        <w:rPr>
          <w:rFonts w:asciiTheme="minorHAnsi" w:hAnsiTheme="minorHAnsi" w:cstheme="minorHAnsi"/>
        </w:rPr>
        <w:t>Q12_b</w:t>
      </w:r>
      <w:proofErr w:type="spellEnd"/>
      <w:r w:rsidRPr="00986D12">
        <w:rPr>
          <w:rFonts w:asciiTheme="minorHAnsi" w:hAnsiTheme="minorHAnsi" w:cstheme="minorHAnsi"/>
        </w:rPr>
        <w:t>). Building awareness, skills and capacity reach 67% (</w:t>
      </w:r>
      <w:proofErr w:type="spellStart"/>
      <w:r w:rsidRPr="00986D12">
        <w:rPr>
          <w:rFonts w:asciiTheme="minorHAnsi" w:hAnsiTheme="minorHAnsi" w:cstheme="minorHAnsi"/>
        </w:rPr>
        <w:t>Q12_h</w:t>
      </w:r>
      <w:proofErr w:type="spellEnd"/>
      <w:r w:rsidRPr="00986D12">
        <w:rPr>
          <w:rFonts w:asciiTheme="minorHAnsi" w:hAnsiTheme="minorHAnsi" w:cstheme="minorHAnsi"/>
        </w:rPr>
        <w:t xml:space="preserve">), while technical expertise stands at </w:t>
      </w:r>
      <w:r w:rsidRPr="00986D12" w:rsidDel="000B4D3F">
        <w:rPr>
          <w:rFonts w:asciiTheme="minorHAnsi" w:hAnsiTheme="minorHAnsi" w:cstheme="minorHAnsi"/>
        </w:rPr>
        <w:t>66</w:t>
      </w:r>
      <w:r w:rsidRPr="00986D12">
        <w:rPr>
          <w:rFonts w:asciiTheme="minorHAnsi" w:hAnsiTheme="minorHAnsi" w:cstheme="minorHAnsi"/>
        </w:rPr>
        <w:t>% (</w:t>
      </w:r>
      <w:proofErr w:type="spellStart"/>
      <w:r w:rsidRPr="00986D12">
        <w:rPr>
          <w:rFonts w:asciiTheme="minorHAnsi" w:hAnsiTheme="minorHAnsi" w:cstheme="minorHAnsi"/>
        </w:rPr>
        <w:t>Q12_g</w:t>
      </w:r>
      <w:proofErr w:type="spellEnd"/>
      <w:r w:rsidRPr="00986D12">
        <w:rPr>
          <w:rFonts w:asciiTheme="minorHAnsi" w:hAnsiTheme="minorHAnsi" w:cstheme="minorHAnsi"/>
        </w:rPr>
        <w:t xml:space="preserve">). Communication and advocacy record </w:t>
      </w:r>
      <w:r w:rsidRPr="00986D12" w:rsidDel="000B4D3F">
        <w:rPr>
          <w:rFonts w:asciiTheme="minorHAnsi" w:hAnsiTheme="minorHAnsi" w:cstheme="minorHAnsi"/>
        </w:rPr>
        <w:t>64</w:t>
      </w:r>
      <w:r w:rsidRPr="00986D12">
        <w:rPr>
          <w:rFonts w:asciiTheme="minorHAnsi" w:hAnsiTheme="minorHAnsi" w:cstheme="minorHAnsi"/>
        </w:rPr>
        <w:t>% (</w:t>
      </w:r>
      <w:proofErr w:type="spellStart"/>
      <w:r w:rsidRPr="00986D12">
        <w:rPr>
          <w:rFonts w:asciiTheme="minorHAnsi" w:hAnsiTheme="minorHAnsi" w:cstheme="minorHAnsi"/>
        </w:rPr>
        <w:t>Q12_d</w:t>
      </w:r>
      <w:proofErr w:type="spellEnd"/>
      <w:r w:rsidRPr="00986D12">
        <w:rPr>
          <w:rFonts w:asciiTheme="minorHAnsi" w:hAnsiTheme="minorHAnsi" w:cstheme="minorHAnsi"/>
        </w:rPr>
        <w:t xml:space="preserve">), and provision of platforms for policy discussion </w:t>
      </w:r>
      <w:r w:rsidRPr="00986D12" w:rsidDel="000B4D3F">
        <w:rPr>
          <w:rFonts w:asciiTheme="minorHAnsi" w:hAnsiTheme="minorHAnsi" w:cstheme="minorHAnsi"/>
        </w:rPr>
        <w:t>61</w:t>
      </w:r>
      <w:r w:rsidRPr="00986D12">
        <w:rPr>
          <w:rFonts w:asciiTheme="minorHAnsi" w:hAnsiTheme="minorHAnsi" w:cstheme="minorHAnsi"/>
        </w:rPr>
        <w:t>% (</w:t>
      </w:r>
      <w:proofErr w:type="spellStart"/>
      <w:r w:rsidRPr="00986D12">
        <w:rPr>
          <w:rFonts w:asciiTheme="minorHAnsi" w:hAnsiTheme="minorHAnsi" w:cstheme="minorHAnsi"/>
        </w:rPr>
        <w:t>Q12_f</w:t>
      </w:r>
      <w:proofErr w:type="spellEnd"/>
      <w:r w:rsidRPr="00986D12">
        <w:rPr>
          <w:rFonts w:asciiTheme="minorHAnsi" w:hAnsiTheme="minorHAnsi" w:cstheme="minorHAnsi"/>
        </w:rPr>
        <w:t>). Interviews with regional organizations similarly highlight the role of regional offices in facilitating dialogue, organizing regional activities and supporting knowledge sharing among stakeholders.</w:t>
      </w:r>
    </w:p>
    <w:p w14:paraId="72C1AF3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Support for strategic planning at national and regional level stands at </w:t>
      </w:r>
      <w:r w:rsidRPr="00986D12" w:rsidDel="000B4D3F">
        <w:rPr>
          <w:rFonts w:asciiTheme="minorHAnsi" w:hAnsiTheme="minorHAnsi" w:cstheme="minorHAnsi"/>
        </w:rPr>
        <w:t>52</w:t>
      </w:r>
      <w:r w:rsidRPr="00986D12">
        <w:rPr>
          <w:rFonts w:asciiTheme="minorHAnsi" w:hAnsiTheme="minorHAnsi" w:cstheme="minorHAnsi"/>
        </w:rPr>
        <w:t>% (</w:t>
      </w:r>
      <w:proofErr w:type="spellStart"/>
      <w:r w:rsidRPr="00986D12">
        <w:rPr>
          <w:rFonts w:asciiTheme="minorHAnsi" w:hAnsiTheme="minorHAnsi" w:cstheme="minorHAnsi"/>
        </w:rPr>
        <w:t>Q12_a</w:t>
      </w:r>
      <w:proofErr w:type="spellEnd"/>
      <w:r w:rsidRPr="00986D12">
        <w:rPr>
          <w:rFonts w:asciiTheme="minorHAnsi" w:hAnsiTheme="minorHAnsi" w:cstheme="minorHAnsi"/>
        </w:rPr>
        <w:t xml:space="preserve">), and alignment with national or organisational ICT priorities at </w:t>
      </w:r>
      <w:r w:rsidRPr="00986D12" w:rsidDel="000B4D3F">
        <w:rPr>
          <w:rFonts w:asciiTheme="minorHAnsi" w:hAnsiTheme="minorHAnsi" w:cstheme="minorHAnsi"/>
        </w:rPr>
        <w:t>55</w:t>
      </w:r>
      <w:r w:rsidRPr="00986D12">
        <w:rPr>
          <w:rFonts w:asciiTheme="minorHAnsi" w:hAnsiTheme="minorHAnsi" w:cstheme="minorHAnsi"/>
        </w:rPr>
        <w:t>% (</w:t>
      </w:r>
      <w:proofErr w:type="spellStart"/>
      <w:r w:rsidRPr="00986D12">
        <w:rPr>
          <w:rFonts w:asciiTheme="minorHAnsi" w:hAnsiTheme="minorHAnsi" w:cstheme="minorHAnsi"/>
        </w:rPr>
        <w:t>Q12_i</w:t>
      </w:r>
      <w:proofErr w:type="spellEnd"/>
      <w:r w:rsidRPr="00986D12">
        <w:rPr>
          <w:rFonts w:asciiTheme="minorHAnsi" w:hAnsiTheme="minorHAnsi" w:cstheme="minorHAnsi"/>
        </w:rPr>
        <w:t>). Partnerships and resource mobilization record 55% agreement (</w:t>
      </w:r>
      <w:proofErr w:type="spellStart"/>
      <w:r w:rsidRPr="00986D12">
        <w:rPr>
          <w:rFonts w:asciiTheme="minorHAnsi" w:hAnsiTheme="minorHAnsi" w:cstheme="minorHAnsi"/>
        </w:rPr>
        <w:t>Q12_e</w:t>
      </w:r>
      <w:proofErr w:type="spellEnd"/>
      <w:r w:rsidRPr="00986D12">
        <w:rPr>
          <w:rFonts w:asciiTheme="minorHAnsi" w:hAnsiTheme="minorHAnsi" w:cstheme="minorHAnsi"/>
        </w:rPr>
        <w:t xml:space="preserve">), indicating still positive but relatively more moderate assessments in these areas. Interview feedback provides additional context for these results. </w:t>
      </w:r>
    </w:p>
    <w:p w14:paraId="0B6AD68D"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Regional organizations emphasize that successful implementation of regional initiatives often depends on the availability of predictable financial resources and effective partnership mechanisms. In some regions, initiatives adopted through conference resolutions or regional planning processes may face implementation constraints when funding mechanisms are insufficient or when resources are not secured early in the implementation cycle. Interviewees also underline that stronger technical capacity in regional offices – particularly in emerging areas such as cybersecurity, artificial intelligence and spectrum management – can improve alignment between regional priorities and operational delivery. In addition, regional organizations stress the value of structured cooperation between ITU regional offices and regional institutions to translate agreed regional strategies into concrete projects and activities. These observations suggest that effective execution of agreed priorities depends not only on coordination mechanisms but also on adequate resourcing, technical expertise and sustained institutional partnerships.</w:t>
      </w:r>
    </w:p>
    <w:p w14:paraId="1CB59A7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Perceived ease of access to expertise, even without physical presence, reaches </w:t>
      </w:r>
      <w:r w:rsidRPr="00986D12" w:rsidDel="000B4D3F">
        <w:rPr>
          <w:rFonts w:asciiTheme="minorHAnsi" w:hAnsiTheme="minorHAnsi" w:cstheme="minorHAnsi"/>
        </w:rPr>
        <w:t>52</w:t>
      </w:r>
      <w:r w:rsidRPr="00986D12">
        <w:rPr>
          <w:rFonts w:asciiTheme="minorHAnsi" w:hAnsiTheme="minorHAnsi" w:cstheme="minorHAnsi"/>
        </w:rPr>
        <w:t>% (</w:t>
      </w:r>
      <w:proofErr w:type="spellStart"/>
      <w:r w:rsidRPr="00986D12">
        <w:rPr>
          <w:rFonts w:asciiTheme="minorHAnsi" w:hAnsiTheme="minorHAnsi" w:cstheme="minorHAnsi"/>
        </w:rPr>
        <w:t>Q14</w:t>
      </w:r>
      <w:proofErr w:type="spellEnd"/>
      <w:r w:rsidRPr="00986D12">
        <w:rPr>
          <w:rFonts w:asciiTheme="minorHAnsi" w:hAnsiTheme="minorHAnsi" w:cstheme="minorHAnsi"/>
        </w:rPr>
        <w:t xml:space="preserve">). Measures seen as strengthening regional presence include better availability of data on staffing, financials and activity implementation, which receives 72% agreement </w:t>
      </w:r>
      <w:r w:rsidRPr="00986D12" w:rsidDel="000B4D3F">
        <w:rPr>
          <w:rFonts w:asciiTheme="minorHAnsi" w:hAnsiTheme="minorHAnsi" w:cstheme="minorHAnsi"/>
        </w:rPr>
        <w:t>(</w:t>
      </w:r>
      <w:proofErr w:type="spellStart"/>
      <w:r w:rsidRPr="00986D12">
        <w:rPr>
          <w:rFonts w:asciiTheme="minorHAnsi" w:hAnsiTheme="minorHAnsi" w:cstheme="minorHAnsi"/>
        </w:rPr>
        <w:t>Q5_a</w:t>
      </w:r>
      <w:proofErr w:type="spellEnd"/>
      <w:r w:rsidRPr="00986D12">
        <w:rPr>
          <w:rFonts w:asciiTheme="minorHAnsi" w:hAnsiTheme="minorHAnsi" w:cstheme="minorHAnsi"/>
        </w:rPr>
        <w:t xml:space="preserve">), and increased projects and activities in countries without ITU offices, at </w:t>
      </w:r>
      <w:r w:rsidRPr="00986D12" w:rsidDel="000B4D3F">
        <w:rPr>
          <w:rFonts w:asciiTheme="minorHAnsi" w:hAnsiTheme="minorHAnsi" w:cstheme="minorHAnsi"/>
        </w:rPr>
        <w:t>67</w:t>
      </w:r>
      <w:r w:rsidRPr="00986D12">
        <w:rPr>
          <w:rFonts w:asciiTheme="minorHAnsi" w:hAnsiTheme="minorHAnsi" w:cstheme="minorHAnsi"/>
        </w:rPr>
        <w:t>% (</w:t>
      </w:r>
      <w:proofErr w:type="spellStart"/>
      <w:r w:rsidRPr="00986D12">
        <w:rPr>
          <w:rFonts w:asciiTheme="minorHAnsi" w:hAnsiTheme="minorHAnsi" w:cstheme="minorHAnsi"/>
        </w:rPr>
        <w:t>Q5_e</w:t>
      </w:r>
      <w:proofErr w:type="spellEnd"/>
      <w:r w:rsidRPr="00986D12">
        <w:rPr>
          <w:rFonts w:asciiTheme="minorHAnsi" w:hAnsiTheme="minorHAnsi" w:cstheme="minorHAnsi"/>
        </w:rPr>
        <w:t>). Opening new Area Offices records 49% agreement (</w:t>
      </w:r>
      <w:proofErr w:type="spellStart"/>
      <w:r w:rsidRPr="00986D12">
        <w:rPr>
          <w:rFonts w:asciiTheme="minorHAnsi" w:hAnsiTheme="minorHAnsi" w:cstheme="minorHAnsi"/>
        </w:rPr>
        <w:t>Q5_d</w:t>
      </w:r>
      <w:proofErr w:type="spellEnd"/>
      <w:r w:rsidRPr="00986D12">
        <w:rPr>
          <w:rFonts w:asciiTheme="minorHAnsi" w:hAnsiTheme="minorHAnsi" w:cstheme="minorHAnsi"/>
        </w:rPr>
        <w:t>), indicating relatively limited support for structural expansion.</w:t>
      </w:r>
    </w:p>
    <w:p w14:paraId="7DF4A13F"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lastRenderedPageBreak/>
        <w:t>Alignment of co-financed activities with national or regional priorities reaches 43% (</w:t>
      </w:r>
      <w:proofErr w:type="spellStart"/>
      <w:r w:rsidRPr="00986D12">
        <w:rPr>
          <w:rFonts w:asciiTheme="minorHAnsi" w:hAnsiTheme="minorHAnsi" w:cstheme="minorHAnsi"/>
        </w:rPr>
        <w:t>Q15</w:t>
      </w:r>
      <w:proofErr w:type="spellEnd"/>
      <w:r w:rsidRPr="00986D12">
        <w:rPr>
          <w:rFonts w:asciiTheme="minorHAnsi" w:hAnsiTheme="minorHAnsi" w:cstheme="minorHAnsi"/>
        </w:rPr>
        <w:t>), suggesting scope for strengthening coherence and communication in externally funded initiatives. Interview feedback echoes this theme, with regional organizations emphasizing the importance of ensuring that ITU initiatives are aligned with regional strategies and national development priorities.</w:t>
      </w:r>
    </w:p>
    <w:p w14:paraId="2CDAE70C" w14:textId="77777777" w:rsidR="00250529" w:rsidRPr="00986D12" w:rsidRDefault="00250529" w:rsidP="005B5E68">
      <w:pPr>
        <w:pStyle w:val="paragraph"/>
        <w:jc w:val="both"/>
        <w:rPr>
          <w:rFonts w:asciiTheme="minorHAnsi" w:eastAsia="Aptos" w:hAnsiTheme="minorHAnsi" w:cstheme="minorHAnsi"/>
          <w:kern w:val="2"/>
          <w:lang w:eastAsia="en-US"/>
          <w14:ligatures w14:val="standardContextual"/>
        </w:rPr>
      </w:pPr>
      <w:r w:rsidRPr="00986D12">
        <w:rPr>
          <w:rFonts w:asciiTheme="minorHAnsi" w:eastAsia="Aptos" w:hAnsiTheme="minorHAnsi" w:cstheme="minorHAnsi"/>
          <w:kern w:val="2"/>
          <w:lang w:eastAsia="en-US"/>
          <w14:ligatures w14:val="standardContextual"/>
        </w:rPr>
        <w:t>Open-ended responses underline expectations for deeper engagement during global and regional events, stronger in-country presence and clearer communication of value added. Across responses, recurring themes include the importance of sustained dialogue with Member States and continued cooperation with regional organizations.</w:t>
      </w:r>
    </w:p>
    <w:p w14:paraId="06A0D16E" w14:textId="04A2F371"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47D17615" w14:textId="4FD71EA5"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Taken together,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4 reflects overall satisfaction with the effectiveness, collaboration and core service functions of Regional and Area Offices. Areas related to strategic planning support, resource mobilization and alignment of externally funded initiatives show </w:t>
      </w:r>
      <w:proofErr w:type="gramStart"/>
      <w:r w:rsidRPr="00986D12">
        <w:rPr>
          <w:rFonts w:asciiTheme="minorHAnsi" w:hAnsiTheme="minorHAnsi" w:cstheme="minorHAnsi"/>
        </w:rPr>
        <w:t>positive</w:t>
      </w:r>
      <w:proofErr w:type="gramEnd"/>
      <w:r w:rsidRPr="00986D12">
        <w:rPr>
          <w:rFonts w:asciiTheme="minorHAnsi" w:hAnsiTheme="minorHAnsi" w:cstheme="minorHAnsi"/>
        </w:rPr>
        <w:t xml:space="preserve"> yet relatively more moderate assessments suggest potential directions for further strengthening regional presence and impact.</w:t>
      </w:r>
    </w:p>
    <w:p w14:paraId="49ABD0E1" w14:textId="77777777" w:rsidR="00250529" w:rsidRPr="00986D12" w:rsidRDefault="00250529" w:rsidP="005B5E68">
      <w:pPr>
        <w:pStyle w:val="KPItitle"/>
        <w:jc w:val="both"/>
        <w:rPr>
          <w:rFonts w:asciiTheme="minorHAnsi" w:hAnsiTheme="minorHAnsi" w:cstheme="minorHAnsi"/>
        </w:rPr>
      </w:pPr>
      <w:bookmarkStart w:id="108" w:name="_Toc224213049"/>
      <w:bookmarkStart w:id="109" w:name="_Toc224236480"/>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5 — Feedback scores from Regional and Area Offices regarding resource adequacy</w:t>
      </w:r>
      <w:bookmarkEnd w:id="108"/>
      <w:bookmarkEnd w:id="109"/>
    </w:p>
    <w:p w14:paraId="5F792BFE"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Feedback reflects a consistent signal that additional resources would strengthen regional presence, alongside more moderate assessments of current adequacy.</w:t>
      </w:r>
    </w:p>
    <w:p w14:paraId="46998A76"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Within the Internal Assessment, strong agreement is recorded for allocating more human resources (68%) (</w:t>
      </w:r>
      <w:proofErr w:type="spellStart"/>
      <w:r w:rsidRPr="00986D12">
        <w:rPr>
          <w:rFonts w:asciiTheme="minorHAnsi" w:eastAsia="Avenir Nxt2 W1G" w:hAnsiTheme="minorHAnsi" w:cstheme="minorHAnsi"/>
          <w:color w:val="000000" w:themeColor="text1"/>
        </w:rPr>
        <w:t>Q9_f</w:t>
      </w:r>
      <w:proofErr w:type="spellEnd"/>
      <w:r w:rsidRPr="00986D12">
        <w:rPr>
          <w:rFonts w:asciiTheme="minorHAnsi" w:eastAsia="Avenir Nxt2 W1G" w:hAnsiTheme="minorHAnsi" w:cstheme="minorHAnsi"/>
          <w:color w:val="000000" w:themeColor="text1"/>
        </w:rPr>
        <w:t>) and more financial resources (66%) (</w:t>
      </w:r>
      <w:proofErr w:type="spellStart"/>
      <w:r w:rsidRPr="00986D12">
        <w:rPr>
          <w:rFonts w:asciiTheme="minorHAnsi" w:eastAsia="Avenir Nxt2 W1G" w:hAnsiTheme="minorHAnsi" w:cstheme="minorHAnsi"/>
          <w:color w:val="000000" w:themeColor="text1"/>
        </w:rPr>
        <w:t>Q9_g</w:t>
      </w:r>
      <w:proofErr w:type="spellEnd"/>
      <w:r w:rsidRPr="00986D12">
        <w:rPr>
          <w:rFonts w:asciiTheme="minorHAnsi" w:eastAsia="Avenir Nxt2 W1G" w:hAnsiTheme="minorHAnsi" w:cstheme="minorHAnsi"/>
          <w:color w:val="000000" w:themeColor="text1"/>
        </w:rPr>
        <w:t>). Support for reallocation is more moderate, with 52% agreement for human resources (</w:t>
      </w:r>
      <w:proofErr w:type="spellStart"/>
      <w:r w:rsidRPr="00986D12">
        <w:rPr>
          <w:rFonts w:asciiTheme="minorHAnsi" w:eastAsia="Avenir Nxt2 W1G" w:hAnsiTheme="minorHAnsi" w:cstheme="minorHAnsi"/>
          <w:color w:val="000000" w:themeColor="text1"/>
        </w:rPr>
        <w:t>Q9_h</w:t>
      </w:r>
      <w:proofErr w:type="spellEnd"/>
      <w:r w:rsidRPr="00986D12">
        <w:rPr>
          <w:rFonts w:asciiTheme="minorHAnsi" w:eastAsia="Avenir Nxt2 W1G" w:hAnsiTheme="minorHAnsi" w:cstheme="minorHAnsi"/>
          <w:color w:val="000000" w:themeColor="text1"/>
        </w:rPr>
        <w:t>) and 54% for financial resources (</w:t>
      </w:r>
      <w:proofErr w:type="spellStart"/>
      <w:r w:rsidRPr="00986D12">
        <w:rPr>
          <w:rFonts w:asciiTheme="minorHAnsi" w:eastAsia="Avenir Nxt2 W1G" w:hAnsiTheme="minorHAnsi" w:cstheme="minorHAnsi"/>
          <w:color w:val="000000" w:themeColor="text1"/>
        </w:rPr>
        <w:t>Q9_i</w:t>
      </w:r>
      <w:proofErr w:type="spellEnd"/>
      <w:r w:rsidRPr="00986D12">
        <w:rPr>
          <w:rFonts w:asciiTheme="minorHAnsi" w:eastAsia="Avenir Nxt2 W1G" w:hAnsiTheme="minorHAnsi" w:cstheme="minorHAnsi"/>
          <w:color w:val="000000" w:themeColor="text1"/>
        </w:rPr>
        <w:t>). These results indicate that strengthening regional presence is perceived primarily through additional allocations rather than redistribution.</w:t>
      </w:r>
    </w:p>
    <w:p w14:paraId="0B61ACE2"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Perceptions of adequacy of extrabudgetary and co-financed activities stand at 42% agreement (</w:t>
      </w:r>
      <w:proofErr w:type="spellStart"/>
      <w:r w:rsidRPr="00986D12">
        <w:rPr>
          <w:rFonts w:asciiTheme="minorHAnsi" w:eastAsia="Avenir Nxt2 W1G" w:hAnsiTheme="minorHAnsi" w:cstheme="minorHAnsi"/>
          <w:color w:val="000000" w:themeColor="text1"/>
        </w:rPr>
        <w:t>Q17</w:t>
      </w:r>
      <w:proofErr w:type="spellEnd"/>
      <w:r w:rsidRPr="00986D12">
        <w:rPr>
          <w:rFonts w:asciiTheme="minorHAnsi" w:eastAsia="Avenir Nxt2 W1G" w:hAnsiTheme="minorHAnsi" w:cstheme="minorHAnsi"/>
          <w:color w:val="000000" w:themeColor="text1"/>
        </w:rPr>
        <w:t>), indicating that externally funded activities are not uniformly seen as sufficient to meet needs and priorities.</w:t>
      </w:r>
    </w:p>
    <w:p w14:paraId="3D320FAD"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Membership Survey results show similar patterns. Agreement that financial resources are adequate stands at 34% (</w:t>
      </w:r>
      <w:proofErr w:type="spellStart"/>
      <w:r w:rsidRPr="00986D12">
        <w:rPr>
          <w:rFonts w:asciiTheme="minorHAnsi" w:eastAsia="Avenir Nxt2 W1G" w:hAnsiTheme="minorHAnsi" w:cstheme="minorHAnsi"/>
          <w:color w:val="000000" w:themeColor="text1"/>
        </w:rPr>
        <w:t>Q3_a</w:t>
      </w:r>
      <w:proofErr w:type="spellEnd"/>
      <w:r w:rsidRPr="00986D12">
        <w:rPr>
          <w:rFonts w:asciiTheme="minorHAnsi" w:eastAsia="Avenir Nxt2 W1G" w:hAnsiTheme="minorHAnsi" w:cstheme="minorHAnsi"/>
          <w:color w:val="000000" w:themeColor="text1"/>
        </w:rPr>
        <w:t>), and human resources at 35% (</w:t>
      </w:r>
      <w:proofErr w:type="spellStart"/>
      <w:r w:rsidRPr="00986D12">
        <w:rPr>
          <w:rFonts w:asciiTheme="minorHAnsi" w:eastAsia="Avenir Nxt2 W1G" w:hAnsiTheme="minorHAnsi" w:cstheme="minorHAnsi"/>
          <w:color w:val="000000" w:themeColor="text1"/>
        </w:rPr>
        <w:t>Q3_b</w:t>
      </w:r>
      <w:proofErr w:type="spellEnd"/>
      <w:r w:rsidRPr="00986D12">
        <w:rPr>
          <w:rFonts w:asciiTheme="minorHAnsi" w:eastAsia="Avenir Nxt2 W1G" w:hAnsiTheme="minorHAnsi" w:cstheme="minorHAnsi"/>
          <w:color w:val="000000" w:themeColor="text1"/>
        </w:rPr>
        <w:t>). Products and services provided by headquarters receive higher agreement at 44% (</w:t>
      </w:r>
      <w:proofErr w:type="spellStart"/>
      <w:r w:rsidRPr="00986D12">
        <w:rPr>
          <w:rFonts w:asciiTheme="minorHAnsi" w:eastAsia="Avenir Nxt2 W1G" w:hAnsiTheme="minorHAnsi" w:cstheme="minorHAnsi"/>
          <w:color w:val="000000" w:themeColor="text1"/>
        </w:rPr>
        <w:t>Q3_c</w:t>
      </w:r>
      <w:proofErr w:type="spellEnd"/>
      <w:r w:rsidRPr="00986D12">
        <w:rPr>
          <w:rFonts w:asciiTheme="minorHAnsi" w:eastAsia="Avenir Nxt2 W1G" w:hAnsiTheme="minorHAnsi" w:cstheme="minorHAnsi"/>
          <w:color w:val="000000" w:themeColor="text1"/>
        </w:rPr>
        <w:t>), suggesting comparatively stronger perceptions of headquarters-delivered outputs than of regional staffing and financing levels.</w:t>
      </w:r>
    </w:p>
    <w:p w14:paraId="449034D1"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Support for additional allocations is again strong from the Membership perspective. Sixty per cent agree that allocating more human resources would strengthen regional presence (</w:t>
      </w:r>
      <w:proofErr w:type="spellStart"/>
      <w:r w:rsidRPr="00986D12">
        <w:rPr>
          <w:rFonts w:asciiTheme="minorHAnsi" w:eastAsia="Avenir Nxt2 W1G" w:hAnsiTheme="minorHAnsi" w:cstheme="minorHAnsi"/>
          <w:color w:val="000000" w:themeColor="text1"/>
        </w:rPr>
        <w:t>Q5_h</w:t>
      </w:r>
      <w:proofErr w:type="spellEnd"/>
      <w:r w:rsidRPr="00986D12">
        <w:rPr>
          <w:rFonts w:asciiTheme="minorHAnsi" w:eastAsia="Avenir Nxt2 W1G" w:hAnsiTheme="minorHAnsi" w:cstheme="minorHAnsi"/>
          <w:color w:val="000000" w:themeColor="text1"/>
        </w:rPr>
        <w:t>), and 63% agree regarding financial resources (</w:t>
      </w:r>
      <w:proofErr w:type="spellStart"/>
      <w:r w:rsidRPr="00986D12">
        <w:rPr>
          <w:rFonts w:asciiTheme="minorHAnsi" w:eastAsia="Avenir Nxt2 W1G" w:hAnsiTheme="minorHAnsi" w:cstheme="minorHAnsi"/>
          <w:color w:val="000000" w:themeColor="text1"/>
        </w:rPr>
        <w:t>Q5_i</w:t>
      </w:r>
      <w:proofErr w:type="spellEnd"/>
      <w:r w:rsidRPr="00986D12">
        <w:rPr>
          <w:rFonts w:asciiTheme="minorHAnsi" w:eastAsia="Avenir Nxt2 W1G" w:hAnsiTheme="minorHAnsi" w:cstheme="minorHAnsi"/>
          <w:color w:val="000000" w:themeColor="text1"/>
        </w:rPr>
        <w:t>). Reallocation measures receive 50% (</w:t>
      </w:r>
      <w:proofErr w:type="spellStart"/>
      <w:r w:rsidRPr="00986D12">
        <w:rPr>
          <w:rFonts w:asciiTheme="minorHAnsi" w:eastAsia="Avenir Nxt2 W1G" w:hAnsiTheme="minorHAnsi" w:cstheme="minorHAnsi"/>
          <w:color w:val="000000" w:themeColor="text1"/>
        </w:rPr>
        <w:t>Q5_j</w:t>
      </w:r>
      <w:proofErr w:type="spellEnd"/>
      <w:r w:rsidRPr="00986D12">
        <w:rPr>
          <w:rFonts w:asciiTheme="minorHAnsi" w:eastAsia="Avenir Nxt2 W1G" w:hAnsiTheme="minorHAnsi" w:cstheme="minorHAnsi"/>
          <w:color w:val="000000" w:themeColor="text1"/>
        </w:rPr>
        <w:t>) and 52% (</w:t>
      </w:r>
      <w:proofErr w:type="spellStart"/>
      <w:r w:rsidRPr="00986D12">
        <w:rPr>
          <w:rFonts w:asciiTheme="minorHAnsi" w:eastAsia="Avenir Nxt2 W1G" w:hAnsiTheme="minorHAnsi" w:cstheme="minorHAnsi"/>
          <w:color w:val="000000" w:themeColor="text1"/>
        </w:rPr>
        <w:t>Q5_k</w:t>
      </w:r>
      <w:proofErr w:type="spellEnd"/>
      <w:r w:rsidRPr="00986D12">
        <w:rPr>
          <w:rFonts w:asciiTheme="minorHAnsi" w:eastAsia="Avenir Nxt2 W1G" w:hAnsiTheme="minorHAnsi" w:cstheme="minorHAnsi"/>
          <w:color w:val="000000" w:themeColor="text1"/>
        </w:rPr>
        <w:t>) agreement, reinforcing the pattern observed above i.e., less emphasis on redistribution.</w:t>
      </w:r>
    </w:p>
    <w:p w14:paraId="6B470F03"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Regarding strategic and operational adequacy, the responses are positive, 61% agree that regional presence is integrated into the Human Resources Strategic Plan and Recruitment Strategy (</w:t>
      </w:r>
      <w:proofErr w:type="spellStart"/>
      <w:r w:rsidRPr="00986D12">
        <w:rPr>
          <w:rFonts w:asciiTheme="minorHAnsi" w:eastAsia="Avenir Nxt2 W1G" w:hAnsiTheme="minorHAnsi" w:cstheme="minorHAnsi"/>
          <w:color w:val="000000" w:themeColor="text1"/>
        </w:rPr>
        <w:t>Q6_a</w:t>
      </w:r>
      <w:proofErr w:type="spellEnd"/>
      <w:r w:rsidRPr="00986D12">
        <w:rPr>
          <w:rFonts w:asciiTheme="minorHAnsi" w:eastAsia="Avenir Nxt2 W1G" w:hAnsiTheme="minorHAnsi" w:cstheme="minorHAnsi"/>
          <w:color w:val="000000" w:themeColor="text1"/>
        </w:rPr>
        <w:t>). Fifty-three per cent agree that staffing levels are adequate relative to workload (</w:t>
      </w:r>
      <w:proofErr w:type="spellStart"/>
      <w:r w:rsidRPr="00986D12">
        <w:rPr>
          <w:rFonts w:asciiTheme="minorHAnsi" w:eastAsia="Avenir Nxt2 W1G" w:hAnsiTheme="minorHAnsi" w:cstheme="minorHAnsi"/>
          <w:color w:val="000000" w:themeColor="text1"/>
        </w:rPr>
        <w:t>Q6_b</w:t>
      </w:r>
      <w:proofErr w:type="spellEnd"/>
      <w:r w:rsidRPr="00986D12">
        <w:rPr>
          <w:rFonts w:asciiTheme="minorHAnsi" w:eastAsia="Avenir Nxt2 W1G" w:hAnsiTheme="minorHAnsi" w:cstheme="minorHAnsi"/>
          <w:color w:val="000000" w:themeColor="text1"/>
        </w:rPr>
        <w:t>), and 54% that financial allocations per office are adequate (</w:t>
      </w:r>
      <w:proofErr w:type="spellStart"/>
      <w:r w:rsidRPr="00986D12">
        <w:rPr>
          <w:rFonts w:asciiTheme="minorHAnsi" w:eastAsia="Avenir Nxt2 W1G" w:hAnsiTheme="minorHAnsi" w:cstheme="minorHAnsi"/>
          <w:color w:val="000000" w:themeColor="text1"/>
        </w:rPr>
        <w:t>Q6_c</w:t>
      </w:r>
      <w:proofErr w:type="spellEnd"/>
      <w:r w:rsidRPr="00986D12">
        <w:rPr>
          <w:rFonts w:asciiTheme="minorHAnsi" w:eastAsia="Avenir Nxt2 W1G" w:hAnsiTheme="minorHAnsi" w:cstheme="minorHAnsi"/>
          <w:color w:val="000000" w:themeColor="text1"/>
        </w:rPr>
        <w:t>). Technological platforms receive the strongest adequacy assessment at 67% (</w:t>
      </w:r>
      <w:proofErr w:type="spellStart"/>
      <w:r w:rsidRPr="00986D12">
        <w:rPr>
          <w:rFonts w:asciiTheme="minorHAnsi" w:eastAsia="Avenir Nxt2 W1G" w:hAnsiTheme="minorHAnsi" w:cstheme="minorHAnsi"/>
          <w:color w:val="000000" w:themeColor="text1"/>
        </w:rPr>
        <w:t>Q6_d</w:t>
      </w:r>
      <w:proofErr w:type="spellEnd"/>
      <w:r w:rsidRPr="00986D12">
        <w:rPr>
          <w:rFonts w:asciiTheme="minorHAnsi" w:eastAsia="Avenir Nxt2 W1G" w:hAnsiTheme="minorHAnsi" w:cstheme="minorHAnsi"/>
          <w:color w:val="000000" w:themeColor="text1"/>
        </w:rPr>
        <w:t xml:space="preserve">). Financial </w:t>
      </w:r>
      <w:r w:rsidRPr="00986D12">
        <w:rPr>
          <w:rFonts w:asciiTheme="minorHAnsi" w:eastAsia="Avenir Nxt2 W1G" w:hAnsiTheme="minorHAnsi" w:cstheme="minorHAnsi"/>
          <w:color w:val="000000" w:themeColor="text1"/>
        </w:rPr>
        <w:lastRenderedPageBreak/>
        <w:t>and administrative conditions provided by host countries reach 49% agreement (</w:t>
      </w:r>
      <w:proofErr w:type="spellStart"/>
      <w:r w:rsidRPr="00986D12">
        <w:rPr>
          <w:rFonts w:asciiTheme="minorHAnsi" w:eastAsia="Avenir Nxt2 W1G" w:hAnsiTheme="minorHAnsi" w:cstheme="minorHAnsi"/>
          <w:color w:val="000000" w:themeColor="text1"/>
        </w:rPr>
        <w:t>Q6_e</w:t>
      </w:r>
      <w:proofErr w:type="spellEnd"/>
      <w:r w:rsidRPr="00986D12">
        <w:rPr>
          <w:rFonts w:asciiTheme="minorHAnsi" w:eastAsia="Avenir Nxt2 W1G" w:hAnsiTheme="minorHAnsi" w:cstheme="minorHAnsi"/>
          <w:color w:val="000000" w:themeColor="text1"/>
        </w:rPr>
        <w:t>), and recruitment processes 48% (</w:t>
      </w:r>
      <w:proofErr w:type="spellStart"/>
      <w:r w:rsidRPr="00986D12">
        <w:rPr>
          <w:rFonts w:asciiTheme="minorHAnsi" w:eastAsia="Avenir Nxt2 W1G" w:hAnsiTheme="minorHAnsi" w:cstheme="minorHAnsi"/>
          <w:color w:val="000000" w:themeColor="text1"/>
        </w:rPr>
        <w:t>Q6_g</w:t>
      </w:r>
      <w:proofErr w:type="spellEnd"/>
      <w:r w:rsidRPr="00986D12">
        <w:rPr>
          <w:rFonts w:asciiTheme="minorHAnsi" w:eastAsia="Avenir Nxt2 W1G" w:hAnsiTheme="minorHAnsi" w:cstheme="minorHAnsi"/>
          <w:color w:val="000000" w:themeColor="text1"/>
        </w:rPr>
        <w:t>).</w:t>
      </w:r>
    </w:p>
    <w:p w14:paraId="2017E52C"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Perceived willingness of partners to collaborate reaches 60% (</w:t>
      </w:r>
      <w:proofErr w:type="spellStart"/>
      <w:r w:rsidRPr="00986D12">
        <w:rPr>
          <w:rFonts w:asciiTheme="minorHAnsi" w:eastAsia="Avenir Nxt2 W1G" w:hAnsiTheme="minorHAnsi" w:cstheme="minorHAnsi"/>
          <w:color w:val="000000" w:themeColor="text1"/>
        </w:rPr>
        <w:t>Q9_b</w:t>
      </w:r>
      <w:proofErr w:type="spellEnd"/>
      <w:r w:rsidRPr="00986D12">
        <w:rPr>
          <w:rFonts w:asciiTheme="minorHAnsi" w:eastAsia="Avenir Nxt2 W1G" w:hAnsiTheme="minorHAnsi" w:cstheme="minorHAnsi"/>
          <w:color w:val="000000" w:themeColor="text1"/>
        </w:rPr>
        <w:t>), indicating that resource adequacy is considered within a broader partnership context.</w:t>
      </w:r>
    </w:p>
    <w:p w14:paraId="4C53D9AD" w14:textId="7147C173"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00728868" w14:textId="69B0345B" w:rsidR="00250529" w:rsidRPr="00986D12" w:rsidRDefault="00250529" w:rsidP="005B5E68">
      <w:pPr>
        <w:jc w:val="both"/>
        <w:rPr>
          <w:rFonts w:asciiTheme="minorHAnsi" w:hAnsiTheme="minorHAnsi" w:cstheme="minorBidi"/>
        </w:rPr>
      </w:pPr>
      <w:r w:rsidRPr="3ABAAE00">
        <w:rPr>
          <w:rFonts w:asciiTheme="minorHAnsi" w:hAnsiTheme="minorHAnsi" w:cstheme="minorBidi"/>
        </w:rPr>
        <w:t xml:space="preserve">Overall, </w:t>
      </w:r>
      <w:proofErr w:type="spellStart"/>
      <w:r w:rsidRPr="3ABAAE00">
        <w:rPr>
          <w:rFonts w:asciiTheme="minorHAnsi" w:hAnsiTheme="minorHAnsi" w:cstheme="minorBidi"/>
        </w:rPr>
        <w:t>KPI</w:t>
      </w:r>
      <w:proofErr w:type="spellEnd"/>
      <w:r w:rsidRPr="3ABAAE00">
        <w:rPr>
          <w:rFonts w:asciiTheme="minorHAnsi" w:hAnsiTheme="minorHAnsi" w:cstheme="minorBidi"/>
        </w:rPr>
        <w:t xml:space="preserve"> 5 reflects that current resource levels are viewed as moderate rather than fully adequate, while strong support exists for increasing human and financial allocations to Regional and Area Offices</w:t>
      </w:r>
      <w:r w:rsidR="63D9D780" w:rsidRPr="3ABAAE00">
        <w:rPr>
          <w:rFonts w:asciiTheme="minorHAnsi" w:hAnsiTheme="minorHAnsi" w:cstheme="minorBidi"/>
        </w:rPr>
        <w:t>, but not through the resource redistribution</w:t>
      </w:r>
      <w:r w:rsidR="3E407A01" w:rsidRPr="3ABAAE00">
        <w:rPr>
          <w:rFonts w:asciiTheme="minorHAnsi" w:hAnsiTheme="minorHAnsi" w:cstheme="minorBidi"/>
        </w:rPr>
        <w:t>.</w:t>
      </w:r>
      <w:r w:rsidRPr="3ABAAE00">
        <w:rPr>
          <w:rFonts w:asciiTheme="minorHAnsi" w:hAnsiTheme="minorHAnsi" w:cstheme="minorBidi"/>
        </w:rPr>
        <w:t xml:space="preserve"> Technological platforms are comparatively well regarded, whereas staffing levels, and financial envelopes emerge as the primary areas that could benefit from strengthening.</w:t>
      </w:r>
    </w:p>
    <w:p w14:paraId="44E7A006" w14:textId="77777777" w:rsidR="00250529" w:rsidRPr="00986D12" w:rsidRDefault="00250529" w:rsidP="005B5E68">
      <w:pPr>
        <w:pStyle w:val="KPItitle"/>
        <w:jc w:val="both"/>
        <w:rPr>
          <w:rFonts w:asciiTheme="minorHAnsi" w:eastAsia="Avenir Nxt2 W1G" w:hAnsiTheme="minorHAnsi" w:cstheme="minorHAnsi"/>
        </w:rPr>
      </w:pPr>
      <w:bookmarkStart w:id="110" w:name="_Toc224213050"/>
      <w:bookmarkStart w:id="111" w:name="_Toc224236481"/>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6 — The number of regional initiatives successfully implemented with allocated resources</w:t>
      </w:r>
      <w:bookmarkEnd w:id="110"/>
      <w:bookmarkEnd w:id="111"/>
    </w:p>
    <w:p w14:paraId="04F2E066" w14:textId="77777777" w:rsidR="00250529" w:rsidRPr="00986D12" w:rsidRDefault="00250529" w:rsidP="005B5E68">
      <w:pPr>
        <w:jc w:val="both"/>
        <w:rPr>
          <w:rFonts w:asciiTheme="minorHAnsi" w:hAnsiTheme="minorHAnsi" w:cstheme="minorHAnsi"/>
        </w:rPr>
      </w:pPr>
      <w:r w:rsidRPr="00986D12">
        <w:rPr>
          <w:rFonts w:asciiTheme="minorHAnsi" w:eastAsia="Avenir Nxt2 W1G" w:hAnsiTheme="minorHAnsi" w:cstheme="minorHAnsi"/>
          <w:color w:val="000000" w:themeColor="text1"/>
        </w:rPr>
        <w:t xml:space="preserve">Evidence from operational reporting between 2023 and 2025 indicates that Regional Initiatives under the Kigali Action Plan (KAP) were implemented through a substantial portfolio of projects and activities across all regions. Implementation can be assessed by analysing projects and activities recorded in the BDT operational plan (OP) system between 2023 and 2025 and mapping them to the expected outputs of Regional Initiatives. The mapping from projects is provided in the table below. BDT OP activities implemented (from 2023 to 2025) to address the Kigali Action Plan including the Regional Initiatives are detailed in the document WTDC-25/2. </w:t>
      </w:r>
    </w:p>
    <w:p w14:paraId="6DBCFF77" w14:textId="77777777" w:rsidR="00250529" w:rsidRPr="00986D12" w:rsidRDefault="00250529" w:rsidP="00507BF5">
      <w:pPr>
        <w:jc w:val="center"/>
        <w:rPr>
          <w:rFonts w:asciiTheme="minorHAnsi" w:hAnsiTheme="minorHAnsi" w:cstheme="minorHAnsi"/>
          <w:b/>
        </w:rPr>
      </w:pPr>
      <w:r w:rsidRPr="00986D12">
        <w:rPr>
          <w:rFonts w:asciiTheme="minorHAnsi" w:hAnsiTheme="minorHAnsi" w:cstheme="minorHAnsi"/>
          <w:b/>
        </w:rPr>
        <w:t xml:space="preserve">Projects contributing to Regional </w:t>
      </w:r>
      <w:proofErr w:type="spellStart"/>
      <w:r w:rsidRPr="00986D12">
        <w:rPr>
          <w:rFonts w:asciiTheme="minorHAnsi" w:hAnsiTheme="minorHAnsi" w:cstheme="minorHAnsi"/>
          <w:b/>
        </w:rPr>
        <w:t>Initiatives</w:t>
      </w:r>
      <w:r w:rsidRPr="00986D12">
        <w:rPr>
          <w:rFonts w:asciiTheme="minorHAnsi" w:hAnsiTheme="minorHAnsi" w:cstheme="minorHAnsi"/>
          <w:b/>
          <w:vertAlign w:val="superscript"/>
        </w:rPr>
        <w:t>1</w:t>
      </w:r>
      <w:proofErr w:type="spellEnd"/>
    </w:p>
    <w:tbl>
      <w:tblPr>
        <w:tblStyle w:val="TableGrid"/>
        <w:tblW w:w="5000" w:type="pct"/>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782"/>
        <w:gridCol w:w="3273"/>
      </w:tblGrid>
      <w:tr w:rsidR="00250529" w:rsidRPr="00986D12" w14:paraId="25885563" w14:textId="77777777" w:rsidTr="00507BF5">
        <w:trPr>
          <w:tblHeade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5B3D7" w:themeFill="accent1" w:themeFillTint="99"/>
            <w:tcMar>
              <w:left w:w="90" w:type="dxa"/>
              <w:right w:w="90" w:type="dxa"/>
            </w:tcMar>
          </w:tcPr>
          <w:p w14:paraId="06A15E10" w14:textId="77777777" w:rsidR="00250529" w:rsidRPr="00986D12" w:rsidRDefault="00250529" w:rsidP="00507BF5">
            <w:pPr>
              <w:pStyle w:val="Tabletitle0"/>
              <w:rPr>
                <w:rFonts w:asciiTheme="minorHAnsi" w:hAnsiTheme="minorHAnsi" w:cstheme="minorHAnsi"/>
                <w:sz w:val="16"/>
                <w:szCs w:val="16"/>
              </w:rPr>
            </w:pPr>
            <w:r w:rsidRPr="00986D12">
              <w:rPr>
                <w:rFonts w:asciiTheme="minorHAnsi" w:hAnsiTheme="minorHAnsi" w:cstheme="minorHAnsi"/>
                <w:sz w:val="16"/>
                <w:szCs w:val="16"/>
              </w:rPr>
              <w:t>Regional Initiatives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5B3D7" w:themeFill="accent1" w:themeFillTint="99"/>
            <w:tcMar>
              <w:left w:w="90" w:type="dxa"/>
              <w:right w:w="90" w:type="dxa"/>
            </w:tcMar>
          </w:tcPr>
          <w:p w14:paraId="77A23997" w14:textId="77777777" w:rsidR="00250529" w:rsidRPr="00986D12" w:rsidRDefault="00250529" w:rsidP="00507BF5">
            <w:pPr>
              <w:pStyle w:val="Tabletitle0"/>
              <w:rPr>
                <w:rFonts w:asciiTheme="minorHAnsi" w:hAnsiTheme="minorHAnsi" w:cstheme="minorHAnsi"/>
                <w:sz w:val="16"/>
                <w:szCs w:val="16"/>
              </w:rPr>
            </w:pPr>
            <w:r w:rsidRPr="00986D12">
              <w:rPr>
                <w:rFonts w:asciiTheme="minorHAnsi" w:hAnsiTheme="minorHAnsi" w:cstheme="minorHAnsi"/>
                <w:sz w:val="16"/>
                <w:szCs w:val="16"/>
              </w:rPr>
              <w:t>No of Projects associated</w:t>
            </w:r>
          </w:p>
        </w:tc>
      </w:tr>
      <w:tr w:rsidR="00250529" w:rsidRPr="00986D12" w14:paraId="764DA3FF"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7A40706E" w14:textId="77777777" w:rsidR="00250529" w:rsidRPr="00986D12" w:rsidRDefault="00250529" w:rsidP="00507BF5">
            <w:pPr>
              <w:pStyle w:val="Texttable"/>
              <w:rPr>
                <w:rFonts w:asciiTheme="minorHAnsi" w:hAnsiTheme="minorHAnsi" w:cstheme="minorHAnsi"/>
                <w:b/>
                <w:bCs/>
                <w:sz w:val="16"/>
                <w:szCs w:val="16"/>
              </w:rPr>
            </w:pPr>
            <w:r w:rsidRPr="00986D12">
              <w:rPr>
                <w:rFonts w:asciiTheme="minorHAnsi" w:hAnsiTheme="minorHAnsi" w:cstheme="minorHAnsi"/>
                <w:b/>
                <w:bCs/>
                <w:sz w:val="16"/>
                <w:szCs w:val="16"/>
              </w:rPr>
              <w:t>Africa</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15263861" w14:textId="77777777" w:rsidR="00250529" w:rsidRPr="00986D12" w:rsidRDefault="00250529" w:rsidP="00507BF5">
            <w:pPr>
              <w:pStyle w:val="Texttable"/>
              <w:rPr>
                <w:rFonts w:asciiTheme="minorHAnsi" w:hAnsiTheme="minorHAnsi" w:cstheme="minorHAnsi"/>
                <w:sz w:val="16"/>
                <w:szCs w:val="16"/>
              </w:rPr>
            </w:pPr>
          </w:p>
        </w:tc>
      </w:tr>
      <w:tr w:rsidR="00250529" w:rsidRPr="00986D12" w14:paraId="2B98CC28"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B9967C6"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rPr>
              <w:t>AFR</w:t>
            </w:r>
            <w:proofErr w:type="spellEnd"/>
            <w:r w:rsidRPr="00986D12">
              <w:rPr>
                <w:rFonts w:asciiTheme="minorHAnsi" w:hAnsiTheme="minorHAnsi" w:cstheme="minorHAnsi"/>
                <w:sz w:val="16"/>
                <w:szCs w:val="16"/>
              </w:rPr>
              <w:t xml:space="preserve"> 1: Supporting digital transformation to usher in a rapid transition to a digital economy while accelerating innovation in Africa</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672ECD6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10 ongoing</w:t>
            </w:r>
          </w:p>
          <w:p w14:paraId="098AC44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6 implemented</w:t>
            </w:r>
          </w:p>
        </w:tc>
      </w:tr>
      <w:tr w:rsidR="00250529" w:rsidRPr="00986D12" w14:paraId="071F52BC"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1FDCF7BF"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rPr>
              <w:t>AFR</w:t>
            </w:r>
            <w:proofErr w:type="spellEnd"/>
            <w:r w:rsidRPr="00986D12">
              <w:rPr>
                <w:rFonts w:asciiTheme="minorHAnsi" w:hAnsiTheme="minorHAnsi" w:cstheme="minorHAnsi"/>
                <w:sz w:val="16"/>
                <w:szCs w:val="16"/>
              </w:rPr>
              <w:t xml:space="preserve"> 2: Implementation and expansion of broadband infrastructures, connectivity and emerging technologies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7B190C5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3 ongoing</w:t>
            </w:r>
          </w:p>
          <w:p w14:paraId="0AFC2B8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4 implemented</w:t>
            </w:r>
          </w:p>
        </w:tc>
      </w:tr>
      <w:tr w:rsidR="00250529" w:rsidRPr="00986D12" w14:paraId="4BFC9E7A"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vAlign w:val="center"/>
          </w:tcPr>
          <w:p w14:paraId="57B5A49A"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rPr>
              <w:t>AFR</w:t>
            </w:r>
            <w:proofErr w:type="spellEnd"/>
            <w:r w:rsidRPr="00986D12">
              <w:rPr>
                <w:rFonts w:asciiTheme="minorHAnsi" w:hAnsiTheme="minorHAnsi" w:cstheme="minorHAnsi"/>
                <w:sz w:val="16"/>
                <w:szCs w:val="16"/>
              </w:rPr>
              <w:t xml:space="preserve"> 3: Building trust, safety and security in the use of telecommunications/information and communication technologies and protection of personal data</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6E788B8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3 ongoing</w:t>
            </w:r>
          </w:p>
          <w:p w14:paraId="218D7CE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implemented</w:t>
            </w:r>
          </w:p>
        </w:tc>
      </w:tr>
      <w:tr w:rsidR="00250529" w:rsidRPr="00986D12" w14:paraId="25C7B1ED"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355886E3" w14:textId="77777777" w:rsidR="00250529" w:rsidRPr="00986D12" w:rsidRDefault="00250529" w:rsidP="00507BF5">
            <w:pPr>
              <w:pStyle w:val="Texttable"/>
              <w:rPr>
                <w:rFonts w:asciiTheme="minorHAnsi" w:hAnsiTheme="minorHAnsi" w:cstheme="minorHAnsi"/>
                <w:sz w:val="16"/>
                <w:szCs w:val="16"/>
              </w:rPr>
            </w:pPr>
            <w:proofErr w:type="spellStart"/>
            <w:r w:rsidRPr="00986D12">
              <w:rPr>
                <w:rFonts w:asciiTheme="minorHAnsi" w:hAnsiTheme="minorHAnsi" w:cstheme="minorHAnsi"/>
                <w:sz w:val="16"/>
                <w:szCs w:val="16"/>
              </w:rPr>
              <w:t>AFR</w:t>
            </w:r>
            <w:proofErr w:type="spellEnd"/>
            <w:r w:rsidRPr="00986D12">
              <w:rPr>
                <w:rFonts w:asciiTheme="minorHAnsi" w:hAnsiTheme="minorHAnsi" w:cstheme="minorHAnsi"/>
                <w:sz w:val="16"/>
                <w:szCs w:val="16"/>
              </w:rPr>
              <w:t xml:space="preserve"> 4: Fostering emerging technologies and innovation ecosystems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03B80C4"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5 ongoing</w:t>
            </w:r>
          </w:p>
        </w:tc>
      </w:tr>
      <w:tr w:rsidR="00250529" w:rsidRPr="00986D12" w14:paraId="6A63ADB3"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790198F3" w14:textId="77777777" w:rsidR="00250529" w:rsidRPr="00986D12" w:rsidRDefault="00250529" w:rsidP="00507BF5">
            <w:pPr>
              <w:pStyle w:val="Texttable"/>
              <w:rPr>
                <w:rFonts w:asciiTheme="minorHAnsi" w:hAnsiTheme="minorHAnsi" w:cstheme="minorHAnsi"/>
                <w:b/>
                <w:bCs/>
                <w:sz w:val="16"/>
                <w:szCs w:val="16"/>
              </w:rPr>
            </w:pPr>
            <w:r w:rsidRPr="00986D12">
              <w:rPr>
                <w:rFonts w:asciiTheme="minorHAnsi" w:hAnsiTheme="minorHAnsi" w:cstheme="minorHAnsi"/>
                <w:b/>
                <w:bCs/>
                <w:sz w:val="16"/>
                <w:szCs w:val="16"/>
              </w:rPr>
              <w:t>Americas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4D55A9E6" w14:textId="77777777" w:rsidR="00250529" w:rsidRPr="00986D12" w:rsidRDefault="00250529" w:rsidP="00507BF5">
            <w:pPr>
              <w:pStyle w:val="Texttable"/>
              <w:rPr>
                <w:rFonts w:asciiTheme="minorHAnsi" w:hAnsiTheme="minorHAnsi" w:cstheme="minorHAnsi"/>
                <w:b/>
                <w:bCs/>
                <w:sz w:val="16"/>
                <w:szCs w:val="16"/>
              </w:rPr>
            </w:pPr>
          </w:p>
        </w:tc>
      </w:tr>
      <w:tr w:rsidR="00250529" w:rsidRPr="00986D12" w14:paraId="105D435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0D0BA15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AMS 1: Deployment of modern, resilient, secure and sustainable telecommunication/information and communication technology infrastructure</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123A57D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11 ongoing</w:t>
            </w:r>
          </w:p>
          <w:p w14:paraId="63495C0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5 implemented</w:t>
            </w:r>
          </w:p>
        </w:tc>
      </w:tr>
      <w:tr w:rsidR="00250529" w:rsidRPr="00986D12" w14:paraId="12AA9166"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64EDAB5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AMS 2: Enhancement and expansion of digital-literacy, digital-skills and digital-inclusion programmes, especially among vulnerable populations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0CD3D63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5 ongoing</w:t>
            </w:r>
          </w:p>
          <w:p w14:paraId="35CCF39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5 implemented</w:t>
            </w:r>
          </w:p>
        </w:tc>
      </w:tr>
      <w:tr w:rsidR="00250529" w:rsidRPr="00986D12" w14:paraId="2EB619E0"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3498B4D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AMS 3: Effective support for digital transformation and innovation ecosystems through scalable, funded and sustainable connectivity projects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615EA48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9 ongoing</w:t>
            </w:r>
          </w:p>
          <w:p w14:paraId="06DB862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implemented</w:t>
            </w:r>
          </w:p>
        </w:tc>
      </w:tr>
      <w:tr w:rsidR="00250529" w:rsidRPr="00986D12" w14:paraId="19060CF4"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B0B777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AMS 4: Development of enabling policy and regulatory environments to connect the unconnected through accessible and affordable telecommunications /information and communication technologies that support achievement of the Sustainable Development Goals and progress towards the digital economy</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21F23EC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6 ongoing</w:t>
            </w:r>
          </w:p>
          <w:p w14:paraId="655F6DD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4 implemented</w:t>
            </w:r>
          </w:p>
        </w:tc>
      </w:tr>
      <w:tr w:rsidR="00250529" w:rsidRPr="00986D12" w14:paraId="58366B8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182BAE6E" w14:textId="77777777" w:rsidR="00250529" w:rsidRPr="00986D12" w:rsidRDefault="00250529" w:rsidP="00507BF5">
            <w:pPr>
              <w:pStyle w:val="Texttable"/>
              <w:rPr>
                <w:rFonts w:asciiTheme="minorHAnsi" w:hAnsiTheme="minorHAnsi" w:cstheme="minorHAnsi"/>
                <w:b/>
                <w:bCs/>
                <w:sz w:val="16"/>
                <w:szCs w:val="16"/>
              </w:rPr>
            </w:pPr>
            <w:r w:rsidRPr="00986D12">
              <w:rPr>
                <w:rFonts w:asciiTheme="minorHAnsi" w:hAnsiTheme="minorHAnsi" w:cstheme="minorHAnsi"/>
                <w:b/>
                <w:bCs/>
                <w:sz w:val="16"/>
                <w:szCs w:val="16"/>
              </w:rPr>
              <w:t>Arab States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5ECF77DE" w14:textId="77777777" w:rsidR="00250529" w:rsidRPr="00986D12" w:rsidRDefault="00250529" w:rsidP="00507BF5">
            <w:pPr>
              <w:pStyle w:val="Texttable"/>
              <w:rPr>
                <w:rFonts w:asciiTheme="minorHAnsi" w:hAnsiTheme="minorHAnsi" w:cstheme="minorHAnsi"/>
                <w:b/>
                <w:bCs/>
                <w:sz w:val="16"/>
                <w:szCs w:val="16"/>
              </w:rPr>
            </w:pPr>
          </w:p>
        </w:tc>
      </w:tr>
      <w:tr w:rsidR="00250529" w:rsidRPr="00986D12" w14:paraId="663F68AD"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3AC8A2E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ARB 1: Sustainable digital economy through digital transformation</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3E1EC8A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ongoing</w:t>
            </w:r>
          </w:p>
          <w:p w14:paraId="3E0523E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implemented</w:t>
            </w:r>
          </w:p>
        </w:tc>
      </w:tr>
      <w:tr w:rsidR="00250529" w:rsidRPr="00986D12" w14:paraId="72A3D950"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99F962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lastRenderedPageBreak/>
              <w:t>ARB 2: Enhancing confidence, security and privacy in the use of telecommunications/ information and communication technologies in the era of new and emerging digital technologies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6A513AA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ongoing</w:t>
            </w:r>
          </w:p>
          <w:p w14:paraId="4944E221"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4975280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2D4BD4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ARB 3: Developing digital infrastructure for smart sustainable cities and communities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066E70A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ongoing</w:t>
            </w:r>
          </w:p>
          <w:p w14:paraId="55E4E6C0"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implemented</w:t>
            </w:r>
          </w:p>
        </w:tc>
      </w:tr>
      <w:tr w:rsidR="00250529" w:rsidRPr="00986D12" w14:paraId="7A3806A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E8E151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ARB 4: Building capacities and encouraging digital innovation, entrepreneurship and future foresight</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1BCC378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ongoing</w:t>
            </w:r>
          </w:p>
          <w:p w14:paraId="047AE88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16D86B81"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5264B6B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ARB 5: Developing means of digital regulation</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7CC2A08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ongoing</w:t>
            </w:r>
          </w:p>
          <w:p w14:paraId="5196877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087DCE1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07A0E3F9" w14:textId="77777777" w:rsidR="00250529" w:rsidRPr="00986D12" w:rsidRDefault="00250529" w:rsidP="00507BF5">
            <w:pPr>
              <w:pStyle w:val="Texttable"/>
              <w:keepNext/>
              <w:rPr>
                <w:rFonts w:asciiTheme="minorHAnsi" w:hAnsiTheme="minorHAnsi" w:cstheme="minorHAnsi"/>
                <w:b/>
                <w:bCs/>
                <w:sz w:val="16"/>
                <w:szCs w:val="16"/>
              </w:rPr>
            </w:pPr>
            <w:r w:rsidRPr="00986D12">
              <w:rPr>
                <w:rFonts w:asciiTheme="minorHAnsi" w:hAnsiTheme="minorHAnsi" w:cstheme="minorHAnsi"/>
                <w:b/>
                <w:bCs/>
                <w:sz w:val="16"/>
                <w:szCs w:val="16"/>
              </w:rPr>
              <w:t>Asia-Pacific</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42566C19" w14:textId="77777777" w:rsidR="00250529" w:rsidRPr="00986D12" w:rsidRDefault="00250529" w:rsidP="00507BF5">
            <w:pPr>
              <w:pStyle w:val="Texttable"/>
              <w:rPr>
                <w:rFonts w:asciiTheme="minorHAnsi" w:hAnsiTheme="minorHAnsi" w:cstheme="minorHAnsi"/>
                <w:b/>
                <w:bCs/>
                <w:sz w:val="16"/>
                <w:szCs w:val="16"/>
              </w:rPr>
            </w:pPr>
          </w:p>
        </w:tc>
      </w:tr>
      <w:tr w:rsidR="00250529" w:rsidRPr="00986D12" w14:paraId="080D88C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5D589F2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ASP 1: Addressing special needs of least developed countries, small island developing states, including Pacific Island countries, and landlocked developing countries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2BDF521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9 ongoing</w:t>
            </w:r>
          </w:p>
          <w:p w14:paraId="315E41C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61DB1D3E"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0A459B0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ASP 2: Harnessing information and communication technologies to support the digital economy and inclusive digital societies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B58453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8 ongoing</w:t>
            </w:r>
          </w:p>
          <w:p w14:paraId="746500C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implemented</w:t>
            </w:r>
          </w:p>
        </w:tc>
      </w:tr>
      <w:tr w:rsidR="00250529" w:rsidRPr="00986D12" w14:paraId="177DC1C6"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2DFDBCA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ASP 3: Fostering development of infrastructure to enhance digital connectivity and connecting the unconnected</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7A3B001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6 ongoing</w:t>
            </w:r>
          </w:p>
          <w:p w14:paraId="447EB59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closed</w:t>
            </w:r>
          </w:p>
          <w:p w14:paraId="4C092FD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52DDBCB7"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4E7F7AE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ASP 4: Enabling policy and regulatory environments to accelerate digital transformation</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0B9AF60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7 ongoing</w:t>
            </w:r>
          </w:p>
        </w:tc>
      </w:tr>
      <w:tr w:rsidR="00250529" w:rsidRPr="00986D12" w14:paraId="4FC3AB76"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F9DA594"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ASP 5: Contributing to a secure and resilient information and communication technology environment</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7DE5E43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11 ongoing</w:t>
            </w:r>
          </w:p>
          <w:p w14:paraId="7771472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3 implemented</w:t>
            </w:r>
          </w:p>
        </w:tc>
      </w:tr>
      <w:tr w:rsidR="00250529" w:rsidRPr="00986D12" w14:paraId="2A66E43F"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095B74B" w14:textId="77777777" w:rsidR="00250529" w:rsidRPr="00986D12" w:rsidRDefault="00250529" w:rsidP="00507BF5">
            <w:pPr>
              <w:pStyle w:val="Texttable"/>
              <w:rPr>
                <w:rFonts w:asciiTheme="minorHAnsi" w:hAnsiTheme="minorHAnsi" w:cstheme="minorHAnsi"/>
                <w:b/>
                <w:bCs/>
                <w:sz w:val="16"/>
                <w:szCs w:val="16"/>
              </w:rPr>
            </w:pPr>
            <w:r w:rsidRPr="00986D12">
              <w:rPr>
                <w:rFonts w:asciiTheme="minorHAnsi" w:hAnsiTheme="minorHAnsi" w:cstheme="minorHAnsi"/>
                <w:b/>
                <w:bCs/>
                <w:sz w:val="16"/>
                <w:szCs w:val="16"/>
              </w:rPr>
              <w:t>CIS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AA58187" w14:textId="77777777" w:rsidR="00250529" w:rsidRPr="00986D12" w:rsidRDefault="00250529" w:rsidP="00507BF5">
            <w:pPr>
              <w:pStyle w:val="Texttable"/>
              <w:rPr>
                <w:rFonts w:asciiTheme="minorHAnsi" w:hAnsiTheme="minorHAnsi" w:cstheme="minorHAnsi"/>
                <w:b/>
                <w:bCs/>
                <w:sz w:val="16"/>
                <w:szCs w:val="16"/>
              </w:rPr>
            </w:pPr>
          </w:p>
        </w:tc>
      </w:tr>
      <w:tr w:rsidR="00250529" w:rsidRPr="00986D12" w14:paraId="5098990C"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484F144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CIS 1: Developing infrastructure to promote innovation and partnerships in the introduction of new technologies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CCB093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4 ongoing</w:t>
            </w:r>
          </w:p>
          <w:p w14:paraId="342D801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1866345B"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09344A4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CIS 2: Cybersecurity and personal data protection</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3611AB3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3 ongoing</w:t>
            </w:r>
          </w:p>
          <w:p w14:paraId="5EE1D2F0"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0AD01F47"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23F34181"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CIS 3: Creating an enabling legal and regulatory environment to accelerate digital transformation</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4624BF6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ongoing</w:t>
            </w:r>
          </w:p>
        </w:tc>
      </w:tr>
      <w:tr w:rsidR="00250529" w:rsidRPr="00986D12" w14:paraId="23CA1023"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6D4C8B21"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 xml:space="preserve">CIS 4: Digital skills and information and communication technology accessibility for the public, </w:t>
            </w:r>
            <w:proofErr w:type="gramStart"/>
            <w:r w:rsidRPr="00986D12">
              <w:rPr>
                <w:rFonts w:asciiTheme="minorHAnsi" w:hAnsiTheme="minorHAnsi" w:cstheme="minorHAnsi"/>
                <w:sz w:val="16"/>
                <w:szCs w:val="16"/>
              </w:rPr>
              <w:t>in particular for</w:t>
            </w:r>
            <w:proofErr w:type="gramEnd"/>
            <w:r w:rsidRPr="00986D12">
              <w:rPr>
                <w:rFonts w:asciiTheme="minorHAnsi" w:hAnsiTheme="minorHAnsi" w:cstheme="minorHAnsi"/>
                <w:sz w:val="16"/>
                <w:szCs w:val="16"/>
              </w:rPr>
              <w:t xml:space="preserve"> persons with disabilities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2C8274D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ongoing</w:t>
            </w:r>
          </w:p>
        </w:tc>
      </w:tr>
      <w:tr w:rsidR="00250529" w:rsidRPr="00986D12" w14:paraId="0DC6A7C9"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9D9DDF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CIS 5: Development of smart cities and communities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5626137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ongoing</w:t>
            </w:r>
          </w:p>
        </w:tc>
      </w:tr>
      <w:tr w:rsidR="00250529" w:rsidRPr="00986D12" w14:paraId="1111AEA9"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191F89C9" w14:textId="77777777" w:rsidR="00250529" w:rsidRPr="00986D12" w:rsidRDefault="00250529" w:rsidP="00507BF5">
            <w:pPr>
              <w:pStyle w:val="Texttable"/>
              <w:rPr>
                <w:rFonts w:asciiTheme="minorHAnsi" w:hAnsiTheme="minorHAnsi" w:cstheme="minorHAnsi"/>
                <w:b/>
                <w:bCs/>
                <w:sz w:val="16"/>
                <w:szCs w:val="16"/>
              </w:rPr>
            </w:pPr>
            <w:r w:rsidRPr="00986D12">
              <w:rPr>
                <w:rFonts w:asciiTheme="minorHAnsi" w:hAnsiTheme="minorHAnsi" w:cstheme="minorHAnsi"/>
                <w:b/>
                <w:bCs/>
                <w:sz w:val="16"/>
                <w:szCs w:val="16"/>
              </w:rPr>
              <w:t>Europe</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left w:w="90" w:type="dxa"/>
              <w:right w:w="90" w:type="dxa"/>
            </w:tcMar>
          </w:tcPr>
          <w:p w14:paraId="69F5AD99" w14:textId="77777777" w:rsidR="00250529" w:rsidRPr="00986D12" w:rsidRDefault="00250529" w:rsidP="00507BF5">
            <w:pPr>
              <w:pStyle w:val="Texttable"/>
              <w:rPr>
                <w:rFonts w:asciiTheme="minorHAnsi" w:hAnsiTheme="minorHAnsi" w:cstheme="minorHAnsi"/>
                <w:b/>
                <w:bCs/>
                <w:sz w:val="16"/>
                <w:szCs w:val="16"/>
              </w:rPr>
            </w:pPr>
          </w:p>
        </w:tc>
      </w:tr>
      <w:tr w:rsidR="00250529" w:rsidRPr="00986D12" w14:paraId="2C814450"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6E66485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EUR 1: Digital infrastructure development</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64F1D4E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6F29B8E4"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Mar>
              <w:left w:w="90" w:type="dxa"/>
              <w:right w:w="90" w:type="dxa"/>
            </w:tcMar>
          </w:tcPr>
          <w:p w14:paraId="762672D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EUR 2: Digital transformation for resilience</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Mar>
              <w:left w:w="90" w:type="dxa"/>
              <w:right w:w="90" w:type="dxa"/>
            </w:tcMar>
          </w:tcPr>
          <w:p w14:paraId="3C10DB1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ongoing</w:t>
            </w:r>
          </w:p>
          <w:p w14:paraId="6DB2606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implemented</w:t>
            </w:r>
          </w:p>
        </w:tc>
      </w:tr>
      <w:tr w:rsidR="00250529" w:rsidRPr="00986D12" w14:paraId="76140E76"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2EA702B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EUR 3: Digital inclusion and skills development</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58209C2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ongoing</w:t>
            </w:r>
          </w:p>
        </w:tc>
      </w:tr>
      <w:tr w:rsidR="00250529" w:rsidRPr="00986D12" w14:paraId="2A1D6027"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Mar>
              <w:left w:w="90" w:type="dxa"/>
              <w:right w:w="90" w:type="dxa"/>
            </w:tcMar>
          </w:tcPr>
          <w:p w14:paraId="7A7BB3D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EUR 4: Trust and confidence in the use of telecommunications/information and communication technologies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Mar>
              <w:left w:w="90" w:type="dxa"/>
              <w:right w:w="90" w:type="dxa"/>
            </w:tcMar>
          </w:tcPr>
          <w:p w14:paraId="76AEF30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2 ongoing</w:t>
            </w:r>
          </w:p>
          <w:p w14:paraId="30AE4F1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1 implemented</w:t>
            </w:r>
          </w:p>
        </w:tc>
      </w:tr>
      <w:tr w:rsidR="00250529" w:rsidRPr="00986D12" w14:paraId="2A10ADF5" w14:textId="77777777" w:rsidTr="00507BF5">
        <w:trPr>
          <w:jc w:val="center"/>
        </w:trPr>
        <w:tc>
          <w:tcPr>
            <w:tcW w:w="5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43FE8B7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EUR 5: Digital innovation ecosystems</w:t>
            </w:r>
          </w:p>
        </w:tc>
        <w:tc>
          <w:tcPr>
            <w:tcW w:w="3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tcMar>
              <w:left w:w="90" w:type="dxa"/>
              <w:right w:w="90" w:type="dxa"/>
            </w:tcMar>
          </w:tcPr>
          <w:p w14:paraId="173A13A7"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3 ongoing</w:t>
            </w:r>
          </w:p>
        </w:tc>
      </w:tr>
    </w:tbl>
    <w:p w14:paraId="5CEE63FF" w14:textId="77777777" w:rsidR="00250529" w:rsidRPr="00986D12" w:rsidRDefault="00250529" w:rsidP="00507BF5">
      <w:pPr>
        <w:pStyle w:val="Notes"/>
        <w:rPr>
          <w:rFonts w:asciiTheme="minorHAnsi" w:hAnsiTheme="minorHAnsi" w:cstheme="minorHAnsi"/>
        </w:rPr>
      </w:pPr>
      <w:r w:rsidRPr="00986D12">
        <w:rPr>
          <w:rFonts w:asciiTheme="minorHAnsi" w:hAnsiTheme="minorHAnsi" w:cstheme="minorHAnsi"/>
        </w:rPr>
        <w:t>Note: A project can address the needs of more than 1 Regional Initiative and can cut across more than 1 region.</w:t>
      </w:r>
    </w:p>
    <w:p w14:paraId="407F1F3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document analysis indicates that Regional Initiatives are effectively operationalized through a wide portfolio of activities and projects in the regions and across thematic priorities. It also notes that projects and activities may contribute simultaneously to several Regional Initiatives and may span multiple regions, reflecting the integrated nature of operational delivery.</w:t>
      </w:r>
    </w:p>
    <w:p w14:paraId="67DDDBF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lastRenderedPageBreak/>
        <w:t>Perception-based evidence from the Membership Survey complements this operational picture. A total of 71%</w:t>
      </w:r>
      <w:r w:rsidRPr="00986D12" w:rsidDel="004E0341">
        <w:rPr>
          <w:rFonts w:asciiTheme="minorHAnsi" w:hAnsiTheme="minorHAnsi" w:cstheme="minorHAnsi"/>
        </w:rPr>
        <w:t xml:space="preserve"> </w:t>
      </w:r>
      <w:r w:rsidRPr="00986D12">
        <w:rPr>
          <w:rFonts w:asciiTheme="minorHAnsi" w:hAnsiTheme="minorHAnsi" w:cstheme="minorHAnsi"/>
        </w:rPr>
        <w:t>agree that ITU is effective in delivering on its mandate and impact on the ground through Regional and Area Offices (</w:t>
      </w:r>
      <w:proofErr w:type="spellStart"/>
      <w:r w:rsidRPr="00986D12">
        <w:rPr>
          <w:rFonts w:asciiTheme="minorHAnsi" w:hAnsiTheme="minorHAnsi" w:cstheme="minorHAnsi"/>
        </w:rPr>
        <w:t>Q1</w:t>
      </w:r>
      <w:proofErr w:type="spellEnd"/>
      <w:r w:rsidRPr="00986D12">
        <w:rPr>
          <w:rFonts w:asciiTheme="minorHAnsi" w:hAnsiTheme="minorHAnsi" w:cstheme="minorHAnsi"/>
        </w:rPr>
        <w:t>). Some 60% consider the current level of activities satisfactory (</w:t>
      </w:r>
      <w:proofErr w:type="spellStart"/>
      <w:r w:rsidRPr="00986D12">
        <w:rPr>
          <w:rFonts w:asciiTheme="minorHAnsi" w:hAnsiTheme="minorHAnsi" w:cstheme="minorHAnsi"/>
        </w:rPr>
        <w:t>Q2</w:t>
      </w:r>
      <w:proofErr w:type="spellEnd"/>
      <w:r w:rsidRPr="00986D12">
        <w:rPr>
          <w:rFonts w:asciiTheme="minorHAnsi" w:hAnsiTheme="minorHAnsi" w:cstheme="minorHAnsi"/>
        </w:rPr>
        <w:t>), indicating recognition of implemented initiatives. Engagement levels are also substantial, with 74% reporting consultation with Regional or Area Offices during 2024–2025 (</w:t>
      </w:r>
      <w:proofErr w:type="spellStart"/>
      <w:r w:rsidRPr="00986D12">
        <w:rPr>
          <w:rFonts w:asciiTheme="minorHAnsi" w:hAnsiTheme="minorHAnsi" w:cstheme="minorHAnsi"/>
        </w:rPr>
        <w:t>Q10</w:t>
      </w:r>
      <w:proofErr w:type="spellEnd"/>
      <w:r w:rsidRPr="00986D12">
        <w:rPr>
          <w:rFonts w:asciiTheme="minorHAnsi" w:hAnsiTheme="minorHAnsi" w:cstheme="minorHAnsi"/>
        </w:rPr>
        <w:t>). Collaboration willingness reaches 82% with Membership entities (</w:t>
      </w:r>
      <w:proofErr w:type="spellStart"/>
      <w:r w:rsidRPr="00986D12">
        <w:rPr>
          <w:rFonts w:asciiTheme="minorHAnsi" w:hAnsiTheme="minorHAnsi" w:cstheme="minorHAnsi"/>
        </w:rPr>
        <w:t>Q9_a</w:t>
      </w:r>
      <w:proofErr w:type="spellEnd"/>
      <w:r w:rsidRPr="00986D12">
        <w:rPr>
          <w:rFonts w:asciiTheme="minorHAnsi" w:hAnsiTheme="minorHAnsi" w:cstheme="minorHAnsi"/>
        </w:rPr>
        <w:t>) and 60% with partners (</w:t>
      </w:r>
      <w:proofErr w:type="spellStart"/>
      <w:r w:rsidRPr="00986D12">
        <w:rPr>
          <w:rFonts w:asciiTheme="minorHAnsi" w:hAnsiTheme="minorHAnsi" w:cstheme="minorHAnsi"/>
        </w:rPr>
        <w:t>Q9_b</w:t>
      </w:r>
      <w:proofErr w:type="spellEnd"/>
      <w:r w:rsidRPr="00986D12">
        <w:rPr>
          <w:rFonts w:asciiTheme="minorHAnsi" w:hAnsiTheme="minorHAnsi" w:cstheme="minorHAnsi"/>
        </w:rPr>
        <w:t>), suggesting a strong foundation for implementing initiatives through cooperative engagement.</w:t>
      </w:r>
    </w:p>
    <w:p w14:paraId="454D9D0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Perceived effectiveness of activities varies across functional areas. Dissemination of information and data receives 73% agreement (</w:t>
      </w:r>
      <w:proofErr w:type="spellStart"/>
      <w:r w:rsidRPr="00986D12">
        <w:rPr>
          <w:rFonts w:asciiTheme="minorHAnsi" w:hAnsiTheme="minorHAnsi" w:cstheme="minorHAnsi"/>
        </w:rPr>
        <w:t>Q12_c</w:t>
      </w:r>
      <w:proofErr w:type="spellEnd"/>
      <w:r w:rsidRPr="00986D12">
        <w:rPr>
          <w:rFonts w:asciiTheme="minorHAnsi" w:hAnsiTheme="minorHAnsi" w:cstheme="minorHAnsi"/>
        </w:rPr>
        <w:t>), and the use of technological platforms 70% (</w:t>
      </w:r>
      <w:proofErr w:type="spellStart"/>
      <w:r w:rsidRPr="00986D12">
        <w:rPr>
          <w:rFonts w:asciiTheme="minorHAnsi" w:hAnsiTheme="minorHAnsi" w:cstheme="minorHAnsi"/>
        </w:rPr>
        <w:t>Q12_b</w:t>
      </w:r>
      <w:proofErr w:type="spellEnd"/>
      <w:r w:rsidRPr="00986D12">
        <w:rPr>
          <w:rFonts w:asciiTheme="minorHAnsi" w:hAnsiTheme="minorHAnsi" w:cstheme="minorHAnsi"/>
        </w:rPr>
        <w:t>). Building awareness and capacity reaches 67% (</w:t>
      </w:r>
      <w:proofErr w:type="spellStart"/>
      <w:r w:rsidRPr="00986D12">
        <w:rPr>
          <w:rFonts w:asciiTheme="minorHAnsi" w:hAnsiTheme="minorHAnsi" w:cstheme="minorHAnsi"/>
        </w:rPr>
        <w:t>Q12_h</w:t>
      </w:r>
      <w:proofErr w:type="spellEnd"/>
      <w:r w:rsidRPr="00986D12">
        <w:rPr>
          <w:rFonts w:asciiTheme="minorHAnsi" w:hAnsiTheme="minorHAnsi" w:cstheme="minorHAnsi"/>
        </w:rPr>
        <w:t>), technical expertise 66% (</w:t>
      </w:r>
      <w:proofErr w:type="spellStart"/>
      <w:r w:rsidRPr="00986D12">
        <w:rPr>
          <w:rFonts w:asciiTheme="minorHAnsi" w:hAnsiTheme="minorHAnsi" w:cstheme="minorHAnsi"/>
        </w:rPr>
        <w:t>Q12_g</w:t>
      </w:r>
      <w:proofErr w:type="spellEnd"/>
      <w:r w:rsidRPr="00986D12">
        <w:rPr>
          <w:rFonts w:asciiTheme="minorHAnsi" w:hAnsiTheme="minorHAnsi" w:cstheme="minorHAnsi"/>
        </w:rPr>
        <w:t>), and communication and advocacy 64% (</w:t>
      </w:r>
      <w:proofErr w:type="spellStart"/>
      <w:r w:rsidRPr="00986D12">
        <w:rPr>
          <w:rFonts w:asciiTheme="minorHAnsi" w:hAnsiTheme="minorHAnsi" w:cstheme="minorHAnsi"/>
        </w:rPr>
        <w:t>Q12_d</w:t>
      </w:r>
      <w:proofErr w:type="spellEnd"/>
      <w:r w:rsidRPr="00986D12">
        <w:rPr>
          <w:rFonts w:asciiTheme="minorHAnsi" w:hAnsiTheme="minorHAnsi" w:cstheme="minorHAnsi"/>
        </w:rPr>
        <w:t>). Platforms for policy discussion record 61% (</w:t>
      </w:r>
      <w:proofErr w:type="spellStart"/>
      <w:r w:rsidRPr="00986D12">
        <w:rPr>
          <w:rFonts w:asciiTheme="minorHAnsi" w:hAnsiTheme="minorHAnsi" w:cstheme="minorHAnsi"/>
        </w:rPr>
        <w:t>Q12_f</w:t>
      </w:r>
      <w:proofErr w:type="spellEnd"/>
      <w:r w:rsidRPr="00986D12">
        <w:rPr>
          <w:rFonts w:asciiTheme="minorHAnsi" w:hAnsiTheme="minorHAnsi" w:cstheme="minorHAnsi"/>
        </w:rPr>
        <w:t>). Strategic planning support stands at 52% (</w:t>
      </w:r>
      <w:proofErr w:type="spellStart"/>
      <w:r w:rsidRPr="00986D12">
        <w:rPr>
          <w:rFonts w:asciiTheme="minorHAnsi" w:hAnsiTheme="minorHAnsi" w:cstheme="minorHAnsi"/>
        </w:rPr>
        <w:t>Q12_a</w:t>
      </w:r>
      <w:proofErr w:type="spellEnd"/>
      <w:r w:rsidRPr="00986D12">
        <w:rPr>
          <w:rFonts w:asciiTheme="minorHAnsi" w:hAnsiTheme="minorHAnsi" w:cstheme="minorHAnsi"/>
        </w:rPr>
        <w:t>), partnerships and resource mobilization at 55% (</w:t>
      </w:r>
      <w:proofErr w:type="spellStart"/>
      <w:r w:rsidRPr="00986D12">
        <w:rPr>
          <w:rFonts w:asciiTheme="minorHAnsi" w:hAnsiTheme="minorHAnsi" w:cstheme="minorHAnsi"/>
        </w:rPr>
        <w:t>Q12_e</w:t>
      </w:r>
      <w:proofErr w:type="spellEnd"/>
      <w:r w:rsidRPr="00986D12">
        <w:rPr>
          <w:rFonts w:asciiTheme="minorHAnsi" w:hAnsiTheme="minorHAnsi" w:cstheme="minorHAnsi"/>
        </w:rPr>
        <w:t>), and alignment with national ICT priorities at 55% (</w:t>
      </w:r>
      <w:proofErr w:type="spellStart"/>
      <w:r w:rsidRPr="00986D12">
        <w:rPr>
          <w:rFonts w:asciiTheme="minorHAnsi" w:hAnsiTheme="minorHAnsi" w:cstheme="minorHAnsi"/>
        </w:rPr>
        <w:t>Q12_i</w:t>
      </w:r>
      <w:proofErr w:type="spellEnd"/>
      <w:r w:rsidRPr="00986D12">
        <w:rPr>
          <w:rFonts w:asciiTheme="minorHAnsi" w:hAnsiTheme="minorHAnsi" w:cstheme="minorHAnsi"/>
        </w:rPr>
        <w:t>).</w:t>
      </w:r>
    </w:p>
    <w:p w14:paraId="4D8D0142"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Ease of accessing expertise records 52% agreement (</w:t>
      </w:r>
      <w:proofErr w:type="spellStart"/>
      <w:r w:rsidRPr="00986D12">
        <w:rPr>
          <w:rFonts w:asciiTheme="minorHAnsi" w:hAnsiTheme="minorHAnsi" w:cstheme="minorHAnsi"/>
        </w:rPr>
        <w:t>Q14</w:t>
      </w:r>
      <w:proofErr w:type="spellEnd"/>
      <w:r w:rsidRPr="00986D12">
        <w:rPr>
          <w:rFonts w:asciiTheme="minorHAnsi" w:hAnsiTheme="minorHAnsi" w:cstheme="minorHAnsi"/>
        </w:rPr>
        <w:t>). A majority indicate that lack of proximity does not negatively impact support (</w:t>
      </w:r>
      <w:proofErr w:type="spellStart"/>
      <w:r w:rsidRPr="00986D12">
        <w:rPr>
          <w:rFonts w:asciiTheme="minorHAnsi" w:hAnsiTheme="minorHAnsi" w:cstheme="minorHAnsi"/>
        </w:rPr>
        <w:t>Q16</w:t>
      </w:r>
      <w:proofErr w:type="spellEnd"/>
      <w:r w:rsidRPr="00986D12">
        <w:rPr>
          <w:rFonts w:asciiTheme="minorHAnsi" w:hAnsiTheme="minorHAnsi" w:cstheme="minorHAnsi"/>
        </w:rPr>
        <w:t>), suggesting that implemented initiatives are not wholly dependent on physical presence.</w:t>
      </w:r>
    </w:p>
    <w:p w14:paraId="35762F4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Support for strengthening implementation is strong. Some 72% agree that improved transparency on staffing, financial resources and activity implementation would strengthen regional activities (</w:t>
      </w:r>
      <w:proofErr w:type="spellStart"/>
      <w:r w:rsidRPr="00986D12">
        <w:rPr>
          <w:rFonts w:asciiTheme="minorHAnsi" w:hAnsiTheme="minorHAnsi" w:cstheme="minorHAnsi"/>
        </w:rPr>
        <w:t>Q5_a</w:t>
      </w:r>
      <w:proofErr w:type="spellEnd"/>
      <w:r w:rsidRPr="00986D12">
        <w:rPr>
          <w:rFonts w:asciiTheme="minorHAnsi" w:hAnsiTheme="minorHAnsi" w:cstheme="minorHAnsi"/>
        </w:rPr>
        <w:t>). A total of 67% support increasing projects and activities in countries without ITU offices (</w:t>
      </w:r>
      <w:proofErr w:type="spellStart"/>
      <w:r w:rsidRPr="00986D12">
        <w:rPr>
          <w:rFonts w:asciiTheme="minorHAnsi" w:hAnsiTheme="minorHAnsi" w:cstheme="minorHAnsi"/>
        </w:rPr>
        <w:t>Q5_e</w:t>
      </w:r>
      <w:proofErr w:type="spellEnd"/>
      <w:r w:rsidRPr="00986D12">
        <w:rPr>
          <w:rFonts w:asciiTheme="minorHAnsi" w:hAnsiTheme="minorHAnsi" w:cstheme="minorHAnsi"/>
        </w:rPr>
        <w:t>). Opening new Area Offices records 49% agreement (</w:t>
      </w:r>
      <w:proofErr w:type="spellStart"/>
      <w:r w:rsidRPr="00986D12">
        <w:rPr>
          <w:rFonts w:asciiTheme="minorHAnsi" w:hAnsiTheme="minorHAnsi" w:cstheme="minorHAnsi"/>
        </w:rPr>
        <w:t>Q5_d</w:t>
      </w:r>
      <w:proofErr w:type="spellEnd"/>
      <w:r w:rsidRPr="00986D12">
        <w:rPr>
          <w:rFonts w:asciiTheme="minorHAnsi" w:hAnsiTheme="minorHAnsi" w:cstheme="minorHAnsi"/>
        </w:rPr>
        <w:t>), indicating limited support for structural expansion.</w:t>
      </w:r>
    </w:p>
    <w:p w14:paraId="1200524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Alignment of co-financed activities with national or regional needs records 43% agreement (</w:t>
      </w:r>
      <w:proofErr w:type="spellStart"/>
      <w:r w:rsidRPr="00986D12">
        <w:rPr>
          <w:rFonts w:asciiTheme="minorHAnsi" w:hAnsiTheme="minorHAnsi" w:cstheme="minorHAnsi"/>
        </w:rPr>
        <w:t>Q15</w:t>
      </w:r>
      <w:proofErr w:type="spellEnd"/>
      <w:r w:rsidRPr="00986D12">
        <w:rPr>
          <w:rFonts w:asciiTheme="minorHAnsi" w:hAnsiTheme="minorHAnsi" w:cstheme="minorHAnsi"/>
        </w:rPr>
        <w:t>), suggesting that externally funded initiatives are not uniformly perceived as fully aligned with national priorities.</w:t>
      </w:r>
    </w:p>
    <w:p w14:paraId="3161D420"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Open-ended responses highlight expectations for deeper engagement during events, stronger in-country coordination, improved communication and greater visibility of implemented initiatives. These responses point to a desire for clearer articulation of how Regional Initiatives translate into tangible outcomes at country level.</w:t>
      </w:r>
    </w:p>
    <w:p w14:paraId="2F2A5B5A" w14:textId="5044F28C"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36AFF610" w14:textId="279A365B"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Taken together, operational reporting and perception-based evidence indicate that Regional Initiatives are being effectively implemented through a substantial number of projects and activities across all regions. Strong performance is visible in information dissemination, technological platforms and capacity building. At the same time, positive but relatively moderate perceptions regarding partnerships, strategic planning support and alignment of externally funded activities suggest opportunities to further strengthen the coherence and visibility of implementation in regions. </w:t>
      </w:r>
    </w:p>
    <w:p w14:paraId="177F9DF4"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Data Sources</w:t>
      </w:r>
    </w:p>
    <w:p w14:paraId="15DB60D3" w14:textId="753DC8BD"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Report on the implementation of the Kigali Action Plan (KAP), WTDC-25 Document </w:t>
      </w:r>
      <w:hyperlink r:id="rId67">
        <w:r w:rsidR="00250529" w:rsidRPr="008C431B">
          <w:rPr>
            <w:rStyle w:val="Hyperlink"/>
            <w:rFonts w:asciiTheme="minorHAnsi" w:eastAsia="Avenir Nxt2 W1G" w:hAnsiTheme="minorHAnsi" w:cstheme="minorHAnsi"/>
          </w:rPr>
          <w:t>WTDC-25/2</w:t>
        </w:r>
      </w:hyperlink>
    </w:p>
    <w:p w14:paraId="1C1E478F" w14:textId="3921EFBF"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lastRenderedPageBreak/>
        <w:t>2.</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Reporting on the implementation of the Kigali Action Plan (KAP),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xml:space="preserve"> 2024 Document </w:t>
      </w:r>
      <w:hyperlink r:id="rId68">
        <w:proofErr w:type="spellStart"/>
        <w:r w:rsidR="00250529" w:rsidRPr="008C431B">
          <w:rPr>
            <w:rStyle w:val="Hyperlink"/>
            <w:rFonts w:asciiTheme="minorHAnsi" w:eastAsia="Avenir Nxt2 W1G" w:hAnsiTheme="minorHAnsi" w:cstheme="minorHAnsi"/>
          </w:rPr>
          <w:t>TDAG</w:t>
        </w:r>
        <w:proofErr w:type="spellEnd"/>
        <w:r w:rsidR="00250529" w:rsidRPr="008C431B">
          <w:rPr>
            <w:rStyle w:val="Hyperlink"/>
            <w:rFonts w:asciiTheme="minorHAnsi" w:eastAsia="Avenir Nxt2 W1G" w:hAnsiTheme="minorHAnsi" w:cstheme="minorHAnsi"/>
          </w:rPr>
          <w:t>-24/2</w:t>
        </w:r>
      </w:hyperlink>
    </w:p>
    <w:p w14:paraId="50AC08AC" w14:textId="7519AE78"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ITU-D draft operational plan for 2026-2029 and 2024 performance report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xml:space="preserve"> 2025 Document </w:t>
      </w:r>
      <w:hyperlink r:id="rId69">
        <w:proofErr w:type="spellStart"/>
        <w:r w:rsidR="00250529" w:rsidRPr="008C431B">
          <w:rPr>
            <w:rStyle w:val="Hyperlink"/>
            <w:rFonts w:asciiTheme="minorHAnsi" w:eastAsia="Avenir Nxt2 W1G" w:hAnsiTheme="minorHAnsi" w:cstheme="minorHAnsi"/>
          </w:rPr>
          <w:t>TDAG</w:t>
        </w:r>
        <w:proofErr w:type="spellEnd"/>
        <w:r w:rsidR="00250529" w:rsidRPr="008C431B">
          <w:rPr>
            <w:rStyle w:val="Hyperlink"/>
            <w:rFonts w:asciiTheme="minorHAnsi" w:eastAsia="Avenir Nxt2 W1G" w:hAnsiTheme="minorHAnsi" w:cstheme="minorHAnsi"/>
          </w:rPr>
          <w:t>-25/40</w:t>
        </w:r>
      </w:hyperlink>
    </w:p>
    <w:p w14:paraId="72D59283" w14:textId="0007AC38"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4.</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BDT Operational Plan dashboards as indicated in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xml:space="preserve">-24 and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xml:space="preserve">-25 Document </w:t>
      </w:r>
    </w:p>
    <w:p w14:paraId="0662983D" w14:textId="70583865" w:rsidR="00250529" w:rsidRPr="008C431B" w:rsidRDefault="008C431B" w:rsidP="008C431B">
      <w:pPr>
        <w:spacing w:before="60" w:after="60"/>
        <w:ind w:left="1440" w:hanging="360"/>
        <w:jc w:val="both"/>
        <w:rPr>
          <w:rFonts w:asciiTheme="minorHAnsi" w:eastAsia="Avenir Nxt2 W1G" w:hAnsiTheme="minorHAnsi" w:cstheme="minorHAnsi"/>
          <w:color w:val="000000" w:themeColor="text1"/>
        </w:rPr>
      </w:pPr>
      <w:r w:rsidRPr="00986D12">
        <w:rPr>
          <w:rFonts w:asciiTheme="minorHAnsi" w:eastAsia="Avenir Nxt2 W1G" w:hAnsiTheme="minorHAnsi" w:cstheme="minorHAnsi"/>
          <w:color w:val="000000" w:themeColor="text1"/>
          <w:kern w:val="2"/>
          <w:sz w:val="22"/>
          <w:szCs w:val="22"/>
          <w14:ligatures w14:val="standardContextual"/>
        </w:rPr>
        <w:t>a.</w:t>
      </w:r>
      <w:r w:rsidRPr="00986D12">
        <w:rPr>
          <w:rFonts w:asciiTheme="minorHAnsi" w:eastAsia="Avenir Nxt2 W1G" w:hAnsiTheme="minorHAnsi" w:cstheme="minorHAnsi"/>
          <w:color w:val="000000" w:themeColor="text1"/>
          <w:kern w:val="2"/>
          <w:sz w:val="22"/>
          <w:szCs w:val="22"/>
          <w14:ligatures w14:val="standardContextual"/>
        </w:rPr>
        <w:tab/>
      </w:r>
      <w:hyperlink r:id="rId70">
        <w:r w:rsidR="00250529" w:rsidRPr="008C431B">
          <w:rPr>
            <w:rStyle w:val="Hyperlink"/>
            <w:rFonts w:asciiTheme="minorHAnsi" w:eastAsia="Avenir Nxt2 W1G" w:hAnsiTheme="minorHAnsi" w:cstheme="minorHAnsi"/>
          </w:rPr>
          <w:t>https://www.itu.int/en/ITU-D/Conferences/TDAG/Pages/dashboards/2025/Regional-Initiatives.aspx</w:t>
        </w:r>
      </w:hyperlink>
    </w:p>
    <w:p w14:paraId="0F771E53" w14:textId="16C47BD8" w:rsidR="00250529" w:rsidRPr="008C431B" w:rsidRDefault="008C431B" w:rsidP="008C431B">
      <w:pPr>
        <w:spacing w:before="60" w:after="60"/>
        <w:ind w:left="1440" w:hanging="360"/>
        <w:jc w:val="both"/>
        <w:rPr>
          <w:rFonts w:asciiTheme="minorHAnsi" w:eastAsia="Avenir Nxt2 W1G" w:hAnsiTheme="minorHAnsi" w:cstheme="minorHAnsi"/>
          <w:color w:val="000000" w:themeColor="text1"/>
        </w:rPr>
      </w:pPr>
      <w:r w:rsidRPr="00986D12">
        <w:rPr>
          <w:rFonts w:asciiTheme="minorHAnsi" w:eastAsia="Avenir Nxt2 W1G" w:hAnsiTheme="minorHAnsi" w:cstheme="minorHAnsi"/>
          <w:color w:val="000000" w:themeColor="text1"/>
          <w:kern w:val="2"/>
          <w:sz w:val="22"/>
          <w:szCs w:val="22"/>
          <w14:ligatures w14:val="standardContextual"/>
        </w:rPr>
        <w:t>b.</w:t>
      </w:r>
      <w:r w:rsidRPr="00986D12">
        <w:rPr>
          <w:rFonts w:asciiTheme="minorHAnsi" w:eastAsia="Avenir Nxt2 W1G" w:hAnsiTheme="minorHAnsi" w:cstheme="minorHAnsi"/>
          <w:color w:val="000000" w:themeColor="text1"/>
          <w:kern w:val="2"/>
          <w:sz w:val="22"/>
          <w:szCs w:val="22"/>
          <w14:ligatures w14:val="standardContextual"/>
        </w:rPr>
        <w:tab/>
      </w:r>
      <w:hyperlink r:id="rId71">
        <w:r w:rsidR="00250529" w:rsidRPr="008C431B">
          <w:rPr>
            <w:rStyle w:val="Hyperlink"/>
            <w:rFonts w:asciiTheme="minorHAnsi" w:eastAsia="Avenir Nxt2 W1G" w:hAnsiTheme="minorHAnsi" w:cstheme="minorHAnsi"/>
          </w:rPr>
          <w:t>https://www.itu.int/en/ITU-D/Conferences/TDAG/Pages/dashboards/2025/Operational-Plan-Reporting-Dashboard.aspx</w:t>
        </w:r>
      </w:hyperlink>
    </w:p>
    <w:p w14:paraId="67D31889" w14:textId="73406D55" w:rsidR="00250529" w:rsidRPr="008C431B" w:rsidRDefault="008C431B" w:rsidP="008C431B">
      <w:pPr>
        <w:spacing w:before="60" w:after="60"/>
        <w:ind w:left="720" w:hanging="360"/>
        <w:jc w:val="both"/>
        <w:rPr>
          <w:rFonts w:asciiTheme="minorHAnsi" w:hAnsiTheme="minorHAnsi" w:cstheme="minorHAnsi"/>
          <w:color w:val="000000" w:themeColor="text1"/>
        </w:rPr>
      </w:pPr>
      <w:r w:rsidRPr="00986D12">
        <w:rPr>
          <w:rFonts w:asciiTheme="minorHAnsi" w:eastAsia="Aptos" w:hAnsiTheme="minorHAnsi" w:cstheme="minorHAnsi"/>
          <w:color w:val="000000" w:themeColor="text1"/>
          <w:kern w:val="2"/>
          <w:sz w:val="22"/>
          <w:szCs w:val="22"/>
          <w14:ligatures w14:val="standardContextual"/>
        </w:rPr>
        <w:t>5.</w:t>
      </w:r>
      <w:r w:rsidRPr="00986D12">
        <w:rPr>
          <w:rFonts w:asciiTheme="minorHAnsi" w:eastAsia="Aptos" w:hAnsiTheme="minorHAnsi" w:cstheme="minorHAnsi"/>
          <w:color w:val="000000" w:themeColor="text1"/>
          <w:kern w:val="2"/>
          <w:sz w:val="22"/>
          <w:szCs w:val="22"/>
          <w14:ligatures w14:val="standardContextual"/>
        </w:rPr>
        <w:tab/>
      </w:r>
      <w:r w:rsidR="00250529" w:rsidRPr="008C431B">
        <w:rPr>
          <w:rFonts w:asciiTheme="minorHAnsi" w:hAnsiTheme="minorHAnsi" w:cstheme="minorHAnsi"/>
          <w:color w:val="000000" w:themeColor="text1"/>
        </w:rPr>
        <w:t xml:space="preserve">Regional Development Forum reports </w:t>
      </w:r>
      <w:hyperlink r:id="rId72">
        <w:r w:rsidR="00250529" w:rsidRPr="008C431B">
          <w:rPr>
            <w:rStyle w:val="Hyperlink"/>
            <w:rFonts w:asciiTheme="minorHAnsi" w:eastAsia="Avenir Nxt2 W1G" w:hAnsiTheme="minorHAnsi" w:cstheme="minorHAnsi"/>
          </w:rPr>
          <w:t>https://</w:t>
        </w:r>
        <w:proofErr w:type="spellStart"/>
        <w:r w:rsidR="00250529" w:rsidRPr="008C431B">
          <w:rPr>
            <w:rStyle w:val="Hyperlink"/>
            <w:rFonts w:asciiTheme="minorHAnsi" w:eastAsia="Avenir Nxt2 W1G" w:hAnsiTheme="minorHAnsi" w:cstheme="minorHAnsi"/>
          </w:rPr>
          <w:t>www.itu.int</w:t>
        </w:r>
        <w:proofErr w:type="spellEnd"/>
        <w:r w:rsidR="00250529" w:rsidRPr="008C431B">
          <w:rPr>
            <w:rStyle w:val="Hyperlink"/>
            <w:rFonts w:asciiTheme="minorHAnsi" w:eastAsia="Avenir Nxt2 W1G" w:hAnsiTheme="minorHAnsi" w:cstheme="minorHAnsi"/>
          </w:rPr>
          <w:t>/</w:t>
        </w:r>
        <w:proofErr w:type="spellStart"/>
        <w:r w:rsidR="00250529" w:rsidRPr="008C431B">
          <w:rPr>
            <w:rStyle w:val="Hyperlink"/>
            <w:rFonts w:asciiTheme="minorHAnsi" w:eastAsia="Avenir Nxt2 W1G" w:hAnsiTheme="minorHAnsi" w:cstheme="minorHAnsi"/>
          </w:rPr>
          <w:t>itu</w:t>
        </w:r>
        <w:proofErr w:type="spellEnd"/>
        <w:r w:rsidR="00250529" w:rsidRPr="008C431B">
          <w:rPr>
            <w:rStyle w:val="Hyperlink"/>
            <w:rFonts w:asciiTheme="minorHAnsi" w:eastAsia="Avenir Nxt2 W1G" w:hAnsiTheme="minorHAnsi" w:cstheme="minorHAnsi"/>
          </w:rPr>
          <w:t>-d/meetings/</w:t>
        </w:r>
        <w:proofErr w:type="spellStart"/>
        <w:r w:rsidR="00250529" w:rsidRPr="008C431B">
          <w:rPr>
            <w:rStyle w:val="Hyperlink"/>
            <w:rFonts w:asciiTheme="minorHAnsi" w:eastAsia="Avenir Nxt2 W1G" w:hAnsiTheme="minorHAnsi" w:cstheme="minorHAnsi"/>
          </w:rPr>
          <w:t>rdf</w:t>
        </w:r>
        <w:proofErr w:type="spellEnd"/>
        <w:r w:rsidR="00250529" w:rsidRPr="008C431B">
          <w:rPr>
            <w:rStyle w:val="Hyperlink"/>
            <w:rFonts w:asciiTheme="minorHAnsi" w:eastAsia="Avenir Nxt2 W1G" w:hAnsiTheme="minorHAnsi" w:cstheme="minorHAnsi"/>
          </w:rPr>
          <w:t>/</w:t>
        </w:r>
      </w:hyperlink>
    </w:p>
    <w:p w14:paraId="28613D6D" w14:textId="387EBD19"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6.</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BDT OP system to track WTDC Action Plans (internal)</w:t>
      </w:r>
    </w:p>
    <w:p w14:paraId="357E4987" w14:textId="6ABD9AC4" w:rsidR="00250529" w:rsidRPr="00986D12" w:rsidRDefault="00250529" w:rsidP="005B5E68">
      <w:pPr>
        <w:pStyle w:val="KPItitle"/>
        <w:jc w:val="both"/>
        <w:rPr>
          <w:rFonts w:asciiTheme="minorHAnsi" w:eastAsia="Avenir Nxt2 W1G" w:hAnsiTheme="minorHAnsi" w:cstheme="minorHAnsi"/>
        </w:rPr>
      </w:pPr>
      <w:bookmarkStart w:id="112" w:name="_Toc224213051"/>
      <w:bookmarkStart w:id="113" w:name="_Toc224236482"/>
      <w:proofErr w:type="spellStart"/>
      <w:r w:rsidRPr="00986D12">
        <w:rPr>
          <w:rFonts w:asciiTheme="minorHAnsi" w:hAnsiTheme="minorHAnsi" w:cstheme="minorHAnsi"/>
        </w:rPr>
        <w:t>KPI</w:t>
      </w:r>
      <w:proofErr w:type="spellEnd"/>
      <w:r w:rsidRPr="00986D12">
        <w:rPr>
          <w:rFonts w:asciiTheme="minorHAnsi" w:eastAsia="Avenir Nxt2 W1G" w:hAnsiTheme="minorHAnsi" w:cstheme="minorHAnsi"/>
        </w:rPr>
        <w:t xml:space="preserve"> </w:t>
      </w:r>
      <w:r w:rsidRPr="00986D12">
        <w:rPr>
          <w:rFonts w:asciiTheme="minorHAnsi" w:hAnsiTheme="minorHAnsi" w:cstheme="minorHAnsi"/>
        </w:rPr>
        <w:t>7</w:t>
      </w:r>
      <w:r w:rsidRPr="00986D12">
        <w:rPr>
          <w:rFonts w:asciiTheme="minorHAnsi" w:eastAsia="Avenir Nxt2 W1G" w:hAnsiTheme="minorHAnsi" w:cstheme="minorHAnsi"/>
        </w:rPr>
        <w:t xml:space="preserve"> — </w:t>
      </w:r>
      <w:r w:rsidRPr="00986D12" w:rsidDel="001F2A97">
        <w:rPr>
          <w:rFonts w:asciiTheme="minorHAnsi" w:hAnsiTheme="minorHAnsi" w:cstheme="minorHAnsi"/>
        </w:rPr>
        <w:t>Recommendations</w:t>
      </w:r>
      <w:r w:rsidRPr="00986D12">
        <w:rPr>
          <w:rFonts w:asciiTheme="minorHAnsi" w:hAnsiTheme="minorHAnsi" w:cstheme="minorHAnsi"/>
        </w:rPr>
        <w:t xml:space="preserve"> on how to address any challenges in collecting data or demonstrating progress on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with the reporting</w:t>
      </w:r>
      <w:bookmarkEnd w:id="112"/>
      <w:bookmarkEnd w:id="113"/>
    </w:p>
    <w:p w14:paraId="48D78C18" w14:textId="77777777" w:rsidR="00250529" w:rsidRPr="00986D12" w:rsidRDefault="00250529" w:rsidP="005B5E68">
      <w:pPr>
        <w:pStyle w:val="paragraph"/>
        <w:jc w:val="both"/>
        <w:rPr>
          <w:rFonts w:asciiTheme="minorHAnsi" w:hAnsiTheme="minorHAnsi" w:cstheme="minorHAnsi"/>
        </w:rPr>
      </w:pPr>
      <w:r w:rsidRPr="00986D12">
        <w:rPr>
          <w:rFonts w:asciiTheme="minorHAnsi" w:eastAsiaTheme="majorEastAsia" w:hAnsiTheme="minorHAnsi" w:cstheme="minorHAnsi"/>
        </w:rPr>
        <w:t>Internal feedback highlights structural and informational constraints affecting reporting and performance monitoring. A little more than a third, or 35% agree that staff in Regional and Area Offices have access to detailed financial information on projects in a reasonable time (</w:t>
      </w:r>
      <w:proofErr w:type="spellStart"/>
      <w:r w:rsidRPr="00986D12">
        <w:rPr>
          <w:rFonts w:asciiTheme="minorHAnsi" w:eastAsiaTheme="majorEastAsia" w:hAnsiTheme="minorHAnsi" w:cstheme="minorHAnsi"/>
        </w:rPr>
        <w:t>Q6</w:t>
      </w:r>
      <w:proofErr w:type="spellEnd"/>
      <w:r w:rsidRPr="00986D12">
        <w:rPr>
          <w:rFonts w:asciiTheme="minorHAnsi" w:eastAsiaTheme="majorEastAsia" w:hAnsiTheme="minorHAnsi" w:cstheme="minorHAnsi"/>
        </w:rPr>
        <w:t>). Disagreement reaches 32%, indicating that access to timely financial data remains a significant operational constraint for monitoring and reporting purposes.</w:t>
      </w:r>
    </w:p>
    <w:p w14:paraId="10265C93" w14:textId="77777777" w:rsidR="00250529" w:rsidRPr="00986D12" w:rsidRDefault="00250529" w:rsidP="005B5E68">
      <w:pPr>
        <w:pStyle w:val="paragraph"/>
        <w:jc w:val="both"/>
        <w:rPr>
          <w:rFonts w:asciiTheme="minorHAnsi" w:hAnsiTheme="minorHAnsi" w:cstheme="minorHAnsi"/>
          <w:sz w:val="18"/>
          <w:szCs w:val="18"/>
        </w:rPr>
      </w:pPr>
      <w:r w:rsidRPr="00986D12">
        <w:rPr>
          <w:rFonts w:asciiTheme="minorHAnsi" w:eastAsiaTheme="majorEastAsia" w:hAnsiTheme="minorHAnsi" w:cstheme="minorHAnsi"/>
        </w:rPr>
        <w:t xml:space="preserve">From the Membership perspective, 67% agree that evaluation of progress on relevant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and identification of internal and external implementation challenges would enhance coordination and communication of activities, projects and initiatives (</w:t>
      </w:r>
      <w:proofErr w:type="spellStart"/>
      <w:r w:rsidRPr="00986D12">
        <w:rPr>
          <w:rFonts w:asciiTheme="minorHAnsi" w:eastAsiaTheme="majorEastAsia" w:hAnsiTheme="minorHAnsi" w:cstheme="minorHAnsi"/>
        </w:rPr>
        <w:t>Q7_c</w:t>
      </w:r>
      <w:proofErr w:type="spellEnd"/>
      <w:r w:rsidRPr="00986D12">
        <w:rPr>
          <w:rFonts w:asciiTheme="minorHAnsi" w:eastAsiaTheme="majorEastAsia" w:hAnsiTheme="minorHAnsi" w:cstheme="minorHAnsi"/>
        </w:rPr>
        <w:t>). This reflects strong support for structured performance monitoring mechanisms and systematic tracking of challenges.</w:t>
      </w:r>
    </w:p>
    <w:p w14:paraId="2ABA1D70" w14:textId="77777777" w:rsidR="00250529" w:rsidRPr="00986D12" w:rsidRDefault="00250529" w:rsidP="005B5E68">
      <w:pPr>
        <w:pStyle w:val="paragraph"/>
        <w:jc w:val="both"/>
        <w:rPr>
          <w:rFonts w:asciiTheme="minorHAnsi" w:hAnsiTheme="minorHAnsi" w:cstheme="minorHAnsi"/>
          <w:sz w:val="18"/>
          <w:szCs w:val="18"/>
        </w:rPr>
      </w:pPr>
      <w:r w:rsidRPr="00986D12">
        <w:rPr>
          <w:rFonts w:asciiTheme="minorHAnsi" w:eastAsiaTheme="majorEastAsia" w:hAnsiTheme="minorHAnsi" w:cstheme="minorHAnsi"/>
        </w:rPr>
        <w:t xml:space="preserve">Further in the responses to the open ended </w:t>
      </w:r>
      <w:proofErr w:type="spellStart"/>
      <w:r w:rsidRPr="00986D12">
        <w:rPr>
          <w:rFonts w:asciiTheme="minorHAnsi" w:eastAsiaTheme="majorEastAsia" w:hAnsiTheme="minorHAnsi" w:cstheme="minorHAnsi"/>
        </w:rPr>
        <w:t>Q18</w:t>
      </w:r>
      <w:proofErr w:type="spellEnd"/>
      <w:r w:rsidRPr="00986D12">
        <w:rPr>
          <w:rFonts w:asciiTheme="minorHAnsi" w:eastAsiaTheme="majorEastAsia" w:hAnsiTheme="minorHAnsi" w:cstheme="minorHAnsi"/>
        </w:rPr>
        <w:t>, membership stress on stronger regional presence with improved reporting, monitoring, and visibility of results:</w:t>
      </w:r>
    </w:p>
    <w:p w14:paraId="410827B5" w14:textId="6C4DF033"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Calls for Regular reporting on project milestones, key performance indicators, and regional outcomes.</w:t>
      </w:r>
    </w:p>
    <w:p w14:paraId="70E8124F" w14:textId="3E44B12D" w:rsidR="00250529" w:rsidRPr="00986D12" w:rsidRDefault="008C431B" w:rsidP="008C431B">
      <w:pPr>
        <w:pStyle w:val="Bulletlist"/>
        <w:numPr>
          <w:ilvl w:val="0"/>
          <w:numId w:val="0"/>
        </w:numPr>
        <w:ind w:left="720" w:hanging="360"/>
        <w:jc w:val="both"/>
        <w:rPr>
          <w:rStyle w:val="eop"/>
          <w:rFonts w:asciiTheme="minorHAnsi" w:hAnsiTheme="minorHAnsi" w:cstheme="minorHAnsi"/>
        </w:rPr>
      </w:pPr>
      <w:r w:rsidRPr="00986D12">
        <w:rPr>
          <w:rStyle w:val="eop"/>
          <w:rFonts w:ascii="Symbol" w:hAnsi="Symbol" w:cstheme="minorHAnsi"/>
        </w:rPr>
        <w:t></w:t>
      </w:r>
      <w:r w:rsidRPr="00986D12">
        <w:rPr>
          <w:rStyle w:val="eop"/>
          <w:rFonts w:ascii="Symbol" w:hAnsi="Symbol" w:cstheme="minorHAnsi"/>
        </w:rPr>
        <w:tab/>
      </w:r>
      <w:r w:rsidR="00250529" w:rsidRPr="00986D12">
        <w:rPr>
          <w:rFonts w:asciiTheme="minorHAnsi" w:hAnsiTheme="minorHAnsi" w:cstheme="minorHAnsi"/>
        </w:rPr>
        <w:t>Requests for structured and sustained engagement mechanisms and clearer follow up</w:t>
      </w:r>
      <w:r w:rsidR="00250529" w:rsidRPr="00986D12">
        <w:rPr>
          <w:rFonts w:asciiTheme="minorHAnsi" w:hAnsiTheme="minorHAnsi" w:cstheme="minorHAnsi"/>
          <w:color w:val="000000"/>
        </w:rPr>
        <w:t xml:space="preserve"> on initiatives.</w:t>
      </w:r>
    </w:p>
    <w:p w14:paraId="12134C73" w14:textId="37DD4249"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Suggestions for a centralized information hub or dashboard per region to streamline access to information on ongoing programmes and outcomes.</w:t>
      </w:r>
    </w:p>
    <w:p w14:paraId="0968930D" w14:textId="12D91AF1" w:rsidR="00250529" w:rsidRPr="00986D12" w:rsidRDefault="00250529" w:rsidP="005B5E68">
      <w:pPr>
        <w:pStyle w:val="paragraph"/>
        <w:jc w:val="both"/>
        <w:rPr>
          <w:rFonts w:asciiTheme="minorHAnsi" w:hAnsiTheme="minorHAnsi" w:cstheme="minorHAnsi"/>
          <w:sz w:val="18"/>
          <w:szCs w:val="18"/>
        </w:rPr>
      </w:pPr>
      <w:r w:rsidRPr="00986D12">
        <w:rPr>
          <w:rFonts w:asciiTheme="minorHAnsi" w:eastAsiaTheme="majorEastAsia" w:hAnsiTheme="minorHAnsi" w:cstheme="minorHAnsi"/>
          <w:color w:val="000000"/>
        </w:rPr>
        <w:t>Members value ITU activities and are requesting clearer tracking of results</w:t>
      </w:r>
      <w:r w:rsidR="002A6EC1">
        <w:rPr>
          <w:rFonts w:asciiTheme="minorHAnsi" w:eastAsiaTheme="majorEastAsia" w:hAnsiTheme="minorHAnsi" w:cstheme="minorHAnsi"/>
          <w:color w:val="000000"/>
        </w:rPr>
        <w:t xml:space="preserve"> and suggest</w:t>
      </w:r>
      <w:r w:rsidR="00711C82">
        <w:rPr>
          <w:rFonts w:asciiTheme="minorHAnsi" w:eastAsiaTheme="majorEastAsia" w:hAnsiTheme="minorHAnsi" w:cstheme="minorHAnsi"/>
          <w:color w:val="000000"/>
        </w:rPr>
        <w:t>ing</w:t>
      </w:r>
      <w:r w:rsidR="002A6EC1">
        <w:rPr>
          <w:rFonts w:asciiTheme="minorHAnsi" w:eastAsiaTheme="majorEastAsia" w:hAnsiTheme="minorHAnsi" w:cstheme="minorHAnsi"/>
          <w:color w:val="000000"/>
        </w:rPr>
        <w:t xml:space="preserve"> that</w:t>
      </w:r>
      <w:r w:rsidR="008A65B0">
        <w:rPr>
          <w:rFonts w:asciiTheme="minorHAnsi" w:eastAsiaTheme="majorEastAsia" w:hAnsiTheme="minorHAnsi" w:cstheme="minorHAnsi"/>
          <w:color w:val="000000"/>
        </w:rPr>
        <w:t xml:space="preserve"> s</w:t>
      </w:r>
      <w:r w:rsidRPr="00986D12">
        <w:rPr>
          <w:rFonts w:asciiTheme="minorHAnsi" w:eastAsiaTheme="majorEastAsia" w:hAnsiTheme="minorHAnsi" w:cstheme="minorHAnsi"/>
          <w:color w:val="000000"/>
        </w:rPr>
        <w:t xml:space="preserve">trengthening structured milestone reporting and </w:t>
      </w:r>
      <w:proofErr w:type="spellStart"/>
      <w:r w:rsidRPr="00986D12">
        <w:rPr>
          <w:rFonts w:asciiTheme="minorHAnsi" w:eastAsiaTheme="majorEastAsia" w:hAnsiTheme="minorHAnsi" w:cstheme="minorHAnsi"/>
          <w:color w:val="000000"/>
        </w:rPr>
        <w:t>KPI</w:t>
      </w:r>
      <w:proofErr w:type="spellEnd"/>
      <w:r w:rsidRPr="00986D12">
        <w:rPr>
          <w:rFonts w:asciiTheme="minorHAnsi" w:eastAsiaTheme="majorEastAsia" w:hAnsiTheme="minorHAnsi" w:cstheme="minorHAnsi"/>
          <w:color w:val="000000"/>
        </w:rPr>
        <w:t>-linked dashboards would enhance visibility of progress and simplify data aggregation for reporting.</w:t>
      </w:r>
    </w:p>
    <w:p w14:paraId="4BFE9378" w14:textId="372F016E"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5ED2E489" w14:textId="47DE8FDE" w:rsidR="00250529" w:rsidRPr="00986D12" w:rsidRDefault="00250529" w:rsidP="005B5E68">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t xml:space="preserve">The combined results suggest that while the value of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-based evaluation and structured monitoring is widely recognised, operational constraints — particularly related to access to financial information — may limit the effectiveness of reporting processes. Overall,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 7 reflects strong conceptual support for performance evaluation and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 tracking, alongside identifiable operational bottlenecks in financial data access that may constrain comprehensive reporting. Enhancing data accessibility, project-level </w:t>
      </w:r>
      <w:r w:rsidRPr="00986D12">
        <w:rPr>
          <w:rFonts w:asciiTheme="minorHAnsi" w:eastAsiaTheme="majorEastAsia" w:hAnsiTheme="minorHAnsi" w:cstheme="minorHAnsi"/>
        </w:rPr>
        <w:lastRenderedPageBreak/>
        <w:t xml:space="preserve">financial transparency, and timely information flows </w:t>
      </w:r>
      <w:r w:rsidR="000520B6">
        <w:rPr>
          <w:rFonts w:asciiTheme="minorHAnsi" w:eastAsiaTheme="majorEastAsia" w:hAnsiTheme="minorHAnsi" w:cstheme="minorHAnsi"/>
        </w:rPr>
        <w:t>are seen to be elements that could</w:t>
      </w:r>
      <w:r w:rsidR="000520B6" w:rsidRPr="00986D12">
        <w:rPr>
          <w:rFonts w:asciiTheme="minorHAnsi" w:eastAsiaTheme="majorEastAsia" w:hAnsiTheme="minorHAnsi" w:cstheme="minorHAnsi"/>
        </w:rPr>
        <w:t xml:space="preserve"> </w:t>
      </w:r>
      <w:r w:rsidRPr="00986D12">
        <w:rPr>
          <w:rFonts w:asciiTheme="minorHAnsi" w:eastAsiaTheme="majorEastAsia" w:hAnsiTheme="minorHAnsi" w:cstheme="minorHAnsi"/>
        </w:rPr>
        <w:t xml:space="preserve">contribute to more robust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 reporting. At the same time, maintaining systematic evaluation and structured identification of implementation challenges may help in better demonstrating progress.</w:t>
      </w:r>
    </w:p>
    <w:p w14:paraId="5B9650F5" w14:textId="77777777" w:rsidR="00250529" w:rsidRPr="00986D12" w:rsidRDefault="00250529" w:rsidP="005B5E68">
      <w:pPr>
        <w:pStyle w:val="KPItitle"/>
        <w:jc w:val="both"/>
        <w:rPr>
          <w:rFonts w:asciiTheme="minorHAnsi" w:hAnsiTheme="minorHAnsi" w:cstheme="minorHAnsi"/>
        </w:rPr>
      </w:pPr>
      <w:bookmarkStart w:id="114" w:name="_Toc224213052"/>
      <w:bookmarkStart w:id="115" w:name="_Toc224236483"/>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8 — Evaluate if the information/</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to report the actions and effectiveness by the Regional and Area Offices to align their work, activities, and outcomes with the ITU Strategic Plan 2023-2026 and Kigali Action Plan, including its thematic priorities and outcomes, outputs and regional initiatives, in line with the Strategic Plan, is effective</w:t>
      </w:r>
      <w:bookmarkEnd w:id="114"/>
      <w:bookmarkEnd w:id="115"/>
    </w:p>
    <w:p w14:paraId="30ACA424" w14:textId="77777777" w:rsidR="00250529" w:rsidRPr="00986D12" w:rsidRDefault="00250529" w:rsidP="005B5E68">
      <w:pPr>
        <w:pStyle w:val="paragraph"/>
        <w:jc w:val="both"/>
        <w:rPr>
          <w:rFonts w:asciiTheme="minorHAnsi" w:eastAsiaTheme="majorEastAsia" w:hAnsiTheme="minorHAnsi" w:cstheme="minorHAnsi"/>
          <w:sz w:val="18"/>
          <w:szCs w:val="18"/>
        </w:rPr>
      </w:pPr>
      <w:r w:rsidRPr="00986D12">
        <w:rPr>
          <w:rFonts w:asciiTheme="minorHAnsi" w:eastAsiaTheme="majorEastAsia" w:hAnsiTheme="minorHAnsi" w:cstheme="minorHAnsi"/>
        </w:rPr>
        <w:t xml:space="preserve">Feedback from the Membership Survey indicates broad support for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-based reporting mechanisms as tools for monitoring progress and strengthening coordination across the Union’s activities. A total of 67% (</w:t>
      </w:r>
      <w:proofErr w:type="spellStart"/>
      <w:r w:rsidRPr="00986D12">
        <w:rPr>
          <w:rFonts w:asciiTheme="minorHAnsi" w:eastAsiaTheme="majorEastAsia" w:hAnsiTheme="minorHAnsi" w:cstheme="minorHAnsi"/>
        </w:rPr>
        <w:t>Q.7_c</w:t>
      </w:r>
      <w:proofErr w:type="spellEnd"/>
      <w:r w:rsidRPr="00986D12">
        <w:rPr>
          <w:rFonts w:asciiTheme="minorHAnsi" w:eastAsiaTheme="majorEastAsia" w:hAnsiTheme="minorHAnsi" w:cstheme="minorHAnsi"/>
        </w:rPr>
        <w:t xml:space="preserve">) of Membership Survey respondents agree or strongly agree that evaluating progress on relevant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together with identifying internal and external implementation challenges, enhances synergies in the coordination and communication of activities, projects and initiatives.</w:t>
      </w:r>
    </w:p>
    <w:p w14:paraId="6A21CA73" w14:textId="77777777" w:rsidR="00250529" w:rsidRPr="00986D12" w:rsidRDefault="00250529" w:rsidP="005B5E68">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t xml:space="preserve">The distribution of responses suggests that the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 framework is widely perceived as contributing to improved coherence between Regional and Area Offices, the General Secretariat and the three Bureaux. Monitoring progress through structured indicators appears to support planning and coordination by providing a common reference point for assessing implementation and identifying challenges.</w:t>
      </w:r>
    </w:p>
    <w:p w14:paraId="2D6081A9" w14:textId="77777777" w:rsidR="00250529" w:rsidRPr="00986D12" w:rsidRDefault="00250529" w:rsidP="005B5E68">
      <w:pPr>
        <w:pStyle w:val="paragraph"/>
        <w:jc w:val="both"/>
        <w:rPr>
          <w:rFonts w:asciiTheme="minorHAnsi" w:eastAsiaTheme="majorEastAsia" w:hAnsiTheme="minorHAnsi" w:cstheme="minorHAnsi"/>
          <w:sz w:val="18"/>
          <w:szCs w:val="18"/>
        </w:rPr>
      </w:pPr>
      <w:r w:rsidRPr="00986D12">
        <w:rPr>
          <w:rFonts w:asciiTheme="minorHAnsi" w:eastAsiaTheme="majorEastAsia" w:hAnsiTheme="minorHAnsi" w:cstheme="minorHAnsi"/>
        </w:rPr>
        <w:t>Insights from interviews with Regional Telecommunication Organizations (RTOs) reinforced this interpretation. Across regions, interviewees emphasized the importance of structured coordination mechanisms and alignment with regional institutions in translating global ITU strategies into concrete regional and national outcomes. In the Arab region, for example, the interview highlighted that alignment, expertise and structured cooperation with regional institutions are essential to ensure that global resolutions translate into tangible impact at regional and national level.</w:t>
      </w:r>
    </w:p>
    <w:p w14:paraId="6A5AE8BD" w14:textId="77777777" w:rsidR="00250529" w:rsidRPr="00986D12" w:rsidRDefault="00250529" w:rsidP="005B5E68">
      <w:pPr>
        <w:pStyle w:val="paragraph"/>
        <w:jc w:val="both"/>
        <w:rPr>
          <w:rFonts w:asciiTheme="minorHAnsi" w:eastAsiaTheme="majorEastAsia" w:hAnsiTheme="minorHAnsi" w:cstheme="minorHAnsi"/>
          <w:sz w:val="18"/>
          <w:szCs w:val="18"/>
        </w:rPr>
      </w:pPr>
      <w:r w:rsidRPr="00986D12">
        <w:rPr>
          <w:rFonts w:asciiTheme="minorHAnsi" w:eastAsiaTheme="majorEastAsia" w:hAnsiTheme="minorHAnsi" w:cstheme="minorHAnsi"/>
        </w:rPr>
        <w:t>Similarly, interviews with the Regional Commonwealth in the field of Communications underlined the importance of sustained dialogue and coordination mechanisms to keep initiatives aligned as priorities evolve. The interview identifies structured interaction between ITU and regional organizations as a key factor supporting continued alignment of regional activities with strategic objectives.</w:t>
      </w:r>
    </w:p>
    <w:p w14:paraId="3C9F8B47" w14:textId="77777777" w:rsidR="00250529" w:rsidRPr="00986D12" w:rsidRDefault="00250529" w:rsidP="005B5E68">
      <w:pPr>
        <w:pStyle w:val="paragraph"/>
        <w:jc w:val="both"/>
        <w:rPr>
          <w:rFonts w:asciiTheme="minorHAnsi" w:eastAsiaTheme="majorEastAsia" w:hAnsiTheme="minorHAnsi" w:cstheme="minorHAnsi"/>
          <w:sz w:val="18"/>
          <w:szCs w:val="18"/>
        </w:rPr>
      </w:pPr>
      <w:r w:rsidRPr="00986D12">
        <w:rPr>
          <w:rFonts w:asciiTheme="minorHAnsi" w:eastAsiaTheme="majorEastAsia" w:hAnsiTheme="minorHAnsi" w:cstheme="minorHAnsi"/>
        </w:rPr>
        <w:t>Other regional interviews echoed comparable themes. The African Telecom Union interviewee’s feedback stressed the need for stronger transparency in monitoring implementation of initiatives and for measurable indicators that allow progress to be tracked more clearly. The interview also highlighted the importance of clearer coordination frameworks linking stakeholders, funding mechanisms and implementation processes</w:t>
      </w:r>
      <w:r w:rsidRPr="00986D12">
        <w:rPr>
          <w:rFonts w:asciiTheme="minorHAnsi" w:eastAsiaTheme="majorEastAsia" w:hAnsiTheme="minorHAnsi" w:cstheme="minorHAnsi"/>
          <w:color w:val="000000"/>
        </w:rPr>
        <w:t>.</w:t>
      </w:r>
      <w:r w:rsidRPr="00986D12">
        <w:rPr>
          <w:rStyle w:val="eop"/>
          <w:rFonts w:asciiTheme="minorHAnsi" w:eastAsiaTheme="majorEastAsia" w:hAnsiTheme="minorHAnsi" w:cstheme="minorHAnsi"/>
          <w:color w:val="000000"/>
        </w:rPr>
        <w:t xml:space="preserve"> </w:t>
      </w:r>
    </w:p>
    <w:p w14:paraId="4FAEFCDB" w14:textId="77777777" w:rsidR="00250529" w:rsidRPr="00986D12" w:rsidRDefault="00250529" w:rsidP="005B5E68">
      <w:pPr>
        <w:pStyle w:val="paragraph"/>
        <w:jc w:val="both"/>
        <w:rPr>
          <w:rFonts w:asciiTheme="minorHAnsi" w:eastAsiaTheme="majorEastAsia" w:hAnsiTheme="minorHAnsi" w:cstheme="minorHAnsi"/>
          <w:sz w:val="18"/>
          <w:szCs w:val="18"/>
        </w:rPr>
      </w:pPr>
      <w:r w:rsidRPr="00986D12">
        <w:rPr>
          <w:rFonts w:asciiTheme="minorHAnsi" w:eastAsiaTheme="majorEastAsia" w:hAnsiTheme="minorHAnsi" w:cstheme="minorHAnsi"/>
        </w:rPr>
        <w:t xml:space="preserve">In the Americas and Asia-Pacific regions, the CITEL and APT representatives respectively emphasized the role of regional offices as facilitators of coordination between ITU and regional organizations and highlight the value of structured cooperation in ensuring that initiatives reflect evolving national and regional priorities. These observations suggest that effective monitoring and reporting frameworks, including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contribute to maintaining alignment between ITU activities and regional development agendas.</w:t>
      </w:r>
      <w:r w:rsidRPr="00986D12">
        <w:rPr>
          <w:rStyle w:val="eop"/>
          <w:rFonts w:asciiTheme="minorHAnsi" w:eastAsiaTheme="majorEastAsia" w:hAnsiTheme="minorHAnsi" w:cstheme="minorHAnsi"/>
        </w:rPr>
        <w:t xml:space="preserve"> </w:t>
      </w:r>
    </w:p>
    <w:p w14:paraId="76A595E1" w14:textId="444C1B90"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086DBFBF" w14:textId="3BA634DF"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 xml:space="preserve">Taken together, survey evidence and interview insights indicate that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-based reporting is regarded as an effective mechanism for monitoring implementation and supporting alignment with the Strategic Plan and the Kigali Action Plan. Membership responses demonstrate confidence in the role of </w:t>
      </w:r>
      <w:r w:rsidRPr="00986D12">
        <w:rPr>
          <w:rFonts w:asciiTheme="minorHAnsi" w:eastAsiaTheme="majorEastAsia" w:hAnsiTheme="minorHAnsi" w:cstheme="minorHAnsi"/>
        </w:rPr>
        <w:lastRenderedPageBreak/>
        <w:t>structured indicators in tracking progress and identifying challenges, while interviews with regional organizations highlight the importance of transparent monitoring, measurable indicators and sustained coordination to ensure that global strategic priorities translate into meaningful regional and national outcomes.</w:t>
      </w:r>
    </w:p>
    <w:p w14:paraId="7561AB5F" w14:textId="77777777" w:rsidR="00250529" w:rsidRPr="00986D12" w:rsidRDefault="00250529" w:rsidP="005B5E68">
      <w:pPr>
        <w:pStyle w:val="KPItitle"/>
        <w:jc w:val="both"/>
        <w:rPr>
          <w:rFonts w:asciiTheme="minorHAnsi" w:eastAsia="Avenir Nxt2 W1G" w:hAnsiTheme="minorHAnsi" w:cstheme="minorHAnsi"/>
        </w:rPr>
      </w:pPr>
      <w:bookmarkStart w:id="116" w:name="_Toc224213053"/>
      <w:bookmarkStart w:id="117" w:name="_Toc224236484"/>
      <w:proofErr w:type="spellStart"/>
      <w:r w:rsidRPr="00986D12">
        <w:rPr>
          <w:rFonts w:asciiTheme="minorHAnsi" w:hAnsiTheme="minorHAnsi" w:cstheme="minorHAnsi"/>
        </w:rPr>
        <w:t>KPI</w:t>
      </w:r>
      <w:proofErr w:type="spellEnd"/>
      <w:r w:rsidRPr="00986D12">
        <w:rPr>
          <w:rFonts w:asciiTheme="minorHAnsi" w:eastAsia="Avenir Nxt2 W1G" w:hAnsiTheme="minorHAnsi" w:cstheme="minorHAnsi"/>
        </w:rPr>
        <w:t xml:space="preserve"> </w:t>
      </w:r>
      <w:r w:rsidRPr="00986D12">
        <w:rPr>
          <w:rFonts w:asciiTheme="minorHAnsi" w:hAnsiTheme="minorHAnsi" w:cstheme="minorHAnsi"/>
        </w:rPr>
        <w:t>9</w:t>
      </w:r>
      <w:r w:rsidRPr="00986D12">
        <w:rPr>
          <w:rFonts w:asciiTheme="minorHAnsi" w:eastAsia="Avenir Nxt2 W1G" w:hAnsiTheme="minorHAnsi" w:cstheme="minorHAnsi"/>
        </w:rPr>
        <w:t xml:space="preserve"> — </w:t>
      </w:r>
      <w:r w:rsidRPr="00986D12">
        <w:rPr>
          <w:rFonts w:asciiTheme="minorHAnsi" w:hAnsiTheme="minorHAnsi" w:cstheme="minorHAnsi"/>
        </w:rPr>
        <w:t>Assess staff engagement and specific steps taken in the development of the Telecommunication Development Advisory Group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KPIs</w:t>
      </w:r>
      <w:bookmarkEnd w:id="116"/>
      <w:bookmarkEnd w:id="117"/>
      <w:proofErr w:type="spellEnd"/>
    </w:p>
    <w:p w14:paraId="3EF84310" w14:textId="77777777" w:rsidR="00250529" w:rsidRPr="00986D12" w:rsidRDefault="00250529" w:rsidP="005B5E68">
      <w:pPr>
        <w:pStyle w:val="paragraph"/>
        <w:jc w:val="both"/>
        <w:rPr>
          <w:rFonts w:asciiTheme="minorHAnsi" w:hAnsiTheme="minorHAnsi" w:cstheme="minorHAnsi"/>
          <w:sz w:val="18"/>
          <w:szCs w:val="18"/>
        </w:rPr>
      </w:pPr>
      <w:r w:rsidRPr="00986D12">
        <w:rPr>
          <w:rFonts w:asciiTheme="minorHAnsi" w:eastAsiaTheme="majorEastAsia" w:hAnsiTheme="minorHAnsi" w:cstheme="minorHAnsi"/>
        </w:rPr>
        <w:t xml:space="preserve">Evidence from the Internal Assessment indicates that staff engagement in the development of </w:t>
      </w:r>
      <w:proofErr w:type="spellStart"/>
      <w:r w:rsidRPr="00986D12">
        <w:rPr>
          <w:rFonts w:asciiTheme="minorHAnsi" w:eastAsiaTheme="majorEastAsia" w:hAnsiTheme="minorHAnsi" w:cstheme="minorHAnsi"/>
        </w:rPr>
        <w:t>TDAG</w:t>
      </w:r>
      <w:proofErr w:type="spellEnd"/>
      <w:r w:rsidRPr="00986D12">
        <w:rPr>
          <w:rFonts w:asciiTheme="minorHAnsi" w:eastAsiaTheme="majorEastAsia" w:hAnsiTheme="minorHAnsi" w:cstheme="minorHAnsi"/>
        </w:rPr>
        <w:t xml:space="preserve">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is generally perceived as contributing positively to coordination and communication across the organization. Sixty-nine per cent</w:t>
      </w:r>
      <w:r w:rsidRPr="00986D12" w:rsidDel="004E14D8">
        <w:rPr>
          <w:rFonts w:asciiTheme="minorHAnsi" w:eastAsiaTheme="majorEastAsia" w:hAnsiTheme="minorHAnsi" w:cstheme="minorHAnsi"/>
        </w:rPr>
        <w:t xml:space="preserve"> </w:t>
      </w:r>
      <w:r w:rsidRPr="00986D12">
        <w:rPr>
          <w:rFonts w:asciiTheme="minorHAnsi" w:eastAsiaTheme="majorEastAsia" w:hAnsiTheme="minorHAnsi" w:cstheme="minorHAnsi"/>
        </w:rPr>
        <w:t xml:space="preserve">of respondents agree that staff engagement in the development of </w:t>
      </w:r>
      <w:proofErr w:type="spellStart"/>
      <w:r w:rsidRPr="00986D12">
        <w:rPr>
          <w:rFonts w:asciiTheme="minorHAnsi" w:eastAsiaTheme="majorEastAsia" w:hAnsiTheme="minorHAnsi" w:cstheme="minorHAnsi"/>
        </w:rPr>
        <w:t>TDAG</w:t>
      </w:r>
      <w:proofErr w:type="spellEnd"/>
      <w:r w:rsidRPr="00986D12">
        <w:rPr>
          <w:rFonts w:asciiTheme="minorHAnsi" w:eastAsiaTheme="majorEastAsia" w:hAnsiTheme="minorHAnsi" w:cstheme="minorHAnsi"/>
        </w:rPr>
        <w:t xml:space="preserve">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enhances synergies in the coordination and communication of activities, projects and initiatives (</w:t>
      </w:r>
      <w:proofErr w:type="spellStart"/>
      <w:r w:rsidRPr="00986D12">
        <w:rPr>
          <w:rFonts w:asciiTheme="minorHAnsi" w:eastAsiaTheme="majorEastAsia" w:hAnsiTheme="minorHAnsi" w:cstheme="minorHAnsi"/>
        </w:rPr>
        <w:t>Q26_a</w:t>
      </w:r>
      <w:proofErr w:type="spellEnd"/>
      <w:r w:rsidRPr="00986D12">
        <w:rPr>
          <w:rFonts w:asciiTheme="minorHAnsi" w:eastAsiaTheme="majorEastAsia" w:hAnsiTheme="minorHAnsi" w:cstheme="minorHAnsi"/>
        </w:rPr>
        <w:t>). This level of agreement suggests that the involvement of staff in the formulation of performance indicators is seen as an important mechanism for strengthening alignment between operational activities and institutional priorities.</w:t>
      </w:r>
      <w:r w:rsidRPr="00986D12">
        <w:rPr>
          <w:rStyle w:val="eop"/>
          <w:rFonts w:asciiTheme="minorHAnsi" w:eastAsiaTheme="majorEastAsia" w:hAnsiTheme="minorHAnsi" w:cstheme="minorHAnsi"/>
        </w:rPr>
        <w:t xml:space="preserve"> </w:t>
      </w:r>
    </w:p>
    <w:p w14:paraId="553197D9" w14:textId="77777777"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 xml:space="preserve">Open-ended responses from the Internal Assessment provide additional insight into how such engagement could be strengthened. Several responses emphasize that staff working in Regional and Area Offices possess detailed knowledge of regional contexts and operational constraints, and therefore their participation in defining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can improve the relevance and feasibility of performance targets. Respondents also highlight that stronger communication between headquarters units and regional offices during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 development could help ensure that indicators reflect both strategic objectives and operational realities.</w:t>
      </w:r>
      <w:r w:rsidRPr="00986D12">
        <w:rPr>
          <w:rStyle w:val="eop"/>
          <w:rFonts w:asciiTheme="minorHAnsi" w:eastAsiaTheme="majorEastAsia" w:hAnsiTheme="minorHAnsi" w:cstheme="minorHAnsi"/>
        </w:rPr>
        <w:t xml:space="preserve"> </w:t>
      </w:r>
    </w:p>
    <w:p w14:paraId="6A9B5445" w14:textId="77777777"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 xml:space="preserve">Another recurring theme in these responses concerns the importance of linking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 xml:space="preserve"> development with broader planning and reporting processes. Respondents note that when staff are actively involved in defining indicators, they are more likely to understand how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relate to programme implementation and how progress should be monitored. This engagement can therefore improve not only the relevance of the indicators themselves but also the effectiveness of internal coordination during implementation.</w:t>
      </w:r>
      <w:r w:rsidRPr="00986D12">
        <w:rPr>
          <w:rStyle w:val="eop"/>
          <w:rFonts w:asciiTheme="minorHAnsi" w:eastAsiaTheme="majorEastAsia" w:hAnsiTheme="minorHAnsi" w:cstheme="minorHAnsi"/>
        </w:rPr>
        <w:t xml:space="preserve"> </w:t>
      </w:r>
    </w:p>
    <w:p w14:paraId="63FCBF3E" w14:textId="77777777" w:rsidR="00250529" w:rsidRPr="00986D12" w:rsidRDefault="00250529" w:rsidP="005B5E68">
      <w:pPr>
        <w:pStyle w:val="paragraph"/>
        <w:jc w:val="both"/>
        <w:rPr>
          <w:rStyle w:val="eop"/>
          <w:rFonts w:asciiTheme="minorHAnsi" w:eastAsiaTheme="majorEastAsia" w:hAnsiTheme="minorHAnsi" w:cstheme="minorHAnsi"/>
          <w:color w:val="000000"/>
        </w:rPr>
      </w:pPr>
      <w:r w:rsidRPr="00986D12">
        <w:rPr>
          <w:rFonts w:asciiTheme="minorHAnsi" w:eastAsiaTheme="majorEastAsia" w:hAnsiTheme="minorHAnsi" w:cstheme="minorHAnsi"/>
        </w:rPr>
        <w:t xml:space="preserve">Insights from open-ended responses in the Membership Survey highlight expectations for greater transparency and clarity regarding institutional priorities and outcomes. Several respondents indicate that clearer articulation of objectives and measurable indicators could strengthen understanding of regional activities and help demonstrate the impact of ITU initiatives. These comments suggest that well-designed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can also contribute to improved communication with external stakeholders</w:t>
      </w:r>
      <w:r w:rsidRPr="00986D12">
        <w:rPr>
          <w:rFonts w:asciiTheme="minorHAnsi" w:eastAsiaTheme="majorEastAsia" w:hAnsiTheme="minorHAnsi" w:cstheme="minorHAnsi"/>
          <w:color w:val="000000"/>
        </w:rPr>
        <w:t>.</w:t>
      </w:r>
      <w:r w:rsidRPr="00986D12">
        <w:rPr>
          <w:rStyle w:val="eop"/>
          <w:rFonts w:asciiTheme="minorHAnsi" w:eastAsiaTheme="majorEastAsia" w:hAnsiTheme="minorHAnsi" w:cstheme="minorHAnsi"/>
          <w:color w:val="000000"/>
        </w:rPr>
        <w:t xml:space="preserve"> </w:t>
      </w:r>
    </w:p>
    <w:p w14:paraId="7241A81A" w14:textId="77777777" w:rsidR="00250529" w:rsidRPr="00986D12" w:rsidRDefault="00250529" w:rsidP="005B5E68">
      <w:pPr>
        <w:pStyle w:val="paragraph"/>
        <w:jc w:val="both"/>
        <w:rPr>
          <w:rFonts w:asciiTheme="minorHAnsi" w:eastAsiaTheme="majorEastAsia" w:hAnsiTheme="minorHAnsi" w:cstheme="minorHAnsi"/>
          <w:color w:val="000000"/>
        </w:rPr>
      </w:pPr>
      <w:r w:rsidRPr="00986D12">
        <w:rPr>
          <w:rFonts w:asciiTheme="minorHAnsi" w:eastAsiaTheme="majorEastAsia" w:hAnsiTheme="minorHAnsi" w:cstheme="minorHAnsi"/>
        </w:rPr>
        <w:t>Interviews with Regional Telecommunication Organizations provide additional context regarding the importance of structured planning and performance frameworks. Interviewees emphasize that clear objectives and measurable outcomes are essential for effective collaboration with regional partners. Some also highlight that consultation with regional stakeholders during planning processes can improve alignment between ITU initiatives and regional priorities, thereby strengthening the relevance and impact of regional programmes.</w:t>
      </w:r>
      <w:r w:rsidRPr="00986D12">
        <w:rPr>
          <w:rStyle w:val="eop"/>
          <w:rFonts w:asciiTheme="minorHAnsi" w:eastAsiaTheme="majorEastAsia" w:hAnsiTheme="minorHAnsi" w:cstheme="minorHAnsi"/>
        </w:rPr>
        <w:t xml:space="preserve"> </w:t>
      </w:r>
    </w:p>
    <w:p w14:paraId="0D0A919E" w14:textId="3D999FA6"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79CD402F" w14:textId="77777777"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 xml:space="preserve">Taken together, the evidence indicates that staff engagement in the development of </w:t>
      </w:r>
      <w:proofErr w:type="spellStart"/>
      <w:r w:rsidRPr="00986D12">
        <w:rPr>
          <w:rFonts w:asciiTheme="minorHAnsi" w:eastAsiaTheme="majorEastAsia" w:hAnsiTheme="minorHAnsi" w:cstheme="minorHAnsi"/>
        </w:rPr>
        <w:t>TDAG</w:t>
      </w:r>
      <w:proofErr w:type="spellEnd"/>
      <w:r w:rsidRPr="00986D12">
        <w:rPr>
          <w:rFonts w:asciiTheme="minorHAnsi" w:eastAsiaTheme="majorEastAsia" w:hAnsiTheme="minorHAnsi" w:cstheme="minorHAnsi"/>
        </w:rPr>
        <w:t xml:space="preserve">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plays a constructive role in strengthening coordination and communication across ITU’s regional presence. The Internal Assessment results demonstrate broad recognition of the value of this engagement, while qualitative feedback from surveys and interviews highlights opportunities to further enhance the process through stronger consultation mechanisms and clearer communication of objectives.</w:t>
      </w:r>
      <w:r w:rsidRPr="00986D12">
        <w:rPr>
          <w:rStyle w:val="eop"/>
          <w:rFonts w:asciiTheme="minorHAnsi" w:eastAsiaTheme="majorEastAsia" w:hAnsiTheme="minorHAnsi" w:cstheme="minorHAnsi"/>
        </w:rPr>
        <w:t xml:space="preserve"> </w:t>
      </w:r>
    </w:p>
    <w:p w14:paraId="522450E5" w14:textId="3845B017"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lastRenderedPageBreak/>
        <w:t xml:space="preserve">Overall, the findings suggest that involving staff in the development of </w:t>
      </w:r>
      <w:proofErr w:type="spellStart"/>
      <w:r w:rsidRPr="00986D12">
        <w:rPr>
          <w:rFonts w:asciiTheme="minorHAnsi" w:eastAsiaTheme="majorEastAsia" w:hAnsiTheme="minorHAnsi" w:cstheme="minorHAnsi"/>
        </w:rPr>
        <w:t>KPIs</w:t>
      </w:r>
      <w:proofErr w:type="spellEnd"/>
      <w:r w:rsidRPr="00986D12">
        <w:rPr>
          <w:rFonts w:asciiTheme="minorHAnsi" w:eastAsiaTheme="majorEastAsia" w:hAnsiTheme="minorHAnsi" w:cstheme="minorHAnsi"/>
        </w:rPr>
        <w:t xml:space="preserve"> contributes to more realistic performance frameworks and improved institutional alignment. At the same time, </w:t>
      </w:r>
      <w:r w:rsidR="00EF7F29">
        <w:rPr>
          <w:rFonts w:asciiTheme="minorHAnsi" w:eastAsiaTheme="majorEastAsia" w:hAnsiTheme="minorHAnsi" w:cstheme="minorHAnsi"/>
        </w:rPr>
        <w:t xml:space="preserve">the findings also </w:t>
      </w:r>
      <w:r w:rsidR="006F3426">
        <w:rPr>
          <w:rFonts w:asciiTheme="minorHAnsi" w:eastAsiaTheme="majorEastAsia" w:hAnsiTheme="minorHAnsi" w:cstheme="minorHAnsi"/>
        </w:rPr>
        <w:t>indicate</w:t>
      </w:r>
      <w:r w:rsidR="00EF7F29">
        <w:rPr>
          <w:rFonts w:asciiTheme="minorHAnsi" w:eastAsiaTheme="majorEastAsia" w:hAnsiTheme="minorHAnsi" w:cstheme="minorHAnsi"/>
        </w:rPr>
        <w:t xml:space="preserve"> that</w:t>
      </w:r>
      <w:r w:rsidRPr="00986D12">
        <w:rPr>
          <w:rFonts w:asciiTheme="minorHAnsi" w:eastAsiaTheme="majorEastAsia" w:hAnsiTheme="minorHAnsi" w:cstheme="minorHAnsi"/>
        </w:rPr>
        <w:t xml:space="preserve"> expanding consultation mechanisms — both internally with regional offices and externally with regional stakeholders — could further strengthen the relevance, transparency and effectiveness of </w:t>
      </w:r>
      <w:proofErr w:type="spellStart"/>
      <w:r w:rsidRPr="00986D12">
        <w:rPr>
          <w:rFonts w:asciiTheme="minorHAnsi" w:eastAsiaTheme="majorEastAsia" w:hAnsiTheme="minorHAnsi" w:cstheme="minorHAnsi"/>
        </w:rPr>
        <w:t>KPI</w:t>
      </w:r>
      <w:proofErr w:type="spellEnd"/>
      <w:r w:rsidRPr="00986D12">
        <w:rPr>
          <w:rFonts w:asciiTheme="minorHAnsi" w:eastAsiaTheme="majorEastAsia" w:hAnsiTheme="minorHAnsi" w:cstheme="minorHAnsi"/>
        </w:rPr>
        <w:t>-based planning and monitoring.</w:t>
      </w:r>
    </w:p>
    <w:p w14:paraId="56404AEA" w14:textId="77777777" w:rsidR="00250529" w:rsidRPr="00986D12" w:rsidRDefault="00250529" w:rsidP="005B5E68">
      <w:pPr>
        <w:pStyle w:val="KPItitle"/>
        <w:jc w:val="both"/>
        <w:rPr>
          <w:rFonts w:asciiTheme="minorHAnsi" w:hAnsiTheme="minorHAnsi" w:cstheme="minorHAnsi"/>
        </w:rPr>
      </w:pPr>
      <w:bookmarkStart w:id="118" w:name="_Toc224213054"/>
      <w:bookmarkStart w:id="119" w:name="_Toc224236485"/>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10 — Document the challenges staff faced to participate at events, such as logistical barriers to engagement or associated costs for Regional and Area Office staff participation</w:t>
      </w:r>
      <w:bookmarkEnd w:id="118"/>
      <w:bookmarkEnd w:id="119"/>
    </w:p>
    <w:p w14:paraId="7B86D828"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Evidence from institutional documentation, survey results and qualitative responses indicates that participation of Regional and Area Office staff in regional and global events is recognised as an important mechanism for engagement with stakeholders and coordination of ITU activities. At the same time, several operational and logistical barriers affect the ability of staff to participate effectively in such events.</w:t>
      </w:r>
    </w:p>
    <w:p w14:paraId="7F1F7EF9"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Documented operational evidence identifies a range of logistical and financial constraints affecting participation. Travel-related challenges include limited flight availability, complex travel routes, visa processing delays and situations where United Nations Laissez-Passer documents are not accepted by host countries or airlines. Accommodation costs in certain locations may exceed the applicable Daily Subsistence Allowance, while local transportation options can also be limited. Operational constraints also include short lead times between mission approval and travel and coordination challenges between headquarters and regional offices when planning missions and engagements.</w:t>
      </w:r>
    </w:p>
    <w:p w14:paraId="76570DD1"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Cost considerations represent an additional operational factor affecting participation. For missions scheduled between January and June 2025, estimated travel costs associated with Regional and Area Office participation amounted to 319 261 CHF. The distribution of these costs varies across regions, as indicated in the table below. These figures illustrate the financial scale of travel required to sustain regional engagement activities and highlight how cost pressures may affect participation in missions and events. </w:t>
      </w:r>
    </w:p>
    <w:p w14:paraId="04B9F268" w14:textId="77777777" w:rsidR="00250529" w:rsidRPr="00986D12" w:rsidRDefault="00250529" w:rsidP="00507BF5">
      <w:pPr>
        <w:pStyle w:val="Subtitle0"/>
        <w:jc w:val="center"/>
        <w:rPr>
          <w:rFonts w:asciiTheme="minorHAnsi" w:hAnsiTheme="minorHAnsi" w:cstheme="minorHAnsi"/>
          <w:color w:val="000000"/>
        </w:rPr>
      </w:pPr>
      <w:r w:rsidRPr="00986D12">
        <w:rPr>
          <w:rFonts w:asciiTheme="minorHAnsi" w:hAnsiTheme="minorHAnsi" w:cstheme="minorHAnsi"/>
          <w:lang w:val="en-US"/>
        </w:rPr>
        <w:t>Regional distribution of travel costs for missions scheduled between</w:t>
      </w:r>
      <w:r w:rsidRPr="00986D12">
        <w:rPr>
          <w:rFonts w:asciiTheme="minorHAnsi" w:hAnsiTheme="minorHAnsi" w:cstheme="minorHAnsi"/>
          <w:color w:val="000000"/>
        </w:rPr>
        <w:br/>
      </w:r>
      <w:r w:rsidRPr="00986D12">
        <w:rPr>
          <w:rFonts w:asciiTheme="minorHAnsi" w:hAnsiTheme="minorHAnsi" w:cstheme="minorHAnsi"/>
          <w:color w:val="000000"/>
          <w:lang w:val="en-US"/>
        </w:rPr>
        <w:t>January and June 2025</w:t>
      </w:r>
    </w:p>
    <w:tbl>
      <w:tblPr>
        <w:tblW w:w="5804" w:type="dxa"/>
        <w:jc w:val="center"/>
        <w:tbl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insideH w:val="single" w:sz="6" w:space="0" w:color="CCC0D9" w:themeColor="accent4" w:themeTint="66"/>
          <w:insideV w:val="single" w:sz="6" w:space="0" w:color="CCC0D9" w:themeColor="accent4" w:themeTint="66"/>
        </w:tblBorders>
        <w:tblCellMar>
          <w:left w:w="0" w:type="dxa"/>
          <w:right w:w="0" w:type="dxa"/>
        </w:tblCellMar>
        <w:tblLook w:val="04A0" w:firstRow="1" w:lastRow="0" w:firstColumn="1" w:lastColumn="0" w:noHBand="0" w:noVBand="1"/>
      </w:tblPr>
      <w:tblGrid>
        <w:gridCol w:w="4670"/>
        <w:gridCol w:w="1134"/>
      </w:tblGrid>
      <w:tr w:rsidR="00250529" w:rsidRPr="00986D12" w14:paraId="2C9B4239" w14:textId="77777777" w:rsidTr="00507BF5">
        <w:trPr>
          <w:trHeight w:val="300"/>
          <w:jc w:val="center"/>
        </w:trPr>
        <w:tc>
          <w:tcPr>
            <w:tcW w:w="4670" w:type="dxa"/>
            <w:shd w:val="clear" w:color="auto" w:fill="C1E4F5"/>
            <w:tcMar>
              <w:left w:w="108" w:type="dxa"/>
              <w:right w:w="108" w:type="dxa"/>
            </w:tcMar>
            <w:hideMark/>
          </w:tcPr>
          <w:p w14:paraId="6C952D69" w14:textId="77777777" w:rsidR="00250529" w:rsidRPr="00986D12" w:rsidRDefault="00250529" w:rsidP="00507BF5">
            <w:pPr>
              <w:pStyle w:val="Texttable"/>
              <w:keepNext/>
              <w:rPr>
                <w:rFonts w:asciiTheme="minorHAnsi" w:hAnsiTheme="minorHAnsi" w:cstheme="minorHAnsi"/>
                <w:b/>
                <w:color w:val="FFFFFF"/>
                <w:lang w:eastAsia="en-GB"/>
              </w:rPr>
            </w:pPr>
            <w:r w:rsidRPr="00986D12">
              <w:rPr>
                <w:rFonts w:asciiTheme="minorHAnsi" w:hAnsiTheme="minorHAnsi" w:cstheme="minorHAnsi"/>
                <w:lang w:val="en-US" w:eastAsia="en-GB"/>
              </w:rPr>
              <w:t>ARB (Arab States)</w:t>
            </w:r>
            <w:r w:rsidRPr="00986D12">
              <w:rPr>
                <w:rFonts w:asciiTheme="minorHAnsi" w:hAnsiTheme="minorHAnsi" w:cstheme="minorHAnsi"/>
                <w:b/>
                <w:lang w:eastAsia="en-GB"/>
              </w:rPr>
              <w:t> </w:t>
            </w:r>
          </w:p>
        </w:tc>
        <w:tc>
          <w:tcPr>
            <w:tcW w:w="1134" w:type="dxa"/>
            <w:shd w:val="clear" w:color="auto" w:fill="C1E4F5"/>
            <w:tcMar>
              <w:left w:w="108" w:type="dxa"/>
              <w:right w:w="108" w:type="dxa"/>
            </w:tcMar>
            <w:hideMark/>
          </w:tcPr>
          <w:p w14:paraId="31FC06BD" w14:textId="77777777" w:rsidR="00250529" w:rsidRPr="00986D12" w:rsidRDefault="00250529" w:rsidP="00507BF5">
            <w:pPr>
              <w:pStyle w:val="Texttable"/>
              <w:keepNext/>
              <w:jc w:val="center"/>
              <w:rPr>
                <w:rFonts w:asciiTheme="minorHAnsi" w:hAnsiTheme="minorHAnsi" w:cstheme="minorHAnsi"/>
                <w:b/>
                <w:color w:val="FFFFFF"/>
                <w:lang w:eastAsia="en-GB"/>
              </w:rPr>
            </w:pPr>
            <w:r w:rsidRPr="00986D12">
              <w:rPr>
                <w:rFonts w:asciiTheme="minorHAnsi" w:hAnsiTheme="minorHAnsi" w:cstheme="minorHAnsi"/>
                <w:lang w:eastAsia="en-GB"/>
              </w:rPr>
              <w:t>31.3%</w:t>
            </w:r>
          </w:p>
        </w:tc>
      </w:tr>
      <w:tr w:rsidR="00250529" w:rsidRPr="00986D12" w14:paraId="7ED47E66" w14:textId="77777777" w:rsidTr="00507BF5">
        <w:trPr>
          <w:trHeight w:val="300"/>
          <w:jc w:val="center"/>
        </w:trPr>
        <w:tc>
          <w:tcPr>
            <w:tcW w:w="4670" w:type="dxa"/>
            <w:shd w:val="clear" w:color="auto" w:fill="FFFFFF"/>
            <w:tcMar>
              <w:left w:w="108" w:type="dxa"/>
              <w:right w:w="108" w:type="dxa"/>
            </w:tcMar>
            <w:hideMark/>
          </w:tcPr>
          <w:p w14:paraId="5B485C12" w14:textId="77777777" w:rsidR="00250529" w:rsidRPr="00986D12" w:rsidRDefault="00250529" w:rsidP="00507BF5">
            <w:pPr>
              <w:pStyle w:val="Texttable"/>
              <w:keepNext/>
              <w:rPr>
                <w:rFonts w:asciiTheme="minorHAnsi" w:hAnsiTheme="minorHAnsi" w:cstheme="minorHAnsi"/>
                <w:b/>
                <w:color w:val="FFFFFF"/>
                <w:lang w:eastAsia="en-GB"/>
              </w:rPr>
            </w:pPr>
            <w:r w:rsidRPr="00986D12">
              <w:rPr>
                <w:rFonts w:asciiTheme="minorHAnsi" w:hAnsiTheme="minorHAnsi" w:cstheme="minorHAnsi"/>
                <w:lang w:val="en-US" w:eastAsia="en-GB"/>
              </w:rPr>
              <w:t>AMS (Americas)</w:t>
            </w:r>
            <w:r w:rsidRPr="00986D12">
              <w:rPr>
                <w:rFonts w:asciiTheme="minorHAnsi" w:hAnsiTheme="minorHAnsi" w:cstheme="minorHAnsi"/>
                <w:b/>
                <w:lang w:eastAsia="en-GB"/>
              </w:rPr>
              <w:t> </w:t>
            </w:r>
          </w:p>
        </w:tc>
        <w:tc>
          <w:tcPr>
            <w:tcW w:w="1134" w:type="dxa"/>
            <w:shd w:val="clear" w:color="auto" w:fill="FFFFFF"/>
            <w:tcMar>
              <w:left w:w="108" w:type="dxa"/>
              <w:right w:w="108" w:type="dxa"/>
            </w:tcMar>
            <w:hideMark/>
          </w:tcPr>
          <w:p w14:paraId="020116CE" w14:textId="77777777" w:rsidR="00250529" w:rsidRPr="00986D12" w:rsidRDefault="00250529" w:rsidP="00507BF5">
            <w:pPr>
              <w:pStyle w:val="Texttable"/>
              <w:keepNext/>
              <w:jc w:val="center"/>
              <w:rPr>
                <w:rFonts w:asciiTheme="minorHAnsi" w:hAnsiTheme="minorHAnsi" w:cstheme="minorHAnsi"/>
                <w:lang w:eastAsia="en-GB"/>
              </w:rPr>
            </w:pPr>
            <w:r w:rsidRPr="00986D12">
              <w:rPr>
                <w:rFonts w:asciiTheme="minorHAnsi" w:hAnsiTheme="minorHAnsi" w:cstheme="minorHAnsi"/>
                <w:lang w:val="en-US" w:eastAsia="en-GB"/>
              </w:rPr>
              <w:t>23.3%</w:t>
            </w:r>
          </w:p>
        </w:tc>
      </w:tr>
      <w:tr w:rsidR="00250529" w:rsidRPr="00986D12" w14:paraId="02362501" w14:textId="77777777" w:rsidTr="00507BF5">
        <w:trPr>
          <w:trHeight w:val="300"/>
          <w:jc w:val="center"/>
        </w:trPr>
        <w:tc>
          <w:tcPr>
            <w:tcW w:w="4670" w:type="dxa"/>
            <w:shd w:val="clear" w:color="auto" w:fill="C1E4F5"/>
            <w:tcMar>
              <w:left w:w="108" w:type="dxa"/>
              <w:right w:w="108" w:type="dxa"/>
            </w:tcMar>
            <w:hideMark/>
          </w:tcPr>
          <w:p w14:paraId="39021DA5" w14:textId="77777777" w:rsidR="00250529" w:rsidRPr="00986D12" w:rsidRDefault="00250529" w:rsidP="00507BF5">
            <w:pPr>
              <w:pStyle w:val="Texttable"/>
              <w:rPr>
                <w:rFonts w:asciiTheme="minorHAnsi" w:hAnsiTheme="minorHAnsi" w:cstheme="minorHAnsi"/>
                <w:b/>
                <w:color w:val="FFFFFF"/>
                <w:lang w:eastAsia="en-GB"/>
              </w:rPr>
            </w:pPr>
            <w:r w:rsidRPr="00986D12">
              <w:rPr>
                <w:rFonts w:asciiTheme="minorHAnsi" w:hAnsiTheme="minorHAnsi" w:cstheme="minorHAnsi"/>
                <w:lang w:val="en-US" w:eastAsia="en-GB"/>
              </w:rPr>
              <w:t>ASP (Asia-Pacific)</w:t>
            </w:r>
            <w:r w:rsidRPr="00986D12">
              <w:rPr>
                <w:rFonts w:asciiTheme="minorHAnsi" w:hAnsiTheme="minorHAnsi" w:cstheme="minorHAnsi"/>
                <w:b/>
                <w:lang w:eastAsia="en-GB"/>
              </w:rPr>
              <w:t> </w:t>
            </w:r>
          </w:p>
        </w:tc>
        <w:tc>
          <w:tcPr>
            <w:tcW w:w="1134" w:type="dxa"/>
            <w:shd w:val="clear" w:color="auto" w:fill="C1E4F5"/>
            <w:tcMar>
              <w:left w:w="108" w:type="dxa"/>
              <w:right w:w="108" w:type="dxa"/>
            </w:tcMar>
            <w:hideMark/>
          </w:tcPr>
          <w:p w14:paraId="213826D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val="en-US" w:eastAsia="en-GB"/>
              </w:rPr>
              <w:t>15.8%</w:t>
            </w:r>
          </w:p>
        </w:tc>
      </w:tr>
      <w:tr w:rsidR="00250529" w:rsidRPr="00986D12" w14:paraId="07E91882" w14:textId="77777777" w:rsidTr="00507BF5">
        <w:trPr>
          <w:trHeight w:val="300"/>
          <w:jc w:val="center"/>
        </w:trPr>
        <w:tc>
          <w:tcPr>
            <w:tcW w:w="4670" w:type="dxa"/>
            <w:shd w:val="clear" w:color="auto" w:fill="FFFFFF"/>
            <w:tcMar>
              <w:left w:w="108" w:type="dxa"/>
              <w:right w:w="108" w:type="dxa"/>
            </w:tcMar>
            <w:hideMark/>
          </w:tcPr>
          <w:p w14:paraId="72363B40" w14:textId="77777777" w:rsidR="00250529" w:rsidRPr="00986D12" w:rsidRDefault="00250529" w:rsidP="00507BF5">
            <w:pPr>
              <w:pStyle w:val="Texttable"/>
              <w:rPr>
                <w:rFonts w:asciiTheme="minorHAnsi" w:hAnsiTheme="minorHAnsi" w:cstheme="minorHAnsi"/>
                <w:b/>
                <w:color w:val="FFFFFF"/>
                <w:lang w:eastAsia="en-GB"/>
              </w:rPr>
            </w:pPr>
            <w:proofErr w:type="spellStart"/>
            <w:r w:rsidRPr="00986D12">
              <w:rPr>
                <w:rFonts w:asciiTheme="minorHAnsi" w:hAnsiTheme="minorHAnsi" w:cstheme="minorHAnsi"/>
                <w:lang w:val="en-US" w:eastAsia="en-GB"/>
              </w:rPr>
              <w:t>AFR</w:t>
            </w:r>
            <w:proofErr w:type="spellEnd"/>
            <w:r w:rsidRPr="00986D12">
              <w:rPr>
                <w:rFonts w:asciiTheme="minorHAnsi" w:hAnsiTheme="minorHAnsi" w:cstheme="minorHAnsi"/>
                <w:lang w:val="en-US" w:eastAsia="en-GB"/>
              </w:rPr>
              <w:t xml:space="preserve"> (Africa)</w:t>
            </w:r>
            <w:r w:rsidRPr="00986D12">
              <w:rPr>
                <w:rFonts w:asciiTheme="minorHAnsi" w:hAnsiTheme="minorHAnsi" w:cstheme="minorHAnsi"/>
                <w:b/>
                <w:lang w:eastAsia="en-GB"/>
              </w:rPr>
              <w:t> </w:t>
            </w:r>
          </w:p>
        </w:tc>
        <w:tc>
          <w:tcPr>
            <w:tcW w:w="1134" w:type="dxa"/>
            <w:shd w:val="clear" w:color="auto" w:fill="FFFFFF"/>
            <w:tcMar>
              <w:left w:w="108" w:type="dxa"/>
              <w:right w:w="108" w:type="dxa"/>
            </w:tcMar>
            <w:hideMark/>
          </w:tcPr>
          <w:p w14:paraId="258C06AE"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12.1%</w:t>
            </w:r>
          </w:p>
        </w:tc>
      </w:tr>
      <w:tr w:rsidR="00250529" w:rsidRPr="00986D12" w14:paraId="127143F7" w14:textId="77777777" w:rsidTr="00507BF5">
        <w:trPr>
          <w:trHeight w:val="300"/>
          <w:jc w:val="center"/>
        </w:trPr>
        <w:tc>
          <w:tcPr>
            <w:tcW w:w="4670" w:type="dxa"/>
            <w:shd w:val="clear" w:color="auto" w:fill="C1E4F5"/>
            <w:tcMar>
              <w:left w:w="108" w:type="dxa"/>
              <w:right w:w="108" w:type="dxa"/>
            </w:tcMar>
            <w:hideMark/>
          </w:tcPr>
          <w:p w14:paraId="145DD7CB" w14:textId="77777777" w:rsidR="00250529" w:rsidRPr="00986D12" w:rsidRDefault="00250529" w:rsidP="00507BF5">
            <w:pPr>
              <w:pStyle w:val="Texttable"/>
              <w:rPr>
                <w:rFonts w:asciiTheme="minorHAnsi" w:hAnsiTheme="minorHAnsi" w:cstheme="minorHAnsi"/>
                <w:b/>
                <w:color w:val="FFFFFF"/>
                <w:lang w:eastAsia="en-GB"/>
              </w:rPr>
            </w:pPr>
            <w:r w:rsidRPr="00986D12">
              <w:rPr>
                <w:rFonts w:asciiTheme="minorHAnsi" w:hAnsiTheme="minorHAnsi" w:cstheme="minorHAnsi"/>
                <w:lang w:val="en-US" w:eastAsia="en-GB"/>
              </w:rPr>
              <w:t>EUR (Europe)</w:t>
            </w:r>
            <w:r w:rsidRPr="00986D12">
              <w:rPr>
                <w:rFonts w:asciiTheme="minorHAnsi" w:hAnsiTheme="minorHAnsi" w:cstheme="minorHAnsi"/>
                <w:b/>
                <w:lang w:eastAsia="en-GB"/>
              </w:rPr>
              <w:t> </w:t>
            </w:r>
          </w:p>
        </w:tc>
        <w:tc>
          <w:tcPr>
            <w:tcW w:w="1134" w:type="dxa"/>
            <w:shd w:val="clear" w:color="auto" w:fill="C1E4F5"/>
            <w:tcMar>
              <w:left w:w="108" w:type="dxa"/>
              <w:right w:w="108" w:type="dxa"/>
            </w:tcMar>
            <w:hideMark/>
          </w:tcPr>
          <w:p w14:paraId="6F2C52CC"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10.7%</w:t>
            </w:r>
          </w:p>
        </w:tc>
      </w:tr>
      <w:tr w:rsidR="00250529" w:rsidRPr="00986D12" w14:paraId="451D8B0B" w14:textId="77777777" w:rsidTr="00507BF5">
        <w:trPr>
          <w:trHeight w:val="195"/>
          <w:jc w:val="center"/>
        </w:trPr>
        <w:tc>
          <w:tcPr>
            <w:tcW w:w="4670" w:type="dxa"/>
            <w:tcMar>
              <w:left w:w="108" w:type="dxa"/>
              <w:right w:w="108" w:type="dxa"/>
            </w:tcMar>
            <w:hideMark/>
          </w:tcPr>
          <w:p w14:paraId="1E4904EB" w14:textId="77777777" w:rsidR="00250529" w:rsidRPr="00986D12" w:rsidRDefault="00250529" w:rsidP="00507BF5">
            <w:pPr>
              <w:pStyle w:val="Texttable"/>
              <w:rPr>
                <w:rFonts w:asciiTheme="minorHAnsi" w:hAnsiTheme="minorHAnsi" w:cstheme="minorHAnsi"/>
                <w:b/>
                <w:lang w:eastAsia="en-GB"/>
              </w:rPr>
            </w:pPr>
            <w:r w:rsidRPr="00986D12">
              <w:rPr>
                <w:rFonts w:asciiTheme="minorHAnsi" w:hAnsiTheme="minorHAnsi" w:cstheme="minorHAnsi"/>
                <w:lang w:val="en-US" w:eastAsia="en-GB"/>
              </w:rPr>
              <w:t>CIS (Commonwealth of Independent States)</w:t>
            </w:r>
            <w:r w:rsidRPr="00986D12">
              <w:rPr>
                <w:rFonts w:asciiTheme="minorHAnsi" w:hAnsiTheme="minorHAnsi" w:cstheme="minorHAnsi"/>
                <w:b/>
                <w:lang w:eastAsia="en-GB"/>
              </w:rPr>
              <w:t> </w:t>
            </w:r>
          </w:p>
        </w:tc>
        <w:tc>
          <w:tcPr>
            <w:tcW w:w="1134" w:type="dxa"/>
            <w:tcMar>
              <w:left w:w="108" w:type="dxa"/>
              <w:right w:w="108" w:type="dxa"/>
            </w:tcMar>
            <w:hideMark/>
          </w:tcPr>
          <w:p w14:paraId="724E68F6"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6.8%</w:t>
            </w:r>
          </w:p>
        </w:tc>
      </w:tr>
    </w:tbl>
    <w:p w14:paraId="196C1192" w14:textId="77777777" w:rsidR="00250529" w:rsidRPr="00986D12" w:rsidRDefault="00250529" w:rsidP="00507BF5">
      <w:pPr>
        <w:pStyle w:val="Notes"/>
        <w:rPr>
          <w:rFonts w:asciiTheme="minorHAnsi" w:hAnsiTheme="minorHAnsi" w:cstheme="minorHAnsi"/>
          <w:sz w:val="18"/>
          <w:szCs w:val="18"/>
        </w:rPr>
      </w:pPr>
      <w:r w:rsidRPr="00986D12">
        <w:rPr>
          <w:rFonts w:asciiTheme="minorHAnsi" w:hAnsiTheme="minorHAnsi" w:cstheme="minorHAnsi"/>
          <w:lang w:val="en-US"/>
        </w:rPr>
        <w:t>Source:</w:t>
      </w:r>
      <w:r w:rsidRPr="00986D12">
        <w:rPr>
          <w:rFonts w:asciiTheme="minorHAnsi" w:hAnsiTheme="minorHAnsi" w:cstheme="minorHAnsi"/>
        </w:rPr>
        <w:t xml:space="preserve"> </w:t>
      </w:r>
      <w:r w:rsidRPr="00986D12">
        <w:rPr>
          <w:rFonts w:asciiTheme="minorHAnsi" w:hAnsiTheme="minorHAnsi" w:cstheme="minorHAnsi"/>
          <w:lang w:val="en-US"/>
        </w:rPr>
        <w:t>Internal data collected from relevant staff.</w:t>
      </w:r>
    </w:p>
    <w:p w14:paraId="61EAC915" w14:textId="77777777" w:rsidR="00250529" w:rsidRPr="00986D12" w:rsidRDefault="00250529" w:rsidP="005B5E68">
      <w:pPr>
        <w:jc w:val="both"/>
        <w:rPr>
          <w:rFonts w:asciiTheme="minorHAnsi" w:hAnsiTheme="minorHAnsi" w:cstheme="minorHAnsi"/>
          <w:sz w:val="18"/>
          <w:szCs w:val="18"/>
          <w:lang w:eastAsia="en-GB"/>
        </w:rPr>
      </w:pPr>
      <w:r w:rsidRPr="00986D12">
        <w:rPr>
          <w:rFonts w:asciiTheme="minorHAnsi" w:hAnsiTheme="minorHAnsi" w:cstheme="minorHAnsi"/>
          <w:lang w:eastAsia="en-GB"/>
        </w:rPr>
        <w:t xml:space="preserve">Open-ended responses from the Internal Assessment provide additional qualitative evidence on operational constraints affecting participation. Across multiple responses, recurring themes point to limited staffing capacity and resource constraints affecting the ability of Regional and Area Offices to participate consistently in regional and national engagements. Responses also highlight coordination challenges between headquarters and regional offices when organising regional events, suggesting that regional offices are sometimes involved only </w:t>
      </w:r>
      <w:r w:rsidRPr="00986D12">
        <w:rPr>
          <w:rFonts w:asciiTheme="minorHAnsi" w:hAnsiTheme="minorHAnsi" w:cstheme="minorHAnsi"/>
          <w:lang w:eastAsia="en-GB"/>
        </w:rPr>
        <w:lastRenderedPageBreak/>
        <w:t>at later stages of planning. These recurring observations indicate that operational capacity and coordination arrangements influence the ability of regional offices to engage fully in events and activities.</w:t>
      </w:r>
    </w:p>
    <w:p w14:paraId="07310991" w14:textId="77777777" w:rsidR="00250529" w:rsidRPr="00986D12" w:rsidRDefault="00250529" w:rsidP="005B5E68">
      <w:pPr>
        <w:jc w:val="both"/>
        <w:rPr>
          <w:rFonts w:asciiTheme="minorHAnsi" w:hAnsiTheme="minorHAnsi" w:cstheme="minorHAnsi"/>
          <w:sz w:val="18"/>
          <w:szCs w:val="18"/>
          <w:lang w:eastAsia="en-GB"/>
        </w:rPr>
      </w:pPr>
      <w:r w:rsidRPr="00986D12">
        <w:rPr>
          <w:rFonts w:asciiTheme="minorHAnsi" w:hAnsiTheme="minorHAnsi" w:cstheme="minorHAnsi"/>
          <w:lang w:eastAsia="en-GB"/>
        </w:rPr>
        <w:t>Survey responses provide complementary perception-based evidence on the role of participation in events. Eighty-two per cent</w:t>
      </w:r>
      <w:r w:rsidRPr="00986D12" w:rsidDel="006B3589">
        <w:rPr>
          <w:rFonts w:asciiTheme="minorHAnsi" w:hAnsiTheme="minorHAnsi" w:cstheme="minorHAnsi"/>
          <w:lang w:eastAsia="en-GB"/>
        </w:rPr>
        <w:t xml:space="preserve"> </w:t>
      </w:r>
      <w:r w:rsidRPr="00986D12">
        <w:rPr>
          <w:rFonts w:asciiTheme="minorHAnsi" w:hAnsiTheme="minorHAnsi" w:cstheme="minorHAnsi"/>
          <w:lang w:eastAsia="en-GB"/>
        </w:rPr>
        <w:t>of Internal Assessment respondents agree or strongly agree that engagement of Regional and Area Office staff with regional stakeholders during global and regional events enhances synergies in coordination and communication of activities and initiatives (</w:t>
      </w:r>
      <w:proofErr w:type="spellStart"/>
      <w:r w:rsidRPr="00986D12">
        <w:rPr>
          <w:rFonts w:asciiTheme="minorHAnsi" w:hAnsiTheme="minorHAnsi" w:cstheme="minorHAnsi"/>
          <w:lang w:eastAsia="en-GB"/>
        </w:rPr>
        <w:t>Q26_b</w:t>
      </w:r>
      <w:proofErr w:type="spellEnd"/>
      <w:r w:rsidRPr="00986D12">
        <w:rPr>
          <w:rFonts w:asciiTheme="minorHAnsi" w:hAnsiTheme="minorHAnsi" w:cstheme="minorHAnsi"/>
          <w:lang w:eastAsia="en-GB"/>
        </w:rPr>
        <w:t>). Sixty-nine per cent</w:t>
      </w:r>
      <w:r w:rsidRPr="00986D12" w:rsidDel="006B3589">
        <w:rPr>
          <w:rFonts w:asciiTheme="minorHAnsi" w:hAnsiTheme="minorHAnsi" w:cstheme="minorHAnsi"/>
          <w:lang w:eastAsia="en-GB"/>
        </w:rPr>
        <w:t xml:space="preserve"> </w:t>
      </w:r>
      <w:r w:rsidRPr="00986D12">
        <w:rPr>
          <w:rFonts w:asciiTheme="minorHAnsi" w:hAnsiTheme="minorHAnsi" w:cstheme="minorHAnsi"/>
          <w:lang w:eastAsia="en-GB"/>
        </w:rPr>
        <w:t>agree or strongly agree that participation in regional activities and global ITU-D, ITU-T and ITU-R events strengthens coordination mechanisms (</w:t>
      </w:r>
      <w:proofErr w:type="spellStart"/>
      <w:r w:rsidRPr="00986D12">
        <w:rPr>
          <w:rFonts w:asciiTheme="minorHAnsi" w:hAnsiTheme="minorHAnsi" w:cstheme="minorHAnsi"/>
          <w:lang w:eastAsia="en-GB"/>
        </w:rPr>
        <w:t>Q26_f</w:t>
      </w:r>
      <w:proofErr w:type="spellEnd"/>
      <w:r w:rsidRPr="00986D12">
        <w:rPr>
          <w:rFonts w:asciiTheme="minorHAnsi" w:hAnsiTheme="minorHAnsi" w:cstheme="minorHAnsi"/>
          <w:lang w:eastAsia="en-GB"/>
        </w:rPr>
        <w:t>). At the same time, perceptions regarding the breadth of participation across the three Sectors are more mixed: 53% agree that Regional and Area Offices participate actively in the activities of all three Sectors, while 28% disagree (</w:t>
      </w:r>
      <w:proofErr w:type="spellStart"/>
      <w:r w:rsidRPr="00986D12">
        <w:rPr>
          <w:rFonts w:asciiTheme="minorHAnsi" w:hAnsiTheme="minorHAnsi" w:cstheme="minorHAnsi"/>
          <w:lang w:eastAsia="en-GB"/>
        </w:rPr>
        <w:t>Q4</w:t>
      </w:r>
      <w:proofErr w:type="spellEnd"/>
      <w:r w:rsidRPr="00986D12">
        <w:rPr>
          <w:rFonts w:asciiTheme="minorHAnsi" w:hAnsiTheme="minorHAnsi" w:cstheme="minorHAnsi"/>
          <w:lang w:eastAsia="en-GB"/>
        </w:rPr>
        <w:t xml:space="preserve">). </w:t>
      </w:r>
    </w:p>
    <w:p w14:paraId="7F48B878" w14:textId="77777777" w:rsidR="00250529" w:rsidRPr="00986D12" w:rsidRDefault="00250529" w:rsidP="005B5E68">
      <w:pPr>
        <w:jc w:val="both"/>
        <w:rPr>
          <w:rFonts w:asciiTheme="minorHAnsi" w:hAnsiTheme="minorHAnsi" w:cstheme="minorHAnsi"/>
          <w:sz w:val="18"/>
          <w:szCs w:val="18"/>
          <w:lang w:eastAsia="en-GB"/>
        </w:rPr>
      </w:pPr>
      <w:r w:rsidRPr="00986D12">
        <w:rPr>
          <w:rFonts w:asciiTheme="minorHAnsi" w:hAnsiTheme="minorHAnsi" w:cstheme="minorHAnsi"/>
          <w:lang w:eastAsia="en-GB"/>
        </w:rPr>
        <w:t>Membership Survey responses point to expectations for measures to support participation. Seventy per cent</w:t>
      </w:r>
      <w:r w:rsidRPr="00986D12" w:rsidDel="006B3589">
        <w:rPr>
          <w:rFonts w:asciiTheme="minorHAnsi" w:hAnsiTheme="minorHAnsi" w:cstheme="minorHAnsi"/>
          <w:lang w:eastAsia="en-GB"/>
        </w:rPr>
        <w:t xml:space="preserve"> </w:t>
      </w:r>
      <w:r w:rsidRPr="00986D12">
        <w:rPr>
          <w:rFonts w:asciiTheme="minorHAnsi" w:hAnsiTheme="minorHAnsi" w:cstheme="minorHAnsi"/>
          <w:lang w:eastAsia="en-GB"/>
        </w:rPr>
        <w:t>of respondents agree or strongly agree that an action plan to enhance Regional and Area Office staff participation in events would strengthen the regional presence (</w:t>
      </w:r>
      <w:proofErr w:type="spellStart"/>
      <w:r w:rsidRPr="00986D12">
        <w:rPr>
          <w:rFonts w:asciiTheme="minorHAnsi" w:hAnsiTheme="minorHAnsi" w:cstheme="minorHAnsi"/>
          <w:lang w:eastAsia="en-GB"/>
        </w:rPr>
        <w:t>Q5_l</w:t>
      </w:r>
      <w:proofErr w:type="spellEnd"/>
      <w:r w:rsidRPr="00986D12">
        <w:rPr>
          <w:rFonts w:asciiTheme="minorHAnsi" w:hAnsiTheme="minorHAnsi" w:cstheme="minorHAnsi"/>
          <w:lang w:eastAsia="en-GB"/>
        </w:rPr>
        <w:t>), while 71% agree that engagement with regional stakeholders at global events enhances coordination and communication of activities, projects and initiatives (</w:t>
      </w:r>
      <w:proofErr w:type="spellStart"/>
      <w:r w:rsidRPr="00986D12">
        <w:rPr>
          <w:rFonts w:asciiTheme="minorHAnsi" w:hAnsiTheme="minorHAnsi" w:cstheme="minorHAnsi"/>
          <w:lang w:eastAsia="en-GB"/>
        </w:rPr>
        <w:t>Q7_a</w:t>
      </w:r>
      <w:proofErr w:type="spellEnd"/>
      <w:r w:rsidRPr="00986D12">
        <w:rPr>
          <w:rFonts w:asciiTheme="minorHAnsi" w:hAnsiTheme="minorHAnsi" w:cstheme="minorHAnsi"/>
          <w:lang w:eastAsia="en-GB"/>
        </w:rPr>
        <w:t>).</w:t>
      </w:r>
    </w:p>
    <w:p w14:paraId="682C66C8" w14:textId="111B3764"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74CD5FCE" w14:textId="2F5E8036"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Taken together, the evidence indicates that participation of Regional and Area Office staff in regional and global events is widely perceived as beneficial for coordination and stakeholder engagement. At the same time, operational documentation and qualitative feedback show that logistical barriers, financial constraints, staffing capacity and coordination arrangements continue to affect the ability of staff to participate consistently and effectively in regional and global engagements. Given the strong value placed on Regional and Area Office participation in regional and global events, and the operational and logistical barriers identified across documentation, surveys and interviews, it may be useful to explore ways to strengthen planning, coordination and practical support arrangements so that participation can be facilitated more consistently where needed.</w:t>
      </w:r>
    </w:p>
    <w:p w14:paraId="05E151A2"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Data Sources</w:t>
      </w:r>
    </w:p>
    <w:p w14:paraId="300567A1" w14:textId="0EBB05E1" w:rsidR="00250529" w:rsidRPr="008C431B" w:rsidRDefault="008C431B" w:rsidP="008C431B">
      <w:pPr>
        <w:tabs>
          <w:tab w:val="left" w:pos="720"/>
        </w:tabs>
        <w:spacing w:before="60" w:after="60"/>
        <w:ind w:left="720" w:hanging="360"/>
        <w:jc w:val="both"/>
        <w:rPr>
          <w:rFonts w:asciiTheme="minorHAnsi" w:hAnsiTheme="minorHAnsi" w:cstheme="minorHAnsi"/>
          <w:lang w:val="en-US"/>
        </w:rPr>
      </w:pPr>
      <w:r w:rsidRPr="00986D12">
        <w:rPr>
          <w:rFonts w:asciiTheme="minorHAnsi" w:eastAsia="Aptos" w:hAnsiTheme="minorHAnsi" w:cstheme="minorHAnsi"/>
          <w:kern w:val="2"/>
          <w:sz w:val="22"/>
          <w:szCs w:val="22"/>
          <w:lang w:val="en-US"/>
          <w14:ligatures w14:val="standardContextual"/>
        </w:rPr>
        <w:t>1.</w:t>
      </w:r>
      <w:r w:rsidRPr="00986D12">
        <w:rPr>
          <w:rFonts w:asciiTheme="minorHAnsi" w:eastAsia="Aptos" w:hAnsiTheme="minorHAnsi" w:cstheme="minorHAnsi"/>
          <w:kern w:val="2"/>
          <w:sz w:val="22"/>
          <w:szCs w:val="22"/>
          <w:lang w:val="en-US"/>
          <w14:ligatures w14:val="standardContextual"/>
        </w:rPr>
        <w:tab/>
      </w:r>
      <w:r w:rsidR="00250529" w:rsidRPr="008C431B">
        <w:rPr>
          <w:rFonts w:asciiTheme="minorHAnsi" w:hAnsiTheme="minorHAnsi" w:cstheme="minorHAnsi"/>
          <w:lang w:val="en-US"/>
        </w:rPr>
        <w:t>Internal data collected from relevant staff.</w:t>
      </w:r>
    </w:p>
    <w:p w14:paraId="5A6552AB" w14:textId="746CE248" w:rsidR="00250529" w:rsidRPr="00986D12" w:rsidRDefault="00250529" w:rsidP="005B5E68">
      <w:pPr>
        <w:pStyle w:val="KPItitle"/>
        <w:jc w:val="both"/>
        <w:rPr>
          <w:rFonts w:asciiTheme="minorHAnsi" w:eastAsia="Avenir Nxt2 W1G" w:hAnsiTheme="minorHAnsi" w:cstheme="minorHAnsi"/>
        </w:rPr>
      </w:pPr>
      <w:bookmarkStart w:id="120" w:name="_Toc224213055"/>
      <w:bookmarkStart w:id="121" w:name="_Toc224236486"/>
      <w:proofErr w:type="spellStart"/>
      <w:r w:rsidRPr="00986D12">
        <w:rPr>
          <w:rFonts w:asciiTheme="minorHAnsi" w:hAnsiTheme="minorHAnsi" w:cstheme="minorHAnsi"/>
        </w:rPr>
        <w:t>KPI</w:t>
      </w:r>
      <w:proofErr w:type="spellEnd"/>
      <w:r w:rsidRPr="00986D12">
        <w:rPr>
          <w:rFonts w:asciiTheme="minorHAnsi" w:eastAsia="Avenir Nxt2 W1G" w:hAnsiTheme="minorHAnsi" w:cstheme="minorHAnsi"/>
        </w:rPr>
        <w:t xml:space="preserve"> </w:t>
      </w:r>
      <w:r w:rsidRPr="00986D12">
        <w:rPr>
          <w:rFonts w:asciiTheme="minorHAnsi" w:hAnsiTheme="minorHAnsi" w:cstheme="minorHAnsi"/>
        </w:rPr>
        <w:t>11</w:t>
      </w:r>
      <w:r w:rsidRPr="00986D12">
        <w:rPr>
          <w:rFonts w:asciiTheme="minorHAnsi" w:eastAsia="Avenir Nxt2 W1G" w:hAnsiTheme="minorHAnsi" w:cstheme="minorHAnsi"/>
        </w:rPr>
        <w:t xml:space="preserve"> — </w:t>
      </w:r>
      <w:r w:rsidRPr="00986D12">
        <w:rPr>
          <w:rFonts w:asciiTheme="minorHAnsi" w:hAnsiTheme="minorHAnsi" w:cstheme="minorHAnsi"/>
        </w:rPr>
        <w:t xml:space="preserve">Provide </w:t>
      </w:r>
      <w:r w:rsidRPr="00986D12" w:rsidDel="001F2A97">
        <w:rPr>
          <w:rFonts w:asciiTheme="minorHAnsi" w:hAnsiTheme="minorHAnsi" w:cstheme="minorHAnsi"/>
        </w:rPr>
        <w:t>recommendations</w:t>
      </w:r>
      <w:r w:rsidRPr="00986D12">
        <w:rPr>
          <w:rFonts w:asciiTheme="minorHAnsi" w:hAnsiTheme="minorHAnsi" w:cstheme="minorHAnsi"/>
        </w:rPr>
        <w:t xml:space="preserve"> from Regional and Area Office staff on how to best maximise engagements with regional stakeholders during global events</w:t>
      </w:r>
      <w:bookmarkEnd w:id="120"/>
      <w:bookmarkEnd w:id="121"/>
    </w:p>
    <w:p w14:paraId="7C215963" w14:textId="77777777" w:rsidR="00250529" w:rsidRPr="00986D12" w:rsidRDefault="00250529" w:rsidP="005B5E68">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t>Evidence from surveys, open-ended responses and interviews indicates that engagement with regional stakeholders during global events is widely regarded as an important mechanism for strengthening coordination and visibility of regional activities, while also revealing operational areas where engagement could be improved.</w:t>
      </w:r>
    </w:p>
    <w:p w14:paraId="266F210E" w14:textId="77777777" w:rsidR="00250529" w:rsidRPr="00986D12" w:rsidRDefault="00250529" w:rsidP="005B5E68">
      <w:pPr>
        <w:pStyle w:val="paragraph"/>
        <w:jc w:val="both"/>
        <w:rPr>
          <w:rFonts w:asciiTheme="minorHAnsi" w:hAnsiTheme="minorHAnsi" w:cstheme="minorHAnsi"/>
        </w:rPr>
      </w:pPr>
      <w:r w:rsidRPr="00986D12">
        <w:rPr>
          <w:rFonts w:asciiTheme="minorHAnsi" w:eastAsiaTheme="majorEastAsia" w:hAnsiTheme="minorHAnsi" w:cstheme="minorHAnsi"/>
        </w:rPr>
        <w:t>Survey results show strong support among Membership for participation mechanisms linked to global events. Seventy-one per cent</w:t>
      </w:r>
      <w:r w:rsidRPr="00986D12" w:rsidDel="006B3589">
        <w:rPr>
          <w:rFonts w:asciiTheme="minorHAnsi" w:eastAsiaTheme="majorEastAsia" w:hAnsiTheme="minorHAnsi" w:cstheme="minorHAnsi"/>
        </w:rPr>
        <w:t xml:space="preserve"> </w:t>
      </w:r>
      <w:r w:rsidRPr="00986D12">
        <w:rPr>
          <w:rFonts w:asciiTheme="minorHAnsi" w:eastAsiaTheme="majorEastAsia" w:hAnsiTheme="minorHAnsi" w:cstheme="minorHAnsi"/>
        </w:rPr>
        <w:t>of Membership Survey respondents agree that participation of members in regional activities and global ITU-D, ITU-T and ITU-R events enhances synergies in coordination and communication of activities, projects and initiatives (</w:t>
      </w:r>
      <w:proofErr w:type="spellStart"/>
      <w:r w:rsidRPr="00986D12">
        <w:rPr>
          <w:rFonts w:asciiTheme="minorHAnsi" w:eastAsiaTheme="majorEastAsia" w:hAnsiTheme="minorHAnsi" w:cstheme="minorHAnsi"/>
        </w:rPr>
        <w:t>Q7_b</w:t>
      </w:r>
      <w:proofErr w:type="spellEnd"/>
      <w:r w:rsidRPr="00986D12">
        <w:rPr>
          <w:rFonts w:asciiTheme="minorHAnsi" w:eastAsiaTheme="majorEastAsia" w:hAnsiTheme="minorHAnsi" w:cstheme="minorHAnsi"/>
        </w:rPr>
        <w:t>). This indicates that global events are widely perceived as valuable platforms for engagement between ITU and regional stakeholders.</w:t>
      </w:r>
    </w:p>
    <w:p w14:paraId="1053D3C1" w14:textId="77777777" w:rsidR="00250529" w:rsidRPr="00986D12" w:rsidRDefault="00250529" w:rsidP="005B5E68">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lastRenderedPageBreak/>
        <w:t>At the same time, staff perceptions regarding the current level of participation across Sectors are more mixed. Fifty-three per cent of Internal Assessment respondents agree that Regional and Area Offices participate actively in the activities of all three Sectors, while 28% disagree (</w:t>
      </w:r>
      <w:proofErr w:type="spellStart"/>
      <w:r w:rsidRPr="00986D12">
        <w:rPr>
          <w:rFonts w:asciiTheme="minorHAnsi" w:eastAsiaTheme="majorEastAsia" w:hAnsiTheme="minorHAnsi" w:cstheme="minorHAnsi"/>
        </w:rPr>
        <w:t>Q4</w:t>
      </w:r>
      <w:proofErr w:type="spellEnd"/>
      <w:r w:rsidRPr="00986D12">
        <w:rPr>
          <w:rFonts w:asciiTheme="minorHAnsi" w:eastAsiaTheme="majorEastAsia" w:hAnsiTheme="minorHAnsi" w:cstheme="minorHAnsi"/>
        </w:rPr>
        <w:t>). These results suggest that, although events provide important engagement opportunities, the extent to which Regional and Area Offices are fully integrated across sectoral activities during such events is not uniformly perceived.</w:t>
      </w:r>
    </w:p>
    <w:p w14:paraId="7AEF5965" w14:textId="5BB77B6C"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Open-ended responses (</w:t>
      </w:r>
      <w:proofErr w:type="spellStart"/>
      <w:r w:rsidRPr="00986D12">
        <w:rPr>
          <w:rFonts w:asciiTheme="minorHAnsi" w:eastAsiaTheme="majorEastAsia" w:hAnsiTheme="minorHAnsi" w:cstheme="minorHAnsi"/>
        </w:rPr>
        <w:t>Q27</w:t>
      </w:r>
      <w:proofErr w:type="spellEnd"/>
      <w:r w:rsidRPr="00986D12">
        <w:rPr>
          <w:rFonts w:asciiTheme="minorHAnsi" w:eastAsiaTheme="majorEastAsia" w:hAnsiTheme="minorHAnsi" w:cstheme="minorHAnsi"/>
        </w:rPr>
        <w:t xml:space="preserve">) from the Internal Assessment provide more specific </w:t>
      </w:r>
      <w:r w:rsidRPr="00986D12" w:rsidDel="001F2A97">
        <w:rPr>
          <w:rFonts w:asciiTheme="minorHAnsi" w:eastAsiaTheme="majorEastAsia" w:hAnsiTheme="minorHAnsi" w:cstheme="minorHAnsi"/>
        </w:rPr>
        <w:t>recommendations</w:t>
      </w:r>
      <w:r w:rsidRPr="00986D12">
        <w:rPr>
          <w:rFonts w:asciiTheme="minorHAnsi" w:eastAsiaTheme="majorEastAsia" w:hAnsiTheme="minorHAnsi" w:cstheme="minorHAnsi"/>
        </w:rPr>
        <w:t xml:space="preserve"> based on operational experience. A recurring theme is the need for earlier and more structured coordination between headquarters and regional offices when preparing global events. Several responses indicate that Regional Offices should be involved earlier in programme design and stakeholder outreach so that regional priorities and initiatives can be reflected in event agendas. Another commonly expressed recommendation concerns clearer definition of the roles of Regional and Area Office staff during global events. Respondents note that regional staff are often well positioned to facilitate connections with governments, regulators and regional organizations, but that this role is not always fully integrated into event planning.</w:t>
      </w:r>
      <w:r w:rsidRPr="00986D12">
        <w:rPr>
          <w:rStyle w:val="eop"/>
          <w:rFonts w:asciiTheme="minorHAnsi" w:eastAsiaTheme="majorEastAsia" w:hAnsiTheme="minorHAnsi" w:cstheme="minorHAnsi"/>
        </w:rPr>
        <w:t xml:space="preserve"> </w:t>
      </w:r>
    </w:p>
    <w:p w14:paraId="4B456011" w14:textId="77777777"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Additional patterns emerging from these responses highlight the importance of stronger follow up mechanisms after events. Staff note that engagement during global conferences is most effective when it is linked to subsequent regional activities, capacity-building programmes or policy dialogues. Without structured follow up, some opportunities for engagement risk remaining largely symbolic rather than translating into sustained cooperation. Respondents also emphasize the value of ensuring that global event sessions reflect regional priorities and development challenges, enabling stakeholders to see a clearer link between event discussions and regional initiatives.</w:t>
      </w:r>
      <w:r w:rsidRPr="00986D12">
        <w:rPr>
          <w:rStyle w:val="eop"/>
          <w:rFonts w:asciiTheme="minorHAnsi" w:eastAsiaTheme="majorEastAsia" w:hAnsiTheme="minorHAnsi" w:cstheme="minorHAnsi"/>
        </w:rPr>
        <w:t xml:space="preserve"> </w:t>
      </w:r>
    </w:p>
    <w:p w14:paraId="3F834710" w14:textId="77777777" w:rsidR="00250529" w:rsidRPr="00986D12" w:rsidRDefault="00250529" w:rsidP="005B5E68">
      <w:pPr>
        <w:pStyle w:val="paragraph"/>
        <w:jc w:val="both"/>
        <w:rPr>
          <w:rFonts w:asciiTheme="minorHAnsi" w:eastAsiaTheme="majorEastAsia" w:hAnsiTheme="minorHAnsi" w:cstheme="minorHAnsi"/>
          <w:color w:val="000000"/>
        </w:rPr>
      </w:pPr>
      <w:r w:rsidRPr="00986D12">
        <w:rPr>
          <w:rFonts w:asciiTheme="minorHAnsi" w:eastAsiaTheme="majorEastAsia" w:hAnsiTheme="minorHAnsi" w:cstheme="minorHAnsi"/>
        </w:rPr>
        <w:t>Interviews with Regional Telecommunication Organizations reinforce these observations and provide an external stakeholder perspective. Interviewees emphasize that global and regional events are valuable spaces for dialogue between ITU and regional actors, particularly when Regional Offices play an active convening role. At the same time, several interviewees note that engagement can be strengthened when Regional Offices are systematically involved in identifying participants and framing regional issues ahead of major events. Some also highlight the importance of ensuring continuity between discussions held at global meetings and the implementation of regional initiatives or projects</w:t>
      </w:r>
      <w:r w:rsidRPr="00986D12">
        <w:rPr>
          <w:rFonts w:asciiTheme="minorHAnsi" w:eastAsiaTheme="majorEastAsia" w:hAnsiTheme="minorHAnsi" w:cstheme="minorHAnsi"/>
          <w:color w:val="000000"/>
        </w:rPr>
        <w:t>.</w:t>
      </w:r>
    </w:p>
    <w:p w14:paraId="309B4F74" w14:textId="7C4FBB30"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776D447B" w14:textId="77777777" w:rsidR="00250529" w:rsidRPr="00986D12" w:rsidRDefault="00250529" w:rsidP="005B5E68">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t>Taken together, the evidence indicates that global and regional events are widely recognized as effective platforms for engagement with regional stakeholders and for strengthening coordination among ITU entities and partners. However, the analysis also reveals operational opportunities to maximise this engagement. These include earlier involvement of Regional and Area Offices in event preparation, clearer definition of staff roles during events, stronger alignment of event agendas with regional priorities, and more systematic follow up after events to translate discussions into concrete regional activities.</w:t>
      </w:r>
    </w:p>
    <w:p w14:paraId="35E91C85" w14:textId="77777777" w:rsidR="00250529" w:rsidRPr="00986D12" w:rsidRDefault="00250529" w:rsidP="005B5E68">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t>Overall, the findings suggest that engagement mechanisms during global events are valued by both Membership and regional partners, but that their effectiveness could be further enhanced through improved coordination, clearer operational roles and stronger integration between global event discussions and ongoing regional initiatives.</w:t>
      </w:r>
    </w:p>
    <w:p w14:paraId="4AF7DB47" w14:textId="00EF39C7" w:rsidR="00250529" w:rsidRPr="00986D12" w:rsidRDefault="00250529" w:rsidP="005B5E68">
      <w:pPr>
        <w:pStyle w:val="KPItitle"/>
        <w:jc w:val="both"/>
        <w:rPr>
          <w:rFonts w:asciiTheme="minorHAnsi" w:eastAsia="Avenir Nxt2 W1G" w:hAnsiTheme="minorHAnsi" w:cstheme="minorHAnsi"/>
        </w:rPr>
      </w:pPr>
      <w:bookmarkStart w:id="122" w:name="_Toc224213056"/>
      <w:bookmarkStart w:id="123" w:name="_Toc224236487"/>
      <w:proofErr w:type="spellStart"/>
      <w:r w:rsidRPr="00986D12">
        <w:rPr>
          <w:rFonts w:asciiTheme="minorHAnsi" w:hAnsiTheme="minorHAnsi" w:cstheme="minorHAnsi"/>
        </w:rPr>
        <w:lastRenderedPageBreak/>
        <w:t>KPI</w:t>
      </w:r>
      <w:proofErr w:type="spellEnd"/>
      <w:r w:rsidRPr="00986D12">
        <w:rPr>
          <w:rFonts w:asciiTheme="minorHAnsi" w:eastAsia="Avenir Nxt2 W1G" w:hAnsiTheme="minorHAnsi" w:cstheme="minorHAnsi"/>
        </w:rPr>
        <w:t xml:space="preserve"> </w:t>
      </w:r>
      <w:r w:rsidRPr="00986D12">
        <w:rPr>
          <w:rFonts w:asciiTheme="minorHAnsi" w:hAnsiTheme="minorHAnsi" w:cstheme="minorHAnsi"/>
        </w:rPr>
        <w:t>12</w:t>
      </w:r>
      <w:r w:rsidRPr="00986D12">
        <w:rPr>
          <w:rFonts w:asciiTheme="minorHAnsi" w:eastAsia="Avenir Nxt2 W1G" w:hAnsiTheme="minorHAnsi" w:cstheme="minorHAnsi"/>
        </w:rPr>
        <w:t xml:space="preserve"> — </w:t>
      </w:r>
      <w:r w:rsidRPr="00986D12">
        <w:rPr>
          <w:rFonts w:asciiTheme="minorHAnsi" w:hAnsiTheme="minorHAnsi" w:cstheme="minorHAnsi"/>
        </w:rPr>
        <w:t xml:space="preserve">Based on </w:t>
      </w:r>
      <w:r w:rsidRPr="00986D12" w:rsidDel="001F2A97">
        <w:rPr>
          <w:rFonts w:asciiTheme="minorHAnsi" w:hAnsiTheme="minorHAnsi" w:cstheme="minorHAnsi"/>
        </w:rPr>
        <w:t>recommendations</w:t>
      </w:r>
      <w:r w:rsidRPr="00986D12">
        <w:rPr>
          <w:rFonts w:asciiTheme="minorHAnsi" w:hAnsiTheme="minorHAnsi" w:cstheme="minorHAnsi"/>
        </w:rPr>
        <w:t xml:space="preserve">, assess whether an action plan to enhance Regional and Area Office staff participation in events would increase the value-add of their </w:t>
      </w:r>
      <w:r w:rsidRPr="00986D12">
        <w:rPr>
          <w:rFonts w:asciiTheme="minorHAnsi" w:eastAsia="Avenir Nxt2 W1G" w:hAnsiTheme="minorHAnsi" w:cstheme="minorHAnsi"/>
        </w:rPr>
        <w:t>participation</w:t>
      </w:r>
      <w:bookmarkEnd w:id="122"/>
      <w:bookmarkEnd w:id="123"/>
    </w:p>
    <w:p w14:paraId="21A41F24" w14:textId="77777777" w:rsidR="00250529" w:rsidRPr="00986D12" w:rsidRDefault="00250529" w:rsidP="005B5E68">
      <w:pPr>
        <w:pStyle w:val="paragraph"/>
        <w:jc w:val="both"/>
        <w:rPr>
          <w:rFonts w:asciiTheme="minorHAnsi" w:hAnsiTheme="minorHAnsi" w:cstheme="minorHAnsi"/>
        </w:rPr>
      </w:pPr>
      <w:r w:rsidRPr="00986D12">
        <w:rPr>
          <w:rFonts w:asciiTheme="minorHAnsi" w:eastAsiaTheme="majorEastAsia" w:hAnsiTheme="minorHAnsi" w:cstheme="minorHAnsi"/>
        </w:rPr>
        <w:t>Internal Assessment responses indicate strong support for staff engagement in regional and global events as a mechanism to enhance coordination. Eighty-two per cent</w:t>
      </w:r>
      <w:r w:rsidRPr="00986D12" w:rsidDel="006B3589">
        <w:rPr>
          <w:rFonts w:asciiTheme="minorHAnsi" w:eastAsiaTheme="majorEastAsia" w:hAnsiTheme="minorHAnsi" w:cstheme="minorHAnsi"/>
        </w:rPr>
        <w:t xml:space="preserve"> </w:t>
      </w:r>
      <w:r w:rsidRPr="00986D12">
        <w:rPr>
          <w:rFonts w:asciiTheme="minorHAnsi" w:eastAsiaTheme="majorEastAsia" w:hAnsiTheme="minorHAnsi" w:cstheme="minorHAnsi"/>
        </w:rPr>
        <w:t>of Internal Assessment respondents agree or strongly agree that Regional and Area Office staff engagement with regional stakeholders during global and regional events enhances synergies in coordination and communication of activities and initiatives (</w:t>
      </w:r>
      <w:proofErr w:type="spellStart"/>
      <w:r w:rsidRPr="00986D12">
        <w:rPr>
          <w:rFonts w:asciiTheme="minorHAnsi" w:eastAsiaTheme="majorEastAsia" w:hAnsiTheme="minorHAnsi" w:cstheme="minorHAnsi"/>
        </w:rPr>
        <w:t>Q26_b</w:t>
      </w:r>
      <w:proofErr w:type="spellEnd"/>
      <w:r w:rsidRPr="00986D12">
        <w:rPr>
          <w:rFonts w:asciiTheme="minorHAnsi" w:eastAsiaTheme="majorEastAsia" w:hAnsiTheme="minorHAnsi" w:cstheme="minorHAnsi"/>
        </w:rPr>
        <w:t>).</w:t>
      </w:r>
      <w:r w:rsidRPr="00986D12">
        <w:rPr>
          <w:rStyle w:val="eop"/>
          <w:rFonts w:asciiTheme="minorHAnsi" w:eastAsiaTheme="majorEastAsia" w:hAnsiTheme="minorHAnsi" w:cstheme="minorHAnsi"/>
        </w:rPr>
        <w:t xml:space="preserve"> </w:t>
      </w:r>
    </w:p>
    <w:p w14:paraId="304B7495" w14:textId="77777777" w:rsidR="00250529" w:rsidRPr="00986D12" w:rsidRDefault="00250529" w:rsidP="005B5E68">
      <w:pPr>
        <w:pStyle w:val="paragraph"/>
        <w:jc w:val="both"/>
        <w:rPr>
          <w:rFonts w:asciiTheme="minorHAnsi" w:hAnsiTheme="minorHAnsi" w:cstheme="minorHAnsi"/>
        </w:rPr>
      </w:pPr>
      <w:r w:rsidRPr="00986D12">
        <w:rPr>
          <w:rFonts w:asciiTheme="minorHAnsi" w:eastAsiaTheme="majorEastAsia" w:hAnsiTheme="minorHAnsi" w:cstheme="minorHAnsi"/>
        </w:rPr>
        <w:t>Membership Survey responses indicate support for structured measures to enhance participation. Seventy-seven per cent of Membership Survey respondents agree or strongly agree that an action plan to enhance Regional and Area Office staff participation in events would increase the added value of their participation (</w:t>
      </w:r>
      <w:proofErr w:type="spellStart"/>
      <w:r w:rsidRPr="00986D12">
        <w:rPr>
          <w:rFonts w:asciiTheme="minorHAnsi" w:eastAsiaTheme="majorEastAsia" w:hAnsiTheme="minorHAnsi" w:cstheme="minorHAnsi"/>
        </w:rPr>
        <w:t>Q5_l</w:t>
      </w:r>
      <w:proofErr w:type="spellEnd"/>
      <w:r w:rsidRPr="00986D12">
        <w:rPr>
          <w:rFonts w:asciiTheme="minorHAnsi" w:eastAsiaTheme="majorEastAsia" w:hAnsiTheme="minorHAnsi" w:cstheme="minorHAnsi"/>
        </w:rPr>
        <w:t>). Seventy-one per cent agree or strongly agree that staff engagement with regional stakeholders at global events enhances coordination and communication of activities, projects and initiatives (</w:t>
      </w:r>
      <w:proofErr w:type="spellStart"/>
      <w:r w:rsidRPr="00986D12">
        <w:rPr>
          <w:rFonts w:asciiTheme="minorHAnsi" w:eastAsiaTheme="majorEastAsia" w:hAnsiTheme="minorHAnsi" w:cstheme="minorHAnsi"/>
        </w:rPr>
        <w:t>Q7_a</w:t>
      </w:r>
      <w:proofErr w:type="spellEnd"/>
      <w:r w:rsidRPr="00986D12">
        <w:rPr>
          <w:rFonts w:asciiTheme="minorHAnsi" w:eastAsiaTheme="majorEastAsia" w:hAnsiTheme="minorHAnsi" w:cstheme="minorHAnsi"/>
        </w:rPr>
        <w:t>)</w:t>
      </w:r>
      <w:r w:rsidRPr="00986D12">
        <w:rPr>
          <w:rFonts w:asciiTheme="minorHAnsi" w:eastAsiaTheme="majorEastAsia" w:hAnsiTheme="minorHAnsi" w:cstheme="minorHAnsi"/>
          <w:color w:val="000000"/>
        </w:rPr>
        <w:t>.</w:t>
      </w:r>
      <w:r w:rsidRPr="00986D12">
        <w:rPr>
          <w:rStyle w:val="eop"/>
          <w:rFonts w:asciiTheme="minorHAnsi" w:eastAsiaTheme="majorEastAsia" w:hAnsiTheme="minorHAnsi" w:cstheme="minorHAnsi"/>
          <w:color w:val="000000"/>
        </w:rPr>
        <w:t xml:space="preserve"> </w:t>
      </w:r>
    </w:p>
    <w:p w14:paraId="28DB188F" w14:textId="681BF5A2"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58676CD9" w14:textId="77777777"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The distribution of responses across both staff and Membership groups indicates broad agreement that structured engagement in events contributes to coordination and institutional visibility. Support for the introduction of an action plan reflects expectations that more systematic planning and prioritisation of staff participation would increase the value derived from such engagement.</w:t>
      </w:r>
      <w:r w:rsidRPr="00986D12">
        <w:rPr>
          <w:rStyle w:val="eop"/>
          <w:rFonts w:asciiTheme="minorHAnsi" w:eastAsiaTheme="majorEastAsia" w:hAnsiTheme="minorHAnsi" w:cstheme="minorHAnsi"/>
        </w:rPr>
        <w:t xml:space="preserve"> </w:t>
      </w:r>
    </w:p>
    <w:p w14:paraId="12C7991A" w14:textId="77777777" w:rsidR="00250529" w:rsidRPr="00986D12" w:rsidRDefault="00250529" w:rsidP="005B5E68">
      <w:pPr>
        <w:pStyle w:val="paragraph"/>
        <w:jc w:val="both"/>
        <w:rPr>
          <w:rFonts w:asciiTheme="minorHAnsi" w:hAnsiTheme="minorHAnsi" w:cstheme="minorHAnsi"/>
        </w:rPr>
      </w:pPr>
      <w:r w:rsidRPr="00986D12">
        <w:rPr>
          <w:rFonts w:asciiTheme="minorHAnsi" w:eastAsiaTheme="majorEastAsia" w:hAnsiTheme="minorHAnsi" w:cstheme="minorHAnsi"/>
        </w:rPr>
        <w:t>Open-ended responses from the Membership Survey refer to the need for stronger regional coordination during global events, improved visibility of Regional and Area Office contributions, more structured engagement formats, and clearer communication channels with stakeholders.</w:t>
      </w:r>
      <w:r w:rsidRPr="00986D12">
        <w:rPr>
          <w:rStyle w:val="eop"/>
          <w:rFonts w:asciiTheme="minorHAnsi" w:eastAsiaTheme="majorEastAsia" w:hAnsiTheme="minorHAnsi" w:cstheme="minorHAnsi"/>
        </w:rPr>
        <w:t xml:space="preserve"> </w:t>
      </w:r>
    </w:p>
    <w:p w14:paraId="0E492CE0" w14:textId="3E62E7DD" w:rsidR="00250529" w:rsidRPr="00986D12" w:rsidRDefault="00250529" w:rsidP="005B5E68">
      <w:pPr>
        <w:pStyle w:val="paragraph"/>
        <w:jc w:val="both"/>
        <w:rPr>
          <w:rStyle w:val="eop"/>
          <w:rFonts w:asciiTheme="minorHAnsi" w:eastAsiaTheme="majorEastAsia" w:hAnsiTheme="minorHAnsi" w:cstheme="minorHAnsi"/>
        </w:rPr>
      </w:pPr>
      <w:r w:rsidRPr="00986D12">
        <w:rPr>
          <w:rFonts w:asciiTheme="minorHAnsi" w:eastAsiaTheme="majorEastAsia" w:hAnsiTheme="minorHAnsi" w:cstheme="minorHAnsi"/>
        </w:rPr>
        <w:t>The combined evidence indicates that staff and Membership respondents identify coordination, communication, role clarity and follow up mechanisms as central elements for maximising engagement with regional stakeholders during global events.</w:t>
      </w:r>
      <w:r w:rsidRPr="00986D12">
        <w:rPr>
          <w:rStyle w:val="eop"/>
          <w:rFonts w:asciiTheme="minorHAnsi" w:eastAsiaTheme="majorEastAsia" w:hAnsiTheme="minorHAnsi" w:cstheme="minorHAnsi"/>
        </w:rPr>
        <w:t xml:space="preserve"> </w:t>
      </w:r>
    </w:p>
    <w:p w14:paraId="284B4A38" w14:textId="77777777" w:rsidR="00250529" w:rsidRPr="00986D12" w:rsidRDefault="00250529" w:rsidP="005B5E68">
      <w:pPr>
        <w:pStyle w:val="KPItitle"/>
        <w:jc w:val="both"/>
        <w:rPr>
          <w:rFonts w:asciiTheme="minorHAnsi" w:hAnsiTheme="minorHAnsi" w:cstheme="minorHAnsi"/>
        </w:rPr>
      </w:pPr>
      <w:bookmarkStart w:id="124" w:name="_Toc224213057"/>
      <w:bookmarkStart w:id="125" w:name="_Toc224236488"/>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13 — The amount of human and financial resources at the Regional and Area offices including:</w:t>
      </w:r>
      <w:bookmarkEnd w:id="124"/>
      <w:bookmarkEnd w:id="125"/>
    </w:p>
    <w:p w14:paraId="6B6B0CB3" w14:textId="69E4A209"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a.</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number of staff at each Regional and Area Office</w:t>
      </w:r>
    </w:p>
    <w:p w14:paraId="04D31E60" w14:textId="1D2CA429"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b.</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number of countries served by each Regional and Area Office</w:t>
      </w:r>
    </w:p>
    <w:p w14:paraId="3240F95B" w14:textId="0FB760DA"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c.</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number of projects and initiatives engaged, and events organized</w:t>
      </w:r>
    </w:p>
    <w:p w14:paraId="01AADF8B" w14:textId="3DA27274"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d.</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resources allocated by the financial plan for each Regional and Area Office</w:t>
      </w:r>
    </w:p>
    <w:p w14:paraId="134E95EA" w14:textId="093859E6"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e.</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technological platforms used by Regional and Area Offices</w:t>
      </w:r>
    </w:p>
    <w:p w14:paraId="48D9F140" w14:textId="395DEC6A"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f.</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use of the ITU’s financial management tools by Regional and Area Offices</w:t>
      </w:r>
    </w:p>
    <w:p w14:paraId="6C08FA6A" w14:textId="05A8A441"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g.</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efforts and actions undertaken to increase human and financial resources for implementation of regional initiatives</w:t>
      </w:r>
    </w:p>
    <w:p w14:paraId="2F7BB05E" w14:textId="0BD58CD6"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h.</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financial and administrative conditions provided by host countries to Regional and Area Offices</w:t>
      </w:r>
    </w:p>
    <w:p w14:paraId="3729C35E"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The analysis integrates these dimensions into a single consolidated institutional assessment.</w:t>
      </w:r>
    </w:p>
    <w:p w14:paraId="5838AFFC"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 xml:space="preserve">Staffing across the Regional and Area Offices totals 64 personnel across contract modalities, within an overall ITU workforce of 695 and a field presence representing </w:t>
      </w:r>
      <w:r w:rsidRPr="00986D12" w:rsidDel="006B3589">
        <w:rPr>
          <w:rFonts w:asciiTheme="minorHAnsi" w:hAnsiTheme="minorHAnsi" w:cstheme="minorHAnsi"/>
          <w:lang w:eastAsia="en-GB"/>
        </w:rPr>
        <w:t>9</w:t>
      </w:r>
      <w:r w:rsidRPr="00986D12">
        <w:rPr>
          <w:rFonts w:asciiTheme="minorHAnsi" w:hAnsiTheme="minorHAnsi" w:cstheme="minorHAnsi"/>
          <w:lang w:eastAsia="en-GB"/>
        </w:rPr>
        <w:t>%</w:t>
      </w:r>
      <w:r w:rsidRPr="00986D12" w:rsidDel="006B3589">
        <w:rPr>
          <w:rFonts w:asciiTheme="minorHAnsi" w:hAnsiTheme="minorHAnsi" w:cstheme="minorHAnsi"/>
          <w:lang w:eastAsia="en-GB"/>
        </w:rPr>
        <w:t xml:space="preserve"> </w:t>
      </w:r>
      <w:r w:rsidRPr="00986D12">
        <w:rPr>
          <w:rFonts w:asciiTheme="minorHAnsi" w:hAnsiTheme="minorHAnsi" w:cstheme="minorHAnsi"/>
          <w:lang w:eastAsia="en-GB"/>
        </w:rPr>
        <w:t>of total staff.</w:t>
      </w:r>
    </w:p>
    <w:p w14:paraId="11C4314A"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lastRenderedPageBreak/>
        <w:t>Membership perceptions of resource adequacy are reserved. Agreement that financial resources are adequate stands at 34%, while agreement that human resources are adequate stands at 35%, alongside higher agreement for headquarters-provided products and services at 44% (</w:t>
      </w:r>
      <w:proofErr w:type="spellStart"/>
      <w:r w:rsidRPr="00986D12">
        <w:rPr>
          <w:rFonts w:asciiTheme="minorHAnsi" w:hAnsiTheme="minorHAnsi" w:cstheme="minorHAnsi"/>
          <w:lang w:eastAsia="en-GB"/>
        </w:rPr>
        <w:t>Q3_a</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Q3_b</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Q3_c</w:t>
      </w:r>
      <w:proofErr w:type="spellEnd"/>
      <w:r w:rsidRPr="00986D12">
        <w:rPr>
          <w:rFonts w:asciiTheme="minorHAnsi" w:hAnsiTheme="minorHAnsi" w:cstheme="minorHAnsi"/>
          <w:lang w:eastAsia="en-GB"/>
        </w:rPr>
        <w:t>). The combined picture is one of an established staffing footprint paired with limited perceived adequacy of core resourcing.</w:t>
      </w:r>
    </w:p>
    <w:p w14:paraId="2EA39616"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The geographic service burden varies considerably across offices. Coverage spans 194 countries, with distribution across regions that differs materially in scale. Membership responses align with a view that staffing levels should be assessed against workload drivers, including countries served, projects, initiatives and events, with 53% agreeing that the relationship between staffing and these workload factors is adequate (</w:t>
      </w:r>
      <w:proofErr w:type="spellStart"/>
      <w:r w:rsidRPr="00986D12">
        <w:rPr>
          <w:rFonts w:asciiTheme="minorHAnsi" w:hAnsiTheme="minorHAnsi" w:cstheme="minorHAnsi"/>
          <w:lang w:eastAsia="en-GB"/>
        </w:rPr>
        <w:t>Q6_b</w:t>
      </w:r>
      <w:proofErr w:type="spellEnd"/>
      <w:r w:rsidRPr="00986D12">
        <w:rPr>
          <w:rFonts w:asciiTheme="minorHAnsi" w:hAnsiTheme="minorHAnsi" w:cstheme="minorHAnsi"/>
          <w:lang w:eastAsia="en-GB"/>
        </w:rPr>
        <w:t xml:space="preserve">). This level of agreement suggests that workload-to-staffing balance is seen as just acceptable. </w:t>
      </w:r>
    </w:p>
    <w:p w14:paraId="54C1984B"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The volume of operational activity includes projects, initiatives and events delivered across the Union’s areas of work, including extensive development engagement and large-scale event activity. Membership assessments of effectiveness and activity levels remain positive in several areas that are consistent with an active regional presence, including effectiveness through Regional and Area Offices at 71% and satisfaction with activity levels at 60% (</w:t>
      </w:r>
      <w:proofErr w:type="spellStart"/>
      <w:r w:rsidRPr="00986D12">
        <w:rPr>
          <w:rFonts w:asciiTheme="minorHAnsi" w:hAnsiTheme="minorHAnsi" w:cstheme="minorHAnsi"/>
          <w:lang w:eastAsia="en-GB"/>
        </w:rPr>
        <w:t>Q1</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Q2</w:t>
      </w:r>
      <w:proofErr w:type="spellEnd"/>
      <w:r w:rsidRPr="00986D12">
        <w:rPr>
          <w:rFonts w:asciiTheme="minorHAnsi" w:hAnsiTheme="minorHAnsi" w:cstheme="minorHAnsi"/>
          <w:lang w:eastAsia="en-GB"/>
        </w:rPr>
        <w:t>). Willingness to collaborate is reported at 82% for Membership and 60% for partners (</w:t>
      </w:r>
      <w:proofErr w:type="spellStart"/>
      <w:r w:rsidRPr="00986D12">
        <w:rPr>
          <w:rFonts w:asciiTheme="minorHAnsi" w:hAnsiTheme="minorHAnsi" w:cstheme="minorHAnsi"/>
          <w:lang w:eastAsia="en-GB"/>
        </w:rPr>
        <w:t>Q9_a</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Q9_b</w:t>
      </w:r>
      <w:proofErr w:type="spellEnd"/>
      <w:r w:rsidRPr="00986D12">
        <w:rPr>
          <w:rFonts w:asciiTheme="minorHAnsi" w:hAnsiTheme="minorHAnsi" w:cstheme="minorHAnsi"/>
          <w:lang w:eastAsia="en-GB"/>
        </w:rPr>
        <w:t>). Consultation of Regional and Area Offices is also reported as common, with 74% of Membership respondents indicating at least one consultation in 2024–2025 (</w:t>
      </w:r>
      <w:proofErr w:type="spellStart"/>
      <w:r w:rsidRPr="00986D12">
        <w:rPr>
          <w:rFonts w:asciiTheme="minorHAnsi" w:hAnsiTheme="minorHAnsi" w:cstheme="minorHAnsi"/>
          <w:lang w:eastAsia="en-GB"/>
        </w:rPr>
        <w:t>Q10</w:t>
      </w:r>
      <w:proofErr w:type="spellEnd"/>
      <w:r w:rsidRPr="00986D12">
        <w:rPr>
          <w:rFonts w:asciiTheme="minorHAnsi" w:hAnsiTheme="minorHAnsi" w:cstheme="minorHAnsi"/>
          <w:lang w:eastAsia="en-GB"/>
        </w:rPr>
        <w:t xml:space="preserve">). Open-ended responses mapped to this dimension include recurring emphasis on event-based engagement formats and follow up practices, without altering the scope of this </w:t>
      </w:r>
      <w:proofErr w:type="spellStart"/>
      <w:r w:rsidRPr="00986D12">
        <w:rPr>
          <w:rFonts w:asciiTheme="minorHAnsi" w:hAnsiTheme="minorHAnsi" w:cstheme="minorHAnsi"/>
          <w:lang w:eastAsia="en-GB"/>
        </w:rPr>
        <w:t>KPI</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Q11</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Q18</w:t>
      </w:r>
      <w:proofErr w:type="spellEnd"/>
      <w:r w:rsidRPr="00986D12">
        <w:rPr>
          <w:rFonts w:asciiTheme="minorHAnsi" w:hAnsiTheme="minorHAnsi" w:cstheme="minorHAnsi"/>
          <w:lang w:eastAsia="en-GB"/>
        </w:rPr>
        <w:t xml:space="preserve">). </w:t>
      </w:r>
    </w:p>
    <w:p w14:paraId="21FC47F8"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Financial plan allocations for Regional and Area Offices show a stable staff-cost share over 2022–2024, at around 32% of the BDT bureau staff costs budget, alongside a marked increase in the operations budget share in 2024 to 64% from 53% in 2022–2023. Membership views on resource strengthening measures show sustained support for increased human resources at 60% and increased financial resources at 63%, with lower support for reallocation options at 50–52% (</w:t>
      </w:r>
      <w:proofErr w:type="spellStart"/>
      <w:r w:rsidRPr="00986D12">
        <w:rPr>
          <w:rFonts w:asciiTheme="minorHAnsi" w:hAnsiTheme="minorHAnsi" w:cstheme="minorHAnsi"/>
          <w:lang w:eastAsia="en-GB"/>
        </w:rPr>
        <w:t>Q5_h</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Q5_i</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Q5_j</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Q5_k</w:t>
      </w:r>
      <w:proofErr w:type="spellEnd"/>
      <w:r w:rsidRPr="00986D12">
        <w:rPr>
          <w:rFonts w:asciiTheme="minorHAnsi" w:hAnsiTheme="minorHAnsi" w:cstheme="minorHAnsi"/>
          <w:lang w:eastAsia="en-GB"/>
        </w:rPr>
        <w:t xml:space="preserve">). This pattern is consistent with a preference for additional resourcing over redistribution. </w:t>
      </w:r>
    </w:p>
    <w:p w14:paraId="6661BCF3"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Technological platforms supporting virtual and hybrid working methods are in place, with a standard toolset for meetings, document management, reporting and administration. Membership views of adequacy in technological platforms for virtual and hybrid meetings are comparatively higher, at 67% agreement (</w:t>
      </w:r>
      <w:proofErr w:type="spellStart"/>
      <w:r w:rsidRPr="00986D12">
        <w:rPr>
          <w:rFonts w:asciiTheme="minorHAnsi" w:hAnsiTheme="minorHAnsi" w:cstheme="minorHAnsi"/>
          <w:lang w:eastAsia="en-GB"/>
        </w:rPr>
        <w:t>Q6_d</w:t>
      </w:r>
      <w:proofErr w:type="spellEnd"/>
      <w:r w:rsidRPr="00986D12">
        <w:rPr>
          <w:rFonts w:asciiTheme="minorHAnsi" w:hAnsiTheme="minorHAnsi" w:cstheme="minorHAnsi"/>
          <w:lang w:eastAsia="en-GB"/>
        </w:rPr>
        <w:t>). Membership also reports strong support for greater exploitation of remote participation and online tools at 71% agreement (</w:t>
      </w:r>
      <w:proofErr w:type="spellStart"/>
      <w:r w:rsidRPr="00986D12">
        <w:rPr>
          <w:rFonts w:asciiTheme="minorHAnsi" w:hAnsiTheme="minorHAnsi" w:cstheme="minorHAnsi"/>
          <w:lang w:eastAsia="en-GB"/>
        </w:rPr>
        <w:t>Q5_g</w:t>
      </w:r>
      <w:proofErr w:type="spellEnd"/>
      <w:r w:rsidRPr="00986D12">
        <w:rPr>
          <w:rFonts w:asciiTheme="minorHAnsi" w:hAnsiTheme="minorHAnsi" w:cstheme="minorHAnsi"/>
          <w:lang w:eastAsia="en-GB"/>
        </w:rPr>
        <w:t>), alongside continued positive assessment of information and data dissemination at 73% agreement (</w:t>
      </w:r>
      <w:proofErr w:type="spellStart"/>
      <w:r w:rsidRPr="00986D12">
        <w:rPr>
          <w:rFonts w:asciiTheme="minorHAnsi" w:hAnsiTheme="minorHAnsi" w:cstheme="minorHAnsi"/>
          <w:lang w:eastAsia="en-GB"/>
        </w:rPr>
        <w:t>Q12_c</w:t>
      </w:r>
      <w:proofErr w:type="spellEnd"/>
      <w:r w:rsidRPr="00986D12">
        <w:rPr>
          <w:rFonts w:asciiTheme="minorHAnsi" w:hAnsiTheme="minorHAnsi" w:cstheme="minorHAnsi"/>
          <w:lang w:eastAsia="en-GB"/>
        </w:rPr>
        <w:t xml:space="preserve">). These results position platforms and dissemination as comparatively stronger elements within the broader resource construct. </w:t>
      </w:r>
    </w:p>
    <w:p w14:paraId="4E9A9789"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Staff perspectives on financial management tools, addressed through the Internal Assessment, indicate constraints in access to timely and detailed project financial information. Agreement that staff have access to detailed financial situation of projects in a reasonable time stands at 35%, while agreement is higher at 73% for access to ICT systems, tools and knowledge resources (</w:t>
      </w:r>
      <w:proofErr w:type="spellStart"/>
      <w:r w:rsidRPr="00986D12">
        <w:rPr>
          <w:rFonts w:asciiTheme="minorHAnsi" w:hAnsiTheme="minorHAnsi" w:cstheme="minorHAnsi"/>
          <w:lang w:eastAsia="en-GB"/>
        </w:rPr>
        <w:t>Q6</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Q9_l</w:t>
      </w:r>
      <w:proofErr w:type="spellEnd"/>
      <w:r w:rsidRPr="00986D12">
        <w:rPr>
          <w:rFonts w:asciiTheme="minorHAnsi" w:hAnsiTheme="minorHAnsi" w:cstheme="minorHAnsi"/>
          <w:lang w:eastAsia="en-GB"/>
        </w:rPr>
        <w:t xml:space="preserve">). The pattern differentiates between general tool access and the availability of timely financial visibility for operational delivery. </w:t>
      </w:r>
    </w:p>
    <w:p w14:paraId="1BB433C5"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 xml:space="preserve">Host country financial and administrative conditions provide a baseline enabling environment, including office accommodation and utilities arrangements and administrative facilitation </w:t>
      </w:r>
      <w:r w:rsidRPr="00986D12">
        <w:rPr>
          <w:rFonts w:asciiTheme="minorHAnsi" w:hAnsiTheme="minorHAnsi" w:cstheme="minorHAnsi"/>
          <w:lang w:eastAsia="en-GB"/>
        </w:rPr>
        <w:lastRenderedPageBreak/>
        <w:t>elements. Membership perceptions of adequacy for host-country financial and administrative conditions stand at 49% agreement, while continued emphasis is placed on remote participation and online tools as a strengthening measure at 71% agreement (</w:t>
      </w:r>
      <w:proofErr w:type="spellStart"/>
      <w:r w:rsidRPr="00986D12">
        <w:rPr>
          <w:rFonts w:asciiTheme="minorHAnsi" w:hAnsiTheme="minorHAnsi" w:cstheme="minorHAnsi"/>
          <w:lang w:eastAsia="en-GB"/>
        </w:rPr>
        <w:t>Q6_e</w:t>
      </w:r>
      <w:proofErr w:type="spellEnd"/>
      <w:r w:rsidRPr="00986D12">
        <w:rPr>
          <w:rFonts w:asciiTheme="minorHAnsi" w:hAnsiTheme="minorHAnsi" w:cstheme="minorHAnsi"/>
          <w:lang w:eastAsia="en-GB"/>
        </w:rPr>
        <w:t xml:space="preserve">; </w:t>
      </w:r>
      <w:proofErr w:type="spellStart"/>
      <w:r w:rsidRPr="00986D12">
        <w:rPr>
          <w:rFonts w:asciiTheme="minorHAnsi" w:hAnsiTheme="minorHAnsi" w:cstheme="minorHAnsi"/>
          <w:lang w:eastAsia="en-GB"/>
        </w:rPr>
        <w:t>Q5_g</w:t>
      </w:r>
      <w:proofErr w:type="spellEnd"/>
      <w:r w:rsidRPr="00986D12">
        <w:rPr>
          <w:rFonts w:asciiTheme="minorHAnsi" w:hAnsiTheme="minorHAnsi" w:cstheme="minorHAnsi"/>
          <w:lang w:eastAsia="en-GB"/>
        </w:rPr>
        <w:t>)</w:t>
      </w:r>
      <w:r w:rsidRPr="00986D12">
        <w:rPr>
          <w:rFonts w:asciiTheme="minorHAnsi" w:hAnsiTheme="minorHAnsi" w:cstheme="minorHAnsi"/>
          <w:color w:val="000000"/>
          <w:lang w:eastAsia="en-GB"/>
        </w:rPr>
        <w:t xml:space="preserve">. </w:t>
      </w:r>
    </w:p>
    <w:p w14:paraId="6B32CD9A" w14:textId="498DF77E"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color w:val="000000" w:themeColor="text1"/>
        </w:rPr>
        <w:t>Conclusion</w:t>
      </w:r>
      <w:r w:rsidRPr="00986D12">
        <w:rPr>
          <w:rFonts w:asciiTheme="minorHAnsi" w:hAnsiTheme="minorHAnsi" w:cstheme="minorHAnsi"/>
        </w:rPr>
        <w:t xml:space="preserve"> </w:t>
      </w:r>
    </w:p>
    <w:p w14:paraId="17068043" w14:textId="7365D9D5"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 xml:space="preserve">Across the </w:t>
      </w:r>
      <w:proofErr w:type="spellStart"/>
      <w:proofErr w:type="gramStart"/>
      <w:r w:rsidRPr="00986D12">
        <w:rPr>
          <w:rFonts w:asciiTheme="minorHAnsi" w:hAnsiTheme="minorHAnsi" w:cstheme="minorHAnsi"/>
          <w:lang w:eastAsia="en-GB"/>
        </w:rPr>
        <w:t>KPI</w:t>
      </w:r>
      <w:proofErr w:type="spellEnd"/>
      <w:r w:rsidRPr="00986D12">
        <w:rPr>
          <w:rFonts w:asciiTheme="minorHAnsi" w:hAnsiTheme="minorHAnsi" w:cstheme="minorHAnsi"/>
          <w:lang w:eastAsia="en-GB"/>
        </w:rPr>
        <w:t xml:space="preserve"> as a whole, the</w:t>
      </w:r>
      <w:proofErr w:type="gramEnd"/>
      <w:r w:rsidRPr="00986D12">
        <w:rPr>
          <w:rFonts w:asciiTheme="minorHAnsi" w:hAnsiTheme="minorHAnsi" w:cstheme="minorHAnsi"/>
          <w:lang w:eastAsia="en-GB"/>
        </w:rPr>
        <w:t xml:space="preserve"> resource footprint is documented and operationally active, while survey-based feedback reflects mixed assessments of adequacy in core resourcing and financial visibility, alongside comparatively stronger positioning of technological platforms and information dissemination. There is a preference for additional resourcing over redistribution. </w:t>
      </w:r>
    </w:p>
    <w:p w14:paraId="6F7352CB" w14:textId="77777777" w:rsidR="00250529" w:rsidRPr="00986D12" w:rsidRDefault="00250529" w:rsidP="005B5E68">
      <w:pPr>
        <w:pStyle w:val="Subtitle0"/>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Data Sources for </w:t>
      </w:r>
      <w:proofErr w:type="spellStart"/>
      <w:r w:rsidRPr="00986D12">
        <w:rPr>
          <w:rFonts w:asciiTheme="minorHAnsi" w:hAnsiTheme="minorHAnsi" w:cstheme="minorHAnsi"/>
          <w:color w:val="000000" w:themeColor="text1"/>
        </w:rPr>
        <w:t>KPI</w:t>
      </w:r>
      <w:proofErr w:type="spellEnd"/>
      <w:r w:rsidRPr="00986D12">
        <w:rPr>
          <w:rFonts w:asciiTheme="minorHAnsi" w:hAnsiTheme="minorHAnsi" w:cstheme="minorHAnsi"/>
          <w:color w:val="000000" w:themeColor="text1"/>
        </w:rPr>
        <w:t xml:space="preserve"> </w:t>
      </w:r>
      <w:proofErr w:type="spellStart"/>
      <w:r w:rsidRPr="00986D12">
        <w:rPr>
          <w:rFonts w:asciiTheme="minorHAnsi" w:hAnsiTheme="minorHAnsi" w:cstheme="minorHAnsi"/>
          <w:color w:val="000000" w:themeColor="text1"/>
        </w:rPr>
        <w:t>13a</w:t>
      </w:r>
      <w:proofErr w:type="spellEnd"/>
      <w:r w:rsidRPr="00986D12">
        <w:rPr>
          <w:rFonts w:asciiTheme="minorHAnsi" w:hAnsiTheme="minorHAnsi" w:cstheme="minorHAnsi"/>
          <w:color w:val="000000" w:themeColor="text1"/>
        </w:rPr>
        <w:t xml:space="preserve"> </w:t>
      </w:r>
    </w:p>
    <w:p w14:paraId="363C2863" w14:textId="1CD83DF0"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1.</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Information from SAP HR system</w:t>
      </w:r>
    </w:p>
    <w:p w14:paraId="3CE63482" w14:textId="7123847D"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Theme="minorHAnsi" w:hAnsiTheme="minorHAnsi" w:cstheme="minorHAnsi"/>
          <w:sz w:val="22"/>
          <w:szCs w:val="22"/>
          <w:lang w:eastAsia="en-GB"/>
        </w:rPr>
        <w:t>2.</w:t>
      </w:r>
      <w:r w:rsidRPr="00986D12">
        <w:rPr>
          <w:rFonts w:asciiTheme="minorHAnsi" w:hAnsiTheme="minorHAnsi" w:cstheme="minorHAnsi"/>
          <w:sz w:val="22"/>
          <w:szCs w:val="22"/>
          <w:lang w:eastAsia="en-GB"/>
        </w:rPr>
        <w:tab/>
      </w:r>
      <w:r w:rsidR="00250529" w:rsidRPr="008C431B">
        <w:rPr>
          <w:rFonts w:asciiTheme="minorHAnsi" w:hAnsiTheme="minorHAnsi" w:cstheme="minorHAnsi"/>
          <w:lang w:val="en-US" w:eastAsia="en-GB"/>
        </w:rPr>
        <w:t xml:space="preserve">Human resources report: Workforce analytics dashboard </w:t>
      </w:r>
      <w:hyperlink r:id="rId73" w:tgtFrame="_blank" w:history="1">
        <w:r w:rsidR="00250529" w:rsidRPr="008C431B">
          <w:rPr>
            <w:rFonts w:asciiTheme="minorHAnsi" w:hAnsiTheme="minorHAnsi" w:cstheme="minorHAnsi"/>
            <w:color w:val="467886"/>
            <w:u w:val="single"/>
            <w:lang w:val="en-US" w:eastAsia="en-GB"/>
          </w:rPr>
          <w:t>Online Reports</w:t>
        </w:r>
      </w:hyperlink>
    </w:p>
    <w:p w14:paraId="66793132" w14:textId="77777777" w:rsidR="00250529" w:rsidRPr="00986D12" w:rsidRDefault="00250529" w:rsidP="005B5E68">
      <w:pPr>
        <w:pStyle w:val="Subtitle0"/>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Data Sources for </w:t>
      </w:r>
      <w:proofErr w:type="spellStart"/>
      <w:r w:rsidRPr="00986D12">
        <w:rPr>
          <w:rFonts w:asciiTheme="minorHAnsi" w:hAnsiTheme="minorHAnsi" w:cstheme="minorHAnsi"/>
          <w:color w:val="000000" w:themeColor="text1"/>
        </w:rPr>
        <w:t>KPI</w:t>
      </w:r>
      <w:proofErr w:type="spellEnd"/>
      <w:r w:rsidRPr="00986D12">
        <w:rPr>
          <w:rFonts w:asciiTheme="minorHAnsi" w:hAnsiTheme="minorHAnsi" w:cstheme="minorHAnsi"/>
          <w:color w:val="000000" w:themeColor="text1"/>
        </w:rPr>
        <w:t xml:space="preserve"> </w:t>
      </w:r>
      <w:proofErr w:type="spellStart"/>
      <w:r w:rsidRPr="00986D12">
        <w:rPr>
          <w:rFonts w:asciiTheme="minorHAnsi" w:hAnsiTheme="minorHAnsi" w:cstheme="minorHAnsi"/>
          <w:color w:val="000000" w:themeColor="text1"/>
        </w:rPr>
        <w:t>13b</w:t>
      </w:r>
      <w:proofErr w:type="spellEnd"/>
      <w:r w:rsidRPr="00986D12">
        <w:rPr>
          <w:rFonts w:asciiTheme="minorHAnsi" w:hAnsiTheme="minorHAnsi" w:cstheme="minorHAnsi"/>
          <w:color w:val="000000" w:themeColor="text1"/>
        </w:rPr>
        <w:t xml:space="preserve"> </w:t>
      </w:r>
    </w:p>
    <w:p w14:paraId="5261406D" w14:textId="7CD5786D" w:rsidR="00250529" w:rsidRPr="008C431B" w:rsidRDefault="008C431B" w:rsidP="008C431B">
      <w:pPr>
        <w:tabs>
          <w:tab w:val="left" w:pos="720"/>
        </w:tabs>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1.</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ITU regional presence webpage </w:t>
      </w:r>
      <w:hyperlink r:id="rId74" w:tgtFrame="_blank" w:history="1">
        <w:r w:rsidR="00250529" w:rsidRPr="008C431B">
          <w:rPr>
            <w:rFonts w:asciiTheme="minorHAnsi" w:hAnsiTheme="minorHAnsi" w:cstheme="minorHAnsi"/>
            <w:color w:val="467886"/>
            <w:u w:val="single"/>
            <w:lang w:val="en-US" w:eastAsia="en-GB"/>
          </w:rPr>
          <w:t>https://</w:t>
        </w:r>
        <w:proofErr w:type="spellStart"/>
        <w:r w:rsidR="00250529" w:rsidRPr="008C431B">
          <w:rPr>
            <w:rFonts w:asciiTheme="minorHAnsi" w:hAnsiTheme="minorHAnsi" w:cstheme="minorHAnsi"/>
            <w:color w:val="467886"/>
            <w:u w:val="single"/>
            <w:lang w:val="en-US" w:eastAsia="en-GB"/>
          </w:rPr>
          <w:t>www.itu.int</w:t>
        </w:r>
        <w:proofErr w:type="spellEnd"/>
        <w:r w:rsidR="00250529" w:rsidRPr="008C431B">
          <w:rPr>
            <w:rFonts w:asciiTheme="minorHAnsi" w:hAnsiTheme="minorHAnsi" w:cstheme="minorHAnsi"/>
            <w:color w:val="467886"/>
            <w:u w:val="single"/>
            <w:lang w:val="en-US" w:eastAsia="en-GB"/>
          </w:rPr>
          <w:t>/en/ITU-D/Pages/Regional-</w:t>
        </w:r>
        <w:proofErr w:type="spellStart"/>
        <w:r w:rsidR="00250529" w:rsidRPr="008C431B">
          <w:rPr>
            <w:rFonts w:asciiTheme="minorHAnsi" w:hAnsiTheme="minorHAnsi" w:cstheme="minorHAnsi"/>
            <w:color w:val="467886"/>
            <w:u w:val="single"/>
            <w:lang w:val="en-US" w:eastAsia="en-GB"/>
          </w:rPr>
          <w:t>Presence.aspx</w:t>
        </w:r>
        <w:proofErr w:type="spellEnd"/>
      </w:hyperlink>
      <w:r w:rsidR="00250529" w:rsidRPr="008C431B">
        <w:rPr>
          <w:rFonts w:asciiTheme="minorHAnsi" w:hAnsiTheme="minorHAnsi" w:cstheme="minorHAnsi"/>
          <w:lang w:val="en-US" w:eastAsia="en-GB"/>
        </w:rPr>
        <w:t xml:space="preserve"> and specific sites for each Regional Office</w:t>
      </w:r>
    </w:p>
    <w:p w14:paraId="77F179B3"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color w:val="000000" w:themeColor="text1"/>
        </w:rPr>
        <w:t>Data</w:t>
      </w:r>
      <w:r w:rsidRPr="00986D12">
        <w:rPr>
          <w:rFonts w:asciiTheme="minorHAnsi" w:hAnsiTheme="minorHAnsi" w:cstheme="minorHAnsi"/>
        </w:rPr>
        <w:t xml:space="preserve"> Sources for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13c</w:t>
      </w:r>
      <w:proofErr w:type="spellEnd"/>
      <w:r w:rsidRPr="00986D12">
        <w:rPr>
          <w:rFonts w:asciiTheme="minorHAnsi" w:hAnsiTheme="minorHAnsi" w:cstheme="minorHAnsi"/>
        </w:rPr>
        <w:t xml:space="preserve"> </w:t>
      </w:r>
    </w:p>
    <w:p w14:paraId="05D6BBA5" w14:textId="7622BAF0"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1.</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Annual Report on the implementation of the strategic plan and the activities of the Union 2024, Council Document </w:t>
      </w:r>
      <w:hyperlink r:id="rId75" w:tgtFrame="_blank" w:history="1">
        <w:proofErr w:type="spellStart"/>
        <w:r w:rsidR="00250529" w:rsidRPr="008C431B">
          <w:rPr>
            <w:rFonts w:asciiTheme="minorHAnsi" w:hAnsiTheme="minorHAnsi" w:cstheme="minorHAnsi"/>
            <w:color w:val="467886"/>
            <w:u w:val="single"/>
            <w:lang w:val="en-US" w:eastAsia="en-GB"/>
          </w:rPr>
          <w:t>C25</w:t>
        </w:r>
        <w:proofErr w:type="spellEnd"/>
        <w:r w:rsidR="00250529" w:rsidRPr="008C431B">
          <w:rPr>
            <w:rFonts w:asciiTheme="minorHAnsi" w:hAnsiTheme="minorHAnsi" w:cstheme="minorHAnsi"/>
            <w:color w:val="467886"/>
            <w:u w:val="single"/>
            <w:lang w:val="en-US" w:eastAsia="en-GB"/>
          </w:rPr>
          <w:t>/35</w:t>
        </w:r>
      </w:hyperlink>
      <w:r w:rsidR="00250529" w:rsidRPr="008C431B">
        <w:rPr>
          <w:rFonts w:asciiTheme="minorHAnsi" w:hAnsiTheme="minorHAnsi" w:cstheme="minorHAnsi"/>
        </w:rPr>
        <w:t>.</w:t>
      </w:r>
    </w:p>
    <w:p w14:paraId="19E966E9" w14:textId="12B04667"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2.</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ITU-R draft operational plan for 2026-2029 and 2024 performance report RAG 2025 Document </w:t>
      </w:r>
      <w:hyperlink r:id="rId76" w:tgtFrame="_blank" w:history="1">
        <w:r w:rsidR="00250529" w:rsidRPr="008C431B">
          <w:rPr>
            <w:rFonts w:asciiTheme="minorHAnsi" w:hAnsiTheme="minorHAnsi" w:cstheme="minorHAnsi"/>
            <w:color w:val="467886"/>
            <w:u w:val="single"/>
            <w:lang w:val="en-US" w:eastAsia="en-GB"/>
          </w:rPr>
          <w:t>RAG/37</w:t>
        </w:r>
      </w:hyperlink>
      <w:r w:rsidR="00250529" w:rsidRPr="008C431B">
        <w:rPr>
          <w:rFonts w:asciiTheme="minorHAnsi" w:hAnsiTheme="minorHAnsi" w:cstheme="minorHAnsi"/>
        </w:rPr>
        <w:t>.</w:t>
      </w:r>
    </w:p>
    <w:p w14:paraId="2A1DB470" w14:textId="03CEC815"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3.</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ITU-T draft operational plan for 2026-2029 and 2024 performance report TSAG 2025 Document </w:t>
      </w:r>
      <w:hyperlink r:id="rId77" w:tgtFrame="_blank" w:history="1">
        <w:r w:rsidR="00250529" w:rsidRPr="008C431B">
          <w:rPr>
            <w:rFonts w:asciiTheme="minorHAnsi" w:hAnsiTheme="minorHAnsi" w:cstheme="minorHAnsi"/>
            <w:color w:val="467886"/>
            <w:u w:val="single"/>
            <w:lang w:val="en-US" w:eastAsia="en-GB"/>
          </w:rPr>
          <w:t>TSAG-</w:t>
        </w:r>
        <w:proofErr w:type="spellStart"/>
        <w:r w:rsidR="00250529" w:rsidRPr="008C431B">
          <w:rPr>
            <w:rFonts w:asciiTheme="minorHAnsi" w:hAnsiTheme="minorHAnsi" w:cstheme="minorHAnsi"/>
            <w:color w:val="467886"/>
            <w:u w:val="single"/>
            <w:lang w:val="en-US" w:eastAsia="en-GB"/>
          </w:rPr>
          <w:t>TD137</w:t>
        </w:r>
        <w:proofErr w:type="spellEnd"/>
      </w:hyperlink>
      <w:r w:rsidR="00250529" w:rsidRPr="008C431B">
        <w:rPr>
          <w:rFonts w:asciiTheme="minorHAnsi" w:hAnsiTheme="minorHAnsi" w:cstheme="minorHAnsi"/>
        </w:rPr>
        <w:t>.</w:t>
      </w:r>
    </w:p>
    <w:p w14:paraId="50A00494" w14:textId="3ED769C2"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4.</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ITU-D draft operational plan for 2026-2029 and 2024 performance report </w:t>
      </w:r>
      <w:proofErr w:type="spellStart"/>
      <w:r w:rsidR="00250529" w:rsidRPr="008C431B">
        <w:rPr>
          <w:rFonts w:asciiTheme="minorHAnsi" w:hAnsiTheme="minorHAnsi" w:cstheme="minorHAnsi"/>
          <w:lang w:val="en-US" w:eastAsia="en-GB"/>
        </w:rPr>
        <w:t>TDAG</w:t>
      </w:r>
      <w:proofErr w:type="spellEnd"/>
      <w:r w:rsidR="00250529" w:rsidRPr="008C431B">
        <w:rPr>
          <w:rFonts w:asciiTheme="minorHAnsi" w:hAnsiTheme="minorHAnsi" w:cstheme="minorHAnsi"/>
          <w:lang w:val="en-US" w:eastAsia="en-GB"/>
        </w:rPr>
        <w:t xml:space="preserve"> 2025 Document </w:t>
      </w:r>
      <w:hyperlink r:id="rId78" w:tgtFrame="_blank" w:history="1">
        <w:proofErr w:type="spellStart"/>
        <w:r w:rsidR="00250529" w:rsidRPr="008C431B">
          <w:rPr>
            <w:rFonts w:asciiTheme="minorHAnsi" w:hAnsiTheme="minorHAnsi" w:cstheme="minorHAnsi"/>
            <w:color w:val="467886"/>
            <w:u w:val="single"/>
            <w:lang w:val="en-US" w:eastAsia="en-GB"/>
          </w:rPr>
          <w:t>TDAG</w:t>
        </w:r>
        <w:proofErr w:type="spellEnd"/>
        <w:r w:rsidR="00250529" w:rsidRPr="008C431B">
          <w:rPr>
            <w:rFonts w:asciiTheme="minorHAnsi" w:hAnsiTheme="minorHAnsi" w:cstheme="minorHAnsi"/>
            <w:color w:val="467886"/>
            <w:u w:val="single"/>
            <w:lang w:val="en-US" w:eastAsia="en-GB"/>
          </w:rPr>
          <w:t>-25/40</w:t>
        </w:r>
      </w:hyperlink>
      <w:r w:rsidR="00250529" w:rsidRPr="008C431B">
        <w:rPr>
          <w:rFonts w:asciiTheme="minorHAnsi" w:hAnsiTheme="minorHAnsi" w:cstheme="minorHAnsi"/>
        </w:rPr>
        <w:t>.</w:t>
      </w:r>
    </w:p>
    <w:p w14:paraId="25DC7E14" w14:textId="661EAB9D"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5.</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Report on the implementation of the Kigali Action Plan (KAP), WTDC-25 Document </w:t>
      </w:r>
      <w:hyperlink r:id="rId79" w:tgtFrame="_blank" w:history="1">
        <w:r w:rsidR="00250529" w:rsidRPr="008C431B">
          <w:rPr>
            <w:rFonts w:asciiTheme="minorHAnsi" w:hAnsiTheme="minorHAnsi" w:cstheme="minorHAnsi"/>
            <w:color w:val="467886"/>
            <w:u w:val="single"/>
            <w:lang w:val="en-US" w:eastAsia="en-GB"/>
          </w:rPr>
          <w:t>WTDC-25/2</w:t>
        </w:r>
      </w:hyperlink>
      <w:r w:rsidR="00250529" w:rsidRPr="008C431B">
        <w:rPr>
          <w:rFonts w:asciiTheme="minorHAnsi" w:hAnsiTheme="minorHAnsi" w:cstheme="minorHAnsi"/>
          <w:lang w:eastAsia="en-GB"/>
        </w:rPr>
        <w:t>.</w:t>
      </w:r>
    </w:p>
    <w:p w14:paraId="16DD96B7" w14:textId="7F9EE783"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6.</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BDT Database of Projects</w:t>
      </w:r>
      <w:r w:rsidR="00250529" w:rsidRPr="008C431B">
        <w:rPr>
          <w:rFonts w:asciiTheme="minorHAnsi" w:hAnsiTheme="minorHAnsi" w:cstheme="minorHAnsi"/>
          <w:lang w:eastAsia="en-GB"/>
        </w:rPr>
        <w:t>.</w:t>
      </w:r>
    </w:p>
    <w:p w14:paraId="4DEBAEF7" w14:textId="23F69E7C"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7.</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BDT Database of event concept notes</w:t>
      </w:r>
      <w:r w:rsidR="00250529" w:rsidRPr="008C431B">
        <w:rPr>
          <w:rFonts w:asciiTheme="minorHAnsi" w:hAnsiTheme="minorHAnsi" w:cstheme="minorHAnsi"/>
          <w:lang w:eastAsia="en-GB"/>
        </w:rPr>
        <w:t>.</w:t>
      </w:r>
    </w:p>
    <w:p w14:paraId="65A41451" w14:textId="77777777" w:rsidR="00250529" w:rsidRPr="00986D12" w:rsidRDefault="00250529" w:rsidP="005B5E68">
      <w:pPr>
        <w:pStyle w:val="Subtitle0"/>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Data Sources for </w:t>
      </w:r>
      <w:proofErr w:type="spellStart"/>
      <w:r w:rsidRPr="00986D12">
        <w:rPr>
          <w:rFonts w:asciiTheme="minorHAnsi" w:hAnsiTheme="minorHAnsi" w:cstheme="minorHAnsi"/>
          <w:color w:val="000000" w:themeColor="text1"/>
        </w:rPr>
        <w:t>KPI</w:t>
      </w:r>
      <w:proofErr w:type="spellEnd"/>
      <w:r w:rsidRPr="00986D12">
        <w:rPr>
          <w:rFonts w:asciiTheme="minorHAnsi" w:hAnsiTheme="minorHAnsi" w:cstheme="minorHAnsi"/>
          <w:color w:val="000000" w:themeColor="text1"/>
        </w:rPr>
        <w:t xml:space="preserve"> </w:t>
      </w:r>
      <w:proofErr w:type="spellStart"/>
      <w:r w:rsidRPr="00986D12">
        <w:rPr>
          <w:rFonts w:asciiTheme="minorHAnsi" w:hAnsiTheme="minorHAnsi" w:cstheme="minorHAnsi"/>
          <w:color w:val="000000" w:themeColor="text1"/>
        </w:rPr>
        <w:t>13d</w:t>
      </w:r>
      <w:proofErr w:type="spellEnd"/>
      <w:r w:rsidRPr="00986D12">
        <w:rPr>
          <w:rFonts w:asciiTheme="minorHAnsi" w:hAnsiTheme="minorHAnsi" w:cstheme="minorHAnsi"/>
          <w:color w:val="000000" w:themeColor="text1"/>
        </w:rPr>
        <w:t xml:space="preserve"> </w:t>
      </w:r>
    </w:p>
    <w:p w14:paraId="62AC586A" w14:textId="7BB47FD8"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hAnsiTheme="minorHAnsi" w:cstheme="minorHAnsi"/>
          <w:sz w:val="22"/>
          <w:szCs w:val="22"/>
          <w:lang w:eastAsia="en-GB"/>
        </w:rPr>
        <w:t>1.</w:t>
      </w:r>
      <w:r w:rsidRPr="00986D12">
        <w:rPr>
          <w:rFonts w:asciiTheme="minorHAnsi" w:hAnsiTheme="minorHAnsi" w:cstheme="minorHAnsi"/>
          <w:sz w:val="22"/>
          <w:szCs w:val="22"/>
          <w:lang w:eastAsia="en-GB"/>
        </w:rPr>
        <w:tab/>
      </w:r>
      <w:r w:rsidR="00250529" w:rsidRPr="008C431B">
        <w:rPr>
          <w:rFonts w:asciiTheme="minorHAnsi" w:hAnsiTheme="minorHAnsi" w:cstheme="minorHAnsi"/>
          <w:lang w:val="en-US" w:eastAsia="en-GB"/>
        </w:rPr>
        <w:t xml:space="preserve">Res. 1405 – Biennial budget of the ITU for 2022-2023, Council Document </w:t>
      </w:r>
      <w:hyperlink r:id="rId80" w:tgtFrame="_blank" w:history="1">
        <w:proofErr w:type="spellStart"/>
        <w:r w:rsidR="00250529" w:rsidRPr="008C431B">
          <w:rPr>
            <w:rFonts w:asciiTheme="minorHAnsi" w:hAnsiTheme="minorHAnsi" w:cstheme="minorHAnsi"/>
            <w:color w:val="467886"/>
            <w:u w:val="single"/>
            <w:lang w:val="en-US" w:eastAsia="en-GB"/>
          </w:rPr>
          <w:t>C21</w:t>
        </w:r>
        <w:proofErr w:type="spellEnd"/>
        <w:r w:rsidR="00250529" w:rsidRPr="008C431B">
          <w:rPr>
            <w:rFonts w:asciiTheme="minorHAnsi" w:hAnsiTheme="minorHAnsi" w:cstheme="minorHAnsi"/>
            <w:color w:val="467886"/>
            <w:u w:val="single"/>
            <w:lang w:val="en-US" w:eastAsia="en-GB"/>
          </w:rPr>
          <w:t>/97</w:t>
        </w:r>
      </w:hyperlink>
      <w:r w:rsidR="00250529" w:rsidRPr="008C431B">
        <w:rPr>
          <w:rFonts w:asciiTheme="minorHAnsi" w:hAnsiTheme="minorHAnsi" w:cstheme="minorHAnsi"/>
        </w:rPr>
        <w:t>.</w:t>
      </w:r>
    </w:p>
    <w:p w14:paraId="08C8D76B" w14:textId="4D37981D"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hAnsiTheme="minorHAnsi" w:cstheme="minorHAnsi"/>
          <w:sz w:val="22"/>
          <w:szCs w:val="22"/>
          <w:lang w:eastAsia="en-GB"/>
        </w:rPr>
        <w:t>2.</w:t>
      </w:r>
      <w:r w:rsidRPr="00986D12">
        <w:rPr>
          <w:rFonts w:asciiTheme="minorHAnsi" w:hAnsiTheme="minorHAnsi" w:cstheme="minorHAnsi"/>
          <w:sz w:val="22"/>
          <w:szCs w:val="22"/>
          <w:lang w:eastAsia="en-GB"/>
        </w:rPr>
        <w:tab/>
      </w:r>
      <w:r w:rsidR="00250529" w:rsidRPr="008C431B">
        <w:rPr>
          <w:rFonts w:asciiTheme="minorHAnsi" w:hAnsiTheme="minorHAnsi" w:cstheme="minorHAnsi"/>
          <w:lang w:val="en-US" w:eastAsia="en-GB"/>
        </w:rPr>
        <w:t xml:space="preserve">Res. 1417 - Biennial budget of the ITU for 2024-2025, Council Document </w:t>
      </w:r>
      <w:hyperlink r:id="rId81" w:tgtFrame="_blank" w:history="1">
        <w:proofErr w:type="spellStart"/>
        <w:r w:rsidR="00250529" w:rsidRPr="008C431B">
          <w:rPr>
            <w:rFonts w:asciiTheme="minorHAnsi" w:hAnsiTheme="minorHAnsi" w:cstheme="minorHAnsi"/>
            <w:color w:val="467886"/>
            <w:u w:val="single"/>
            <w:lang w:val="en-US" w:eastAsia="en-GB"/>
          </w:rPr>
          <w:t>C23</w:t>
        </w:r>
        <w:proofErr w:type="spellEnd"/>
        <w:r w:rsidR="00250529" w:rsidRPr="008C431B">
          <w:rPr>
            <w:rFonts w:asciiTheme="minorHAnsi" w:hAnsiTheme="minorHAnsi" w:cstheme="minorHAnsi"/>
            <w:color w:val="467886"/>
            <w:u w:val="single"/>
            <w:lang w:val="en-US" w:eastAsia="en-GB"/>
          </w:rPr>
          <w:t>/115</w:t>
        </w:r>
      </w:hyperlink>
      <w:r w:rsidR="00250529" w:rsidRPr="008C431B">
        <w:rPr>
          <w:rFonts w:asciiTheme="minorHAnsi" w:hAnsiTheme="minorHAnsi" w:cstheme="minorHAnsi"/>
        </w:rPr>
        <w:t>.</w:t>
      </w:r>
    </w:p>
    <w:p w14:paraId="1BFCCF7B" w14:textId="5C6225C6"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3.</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Financial implications of the Regional Initiatives approved by WTDC-22 for Regional initiatives allocation for funds utilization, implementation for Regional Initiatives, </w:t>
      </w:r>
      <w:proofErr w:type="spellStart"/>
      <w:r w:rsidR="00250529" w:rsidRPr="008C431B">
        <w:rPr>
          <w:rFonts w:asciiTheme="minorHAnsi" w:hAnsiTheme="minorHAnsi" w:cstheme="minorHAnsi"/>
          <w:lang w:val="en-US" w:eastAsia="en-GB"/>
        </w:rPr>
        <w:t>TDAG</w:t>
      </w:r>
      <w:proofErr w:type="spellEnd"/>
      <w:r w:rsidR="00250529" w:rsidRPr="008C431B">
        <w:rPr>
          <w:rFonts w:asciiTheme="minorHAnsi" w:hAnsiTheme="minorHAnsi" w:cstheme="minorHAnsi"/>
          <w:lang w:val="en-US" w:eastAsia="en-GB"/>
        </w:rPr>
        <w:t xml:space="preserve"> Document</w:t>
      </w:r>
      <w:r w:rsidR="00250529" w:rsidRPr="008C431B">
        <w:rPr>
          <w:rFonts w:asciiTheme="minorHAnsi" w:hAnsiTheme="minorHAnsi" w:cstheme="minorHAnsi"/>
          <w:lang w:eastAsia="en-GB"/>
        </w:rPr>
        <w:t xml:space="preserve"> </w:t>
      </w:r>
      <w:hyperlink r:id="rId82" w:tgtFrame="_blank" w:history="1">
        <w:proofErr w:type="spellStart"/>
        <w:r w:rsidR="00250529" w:rsidRPr="008C431B">
          <w:rPr>
            <w:rFonts w:asciiTheme="minorHAnsi" w:hAnsiTheme="minorHAnsi" w:cstheme="minorHAnsi"/>
            <w:color w:val="467886"/>
            <w:u w:val="single"/>
            <w:lang w:val="en-US" w:eastAsia="en-GB"/>
          </w:rPr>
          <w:t>TDAG</w:t>
        </w:r>
        <w:proofErr w:type="spellEnd"/>
        <w:r w:rsidR="00250529" w:rsidRPr="008C431B">
          <w:rPr>
            <w:rFonts w:asciiTheme="minorHAnsi" w:hAnsiTheme="minorHAnsi" w:cstheme="minorHAnsi"/>
            <w:color w:val="467886"/>
            <w:u w:val="single"/>
            <w:lang w:val="en-US" w:eastAsia="en-GB"/>
          </w:rPr>
          <w:t>-23/2(</w:t>
        </w:r>
        <w:proofErr w:type="spellStart"/>
        <w:r w:rsidR="00250529" w:rsidRPr="008C431B">
          <w:rPr>
            <w:rFonts w:asciiTheme="minorHAnsi" w:hAnsiTheme="minorHAnsi" w:cstheme="minorHAnsi"/>
            <w:color w:val="467886"/>
            <w:u w:val="single"/>
            <w:lang w:val="en-US" w:eastAsia="en-GB"/>
          </w:rPr>
          <w:t>Ann.1</w:t>
        </w:r>
        <w:proofErr w:type="spellEnd"/>
        <w:r w:rsidR="00250529" w:rsidRPr="008C431B">
          <w:rPr>
            <w:rFonts w:asciiTheme="minorHAnsi" w:hAnsiTheme="minorHAnsi" w:cstheme="minorHAnsi"/>
            <w:color w:val="467886"/>
            <w:u w:val="single"/>
            <w:lang w:val="en-US" w:eastAsia="en-GB"/>
          </w:rPr>
          <w:t>)</w:t>
        </w:r>
      </w:hyperlink>
      <w:r w:rsidR="00250529" w:rsidRPr="008C431B">
        <w:rPr>
          <w:rFonts w:asciiTheme="minorHAnsi" w:hAnsiTheme="minorHAnsi" w:cstheme="minorHAnsi"/>
          <w:lang w:eastAsia="en-GB"/>
        </w:rPr>
        <w:t>.</w:t>
      </w:r>
    </w:p>
    <w:p w14:paraId="4CB07095" w14:textId="4230689E" w:rsidR="00250529" w:rsidRPr="008C431B" w:rsidRDefault="008C431B" w:rsidP="008C431B">
      <w:pPr>
        <w:spacing w:before="60" w:after="60"/>
        <w:ind w:left="714" w:hanging="357"/>
        <w:jc w:val="both"/>
        <w:rPr>
          <w:rFonts w:asciiTheme="minorHAnsi" w:hAnsiTheme="minorHAnsi" w:cstheme="minorHAnsi"/>
          <w:lang w:val="nl-NL" w:eastAsia="en-GB"/>
        </w:rPr>
      </w:pPr>
      <w:r w:rsidRPr="00986D12">
        <w:rPr>
          <w:rFonts w:asciiTheme="minorHAnsi" w:hAnsiTheme="minorHAnsi" w:cstheme="minorHAnsi"/>
          <w:sz w:val="22"/>
          <w:szCs w:val="22"/>
          <w:lang w:val="nl-NL" w:eastAsia="en-GB"/>
        </w:rPr>
        <w:t>4.</w:t>
      </w:r>
      <w:r w:rsidRPr="00986D12">
        <w:rPr>
          <w:rFonts w:asciiTheme="minorHAnsi" w:hAnsiTheme="minorHAnsi" w:cstheme="minorHAnsi"/>
          <w:sz w:val="22"/>
          <w:szCs w:val="22"/>
          <w:lang w:val="nl-NL" w:eastAsia="en-GB"/>
        </w:rPr>
        <w:tab/>
      </w:r>
      <w:r w:rsidR="00250529" w:rsidRPr="008C431B">
        <w:rPr>
          <w:rFonts w:asciiTheme="minorHAnsi" w:hAnsiTheme="minorHAnsi" w:cstheme="minorHAnsi"/>
          <w:lang w:val="nl-NL" w:eastAsia="en-GB"/>
        </w:rPr>
        <w:t xml:space="preserve">ITU-D projects, TDAG Document </w:t>
      </w:r>
      <w:r w:rsidR="00250529">
        <w:fldChar w:fldCharType="begin"/>
      </w:r>
      <w:r w:rsidR="00250529">
        <w:instrText>HYPERLINK "https://www.itu.int/md/D22-TDAG30-C-0007/" \t "_blank"</w:instrText>
      </w:r>
      <w:r w:rsidR="00250529">
        <w:fldChar w:fldCharType="separate"/>
      </w:r>
      <w:r w:rsidR="00250529" w:rsidRPr="008C431B">
        <w:rPr>
          <w:rFonts w:asciiTheme="minorHAnsi" w:hAnsiTheme="minorHAnsi" w:cstheme="minorHAnsi"/>
          <w:color w:val="467886"/>
          <w:u w:val="single"/>
          <w:lang w:val="nl-NL" w:eastAsia="en-GB"/>
        </w:rPr>
        <w:t>TDAG-23/7</w:t>
      </w:r>
      <w:r w:rsidR="00250529">
        <w:fldChar w:fldCharType="end"/>
      </w:r>
      <w:r w:rsidR="00250529" w:rsidRPr="008C431B">
        <w:rPr>
          <w:rFonts w:asciiTheme="minorHAnsi" w:hAnsiTheme="minorHAnsi" w:cstheme="minorHAnsi"/>
          <w:lang w:val="nl-NL" w:eastAsia="en-GB"/>
        </w:rPr>
        <w:t>.</w:t>
      </w:r>
    </w:p>
    <w:p w14:paraId="27DBE83C" w14:textId="1DB1F1EA"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5.</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ITU-D partnerships and resource mobilization on allocations for projects and initiatives, </w:t>
      </w:r>
      <w:proofErr w:type="spellStart"/>
      <w:r w:rsidR="00250529" w:rsidRPr="008C431B">
        <w:rPr>
          <w:rFonts w:asciiTheme="minorHAnsi" w:hAnsiTheme="minorHAnsi" w:cstheme="minorHAnsi"/>
          <w:lang w:eastAsia="en-GB"/>
        </w:rPr>
        <w:t>TDAG</w:t>
      </w:r>
      <w:proofErr w:type="spellEnd"/>
      <w:r w:rsidR="00250529" w:rsidRPr="008C431B">
        <w:rPr>
          <w:rFonts w:asciiTheme="minorHAnsi" w:hAnsiTheme="minorHAnsi" w:cstheme="minorHAnsi"/>
          <w:lang w:eastAsia="en-GB"/>
        </w:rPr>
        <w:t xml:space="preserve"> Document </w:t>
      </w:r>
      <w:hyperlink r:id="rId83" w:tgtFrame="_blank" w:history="1">
        <w:proofErr w:type="spellStart"/>
        <w:r w:rsidR="00250529" w:rsidRPr="008C431B">
          <w:rPr>
            <w:rFonts w:asciiTheme="minorHAnsi" w:hAnsiTheme="minorHAnsi" w:cstheme="minorHAnsi"/>
            <w:color w:val="467886"/>
            <w:u w:val="single"/>
            <w:lang w:eastAsia="en-GB"/>
          </w:rPr>
          <w:t>TDAG</w:t>
        </w:r>
        <w:proofErr w:type="spellEnd"/>
        <w:r w:rsidR="00250529" w:rsidRPr="008C431B">
          <w:rPr>
            <w:rFonts w:asciiTheme="minorHAnsi" w:hAnsiTheme="minorHAnsi" w:cstheme="minorHAnsi"/>
            <w:color w:val="467886"/>
            <w:u w:val="single"/>
            <w:lang w:eastAsia="en-GB"/>
          </w:rPr>
          <w:t>-24/4</w:t>
        </w:r>
      </w:hyperlink>
      <w:r w:rsidR="00250529" w:rsidRPr="008C431B">
        <w:rPr>
          <w:rFonts w:asciiTheme="minorHAnsi" w:hAnsiTheme="minorHAnsi" w:cstheme="minorHAnsi"/>
          <w:lang w:eastAsia="en-GB"/>
        </w:rPr>
        <w:t>.</w:t>
      </w:r>
    </w:p>
    <w:p w14:paraId="3A69130C" w14:textId="269217B5" w:rsidR="00250529" w:rsidRPr="008C431B" w:rsidRDefault="008C431B" w:rsidP="008C431B">
      <w:pPr>
        <w:spacing w:before="60" w:after="60"/>
        <w:ind w:left="714" w:hanging="357"/>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lastRenderedPageBreak/>
        <w:t>6.</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BDT OP system to track WTDC Action Plans</w:t>
      </w:r>
      <w:r w:rsidR="00250529" w:rsidRPr="008C431B">
        <w:rPr>
          <w:rFonts w:asciiTheme="minorHAnsi" w:hAnsiTheme="minorHAnsi" w:cstheme="minorHAnsi"/>
          <w:lang w:eastAsia="en-GB"/>
        </w:rPr>
        <w:t>.</w:t>
      </w:r>
    </w:p>
    <w:p w14:paraId="6C0C979C" w14:textId="77777777" w:rsidR="00250529" w:rsidRPr="00986D12" w:rsidRDefault="00250529" w:rsidP="005B5E68">
      <w:pPr>
        <w:pStyle w:val="Subtitle0"/>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Data Sources for </w:t>
      </w:r>
      <w:proofErr w:type="spellStart"/>
      <w:r w:rsidRPr="00986D12">
        <w:rPr>
          <w:rFonts w:asciiTheme="minorHAnsi" w:hAnsiTheme="minorHAnsi" w:cstheme="minorHAnsi"/>
          <w:color w:val="000000" w:themeColor="text1"/>
        </w:rPr>
        <w:t>KPI</w:t>
      </w:r>
      <w:proofErr w:type="spellEnd"/>
      <w:r w:rsidRPr="00986D12">
        <w:rPr>
          <w:rFonts w:asciiTheme="minorHAnsi" w:hAnsiTheme="minorHAnsi" w:cstheme="minorHAnsi"/>
          <w:color w:val="000000" w:themeColor="text1"/>
        </w:rPr>
        <w:t xml:space="preserve"> </w:t>
      </w:r>
      <w:proofErr w:type="spellStart"/>
      <w:r w:rsidRPr="00986D12">
        <w:rPr>
          <w:rFonts w:asciiTheme="minorHAnsi" w:hAnsiTheme="minorHAnsi" w:cstheme="minorHAnsi"/>
          <w:color w:val="000000" w:themeColor="text1"/>
        </w:rPr>
        <w:t>13e</w:t>
      </w:r>
      <w:proofErr w:type="spellEnd"/>
      <w:r w:rsidRPr="00986D12">
        <w:rPr>
          <w:rFonts w:asciiTheme="minorHAnsi" w:hAnsiTheme="minorHAnsi" w:cstheme="minorHAnsi"/>
          <w:color w:val="000000" w:themeColor="text1"/>
        </w:rPr>
        <w:t xml:space="preserve"> </w:t>
      </w:r>
    </w:p>
    <w:p w14:paraId="3A213D39" w14:textId="4D3CBA46"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1.</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Information from BDT IT Support team</w:t>
      </w:r>
      <w:r w:rsidR="00250529" w:rsidRPr="008C431B">
        <w:rPr>
          <w:rFonts w:asciiTheme="minorHAnsi" w:hAnsiTheme="minorHAnsi" w:cstheme="minorHAnsi"/>
          <w:lang w:eastAsia="en-GB"/>
        </w:rPr>
        <w:t>.</w:t>
      </w:r>
    </w:p>
    <w:p w14:paraId="28368FCC" w14:textId="4DD781BB"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2.</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Information from BDT Registration</w:t>
      </w:r>
      <w:r w:rsidR="00250529" w:rsidRPr="008C431B">
        <w:rPr>
          <w:rFonts w:asciiTheme="minorHAnsi" w:hAnsiTheme="minorHAnsi" w:cstheme="minorHAnsi"/>
          <w:lang w:eastAsia="en-GB"/>
        </w:rPr>
        <w:t>.</w:t>
      </w:r>
    </w:p>
    <w:p w14:paraId="503741A7" w14:textId="77777777" w:rsidR="00250529" w:rsidRPr="00986D12" w:rsidRDefault="00250529" w:rsidP="005B5E68">
      <w:pPr>
        <w:pStyle w:val="Subtitle0"/>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Data Sources for </w:t>
      </w:r>
      <w:proofErr w:type="spellStart"/>
      <w:r w:rsidRPr="00986D12">
        <w:rPr>
          <w:rFonts w:asciiTheme="minorHAnsi" w:hAnsiTheme="minorHAnsi" w:cstheme="minorHAnsi"/>
          <w:color w:val="000000" w:themeColor="text1"/>
        </w:rPr>
        <w:t>KPI</w:t>
      </w:r>
      <w:proofErr w:type="spellEnd"/>
      <w:r w:rsidRPr="00986D12">
        <w:rPr>
          <w:rFonts w:asciiTheme="minorHAnsi" w:hAnsiTheme="minorHAnsi" w:cstheme="minorHAnsi"/>
          <w:color w:val="000000" w:themeColor="text1"/>
        </w:rPr>
        <w:t xml:space="preserve"> </w:t>
      </w:r>
      <w:proofErr w:type="spellStart"/>
      <w:r w:rsidRPr="00986D12">
        <w:rPr>
          <w:rFonts w:asciiTheme="minorHAnsi" w:hAnsiTheme="minorHAnsi" w:cstheme="minorHAnsi"/>
          <w:color w:val="000000" w:themeColor="text1"/>
        </w:rPr>
        <w:t>13h</w:t>
      </w:r>
      <w:proofErr w:type="spellEnd"/>
      <w:r w:rsidRPr="00986D12">
        <w:rPr>
          <w:rFonts w:asciiTheme="minorHAnsi" w:hAnsiTheme="minorHAnsi" w:cstheme="minorHAnsi"/>
          <w:color w:val="000000" w:themeColor="text1"/>
        </w:rPr>
        <w:t xml:space="preserve"> </w:t>
      </w:r>
    </w:p>
    <w:p w14:paraId="72DE7483" w14:textId="406F2D0E"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1.</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Information from ITU legal team on contracts and other agreements for each regional and area office</w:t>
      </w:r>
      <w:r w:rsidR="00250529" w:rsidRPr="008C431B">
        <w:rPr>
          <w:rFonts w:asciiTheme="minorHAnsi" w:hAnsiTheme="minorHAnsi" w:cstheme="minorHAnsi"/>
          <w:lang w:eastAsia="en-GB"/>
        </w:rPr>
        <w:t>.</w:t>
      </w:r>
    </w:p>
    <w:p w14:paraId="5B28C56B" w14:textId="1E43311C"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2.</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 xml:space="preserve">Strengthening the Regional Presence - Criteria for Establishing Future Area Offices, Council 2024 Document </w:t>
      </w:r>
      <w:hyperlink r:id="rId84" w:tgtFrame="_blank" w:history="1">
        <w:proofErr w:type="spellStart"/>
        <w:r w:rsidR="00250529" w:rsidRPr="008C431B">
          <w:rPr>
            <w:rFonts w:asciiTheme="minorHAnsi" w:hAnsiTheme="minorHAnsi" w:cstheme="minorHAnsi"/>
            <w:color w:val="467886"/>
            <w:u w:val="single"/>
            <w:lang w:val="en-US" w:eastAsia="en-GB"/>
          </w:rPr>
          <w:t>C24</w:t>
        </w:r>
        <w:proofErr w:type="spellEnd"/>
        <w:r w:rsidR="00250529" w:rsidRPr="008C431B">
          <w:rPr>
            <w:rFonts w:asciiTheme="minorHAnsi" w:hAnsiTheme="minorHAnsi" w:cstheme="minorHAnsi"/>
            <w:color w:val="467886"/>
            <w:u w:val="single"/>
            <w:lang w:val="en-US" w:eastAsia="en-GB"/>
          </w:rPr>
          <w:t>/66</w:t>
        </w:r>
      </w:hyperlink>
      <w:r w:rsidR="00250529" w:rsidRPr="008C431B">
        <w:rPr>
          <w:rFonts w:asciiTheme="minorHAnsi" w:hAnsiTheme="minorHAnsi" w:cstheme="minorHAnsi"/>
          <w:lang w:val="en-US" w:eastAsia="en-GB"/>
        </w:rPr>
        <w:t xml:space="preserve"> &amp; Council Working Group 2023 Document </w:t>
      </w:r>
      <w:hyperlink r:id="rId85" w:tgtFrame="_blank" w:history="1">
        <w:r w:rsidR="00250529" w:rsidRPr="008C431B">
          <w:rPr>
            <w:rFonts w:asciiTheme="minorHAnsi" w:hAnsiTheme="minorHAnsi" w:cstheme="minorHAnsi"/>
            <w:color w:val="467886"/>
            <w:u w:val="single"/>
            <w:lang w:val="en-US" w:eastAsia="en-GB"/>
          </w:rPr>
          <w:t>CWG-FHR-16/10</w:t>
        </w:r>
      </w:hyperlink>
      <w:r w:rsidR="00250529" w:rsidRPr="008C431B">
        <w:rPr>
          <w:rFonts w:asciiTheme="minorHAnsi" w:hAnsiTheme="minorHAnsi" w:cstheme="minorHAnsi"/>
          <w:color w:val="467886"/>
          <w:lang w:eastAsia="en-GB"/>
        </w:rPr>
        <w:t>.</w:t>
      </w:r>
    </w:p>
    <w:p w14:paraId="462A6F37" w14:textId="0F452986"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3.</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Needs Assessment and Situation Analysis: Addressing the special telecommunications/ICT needs of Pacific Small Island Developing States.</w:t>
      </w:r>
    </w:p>
    <w:p w14:paraId="64F9668C" w14:textId="3DADB628"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4.</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val="en-US" w:eastAsia="en-GB"/>
        </w:rPr>
        <w:t>Draft Feasibility study: ITU presence in the Pacific Small Island Developing States.</w:t>
      </w:r>
    </w:p>
    <w:p w14:paraId="4EDFF355" w14:textId="77777777" w:rsidR="00250529" w:rsidRPr="00986D12" w:rsidRDefault="00250529" w:rsidP="005B5E68">
      <w:pPr>
        <w:pStyle w:val="Subtitle0"/>
        <w:jc w:val="both"/>
        <w:rPr>
          <w:rFonts w:asciiTheme="minorHAnsi" w:hAnsiTheme="minorHAnsi" w:cstheme="minorHAnsi"/>
          <w:color w:val="000000" w:themeColor="text1"/>
        </w:rPr>
      </w:pPr>
      <w:r w:rsidRPr="00986D12">
        <w:rPr>
          <w:rFonts w:asciiTheme="minorHAnsi" w:hAnsiTheme="minorHAnsi" w:cstheme="minorHAnsi"/>
          <w:color w:val="000000" w:themeColor="text1"/>
        </w:rPr>
        <w:t xml:space="preserve">Supplementary Information from Document Analysis </w:t>
      </w:r>
    </w:p>
    <w:p w14:paraId="0086E1FE" w14:textId="4E67D0B1" w:rsidR="00250529" w:rsidRPr="008C431B" w:rsidRDefault="008C431B" w:rsidP="008C431B">
      <w:pPr>
        <w:keepNext/>
        <w:tabs>
          <w:tab w:val="left" w:pos="720"/>
        </w:tabs>
        <w:spacing w:before="60" w:after="60"/>
        <w:ind w:left="720" w:hanging="360"/>
        <w:jc w:val="both"/>
        <w:rPr>
          <w:rFonts w:asciiTheme="minorHAnsi" w:hAnsiTheme="minorHAnsi" w:cstheme="minorHAnsi"/>
          <w:b/>
          <w:lang w:eastAsia="en-GB"/>
        </w:rPr>
      </w:pPr>
      <w:r w:rsidRPr="00986D12">
        <w:rPr>
          <w:rFonts w:asciiTheme="minorHAnsi" w:eastAsia="Aptos" w:hAnsiTheme="minorHAnsi" w:cstheme="minorHAnsi"/>
          <w:b/>
          <w:kern w:val="2"/>
          <w:sz w:val="22"/>
          <w:szCs w:val="22"/>
          <w:lang w:eastAsia="en-GB"/>
          <w14:ligatures w14:val="standardContextual"/>
        </w:rPr>
        <w:t>1.</w:t>
      </w:r>
      <w:r w:rsidRPr="00986D12">
        <w:rPr>
          <w:rFonts w:asciiTheme="minorHAnsi" w:eastAsia="Aptos" w:hAnsiTheme="minorHAnsi" w:cstheme="minorHAnsi"/>
          <w:b/>
          <w:kern w:val="2"/>
          <w:sz w:val="22"/>
          <w:szCs w:val="22"/>
          <w:lang w:eastAsia="en-GB"/>
          <w14:ligatures w14:val="standardContextual"/>
        </w:rPr>
        <w:tab/>
      </w:r>
      <w:r w:rsidR="00250529" w:rsidRPr="008C431B">
        <w:rPr>
          <w:rFonts w:asciiTheme="minorHAnsi" w:hAnsiTheme="minorHAnsi" w:cstheme="minorHAnsi"/>
          <w:b/>
          <w:lang w:eastAsia="en-GB"/>
        </w:rPr>
        <w:t xml:space="preserve">Tables and Charts on staff and budget distribution </w:t>
      </w:r>
    </w:p>
    <w:p w14:paraId="51988625" w14:textId="77777777" w:rsidR="00250529" w:rsidRPr="00986D12" w:rsidRDefault="00250529" w:rsidP="00507BF5">
      <w:pPr>
        <w:pStyle w:val="Subtitle0"/>
        <w:jc w:val="center"/>
        <w:rPr>
          <w:rFonts w:asciiTheme="minorHAnsi" w:hAnsiTheme="minorHAnsi" w:cstheme="minorHAnsi"/>
          <w:color w:val="000000" w:themeColor="text1"/>
        </w:rPr>
      </w:pPr>
      <w:r w:rsidRPr="00986D12">
        <w:rPr>
          <w:rFonts w:asciiTheme="minorHAnsi" w:hAnsiTheme="minorHAnsi" w:cstheme="minorHAnsi"/>
          <w:color w:val="000000" w:themeColor="text1"/>
        </w:rPr>
        <w:t>Overall ITU Staff Distribution</w:t>
      </w:r>
    </w:p>
    <w:tbl>
      <w:tblPr>
        <w:tblW w:w="0" w:type="dxa"/>
        <w:tblInd w:w="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1245"/>
        <w:gridCol w:w="1245"/>
        <w:gridCol w:w="1245"/>
        <w:gridCol w:w="1245"/>
        <w:gridCol w:w="1245"/>
      </w:tblGrid>
      <w:tr w:rsidR="00250529" w:rsidRPr="00986D12" w14:paraId="1CB49C75" w14:textId="77777777">
        <w:trPr>
          <w:trHeight w:val="270"/>
        </w:trPr>
        <w:tc>
          <w:tcPr>
            <w:tcW w:w="1245" w:type="dxa"/>
            <w:tcBorders>
              <w:top w:val="single" w:sz="6" w:space="0" w:color="FFFFFF"/>
              <w:left w:val="single" w:sz="6" w:space="0" w:color="FFFFFF"/>
              <w:bottom w:val="single" w:sz="6" w:space="0" w:color="FFFFFF"/>
              <w:right w:val="single" w:sz="6" w:space="0" w:color="FFFFFF"/>
            </w:tcBorders>
            <w:shd w:val="clear" w:color="auto" w:fill="45B0E1"/>
            <w:hideMark/>
          </w:tcPr>
          <w:p w14:paraId="635F0E1C" w14:textId="77777777" w:rsidR="00250529" w:rsidRPr="00986D12" w:rsidRDefault="00250529" w:rsidP="00507BF5">
            <w:pPr>
              <w:pStyle w:val="Tabletitle0"/>
              <w:keepNext/>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Grades</w:t>
            </w:r>
          </w:p>
        </w:tc>
        <w:tc>
          <w:tcPr>
            <w:tcW w:w="1245" w:type="dxa"/>
            <w:tcBorders>
              <w:top w:val="single" w:sz="6" w:space="0" w:color="FFFFFF"/>
              <w:left w:val="single" w:sz="6" w:space="0" w:color="FFFFFF"/>
              <w:bottom w:val="single" w:sz="6" w:space="0" w:color="FFFFFF"/>
              <w:right w:val="single" w:sz="6" w:space="0" w:color="FFFFFF"/>
            </w:tcBorders>
            <w:shd w:val="clear" w:color="auto" w:fill="45B0E1"/>
            <w:hideMark/>
          </w:tcPr>
          <w:p w14:paraId="50AD3737" w14:textId="77777777" w:rsidR="00250529" w:rsidRPr="00986D12" w:rsidRDefault="00250529" w:rsidP="00507BF5">
            <w:pPr>
              <w:pStyle w:val="Tabletitle0"/>
              <w:keepNext/>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Field</w:t>
            </w:r>
          </w:p>
        </w:tc>
        <w:tc>
          <w:tcPr>
            <w:tcW w:w="1245" w:type="dxa"/>
            <w:tcBorders>
              <w:top w:val="single" w:sz="6" w:space="0" w:color="FFFFFF"/>
              <w:left w:val="single" w:sz="6" w:space="0" w:color="FFFFFF"/>
              <w:bottom w:val="single" w:sz="6" w:space="0" w:color="FFFFFF"/>
              <w:right w:val="single" w:sz="6" w:space="0" w:color="FFFFFF"/>
            </w:tcBorders>
            <w:shd w:val="clear" w:color="auto" w:fill="45B0E1"/>
            <w:hideMark/>
          </w:tcPr>
          <w:p w14:paraId="202C1A2A" w14:textId="77777777" w:rsidR="00250529" w:rsidRPr="00986D12" w:rsidRDefault="00250529" w:rsidP="00507BF5">
            <w:pPr>
              <w:pStyle w:val="Tabletitle0"/>
              <w:keepNext/>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BDT  </w:t>
            </w:r>
          </w:p>
        </w:tc>
        <w:tc>
          <w:tcPr>
            <w:tcW w:w="1245" w:type="dxa"/>
            <w:tcBorders>
              <w:top w:val="single" w:sz="6" w:space="0" w:color="FFFFFF"/>
              <w:left w:val="single" w:sz="6" w:space="0" w:color="FFFFFF"/>
              <w:bottom w:val="single" w:sz="6" w:space="0" w:color="FFFFFF"/>
              <w:right w:val="single" w:sz="6" w:space="0" w:color="FFFFFF"/>
            </w:tcBorders>
            <w:shd w:val="clear" w:color="auto" w:fill="45B0E1"/>
            <w:hideMark/>
          </w:tcPr>
          <w:p w14:paraId="56F48749" w14:textId="77777777" w:rsidR="00250529" w:rsidRPr="00986D12" w:rsidRDefault="00250529" w:rsidP="00507BF5">
            <w:pPr>
              <w:pStyle w:val="Tabletitle0"/>
              <w:keepNext/>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TSB </w:t>
            </w:r>
          </w:p>
        </w:tc>
        <w:tc>
          <w:tcPr>
            <w:tcW w:w="1245" w:type="dxa"/>
            <w:tcBorders>
              <w:top w:val="single" w:sz="6" w:space="0" w:color="FFFFFF"/>
              <w:left w:val="single" w:sz="6" w:space="0" w:color="FFFFFF"/>
              <w:bottom w:val="single" w:sz="6" w:space="0" w:color="FFFFFF"/>
              <w:right w:val="single" w:sz="6" w:space="0" w:color="FFFFFF"/>
            </w:tcBorders>
            <w:shd w:val="clear" w:color="auto" w:fill="45B0E1"/>
            <w:hideMark/>
          </w:tcPr>
          <w:p w14:paraId="7DF6E70A" w14:textId="77777777" w:rsidR="00250529" w:rsidRPr="00986D12" w:rsidRDefault="00250529" w:rsidP="00507BF5">
            <w:pPr>
              <w:pStyle w:val="Tabletitle0"/>
              <w:keepNext/>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BR </w:t>
            </w:r>
          </w:p>
        </w:tc>
        <w:tc>
          <w:tcPr>
            <w:tcW w:w="1245" w:type="dxa"/>
            <w:tcBorders>
              <w:top w:val="single" w:sz="6" w:space="0" w:color="FFFFFF"/>
              <w:left w:val="single" w:sz="6" w:space="0" w:color="FFFFFF"/>
              <w:bottom w:val="single" w:sz="6" w:space="0" w:color="FFFFFF"/>
              <w:right w:val="single" w:sz="6" w:space="0" w:color="FFFFFF"/>
            </w:tcBorders>
            <w:shd w:val="clear" w:color="auto" w:fill="45B0E1"/>
            <w:hideMark/>
          </w:tcPr>
          <w:p w14:paraId="040A5D94" w14:textId="77777777" w:rsidR="00250529" w:rsidRPr="00986D12" w:rsidRDefault="00250529" w:rsidP="00507BF5">
            <w:pPr>
              <w:pStyle w:val="Tabletitle0"/>
              <w:keepNext/>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GS </w:t>
            </w:r>
          </w:p>
        </w:tc>
      </w:tr>
      <w:tr w:rsidR="00250529" w:rsidRPr="00986D12" w14:paraId="0F06FCA5" w14:textId="77777777">
        <w:trPr>
          <w:trHeight w:val="270"/>
        </w:trPr>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57E2F5FD"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D</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3903E1AC"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5</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64F55980"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8</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3377716C"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0847019F"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4</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2715EBE2"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9</w:t>
            </w:r>
          </w:p>
        </w:tc>
      </w:tr>
      <w:tr w:rsidR="00250529" w:rsidRPr="00986D12" w14:paraId="6FE7A65E" w14:textId="77777777">
        <w:trPr>
          <w:trHeight w:val="315"/>
        </w:trPr>
        <w:tc>
          <w:tcPr>
            <w:tcW w:w="1245" w:type="dxa"/>
            <w:tcBorders>
              <w:top w:val="single" w:sz="6" w:space="0" w:color="FFFFFF"/>
              <w:left w:val="single" w:sz="6" w:space="0" w:color="FFFFFF"/>
              <w:bottom w:val="single" w:sz="6" w:space="0" w:color="FFFFFF"/>
              <w:right w:val="single" w:sz="6" w:space="0" w:color="FFFFFF"/>
            </w:tcBorders>
            <w:hideMark/>
          </w:tcPr>
          <w:p w14:paraId="1A16FA9E"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P</w:t>
            </w:r>
          </w:p>
        </w:tc>
        <w:tc>
          <w:tcPr>
            <w:tcW w:w="1245" w:type="dxa"/>
            <w:tcBorders>
              <w:top w:val="single" w:sz="6" w:space="0" w:color="FFFFFF"/>
              <w:left w:val="single" w:sz="6" w:space="0" w:color="FFFFFF"/>
              <w:bottom w:val="single" w:sz="6" w:space="0" w:color="FFFFFF"/>
              <w:right w:val="single" w:sz="6" w:space="0" w:color="FFFFFF"/>
            </w:tcBorders>
            <w:hideMark/>
          </w:tcPr>
          <w:p w14:paraId="7E994D78"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41</w:t>
            </w:r>
          </w:p>
        </w:tc>
        <w:tc>
          <w:tcPr>
            <w:tcW w:w="1245" w:type="dxa"/>
            <w:tcBorders>
              <w:top w:val="single" w:sz="6" w:space="0" w:color="FFFFFF"/>
              <w:left w:val="single" w:sz="6" w:space="0" w:color="FFFFFF"/>
              <w:bottom w:val="single" w:sz="6" w:space="0" w:color="FFFFFF"/>
              <w:right w:val="single" w:sz="6" w:space="0" w:color="FFFFFF"/>
            </w:tcBorders>
            <w:hideMark/>
          </w:tcPr>
          <w:p w14:paraId="5A3DFF2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112</w:t>
            </w:r>
          </w:p>
        </w:tc>
        <w:tc>
          <w:tcPr>
            <w:tcW w:w="1245" w:type="dxa"/>
            <w:tcBorders>
              <w:top w:val="single" w:sz="6" w:space="0" w:color="FFFFFF"/>
              <w:left w:val="single" w:sz="6" w:space="0" w:color="FFFFFF"/>
              <w:bottom w:val="single" w:sz="6" w:space="0" w:color="FFFFFF"/>
              <w:right w:val="single" w:sz="6" w:space="0" w:color="FFFFFF"/>
            </w:tcBorders>
            <w:hideMark/>
          </w:tcPr>
          <w:p w14:paraId="1771B60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53</w:t>
            </w:r>
          </w:p>
        </w:tc>
        <w:tc>
          <w:tcPr>
            <w:tcW w:w="1245" w:type="dxa"/>
            <w:tcBorders>
              <w:top w:val="single" w:sz="6" w:space="0" w:color="FFFFFF"/>
              <w:left w:val="single" w:sz="6" w:space="0" w:color="FFFFFF"/>
              <w:bottom w:val="single" w:sz="6" w:space="0" w:color="FFFFFF"/>
              <w:right w:val="single" w:sz="6" w:space="0" w:color="FFFFFF"/>
            </w:tcBorders>
            <w:hideMark/>
          </w:tcPr>
          <w:p w14:paraId="006051D5"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96</w:t>
            </w:r>
          </w:p>
        </w:tc>
        <w:tc>
          <w:tcPr>
            <w:tcW w:w="1245" w:type="dxa"/>
            <w:tcBorders>
              <w:top w:val="single" w:sz="6" w:space="0" w:color="FFFFFF"/>
              <w:left w:val="single" w:sz="6" w:space="0" w:color="FFFFFF"/>
              <w:bottom w:val="single" w:sz="6" w:space="0" w:color="FFFFFF"/>
              <w:right w:val="single" w:sz="6" w:space="0" w:color="FFFFFF"/>
            </w:tcBorders>
            <w:hideMark/>
          </w:tcPr>
          <w:p w14:paraId="0A300976"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188</w:t>
            </w:r>
          </w:p>
        </w:tc>
      </w:tr>
      <w:tr w:rsidR="00250529" w:rsidRPr="00986D12" w14:paraId="4636B714" w14:textId="77777777">
        <w:trPr>
          <w:trHeight w:val="270"/>
        </w:trPr>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24E65CB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G</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347F139F"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15</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0A209760"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33</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1F5C04D6"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18</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283239BF"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41</w:t>
            </w:r>
          </w:p>
        </w:tc>
        <w:tc>
          <w:tcPr>
            <w:tcW w:w="1245" w:type="dxa"/>
            <w:tcBorders>
              <w:top w:val="single" w:sz="6" w:space="0" w:color="FFFFFF"/>
              <w:left w:val="single" w:sz="6" w:space="0" w:color="FFFFFF"/>
              <w:bottom w:val="single" w:sz="6" w:space="0" w:color="FFFFFF"/>
              <w:right w:val="single" w:sz="6" w:space="0" w:color="FFFFFF"/>
            </w:tcBorders>
            <w:shd w:val="clear" w:color="auto" w:fill="C1E4F5"/>
            <w:hideMark/>
          </w:tcPr>
          <w:p w14:paraId="29DE0A1D"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130</w:t>
            </w:r>
          </w:p>
        </w:tc>
      </w:tr>
      <w:tr w:rsidR="00250529" w:rsidRPr="00986D12" w14:paraId="73081C58" w14:textId="77777777">
        <w:trPr>
          <w:trHeight w:val="270"/>
        </w:trPr>
        <w:tc>
          <w:tcPr>
            <w:tcW w:w="1245" w:type="dxa"/>
            <w:tcBorders>
              <w:top w:val="single" w:sz="6" w:space="0" w:color="FFFFFF"/>
              <w:left w:val="single" w:sz="6" w:space="0" w:color="FFFFFF"/>
              <w:bottom w:val="single" w:sz="6" w:space="0" w:color="FFFFFF"/>
              <w:right w:val="single" w:sz="6" w:space="0" w:color="FFFFFF"/>
            </w:tcBorders>
            <w:hideMark/>
          </w:tcPr>
          <w:p w14:paraId="3C1A4B1D"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Total</w:t>
            </w:r>
          </w:p>
        </w:tc>
        <w:tc>
          <w:tcPr>
            <w:tcW w:w="1245" w:type="dxa"/>
            <w:tcBorders>
              <w:top w:val="single" w:sz="6" w:space="0" w:color="FFFFFF"/>
              <w:left w:val="single" w:sz="6" w:space="0" w:color="FFFFFF"/>
              <w:bottom w:val="single" w:sz="6" w:space="0" w:color="FFFFFF"/>
              <w:right w:val="single" w:sz="6" w:space="0" w:color="FFFFFF"/>
            </w:tcBorders>
            <w:hideMark/>
          </w:tcPr>
          <w:p w14:paraId="57C07100"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61*</w:t>
            </w:r>
          </w:p>
        </w:tc>
        <w:tc>
          <w:tcPr>
            <w:tcW w:w="1245" w:type="dxa"/>
            <w:tcBorders>
              <w:top w:val="single" w:sz="6" w:space="0" w:color="FFFFFF"/>
              <w:left w:val="single" w:sz="6" w:space="0" w:color="FFFFFF"/>
              <w:bottom w:val="single" w:sz="6" w:space="0" w:color="FFFFFF"/>
              <w:right w:val="single" w:sz="6" w:space="0" w:color="FFFFFF"/>
            </w:tcBorders>
            <w:hideMark/>
          </w:tcPr>
          <w:p w14:paraId="0CBBE232"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153</w:t>
            </w:r>
          </w:p>
        </w:tc>
        <w:tc>
          <w:tcPr>
            <w:tcW w:w="1245" w:type="dxa"/>
            <w:tcBorders>
              <w:top w:val="single" w:sz="6" w:space="0" w:color="FFFFFF"/>
              <w:left w:val="single" w:sz="6" w:space="0" w:color="FFFFFF"/>
              <w:bottom w:val="single" w:sz="6" w:space="0" w:color="FFFFFF"/>
              <w:right w:val="single" w:sz="6" w:space="0" w:color="FFFFFF"/>
            </w:tcBorders>
            <w:hideMark/>
          </w:tcPr>
          <w:p w14:paraId="1EE15FCC"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74</w:t>
            </w:r>
          </w:p>
        </w:tc>
        <w:tc>
          <w:tcPr>
            <w:tcW w:w="1245" w:type="dxa"/>
            <w:tcBorders>
              <w:top w:val="single" w:sz="6" w:space="0" w:color="FFFFFF"/>
              <w:left w:val="single" w:sz="6" w:space="0" w:color="FFFFFF"/>
              <w:bottom w:val="single" w:sz="6" w:space="0" w:color="FFFFFF"/>
              <w:right w:val="single" w:sz="6" w:space="0" w:color="FFFFFF"/>
            </w:tcBorders>
            <w:hideMark/>
          </w:tcPr>
          <w:p w14:paraId="4724E176"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141</w:t>
            </w:r>
          </w:p>
        </w:tc>
        <w:tc>
          <w:tcPr>
            <w:tcW w:w="1245" w:type="dxa"/>
            <w:tcBorders>
              <w:top w:val="single" w:sz="6" w:space="0" w:color="FFFFFF"/>
              <w:left w:val="single" w:sz="6" w:space="0" w:color="FFFFFF"/>
              <w:bottom w:val="single" w:sz="6" w:space="0" w:color="FFFFFF"/>
              <w:right w:val="single" w:sz="6" w:space="0" w:color="FFFFFF"/>
            </w:tcBorders>
            <w:hideMark/>
          </w:tcPr>
          <w:p w14:paraId="6CEA493A"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327</w:t>
            </w:r>
          </w:p>
        </w:tc>
      </w:tr>
    </w:tbl>
    <w:p w14:paraId="193459ED" w14:textId="6C1B6A7C" w:rsidR="00250529" w:rsidRPr="00986D12" w:rsidRDefault="00250529" w:rsidP="00507BF5">
      <w:pPr>
        <w:pStyle w:val="Notes"/>
        <w:rPr>
          <w:rFonts w:asciiTheme="minorHAnsi" w:hAnsiTheme="minorHAnsi" w:cstheme="minorBidi"/>
          <w:sz w:val="18"/>
          <w:szCs w:val="18"/>
          <w:lang w:eastAsia="en-GB"/>
        </w:rPr>
      </w:pPr>
      <w:r w:rsidRPr="0097338E">
        <w:rPr>
          <w:rFonts w:asciiTheme="minorHAnsi" w:hAnsiTheme="minorHAnsi" w:cstheme="minorBidi"/>
          <w:lang w:val="en-US" w:eastAsia="en-GB"/>
        </w:rPr>
        <w:t>Source: ITU HR system and analytics dashboard 2025.</w:t>
      </w:r>
      <w:r w:rsidRPr="0097338E">
        <w:br/>
      </w:r>
      <w:r w:rsidRPr="0097338E">
        <w:rPr>
          <w:rFonts w:asciiTheme="minorHAnsi" w:hAnsiTheme="minorHAnsi" w:cstheme="minorBidi"/>
          <w:lang w:eastAsia="en-GB"/>
        </w:rPr>
        <w:t xml:space="preserve">*Regional staff </w:t>
      </w:r>
      <w:r w:rsidR="004867CE" w:rsidRPr="0097338E">
        <w:rPr>
          <w:rFonts w:asciiTheme="minorHAnsi" w:hAnsiTheme="minorHAnsi" w:cstheme="minorBidi"/>
          <w:lang w:eastAsia="en-GB"/>
        </w:rPr>
        <w:t xml:space="preserve">also </w:t>
      </w:r>
      <w:r w:rsidRPr="0097338E">
        <w:rPr>
          <w:rFonts w:asciiTheme="minorHAnsi" w:hAnsiTheme="minorHAnsi" w:cstheme="minorBidi"/>
          <w:lang w:eastAsia="en-GB"/>
        </w:rPr>
        <w:t>includes 3 consultants.</w:t>
      </w:r>
    </w:p>
    <w:p w14:paraId="7C93DE91" w14:textId="77777777" w:rsidR="00250529" w:rsidRPr="00986D12" w:rsidRDefault="00250529" w:rsidP="00507BF5">
      <w:pPr>
        <w:pStyle w:val="Subtitle0"/>
        <w:jc w:val="center"/>
        <w:rPr>
          <w:rFonts w:asciiTheme="minorHAnsi" w:hAnsiTheme="minorHAnsi" w:cstheme="minorHAnsi"/>
          <w:color w:val="000000" w:themeColor="text1"/>
        </w:rPr>
      </w:pPr>
      <w:r w:rsidRPr="00986D12">
        <w:rPr>
          <w:rFonts w:asciiTheme="minorHAnsi" w:hAnsiTheme="minorHAnsi" w:cstheme="minorHAnsi"/>
          <w:color w:val="000000" w:themeColor="text1"/>
        </w:rPr>
        <w:lastRenderedPageBreak/>
        <w:t>ITU Staff distribution by Bureau</w:t>
      </w:r>
    </w:p>
    <w:p w14:paraId="4FCE6C44" w14:textId="77777777" w:rsidR="00250529" w:rsidRPr="00986D12" w:rsidRDefault="00250529" w:rsidP="00507BF5">
      <w:pPr>
        <w:jc w:val="center"/>
        <w:rPr>
          <w:rFonts w:asciiTheme="minorHAnsi" w:hAnsiTheme="minorHAnsi" w:cstheme="minorHAnsi"/>
          <w:sz w:val="18"/>
          <w:szCs w:val="18"/>
          <w:lang w:eastAsia="en-GB"/>
        </w:rPr>
      </w:pPr>
      <w:r w:rsidRPr="00986D12">
        <w:rPr>
          <w:rFonts w:asciiTheme="minorHAnsi" w:hAnsiTheme="minorHAnsi" w:cstheme="minorHAnsi"/>
          <w:noProof/>
        </w:rPr>
        <w:drawing>
          <wp:inline distT="0" distB="0" distL="0" distR="0" wp14:anchorId="254F3B1F" wp14:editId="6B9BCBEE">
            <wp:extent cx="4438650" cy="2667000"/>
            <wp:effectExtent l="0" t="0" r="0" b="0"/>
            <wp:docPr id="58461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38650" cy="2667000"/>
                    </a:xfrm>
                    <a:prstGeom prst="rect">
                      <a:avLst/>
                    </a:prstGeom>
                    <a:noFill/>
                    <a:ln>
                      <a:noFill/>
                    </a:ln>
                  </pic:spPr>
                </pic:pic>
              </a:graphicData>
            </a:graphic>
          </wp:inline>
        </w:drawing>
      </w:r>
    </w:p>
    <w:p w14:paraId="3D1C55D4" w14:textId="77777777" w:rsidR="00250529" w:rsidRPr="00986D12" w:rsidRDefault="00250529" w:rsidP="00507BF5">
      <w:pPr>
        <w:pStyle w:val="Subtitle0"/>
        <w:jc w:val="center"/>
        <w:rPr>
          <w:rFonts w:asciiTheme="minorHAnsi" w:hAnsiTheme="minorHAnsi" w:cstheme="minorHAnsi"/>
          <w:color w:val="000000" w:themeColor="text1"/>
        </w:rPr>
      </w:pPr>
      <w:r w:rsidRPr="00986D12">
        <w:rPr>
          <w:rFonts w:asciiTheme="minorHAnsi" w:hAnsiTheme="minorHAnsi" w:cstheme="minorHAnsi"/>
          <w:color w:val="000000" w:themeColor="text1"/>
        </w:rPr>
        <w:t>ITU Staff distribution by location (HQ/Field)</w:t>
      </w:r>
    </w:p>
    <w:p w14:paraId="031579CA" w14:textId="77777777" w:rsidR="00250529" w:rsidRPr="00986D12" w:rsidRDefault="00250529" w:rsidP="00507BF5">
      <w:pPr>
        <w:jc w:val="center"/>
        <w:rPr>
          <w:rFonts w:asciiTheme="minorHAnsi" w:hAnsiTheme="minorHAnsi" w:cstheme="minorHAnsi"/>
          <w:sz w:val="18"/>
          <w:szCs w:val="18"/>
          <w:lang w:eastAsia="en-GB"/>
        </w:rPr>
      </w:pPr>
      <w:r w:rsidRPr="00986D12">
        <w:rPr>
          <w:rFonts w:asciiTheme="minorHAnsi" w:hAnsiTheme="minorHAnsi" w:cstheme="minorHAnsi"/>
          <w:noProof/>
        </w:rPr>
        <w:drawing>
          <wp:inline distT="0" distB="0" distL="0" distR="0" wp14:anchorId="52EB6817" wp14:editId="2C05134C">
            <wp:extent cx="3429000" cy="2057400"/>
            <wp:effectExtent l="0" t="0" r="0" b="0"/>
            <wp:docPr id="1904916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14:paraId="69EDF0B4" w14:textId="77777777" w:rsidR="00250529" w:rsidRPr="00986D12" w:rsidRDefault="00250529" w:rsidP="00507BF5">
      <w:pPr>
        <w:pStyle w:val="Subtitle0"/>
        <w:jc w:val="center"/>
        <w:rPr>
          <w:rFonts w:asciiTheme="minorHAnsi" w:hAnsiTheme="minorHAnsi" w:cstheme="minorHAnsi"/>
          <w:color w:val="000000" w:themeColor="text1"/>
        </w:rPr>
      </w:pPr>
      <w:r w:rsidRPr="00986D12">
        <w:rPr>
          <w:rFonts w:asciiTheme="minorHAnsi" w:hAnsiTheme="minorHAnsi" w:cstheme="minorHAnsi"/>
          <w:color w:val="000000" w:themeColor="text1"/>
        </w:rPr>
        <w:t>Member States serviced by Regional and Area Offices</w:t>
      </w:r>
    </w:p>
    <w:tbl>
      <w:tblPr>
        <w:tblW w:w="5000" w:type="pct"/>
        <w:jc w:val="center"/>
        <w:tbl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insideH w:val="single" w:sz="6" w:space="0" w:color="CCC0D9" w:themeColor="accent4" w:themeTint="66"/>
          <w:insideV w:val="single" w:sz="6" w:space="0" w:color="CCC0D9" w:themeColor="accent4" w:themeTint="66"/>
        </w:tblBorders>
        <w:tblCellMar>
          <w:left w:w="0" w:type="dxa"/>
          <w:right w:w="0" w:type="dxa"/>
        </w:tblCellMar>
        <w:tblLook w:val="04A0" w:firstRow="1" w:lastRow="0" w:firstColumn="1" w:lastColumn="0" w:noHBand="0" w:noVBand="1"/>
      </w:tblPr>
      <w:tblGrid>
        <w:gridCol w:w="1205"/>
        <w:gridCol w:w="2036"/>
        <w:gridCol w:w="2094"/>
        <w:gridCol w:w="1533"/>
        <w:gridCol w:w="1519"/>
        <w:gridCol w:w="668"/>
      </w:tblGrid>
      <w:tr w:rsidR="00250529" w:rsidRPr="00986D12" w14:paraId="17D17BD0" w14:textId="77777777" w:rsidTr="00507BF5">
        <w:trPr>
          <w:tblHeader/>
          <w:jc w:val="center"/>
        </w:trPr>
        <w:tc>
          <w:tcPr>
            <w:tcW w:w="1268" w:type="dxa"/>
            <w:shd w:val="clear" w:color="auto" w:fill="45B0E1"/>
            <w:hideMark/>
          </w:tcPr>
          <w:p w14:paraId="68381DAE" w14:textId="77777777" w:rsidR="00250529" w:rsidRPr="00986D12" w:rsidRDefault="00250529" w:rsidP="00507BF5">
            <w:pPr>
              <w:pStyle w:val="Texttable"/>
              <w:rPr>
                <w:rFonts w:asciiTheme="minorHAnsi" w:hAnsiTheme="minorHAnsi" w:cstheme="minorHAnsi"/>
                <w:b/>
                <w:sz w:val="16"/>
                <w:szCs w:val="16"/>
                <w:lang w:eastAsia="en-GB"/>
              </w:rPr>
            </w:pPr>
            <w:r w:rsidRPr="00986D12">
              <w:rPr>
                <w:rFonts w:asciiTheme="minorHAnsi" w:hAnsiTheme="minorHAnsi" w:cstheme="minorHAnsi"/>
                <w:b/>
                <w:sz w:val="16"/>
                <w:szCs w:val="16"/>
                <w:lang w:eastAsia="en-GB"/>
              </w:rPr>
              <w:t>  Region</w:t>
            </w:r>
          </w:p>
        </w:tc>
        <w:tc>
          <w:tcPr>
            <w:tcW w:w="2126" w:type="dxa"/>
            <w:shd w:val="clear" w:color="auto" w:fill="45B0E1"/>
            <w:hideMark/>
          </w:tcPr>
          <w:p w14:paraId="4BD78975" w14:textId="77777777" w:rsidR="00250529" w:rsidRPr="00986D12" w:rsidRDefault="00250529" w:rsidP="00507BF5">
            <w:pPr>
              <w:pStyle w:val="Texttable"/>
              <w:rPr>
                <w:rFonts w:asciiTheme="minorHAnsi" w:hAnsiTheme="minorHAnsi" w:cstheme="minorHAnsi"/>
                <w:b/>
                <w:sz w:val="16"/>
                <w:szCs w:val="16"/>
                <w:lang w:eastAsia="en-GB"/>
              </w:rPr>
            </w:pPr>
            <w:r w:rsidRPr="00986D12">
              <w:rPr>
                <w:rFonts w:asciiTheme="minorHAnsi" w:hAnsiTheme="minorHAnsi" w:cstheme="minorHAnsi"/>
                <w:b/>
                <w:sz w:val="16"/>
                <w:szCs w:val="16"/>
                <w:lang w:eastAsia="en-GB"/>
              </w:rPr>
              <w:t>Regional Office  </w:t>
            </w:r>
          </w:p>
        </w:tc>
        <w:tc>
          <w:tcPr>
            <w:tcW w:w="2270" w:type="dxa"/>
            <w:shd w:val="clear" w:color="auto" w:fill="45B0E1"/>
            <w:hideMark/>
          </w:tcPr>
          <w:p w14:paraId="26C120E7" w14:textId="77777777" w:rsidR="00250529" w:rsidRPr="00986D12" w:rsidRDefault="00250529" w:rsidP="00507BF5">
            <w:pPr>
              <w:pStyle w:val="Texttable"/>
              <w:rPr>
                <w:rFonts w:asciiTheme="minorHAnsi" w:hAnsiTheme="minorHAnsi" w:cstheme="minorHAnsi"/>
                <w:b/>
                <w:sz w:val="16"/>
                <w:szCs w:val="16"/>
                <w:lang w:eastAsia="en-GB"/>
              </w:rPr>
            </w:pPr>
            <w:r w:rsidRPr="00986D12">
              <w:rPr>
                <w:rFonts w:asciiTheme="minorHAnsi" w:hAnsiTheme="minorHAnsi" w:cstheme="minorHAnsi"/>
                <w:b/>
                <w:sz w:val="16"/>
                <w:szCs w:val="16"/>
                <w:lang w:eastAsia="en-GB"/>
              </w:rPr>
              <w:t> Area Office  </w:t>
            </w:r>
          </w:p>
        </w:tc>
        <w:tc>
          <w:tcPr>
            <w:tcW w:w="1638" w:type="dxa"/>
            <w:shd w:val="clear" w:color="auto" w:fill="45B0E1"/>
            <w:hideMark/>
          </w:tcPr>
          <w:p w14:paraId="5A17F7C3" w14:textId="77777777" w:rsidR="00250529" w:rsidRPr="00986D12" w:rsidRDefault="00250529" w:rsidP="00507BF5">
            <w:pPr>
              <w:pStyle w:val="Texttable"/>
              <w:rPr>
                <w:rFonts w:asciiTheme="minorHAnsi" w:hAnsiTheme="minorHAnsi" w:cstheme="minorHAnsi"/>
                <w:b/>
                <w:sz w:val="16"/>
                <w:szCs w:val="16"/>
                <w:lang w:eastAsia="en-GB"/>
              </w:rPr>
            </w:pPr>
            <w:r w:rsidRPr="00986D12">
              <w:rPr>
                <w:rFonts w:asciiTheme="minorHAnsi" w:hAnsiTheme="minorHAnsi" w:cstheme="minorHAnsi"/>
                <w:b/>
                <w:sz w:val="16"/>
                <w:szCs w:val="16"/>
                <w:lang w:eastAsia="en-GB"/>
              </w:rPr>
              <w:t> Area Office  </w:t>
            </w:r>
          </w:p>
        </w:tc>
        <w:tc>
          <w:tcPr>
            <w:tcW w:w="1621" w:type="dxa"/>
            <w:shd w:val="clear" w:color="auto" w:fill="45B0E1"/>
            <w:hideMark/>
          </w:tcPr>
          <w:p w14:paraId="6488D65E" w14:textId="77777777" w:rsidR="00250529" w:rsidRPr="00986D12" w:rsidRDefault="00250529" w:rsidP="00507BF5">
            <w:pPr>
              <w:pStyle w:val="Texttable"/>
              <w:rPr>
                <w:rFonts w:asciiTheme="minorHAnsi" w:hAnsiTheme="minorHAnsi" w:cstheme="minorHAnsi"/>
                <w:b/>
                <w:sz w:val="16"/>
                <w:szCs w:val="16"/>
                <w:lang w:eastAsia="en-GB"/>
              </w:rPr>
            </w:pPr>
            <w:r w:rsidRPr="00986D12">
              <w:rPr>
                <w:rFonts w:asciiTheme="minorHAnsi" w:hAnsiTheme="minorHAnsi" w:cstheme="minorHAnsi"/>
                <w:b/>
                <w:sz w:val="16"/>
                <w:szCs w:val="16"/>
                <w:lang w:eastAsia="en-GB"/>
              </w:rPr>
              <w:t>Area Office  </w:t>
            </w:r>
          </w:p>
        </w:tc>
        <w:tc>
          <w:tcPr>
            <w:tcW w:w="700" w:type="dxa"/>
            <w:shd w:val="clear" w:color="auto" w:fill="45B0E1"/>
            <w:hideMark/>
          </w:tcPr>
          <w:p w14:paraId="7094CEE1" w14:textId="77777777" w:rsidR="00250529" w:rsidRPr="00986D12" w:rsidRDefault="00250529" w:rsidP="00507BF5">
            <w:pPr>
              <w:pStyle w:val="Texttable"/>
              <w:rPr>
                <w:rFonts w:asciiTheme="minorHAnsi" w:hAnsiTheme="minorHAnsi" w:cstheme="minorHAnsi"/>
                <w:b/>
                <w:sz w:val="16"/>
                <w:szCs w:val="16"/>
                <w:lang w:eastAsia="en-GB"/>
              </w:rPr>
            </w:pPr>
            <w:r w:rsidRPr="00986D12">
              <w:rPr>
                <w:rFonts w:asciiTheme="minorHAnsi" w:hAnsiTheme="minorHAnsi" w:cstheme="minorHAnsi"/>
                <w:b/>
                <w:sz w:val="16"/>
                <w:szCs w:val="16"/>
                <w:lang w:eastAsia="en-GB"/>
              </w:rPr>
              <w:t>Total   </w:t>
            </w:r>
          </w:p>
        </w:tc>
      </w:tr>
      <w:tr w:rsidR="00250529" w:rsidRPr="00986D12" w14:paraId="10B459D0" w14:textId="77777777" w:rsidTr="00507BF5">
        <w:trPr>
          <w:jc w:val="center"/>
        </w:trPr>
        <w:tc>
          <w:tcPr>
            <w:tcW w:w="1268" w:type="dxa"/>
            <w:shd w:val="clear" w:color="auto" w:fill="C1E4F5"/>
            <w:hideMark/>
          </w:tcPr>
          <w:p w14:paraId="5A878798"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AFRICA  </w:t>
            </w:r>
          </w:p>
        </w:tc>
        <w:tc>
          <w:tcPr>
            <w:tcW w:w="2126" w:type="dxa"/>
            <w:shd w:val="clear" w:color="auto" w:fill="C1E4F5"/>
            <w:hideMark/>
          </w:tcPr>
          <w:p w14:paraId="1C69B26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Addis Ababa, Ethiopia: 5  </w:t>
            </w:r>
          </w:p>
        </w:tc>
        <w:tc>
          <w:tcPr>
            <w:tcW w:w="2270" w:type="dxa"/>
            <w:shd w:val="clear" w:color="auto" w:fill="C1E4F5"/>
            <w:hideMark/>
          </w:tcPr>
          <w:p w14:paraId="1DEEE22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Harare, Zimbabwe :12  </w:t>
            </w:r>
          </w:p>
        </w:tc>
        <w:tc>
          <w:tcPr>
            <w:tcW w:w="1638" w:type="dxa"/>
            <w:shd w:val="clear" w:color="auto" w:fill="C1E4F5"/>
            <w:hideMark/>
          </w:tcPr>
          <w:p w14:paraId="7065E05B"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Yaoundé, Cameroon: 11  </w:t>
            </w:r>
          </w:p>
        </w:tc>
        <w:tc>
          <w:tcPr>
            <w:tcW w:w="1621" w:type="dxa"/>
            <w:shd w:val="clear" w:color="auto" w:fill="C1E4F5"/>
            <w:hideMark/>
          </w:tcPr>
          <w:p w14:paraId="0F5CF122"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Dakar, Senegal: 15  </w:t>
            </w:r>
          </w:p>
        </w:tc>
        <w:tc>
          <w:tcPr>
            <w:tcW w:w="700" w:type="dxa"/>
            <w:shd w:val="clear" w:color="auto" w:fill="C1E4F5"/>
            <w:hideMark/>
          </w:tcPr>
          <w:p w14:paraId="7B9B526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43   </w:t>
            </w:r>
          </w:p>
        </w:tc>
      </w:tr>
      <w:tr w:rsidR="00250529" w:rsidRPr="00986D12" w14:paraId="2970FDE1" w14:textId="77777777" w:rsidTr="00507BF5">
        <w:trPr>
          <w:jc w:val="center"/>
        </w:trPr>
        <w:tc>
          <w:tcPr>
            <w:tcW w:w="1268" w:type="dxa"/>
            <w:hideMark/>
          </w:tcPr>
          <w:p w14:paraId="71E63CB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126" w:type="dxa"/>
            <w:hideMark/>
          </w:tcPr>
          <w:p w14:paraId="28B4A64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Ethiopia, Kenya, Uganda, Tanzania and South Sudan  </w:t>
            </w:r>
          </w:p>
        </w:tc>
        <w:tc>
          <w:tcPr>
            <w:tcW w:w="2270" w:type="dxa"/>
            <w:hideMark/>
          </w:tcPr>
          <w:p w14:paraId="355CC63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Angola, Botswana, Lesotho, Malawi, Mauritius, Mozambique, Namibia, Seychelles, South Africa, Swaziland, Zambia, Zimbabwe   </w:t>
            </w:r>
          </w:p>
        </w:tc>
        <w:tc>
          <w:tcPr>
            <w:tcW w:w="1638" w:type="dxa"/>
            <w:hideMark/>
          </w:tcPr>
          <w:p w14:paraId="432C270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Burundi, Cameroon, Central African Rep., Chad, Congo, Dem. Rep. of the Congo, Equatorial Guinea, Gabon, Madagascar, Rwanda (Republic of), Sao Tome and Principe   </w:t>
            </w:r>
          </w:p>
        </w:tc>
        <w:tc>
          <w:tcPr>
            <w:tcW w:w="1621" w:type="dxa"/>
            <w:hideMark/>
          </w:tcPr>
          <w:p w14:paraId="0FE33B73" w14:textId="77777777" w:rsidR="00250529" w:rsidRPr="00986D12" w:rsidRDefault="00250529" w:rsidP="00507BF5">
            <w:pPr>
              <w:pStyle w:val="Texttable"/>
              <w:rPr>
                <w:rFonts w:asciiTheme="minorHAnsi" w:hAnsiTheme="minorHAnsi" w:cstheme="minorHAnsi"/>
                <w:sz w:val="16"/>
                <w:szCs w:val="16"/>
                <w:lang w:val="it-IT" w:eastAsia="en-GB"/>
              </w:rPr>
            </w:pPr>
            <w:r w:rsidRPr="00986D12">
              <w:rPr>
                <w:rFonts w:asciiTheme="minorHAnsi" w:hAnsiTheme="minorHAnsi" w:cstheme="minorHAnsi"/>
                <w:sz w:val="16"/>
                <w:szCs w:val="16"/>
                <w:lang w:val="it-IT" w:eastAsia="en-GB"/>
              </w:rPr>
              <w:t>Benin, Burkina Faso, Cape Verde, Côte d'Ivoire, Gambia, Ghana, Guinea, Guinea-Bissau, Liberia, Mali, Niger, Nigeria, Senegal, Sierra Leone, Togo  </w:t>
            </w:r>
          </w:p>
        </w:tc>
        <w:tc>
          <w:tcPr>
            <w:tcW w:w="700" w:type="dxa"/>
            <w:hideMark/>
          </w:tcPr>
          <w:p w14:paraId="1B6C6BD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r>
      <w:tr w:rsidR="00250529" w:rsidRPr="00986D12" w14:paraId="00A13415" w14:textId="77777777" w:rsidTr="00507BF5">
        <w:trPr>
          <w:jc w:val="center"/>
        </w:trPr>
        <w:tc>
          <w:tcPr>
            <w:tcW w:w="1268" w:type="dxa"/>
            <w:shd w:val="clear" w:color="auto" w:fill="C1E4F5"/>
            <w:hideMark/>
          </w:tcPr>
          <w:p w14:paraId="6EC8691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AMERICAS  </w:t>
            </w:r>
          </w:p>
        </w:tc>
        <w:tc>
          <w:tcPr>
            <w:tcW w:w="2126" w:type="dxa"/>
            <w:shd w:val="clear" w:color="auto" w:fill="C1E4F5"/>
            <w:hideMark/>
          </w:tcPr>
          <w:p w14:paraId="19758F93"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Brasilia, Brazil: 3  </w:t>
            </w:r>
          </w:p>
        </w:tc>
        <w:tc>
          <w:tcPr>
            <w:tcW w:w="2270" w:type="dxa"/>
            <w:shd w:val="clear" w:color="auto" w:fill="C1E4F5"/>
            <w:hideMark/>
          </w:tcPr>
          <w:p w14:paraId="4E11AEA0"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Tegucigalpa, Honduras: 9  </w:t>
            </w:r>
          </w:p>
        </w:tc>
        <w:tc>
          <w:tcPr>
            <w:tcW w:w="1638" w:type="dxa"/>
            <w:shd w:val="clear" w:color="auto" w:fill="C1E4F5"/>
            <w:hideMark/>
          </w:tcPr>
          <w:p w14:paraId="1765211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Santiago, Chile: 9  </w:t>
            </w:r>
          </w:p>
        </w:tc>
        <w:tc>
          <w:tcPr>
            <w:tcW w:w="1621" w:type="dxa"/>
            <w:shd w:val="clear" w:color="auto" w:fill="C1E4F5"/>
            <w:hideMark/>
          </w:tcPr>
          <w:p w14:paraId="1DB4527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Bridgetown, Barbados: 14  </w:t>
            </w:r>
          </w:p>
        </w:tc>
        <w:tc>
          <w:tcPr>
            <w:tcW w:w="700" w:type="dxa"/>
            <w:shd w:val="clear" w:color="auto" w:fill="C1E4F5"/>
            <w:hideMark/>
          </w:tcPr>
          <w:p w14:paraId="29CB8B06"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35  </w:t>
            </w:r>
          </w:p>
        </w:tc>
      </w:tr>
      <w:tr w:rsidR="00250529" w:rsidRPr="00986D12" w14:paraId="204CFC80" w14:textId="77777777" w:rsidTr="00507BF5">
        <w:trPr>
          <w:jc w:val="center"/>
        </w:trPr>
        <w:tc>
          <w:tcPr>
            <w:tcW w:w="1268" w:type="dxa"/>
            <w:hideMark/>
          </w:tcPr>
          <w:p w14:paraId="4357C75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126" w:type="dxa"/>
            <w:hideMark/>
          </w:tcPr>
          <w:p w14:paraId="198854C4"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Brazil, Canada, United States of America.  </w:t>
            </w:r>
          </w:p>
        </w:tc>
        <w:tc>
          <w:tcPr>
            <w:tcW w:w="2270" w:type="dxa"/>
            <w:hideMark/>
          </w:tcPr>
          <w:p w14:paraId="1E28AC8F" w14:textId="77777777" w:rsidR="00250529" w:rsidRPr="00986D12" w:rsidRDefault="00250529" w:rsidP="00507BF5">
            <w:pPr>
              <w:pStyle w:val="Texttable"/>
              <w:rPr>
                <w:rFonts w:asciiTheme="minorHAnsi" w:hAnsiTheme="minorHAnsi" w:cstheme="minorHAnsi"/>
                <w:sz w:val="16"/>
                <w:szCs w:val="16"/>
                <w:lang w:val="es-419" w:eastAsia="en-GB"/>
              </w:rPr>
            </w:pPr>
            <w:r w:rsidRPr="00986D12">
              <w:rPr>
                <w:rFonts w:asciiTheme="minorHAnsi" w:hAnsiTheme="minorHAnsi" w:cstheme="minorHAnsi"/>
                <w:sz w:val="16"/>
                <w:szCs w:val="16"/>
                <w:lang w:val="es-PE" w:eastAsia="en-GB"/>
              </w:rPr>
              <w:t xml:space="preserve"> Costa Rica, Cuba, </w:t>
            </w:r>
            <w:proofErr w:type="spellStart"/>
            <w:r w:rsidRPr="00986D12">
              <w:rPr>
                <w:rFonts w:asciiTheme="minorHAnsi" w:hAnsiTheme="minorHAnsi" w:cstheme="minorHAnsi"/>
                <w:sz w:val="16"/>
                <w:szCs w:val="16"/>
                <w:lang w:val="es-PE" w:eastAsia="en-GB"/>
              </w:rPr>
              <w:t>Dominican</w:t>
            </w:r>
            <w:proofErr w:type="spellEnd"/>
            <w:r w:rsidRPr="00986D12">
              <w:rPr>
                <w:rFonts w:asciiTheme="minorHAnsi" w:hAnsiTheme="minorHAnsi" w:cstheme="minorHAnsi"/>
                <w:sz w:val="16"/>
                <w:szCs w:val="16"/>
                <w:lang w:val="es-PE" w:eastAsia="en-GB"/>
              </w:rPr>
              <w:t xml:space="preserve"> </w:t>
            </w:r>
            <w:proofErr w:type="spellStart"/>
            <w:r w:rsidRPr="00986D12">
              <w:rPr>
                <w:rFonts w:asciiTheme="minorHAnsi" w:hAnsiTheme="minorHAnsi" w:cstheme="minorHAnsi"/>
                <w:sz w:val="16"/>
                <w:szCs w:val="16"/>
                <w:lang w:val="es-PE" w:eastAsia="en-GB"/>
              </w:rPr>
              <w:t>Republic</w:t>
            </w:r>
            <w:proofErr w:type="spellEnd"/>
            <w:r w:rsidRPr="00986D12">
              <w:rPr>
                <w:rFonts w:asciiTheme="minorHAnsi" w:hAnsiTheme="minorHAnsi" w:cstheme="minorHAnsi"/>
                <w:sz w:val="16"/>
                <w:szCs w:val="16"/>
                <w:lang w:val="es-PE" w:eastAsia="en-GB"/>
              </w:rPr>
              <w:t>, El Salvador, Guatemala, Honduras, Mexico, Nicaragua, and Panama. </w:t>
            </w:r>
            <w:r w:rsidRPr="00986D12">
              <w:rPr>
                <w:rFonts w:asciiTheme="minorHAnsi" w:hAnsiTheme="minorHAnsi" w:cstheme="minorHAnsi"/>
                <w:sz w:val="16"/>
                <w:szCs w:val="16"/>
                <w:lang w:val="es-419" w:eastAsia="en-GB"/>
              </w:rPr>
              <w:t> </w:t>
            </w:r>
          </w:p>
        </w:tc>
        <w:tc>
          <w:tcPr>
            <w:tcW w:w="1638" w:type="dxa"/>
            <w:hideMark/>
          </w:tcPr>
          <w:p w14:paraId="1970BD1F" w14:textId="77777777" w:rsidR="00250529" w:rsidRPr="00986D12" w:rsidRDefault="00250529" w:rsidP="00507BF5">
            <w:pPr>
              <w:pStyle w:val="Texttable"/>
              <w:rPr>
                <w:rFonts w:asciiTheme="minorHAnsi" w:hAnsiTheme="minorHAnsi" w:cstheme="minorHAnsi"/>
                <w:sz w:val="16"/>
                <w:szCs w:val="16"/>
                <w:lang w:val="es-419" w:eastAsia="en-GB"/>
              </w:rPr>
            </w:pPr>
            <w:r w:rsidRPr="00986D12">
              <w:rPr>
                <w:rFonts w:asciiTheme="minorHAnsi" w:hAnsiTheme="minorHAnsi" w:cstheme="minorHAnsi"/>
                <w:sz w:val="16"/>
                <w:szCs w:val="16"/>
                <w:lang w:val="es-PE" w:eastAsia="en-GB"/>
              </w:rPr>
              <w:t>Argentina, Bolivia, Chile, Colombia, Ecuador, Paraguay, Peru, Uruguay, and Venezuela. </w:t>
            </w:r>
            <w:r w:rsidRPr="00986D12">
              <w:rPr>
                <w:rFonts w:asciiTheme="minorHAnsi" w:hAnsiTheme="minorHAnsi" w:cstheme="minorHAnsi"/>
                <w:sz w:val="16"/>
                <w:szCs w:val="16"/>
                <w:lang w:val="es-419" w:eastAsia="en-GB"/>
              </w:rPr>
              <w:t> </w:t>
            </w:r>
          </w:p>
        </w:tc>
        <w:tc>
          <w:tcPr>
            <w:tcW w:w="1621" w:type="dxa"/>
            <w:hideMark/>
          </w:tcPr>
          <w:p w14:paraId="15141991" w14:textId="77777777" w:rsidR="00250529" w:rsidRPr="00B53A9C" w:rsidRDefault="00250529" w:rsidP="00507BF5">
            <w:pPr>
              <w:pStyle w:val="Texttable"/>
              <w:rPr>
                <w:rFonts w:asciiTheme="minorHAnsi" w:hAnsiTheme="minorHAnsi" w:cstheme="minorHAnsi"/>
                <w:sz w:val="16"/>
                <w:szCs w:val="16"/>
                <w:lang w:eastAsia="en-GB"/>
              </w:rPr>
            </w:pPr>
            <w:r w:rsidRPr="00B53A9C">
              <w:rPr>
                <w:rFonts w:asciiTheme="minorHAnsi" w:hAnsiTheme="minorHAnsi" w:cstheme="minorHAnsi"/>
                <w:sz w:val="16"/>
                <w:szCs w:val="16"/>
                <w:lang w:eastAsia="en-GB"/>
              </w:rPr>
              <w:t xml:space="preserve">Antigua and Barbuda, Bahamas, Barbados, Belize, Dominica, Grenada, Guyana, Haiti, Jamaica, St Kitts and Nevis, Saint Lucia, </w:t>
            </w:r>
            <w:r w:rsidRPr="00B53A9C">
              <w:rPr>
                <w:rFonts w:asciiTheme="minorHAnsi" w:hAnsiTheme="minorHAnsi" w:cstheme="minorHAnsi"/>
                <w:sz w:val="16"/>
                <w:szCs w:val="16"/>
                <w:lang w:eastAsia="en-GB"/>
              </w:rPr>
              <w:lastRenderedPageBreak/>
              <w:t>Saint Vincent and the Grenadines, Suriname, and Trinidad and Tobago.  </w:t>
            </w:r>
          </w:p>
        </w:tc>
        <w:tc>
          <w:tcPr>
            <w:tcW w:w="700" w:type="dxa"/>
            <w:hideMark/>
          </w:tcPr>
          <w:p w14:paraId="3F259835"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lastRenderedPageBreak/>
              <w:t>  </w:t>
            </w:r>
          </w:p>
        </w:tc>
      </w:tr>
      <w:tr w:rsidR="00250529" w:rsidRPr="00986D12" w14:paraId="5AD26524" w14:textId="77777777" w:rsidTr="00507BF5">
        <w:trPr>
          <w:jc w:val="center"/>
        </w:trPr>
        <w:tc>
          <w:tcPr>
            <w:tcW w:w="1268" w:type="dxa"/>
            <w:shd w:val="clear" w:color="auto" w:fill="C1E4F5"/>
            <w:hideMark/>
          </w:tcPr>
          <w:p w14:paraId="447F8CC5"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ARAB STATES  </w:t>
            </w:r>
          </w:p>
        </w:tc>
        <w:tc>
          <w:tcPr>
            <w:tcW w:w="2126" w:type="dxa"/>
            <w:shd w:val="clear" w:color="auto" w:fill="C1E4F5"/>
            <w:hideMark/>
          </w:tcPr>
          <w:p w14:paraId="6C484C56"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Cairo, Egypt: 22  </w:t>
            </w:r>
          </w:p>
        </w:tc>
        <w:tc>
          <w:tcPr>
            <w:tcW w:w="2270" w:type="dxa"/>
            <w:shd w:val="clear" w:color="auto" w:fill="C1E4F5"/>
            <w:hideMark/>
          </w:tcPr>
          <w:p w14:paraId="2CA5793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shd w:val="clear" w:color="auto" w:fill="C1E4F5"/>
            <w:hideMark/>
          </w:tcPr>
          <w:p w14:paraId="632874D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shd w:val="clear" w:color="auto" w:fill="C1E4F5"/>
            <w:hideMark/>
          </w:tcPr>
          <w:p w14:paraId="22167275"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shd w:val="clear" w:color="auto" w:fill="C1E4F5"/>
            <w:hideMark/>
          </w:tcPr>
          <w:p w14:paraId="5231C7F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22  </w:t>
            </w:r>
          </w:p>
        </w:tc>
      </w:tr>
      <w:tr w:rsidR="00250529" w:rsidRPr="00986D12" w14:paraId="5152777E" w14:textId="77777777" w:rsidTr="00507BF5">
        <w:trPr>
          <w:jc w:val="center"/>
        </w:trPr>
        <w:tc>
          <w:tcPr>
            <w:tcW w:w="1268" w:type="dxa"/>
            <w:hideMark/>
          </w:tcPr>
          <w:p w14:paraId="547EF84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126" w:type="dxa"/>
            <w:hideMark/>
          </w:tcPr>
          <w:p w14:paraId="2608CD8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Algeria, Bahrain, Comoros, Djibouti, Egypt, Iraq, Jordan, Kuwait, Lebanon, Libya, Mauritania, Morocco, Oman, Palestine, Qatar, Saudi Arabia, Somalia, Sudan, Syria, Tunisia, United Arab Emirates, Yemen  </w:t>
            </w:r>
          </w:p>
        </w:tc>
        <w:tc>
          <w:tcPr>
            <w:tcW w:w="2270" w:type="dxa"/>
            <w:hideMark/>
          </w:tcPr>
          <w:p w14:paraId="3AC2BF24"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hideMark/>
          </w:tcPr>
          <w:p w14:paraId="5C2B99E6"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hideMark/>
          </w:tcPr>
          <w:p w14:paraId="0FBBF3E2"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hideMark/>
          </w:tcPr>
          <w:p w14:paraId="3887EB16"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r>
      <w:tr w:rsidR="00250529" w:rsidRPr="00986D12" w14:paraId="534C9191" w14:textId="77777777" w:rsidTr="00507BF5">
        <w:trPr>
          <w:jc w:val="center"/>
        </w:trPr>
        <w:tc>
          <w:tcPr>
            <w:tcW w:w="1268" w:type="dxa"/>
            <w:shd w:val="clear" w:color="auto" w:fill="C1E4F5"/>
            <w:hideMark/>
          </w:tcPr>
          <w:p w14:paraId="63BF0812"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ASIA-PACIFIC  </w:t>
            </w:r>
          </w:p>
        </w:tc>
        <w:tc>
          <w:tcPr>
            <w:tcW w:w="2126" w:type="dxa"/>
            <w:shd w:val="clear" w:color="auto" w:fill="C1E4F5"/>
            <w:hideMark/>
          </w:tcPr>
          <w:p w14:paraId="32A57893"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Bangkok, Thailand: 22  </w:t>
            </w:r>
          </w:p>
        </w:tc>
        <w:tc>
          <w:tcPr>
            <w:tcW w:w="2270" w:type="dxa"/>
            <w:shd w:val="clear" w:color="auto" w:fill="C1E4F5"/>
            <w:hideMark/>
          </w:tcPr>
          <w:p w14:paraId="110F77AC"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Southeast Asia - Jakarta, Indonesia: 9  </w:t>
            </w:r>
          </w:p>
        </w:tc>
        <w:tc>
          <w:tcPr>
            <w:tcW w:w="1638" w:type="dxa"/>
            <w:shd w:val="clear" w:color="auto" w:fill="C1E4F5"/>
            <w:hideMark/>
          </w:tcPr>
          <w:p w14:paraId="196EB3E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South Asia and Innovation Centre New Delhi, India: 8  </w:t>
            </w:r>
          </w:p>
        </w:tc>
        <w:tc>
          <w:tcPr>
            <w:tcW w:w="1621" w:type="dxa"/>
            <w:shd w:val="clear" w:color="auto" w:fill="C1E4F5"/>
            <w:hideMark/>
          </w:tcPr>
          <w:p w14:paraId="46F8D4D9"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shd w:val="clear" w:color="auto" w:fill="C1E4F5"/>
            <w:hideMark/>
          </w:tcPr>
          <w:p w14:paraId="530A758D"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39   </w:t>
            </w:r>
          </w:p>
        </w:tc>
      </w:tr>
      <w:tr w:rsidR="00250529" w:rsidRPr="00986D12" w14:paraId="649EFB6E" w14:textId="77777777" w:rsidTr="00507BF5">
        <w:trPr>
          <w:jc w:val="center"/>
        </w:trPr>
        <w:tc>
          <w:tcPr>
            <w:tcW w:w="1268" w:type="dxa"/>
            <w:shd w:val="clear" w:color="auto" w:fill="FFFFFF"/>
            <w:hideMark/>
          </w:tcPr>
          <w:p w14:paraId="3B793E5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126" w:type="dxa"/>
            <w:shd w:val="clear" w:color="auto" w:fill="FFFFFF"/>
            <w:hideMark/>
          </w:tcPr>
          <w:p w14:paraId="355A7C0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xml:space="preserve">Australia, Fiji, Kiribati, Marshall Islands, Micronesia, Mongolia, Nauru, New Zealand, Pakistan, Papua New Guinea, Samoa, Solomon Islands, Thailand, Tonga, Tuvalu, Vanuatu, China, Japan, Republic of Korea, Democratic People's Republic of Korea, Palau, Timor-Leste. </w:t>
            </w:r>
          </w:p>
        </w:tc>
        <w:tc>
          <w:tcPr>
            <w:tcW w:w="2270" w:type="dxa"/>
            <w:shd w:val="clear" w:color="auto" w:fill="FFFFFF"/>
            <w:hideMark/>
          </w:tcPr>
          <w:p w14:paraId="6B56121B"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Brunei Darussalam, Cambodia, Indonesia, Lao P.D.R., Malaysia, Myanmar, Philippines, Singapore, Viet Nam.  </w:t>
            </w:r>
          </w:p>
        </w:tc>
        <w:tc>
          <w:tcPr>
            <w:tcW w:w="1638" w:type="dxa"/>
            <w:shd w:val="clear" w:color="auto" w:fill="FFFFFF"/>
            <w:hideMark/>
          </w:tcPr>
          <w:p w14:paraId="60017AA9"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Afghanistan, Bhutan, Bangladesh, Iran, India, Maldives, Nepal, and Sri Lanka.  </w:t>
            </w:r>
          </w:p>
        </w:tc>
        <w:tc>
          <w:tcPr>
            <w:tcW w:w="1621" w:type="dxa"/>
            <w:hideMark/>
          </w:tcPr>
          <w:p w14:paraId="33CB921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hideMark/>
          </w:tcPr>
          <w:p w14:paraId="23B151E1"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r>
      <w:tr w:rsidR="00250529" w:rsidRPr="00986D12" w14:paraId="5F90FD2E" w14:textId="77777777" w:rsidTr="00507BF5">
        <w:trPr>
          <w:jc w:val="center"/>
        </w:trPr>
        <w:tc>
          <w:tcPr>
            <w:tcW w:w="1268" w:type="dxa"/>
            <w:shd w:val="clear" w:color="auto" w:fill="C1E4F5"/>
            <w:hideMark/>
          </w:tcPr>
          <w:p w14:paraId="42208AD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CIS  </w:t>
            </w:r>
          </w:p>
        </w:tc>
        <w:tc>
          <w:tcPr>
            <w:tcW w:w="2126" w:type="dxa"/>
            <w:shd w:val="clear" w:color="auto" w:fill="C1E4F5"/>
            <w:hideMark/>
          </w:tcPr>
          <w:p w14:paraId="757C53AB"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Moscow, Russian Federation: 9  </w:t>
            </w:r>
          </w:p>
        </w:tc>
        <w:tc>
          <w:tcPr>
            <w:tcW w:w="2270" w:type="dxa"/>
            <w:shd w:val="clear" w:color="auto" w:fill="C1E4F5"/>
            <w:hideMark/>
          </w:tcPr>
          <w:p w14:paraId="3DA2ABF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shd w:val="clear" w:color="auto" w:fill="C1E4F5"/>
            <w:hideMark/>
          </w:tcPr>
          <w:p w14:paraId="24AC5C2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shd w:val="clear" w:color="auto" w:fill="C1E4F5"/>
            <w:hideMark/>
          </w:tcPr>
          <w:p w14:paraId="035919B2"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shd w:val="clear" w:color="auto" w:fill="C1E4F5"/>
            <w:hideMark/>
          </w:tcPr>
          <w:p w14:paraId="0C3B71F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9  </w:t>
            </w:r>
          </w:p>
        </w:tc>
      </w:tr>
      <w:tr w:rsidR="00250529" w:rsidRPr="00986D12" w14:paraId="608C1C8E" w14:textId="77777777" w:rsidTr="00507BF5">
        <w:trPr>
          <w:jc w:val="center"/>
        </w:trPr>
        <w:tc>
          <w:tcPr>
            <w:tcW w:w="1268" w:type="dxa"/>
            <w:hideMark/>
          </w:tcPr>
          <w:p w14:paraId="584DBABB"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126" w:type="dxa"/>
            <w:hideMark/>
          </w:tcPr>
          <w:p w14:paraId="39017CC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Armenia, Azerbaijan, Belarus, Kazakhstan, Kyrgyzstan, Russian Federation, Tajikistan, Turkmenistan, Uzbekistan. </w:t>
            </w:r>
          </w:p>
        </w:tc>
        <w:tc>
          <w:tcPr>
            <w:tcW w:w="2270" w:type="dxa"/>
            <w:hideMark/>
          </w:tcPr>
          <w:p w14:paraId="091D1798"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hideMark/>
          </w:tcPr>
          <w:p w14:paraId="3C1EDD43"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hideMark/>
          </w:tcPr>
          <w:p w14:paraId="071B3247"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hideMark/>
          </w:tcPr>
          <w:p w14:paraId="39648697"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r>
      <w:tr w:rsidR="00250529" w:rsidRPr="00986D12" w14:paraId="67B3DBD5" w14:textId="77777777" w:rsidTr="00507BF5">
        <w:trPr>
          <w:jc w:val="center"/>
        </w:trPr>
        <w:tc>
          <w:tcPr>
            <w:tcW w:w="1268" w:type="dxa"/>
            <w:shd w:val="clear" w:color="auto" w:fill="C1E4F5"/>
            <w:hideMark/>
          </w:tcPr>
          <w:p w14:paraId="7A305B49"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EUROPE  </w:t>
            </w:r>
          </w:p>
        </w:tc>
        <w:tc>
          <w:tcPr>
            <w:tcW w:w="2126" w:type="dxa"/>
            <w:shd w:val="clear" w:color="auto" w:fill="C1E4F5"/>
            <w:hideMark/>
          </w:tcPr>
          <w:p w14:paraId="2C2AE859"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Geneva, Switzerland: 46  </w:t>
            </w:r>
          </w:p>
        </w:tc>
        <w:tc>
          <w:tcPr>
            <w:tcW w:w="2270" w:type="dxa"/>
            <w:shd w:val="clear" w:color="auto" w:fill="C1E4F5"/>
            <w:hideMark/>
          </w:tcPr>
          <w:p w14:paraId="0520564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shd w:val="clear" w:color="auto" w:fill="C1E4F5"/>
            <w:hideMark/>
          </w:tcPr>
          <w:p w14:paraId="449BBC1D"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shd w:val="clear" w:color="auto" w:fill="C1E4F5"/>
            <w:hideMark/>
          </w:tcPr>
          <w:p w14:paraId="258C6CD8"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shd w:val="clear" w:color="auto" w:fill="C1E4F5"/>
            <w:hideMark/>
          </w:tcPr>
          <w:p w14:paraId="173858D0"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46  </w:t>
            </w:r>
          </w:p>
        </w:tc>
      </w:tr>
      <w:tr w:rsidR="00250529" w:rsidRPr="00986D12" w14:paraId="4498F9AC" w14:textId="77777777" w:rsidTr="00507BF5">
        <w:trPr>
          <w:jc w:val="center"/>
        </w:trPr>
        <w:tc>
          <w:tcPr>
            <w:tcW w:w="1268" w:type="dxa"/>
            <w:hideMark/>
          </w:tcPr>
          <w:p w14:paraId="7A056406"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126" w:type="dxa"/>
            <w:hideMark/>
          </w:tcPr>
          <w:p w14:paraId="3BDB3EB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Albania, Andorra, Austria, Belgium, Bosnia and Herzegovina, Bulgaria, Croatia, Cyprus, Czech Republic, Denmark, Estonia, Finland, Republic of North Macedonia, France, Georgia, Germany, Greece, Hungary, Iceland, Ireland, Israel, Italy, Latvia, Liechtenstein, Lithuania, Luxembourg, Malta, Moldova, Monaco, Montenegro, Kingdom of the Netherlands, Norway, Poland, Portugal, Romania, San Marino, Serbia, Slovak Republic, Slovenia, Spain, Sweden, Switzerland, Türkiye , Ukraine, United Kingdom, and the Vatican.  </w:t>
            </w:r>
          </w:p>
        </w:tc>
        <w:tc>
          <w:tcPr>
            <w:tcW w:w="2270" w:type="dxa"/>
            <w:hideMark/>
          </w:tcPr>
          <w:p w14:paraId="65024BD8"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hideMark/>
          </w:tcPr>
          <w:p w14:paraId="24249B5A"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hideMark/>
          </w:tcPr>
          <w:p w14:paraId="2B68852B"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hideMark/>
          </w:tcPr>
          <w:p w14:paraId="63C9824F"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r>
      <w:tr w:rsidR="00250529" w:rsidRPr="00986D12" w14:paraId="443A7331" w14:textId="77777777" w:rsidTr="00507BF5">
        <w:trPr>
          <w:jc w:val="center"/>
        </w:trPr>
        <w:tc>
          <w:tcPr>
            <w:tcW w:w="1268" w:type="dxa"/>
            <w:shd w:val="clear" w:color="auto" w:fill="C1E4F5"/>
            <w:hideMark/>
          </w:tcPr>
          <w:p w14:paraId="3BAF27AE"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TOTAL  </w:t>
            </w:r>
          </w:p>
        </w:tc>
        <w:tc>
          <w:tcPr>
            <w:tcW w:w="2126" w:type="dxa"/>
            <w:shd w:val="clear" w:color="auto" w:fill="C1E4F5"/>
            <w:vAlign w:val="bottom"/>
            <w:hideMark/>
          </w:tcPr>
          <w:p w14:paraId="49922324"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2270" w:type="dxa"/>
            <w:shd w:val="clear" w:color="auto" w:fill="C1E4F5"/>
            <w:hideMark/>
          </w:tcPr>
          <w:p w14:paraId="065AE942"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38" w:type="dxa"/>
            <w:shd w:val="clear" w:color="auto" w:fill="C1E4F5"/>
            <w:hideMark/>
          </w:tcPr>
          <w:p w14:paraId="68B33FE6"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1621" w:type="dxa"/>
            <w:shd w:val="clear" w:color="auto" w:fill="C1E4F5"/>
            <w:hideMark/>
          </w:tcPr>
          <w:p w14:paraId="3FA739DD"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  </w:t>
            </w:r>
          </w:p>
        </w:tc>
        <w:tc>
          <w:tcPr>
            <w:tcW w:w="700" w:type="dxa"/>
            <w:shd w:val="clear" w:color="auto" w:fill="C1E4F5"/>
            <w:hideMark/>
          </w:tcPr>
          <w:p w14:paraId="0D63AEED" w14:textId="77777777" w:rsidR="00250529" w:rsidRPr="00986D12" w:rsidRDefault="00250529" w:rsidP="00507BF5">
            <w:pPr>
              <w:pStyle w:val="Texttable"/>
              <w:rPr>
                <w:rFonts w:asciiTheme="minorHAnsi" w:hAnsiTheme="minorHAnsi" w:cstheme="minorHAnsi"/>
                <w:sz w:val="16"/>
                <w:szCs w:val="16"/>
                <w:lang w:eastAsia="en-GB"/>
              </w:rPr>
            </w:pPr>
            <w:r w:rsidRPr="00986D12">
              <w:rPr>
                <w:rFonts w:asciiTheme="minorHAnsi" w:hAnsiTheme="minorHAnsi" w:cstheme="minorHAnsi"/>
                <w:sz w:val="16"/>
                <w:szCs w:val="16"/>
                <w:lang w:eastAsia="en-GB"/>
              </w:rPr>
              <w:t>194   </w:t>
            </w:r>
          </w:p>
        </w:tc>
      </w:tr>
    </w:tbl>
    <w:p w14:paraId="11620861" w14:textId="3B8BC873" w:rsidR="00250529" w:rsidRPr="00986D12" w:rsidRDefault="00250529" w:rsidP="00507BF5">
      <w:pPr>
        <w:pStyle w:val="Subtitle0"/>
        <w:jc w:val="center"/>
        <w:rPr>
          <w:rFonts w:asciiTheme="minorHAnsi" w:hAnsiTheme="minorHAnsi" w:cstheme="minorHAnsi"/>
          <w:lang w:val="en-US"/>
        </w:rPr>
      </w:pPr>
      <w:r w:rsidRPr="00986D12">
        <w:rPr>
          <w:rFonts w:asciiTheme="minorHAnsi" w:hAnsiTheme="minorHAnsi" w:cstheme="minorHAnsi"/>
          <w:lang w:val="en-US"/>
        </w:rPr>
        <w:t>BDT Operational budget allocated for 2023, 2024,</w:t>
      </w:r>
      <w:r w:rsidR="004975F3">
        <w:rPr>
          <w:rFonts w:asciiTheme="minorHAnsi" w:hAnsiTheme="minorHAnsi" w:cstheme="minorHAnsi"/>
          <w:lang w:val="en-US"/>
        </w:rPr>
        <w:t xml:space="preserve"> </w:t>
      </w:r>
      <w:r w:rsidRPr="00986D12">
        <w:rPr>
          <w:rFonts w:asciiTheme="minorHAnsi" w:hAnsiTheme="minorHAnsi" w:cstheme="minorHAnsi"/>
          <w:lang w:val="en-US"/>
        </w:rPr>
        <w:t>2025 by region in CHF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5"/>
        <w:gridCol w:w="930"/>
        <w:gridCol w:w="930"/>
        <w:gridCol w:w="930"/>
        <w:gridCol w:w="930"/>
        <w:gridCol w:w="930"/>
        <w:gridCol w:w="930"/>
        <w:gridCol w:w="1335"/>
        <w:gridCol w:w="1110"/>
      </w:tblGrid>
      <w:tr w:rsidR="00250529" w:rsidRPr="00986D12" w14:paraId="55BB1135" w14:textId="77777777">
        <w:trPr>
          <w:trHeight w:val="270"/>
        </w:trPr>
        <w:tc>
          <w:tcPr>
            <w:tcW w:w="915" w:type="dxa"/>
            <w:tcBorders>
              <w:top w:val="single" w:sz="6" w:space="0" w:color="0F9ED5"/>
              <w:left w:val="single" w:sz="6" w:space="0" w:color="0F9ED5"/>
              <w:bottom w:val="single" w:sz="6" w:space="0" w:color="0F9ED5"/>
              <w:right w:val="nil"/>
            </w:tcBorders>
            <w:shd w:val="clear" w:color="auto" w:fill="0F9ED5"/>
            <w:hideMark/>
          </w:tcPr>
          <w:p w14:paraId="78E82217"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 </w:t>
            </w:r>
          </w:p>
        </w:tc>
        <w:tc>
          <w:tcPr>
            <w:tcW w:w="930" w:type="dxa"/>
            <w:tcBorders>
              <w:top w:val="single" w:sz="6" w:space="0" w:color="0F9ED5"/>
              <w:left w:val="nil"/>
              <w:bottom w:val="single" w:sz="6" w:space="0" w:color="0F9ED5"/>
              <w:right w:val="nil"/>
            </w:tcBorders>
            <w:shd w:val="clear" w:color="auto" w:fill="0F9ED5"/>
            <w:hideMark/>
          </w:tcPr>
          <w:p w14:paraId="7C70B6AD" w14:textId="77777777" w:rsidR="00250529" w:rsidRPr="00986D12" w:rsidRDefault="00250529" w:rsidP="00507BF5">
            <w:pPr>
              <w:pStyle w:val="Tabletitle0"/>
              <w:rPr>
                <w:rFonts w:asciiTheme="minorHAnsi" w:hAnsiTheme="minorHAnsi" w:cstheme="minorHAnsi"/>
                <w:lang w:eastAsia="en-GB"/>
              </w:rPr>
            </w:pPr>
            <w:proofErr w:type="spellStart"/>
            <w:r w:rsidRPr="00986D12">
              <w:rPr>
                <w:rFonts w:asciiTheme="minorHAnsi" w:hAnsiTheme="minorHAnsi" w:cstheme="minorHAnsi"/>
                <w:lang w:eastAsia="en-GB"/>
              </w:rPr>
              <w:t>AFR</w:t>
            </w:r>
            <w:proofErr w:type="spellEnd"/>
            <w:r w:rsidRPr="00986D12">
              <w:rPr>
                <w:rFonts w:asciiTheme="minorHAnsi" w:hAnsiTheme="minorHAnsi" w:cstheme="minorHAnsi"/>
                <w:lang w:eastAsia="en-GB"/>
              </w:rPr>
              <w:t> </w:t>
            </w:r>
          </w:p>
        </w:tc>
        <w:tc>
          <w:tcPr>
            <w:tcW w:w="930" w:type="dxa"/>
            <w:tcBorders>
              <w:top w:val="single" w:sz="6" w:space="0" w:color="0F9ED5"/>
              <w:left w:val="nil"/>
              <w:bottom w:val="single" w:sz="6" w:space="0" w:color="0F9ED5"/>
              <w:right w:val="nil"/>
            </w:tcBorders>
            <w:shd w:val="clear" w:color="auto" w:fill="0F9ED5"/>
            <w:hideMark/>
          </w:tcPr>
          <w:p w14:paraId="0B1D0176"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AMS </w:t>
            </w:r>
          </w:p>
        </w:tc>
        <w:tc>
          <w:tcPr>
            <w:tcW w:w="930" w:type="dxa"/>
            <w:tcBorders>
              <w:top w:val="single" w:sz="6" w:space="0" w:color="0F9ED5"/>
              <w:left w:val="nil"/>
              <w:bottom w:val="single" w:sz="6" w:space="0" w:color="0F9ED5"/>
              <w:right w:val="nil"/>
            </w:tcBorders>
            <w:shd w:val="clear" w:color="auto" w:fill="0F9ED5"/>
            <w:hideMark/>
          </w:tcPr>
          <w:p w14:paraId="72CDD405"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ARB </w:t>
            </w:r>
          </w:p>
        </w:tc>
        <w:tc>
          <w:tcPr>
            <w:tcW w:w="930" w:type="dxa"/>
            <w:tcBorders>
              <w:top w:val="single" w:sz="6" w:space="0" w:color="0F9ED5"/>
              <w:left w:val="nil"/>
              <w:bottom w:val="single" w:sz="6" w:space="0" w:color="0F9ED5"/>
              <w:right w:val="nil"/>
            </w:tcBorders>
            <w:shd w:val="clear" w:color="auto" w:fill="0F9ED5"/>
            <w:hideMark/>
          </w:tcPr>
          <w:p w14:paraId="5D4BC0F2"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ASP </w:t>
            </w:r>
          </w:p>
        </w:tc>
        <w:tc>
          <w:tcPr>
            <w:tcW w:w="930" w:type="dxa"/>
            <w:tcBorders>
              <w:top w:val="single" w:sz="6" w:space="0" w:color="0F9ED5"/>
              <w:left w:val="nil"/>
              <w:bottom w:val="single" w:sz="6" w:space="0" w:color="0F9ED5"/>
              <w:right w:val="nil"/>
            </w:tcBorders>
            <w:shd w:val="clear" w:color="auto" w:fill="0F9ED5"/>
            <w:hideMark/>
          </w:tcPr>
          <w:p w14:paraId="3E35EAF1"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CIS </w:t>
            </w:r>
          </w:p>
        </w:tc>
        <w:tc>
          <w:tcPr>
            <w:tcW w:w="930" w:type="dxa"/>
            <w:tcBorders>
              <w:top w:val="single" w:sz="6" w:space="0" w:color="0F9ED5"/>
              <w:left w:val="nil"/>
              <w:bottom w:val="single" w:sz="6" w:space="0" w:color="0F9ED5"/>
              <w:right w:val="nil"/>
            </w:tcBorders>
            <w:shd w:val="clear" w:color="auto" w:fill="0F9ED5"/>
            <w:hideMark/>
          </w:tcPr>
          <w:p w14:paraId="3582F006"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EUR </w:t>
            </w:r>
          </w:p>
        </w:tc>
        <w:tc>
          <w:tcPr>
            <w:tcW w:w="1335" w:type="dxa"/>
            <w:tcBorders>
              <w:top w:val="single" w:sz="6" w:space="0" w:color="0F9ED5"/>
              <w:left w:val="nil"/>
              <w:bottom w:val="single" w:sz="6" w:space="0" w:color="0F9ED5"/>
              <w:right w:val="nil"/>
            </w:tcBorders>
            <w:shd w:val="clear" w:color="auto" w:fill="0F9ED5"/>
            <w:hideMark/>
          </w:tcPr>
          <w:p w14:paraId="7B3EF32A"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HQ (World) </w:t>
            </w:r>
          </w:p>
        </w:tc>
        <w:tc>
          <w:tcPr>
            <w:tcW w:w="1110" w:type="dxa"/>
            <w:tcBorders>
              <w:top w:val="single" w:sz="6" w:space="0" w:color="0F9ED5"/>
              <w:left w:val="nil"/>
              <w:bottom w:val="single" w:sz="6" w:space="0" w:color="0F9ED5"/>
              <w:right w:val="single" w:sz="6" w:space="0" w:color="0F9ED5"/>
            </w:tcBorders>
            <w:shd w:val="clear" w:color="auto" w:fill="0F9ED5"/>
            <w:hideMark/>
          </w:tcPr>
          <w:p w14:paraId="39037C0F"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Total </w:t>
            </w:r>
          </w:p>
        </w:tc>
      </w:tr>
      <w:tr w:rsidR="00250529" w:rsidRPr="00986D12" w14:paraId="31D3C5C1" w14:textId="77777777">
        <w:trPr>
          <w:trHeight w:val="270"/>
        </w:trPr>
        <w:tc>
          <w:tcPr>
            <w:tcW w:w="915" w:type="dxa"/>
            <w:tcBorders>
              <w:top w:val="single" w:sz="6" w:space="0" w:color="60CAF3"/>
              <w:left w:val="single" w:sz="6" w:space="0" w:color="60CAF3"/>
              <w:bottom w:val="single" w:sz="6" w:space="0" w:color="60CAF3"/>
              <w:right w:val="single" w:sz="6" w:space="0" w:color="60CAF3"/>
            </w:tcBorders>
            <w:shd w:val="clear" w:color="auto" w:fill="CAEDFB"/>
            <w:hideMark/>
          </w:tcPr>
          <w:p w14:paraId="048FFC38"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2023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22CB9B48"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285 330 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7810CFB3"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235 380 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37FD0F39"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262 000 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023DC7AA"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306 500 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172182F3"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348 000 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7BA974F9"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265 000 </w:t>
            </w:r>
          </w:p>
        </w:tc>
        <w:tc>
          <w:tcPr>
            <w:tcW w:w="1335" w:type="dxa"/>
            <w:tcBorders>
              <w:top w:val="single" w:sz="6" w:space="0" w:color="60CAF3"/>
              <w:left w:val="single" w:sz="6" w:space="0" w:color="60CAF3"/>
              <w:bottom w:val="single" w:sz="6" w:space="0" w:color="60CAF3"/>
              <w:right w:val="single" w:sz="6" w:space="0" w:color="60CAF3"/>
            </w:tcBorders>
            <w:shd w:val="clear" w:color="auto" w:fill="CAEDFB"/>
            <w:hideMark/>
          </w:tcPr>
          <w:p w14:paraId="2EF97D5A"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1 593 300 </w:t>
            </w:r>
          </w:p>
        </w:tc>
        <w:tc>
          <w:tcPr>
            <w:tcW w:w="1110" w:type="dxa"/>
            <w:tcBorders>
              <w:top w:val="single" w:sz="6" w:space="0" w:color="60CAF3"/>
              <w:left w:val="single" w:sz="6" w:space="0" w:color="60CAF3"/>
              <w:bottom w:val="single" w:sz="6" w:space="0" w:color="60CAF3"/>
              <w:right w:val="single" w:sz="6" w:space="0" w:color="60CAF3"/>
            </w:tcBorders>
            <w:shd w:val="clear" w:color="auto" w:fill="CAEDFB"/>
            <w:hideMark/>
          </w:tcPr>
          <w:p w14:paraId="344ABA24"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3 295 510 </w:t>
            </w:r>
          </w:p>
        </w:tc>
      </w:tr>
      <w:tr w:rsidR="00250529" w:rsidRPr="00986D12" w14:paraId="13783E50" w14:textId="77777777">
        <w:trPr>
          <w:trHeight w:val="270"/>
        </w:trPr>
        <w:tc>
          <w:tcPr>
            <w:tcW w:w="915" w:type="dxa"/>
            <w:tcBorders>
              <w:top w:val="single" w:sz="6" w:space="0" w:color="60CAF3"/>
              <w:left w:val="single" w:sz="6" w:space="0" w:color="60CAF3"/>
              <w:bottom w:val="single" w:sz="6" w:space="0" w:color="60CAF3"/>
              <w:right w:val="single" w:sz="6" w:space="0" w:color="60CAF3"/>
            </w:tcBorders>
            <w:hideMark/>
          </w:tcPr>
          <w:p w14:paraId="24564C51"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2024  </w:t>
            </w:r>
          </w:p>
        </w:tc>
        <w:tc>
          <w:tcPr>
            <w:tcW w:w="930" w:type="dxa"/>
            <w:tcBorders>
              <w:top w:val="single" w:sz="6" w:space="0" w:color="60CAF3"/>
              <w:left w:val="single" w:sz="6" w:space="0" w:color="60CAF3"/>
              <w:bottom w:val="single" w:sz="6" w:space="0" w:color="60CAF3"/>
              <w:right w:val="single" w:sz="6" w:space="0" w:color="60CAF3"/>
            </w:tcBorders>
            <w:hideMark/>
          </w:tcPr>
          <w:p w14:paraId="1DBA72AE"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320 000 </w:t>
            </w:r>
          </w:p>
        </w:tc>
        <w:tc>
          <w:tcPr>
            <w:tcW w:w="930" w:type="dxa"/>
            <w:tcBorders>
              <w:top w:val="single" w:sz="6" w:space="0" w:color="60CAF3"/>
              <w:left w:val="single" w:sz="6" w:space="0" w:color="60CAF3"/>
              <w:bottom w:val="single" w:sz="6" w:space="0" w:color="60CAF3"/>
              <w:right w:val="single" w:sz="6" w:space="0" w:color="60CAF3"/>
            </w:tcBorders>
            <w:hideMark/>
          </w:tcPr>
          <w:p w14:paraId="14CE39FB"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253 000 </w:t>
            </w:r>
          </w:p>
        </w:tc>
        <w:tc>
          <w:tcPr>
            <w:tcW w:w="930" w:type="dxa"/>
            <w:tcBorders>
              <w:top w:val="single" w:sz="6" w:space="0" w:color="60CAF3"/>
              <w:left w:val="single" w:sz="6" w:space="0" w:color="60CAF3"/>
              <w:bottom w:val="single" w:sz="6" w:space="0" w:color="60CAF3"/>
              <w:right w:val="single" w:sz="6" w:space="0" w:color="60CAF3"/>
            </w:tcBorders>
            <w:hideMark/>
          </w:tcPr>
          <w:p w14:paraId="46931193"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264 000 </w:t>
            </w:r>
          </w:p>
        </w:tc>
        <w:tc>
          <w:tcPr>
            <w:tcW w:w="930" w:type="dxa"/>
            <w:tcBorders>
              <w:top w:val="single" w:sz="6" w:space="0" w:color="60CAF3"/>
              <w:left w:val="single" w:sz="6" w:space="0" w:color="60CAF3"/>
              <w:bottom w:val="single" w:sz="6" w:space="0" w:color="60CAF3"/>
              <w:right w:val="single" w:sz="6" w:space="0" w:color="60CAF3"/>
            </w:tcBorders>
            <w:hideMark/>
          </w:tcPr>
          <w:p w14:paraId="13160182"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315 000 </w:t>
            </w:r>
          </w:p>
        </w:tc>
        <w:tc>
          <w:tcPr>
            <w:tcW w:w="930" w:type="dxa"/>
            <w:tcBorders>
              <w:top w:val="single" w:sz="6" w:space="0" w:color="60CAF3"/>
              <w:left w:val="single" w:sz="6" w:space="0" w:color="60CAF3"/>
              <w:bottom w:val="single" w:sz="6" w:space="0" w:color="60CAF3"/>
              <w:right w:val="single" w:sz="6" w:space="0" w:color="60CAF3"/>
            </w:tcBorders>
            <w:hideMark/>
          </w:tcPr>
          <w:p w14:paraId="4E44882E"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307 000 </w:t>
            </w:r>
          </w:p>
        </w:tc>
        <w:tc>
          <w:tcPr>
            <w:tcW w:w="930" w:type="dxa"/>
            <w:tcBorders>
              <w:top w:val="single" w:sz="6" w:space="0" w:color="60CAF3"/>
              <w:left w:val="single" w:sz="6" w:space="0" w:color="60CAF3"/>
              <w:bottom w:val="single" w:sz="6" w:space="0" w:color="60CAF3"/>
              <w:right w:val="single" w:sz="6" w:space="0" w:color="60CAF3"/>
            </w:tcBorders>
            <w:hideMark/>
          </w:tcPr>
          <w:p w14:paraId="36293024"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245 797 </w:t>
            </w:r>
          </w:p>
        </w:tc>
        <w:tc>
          <w:tcPr>
            <w:tcW w:w="1335" w:type="dxa"/>
            <w:tcBorders>
              <w:top w:val="single" w:sz="6" w:space="0" w:color="60CAF3"/>
              <w:left w:val="single" w:sz="6" w:space="0" w:color="60CAF3"/>
              <w:bottom w:val="single" w:sz="6" w:space="0" w:color="60CAF3"/>
              <w:right w:val="single" w:sz="6" w:space="0" w:color="60CAF3"/>
            </w:tcBorders>
            <w:hideMark/>
          </w:tcPr>
          <w:p w14:paraId="6528B057"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1 804 500 </w:t>
            </w:r>
          </w:p>
        </w:tc>
        <w:tc>
          <w:tcPr>
            <w:tcW w:w="1110" w:type="dxa"/>
            <w:tcBorders>
              <w:top w:val="single" w:sz="6" w:space="0" w:color="60CAF3"/>
              <w:left w:val="single" w:sz="6" w:space="0" w:color="60CAF3"/>
              <w:bottom w:val="single" w:sz="6" w:space="0" w:color="60CAF3"/>
              <w:right w:val="single" w:sz="6" w:space="0" w:color="60CAF3"/>
            </w:tcBorders>
            <w:hideMark/>
          </w:tcPr>
          <w:p w14:paraId="6501DC95"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3 509 297 </w:t>
            </w:r>
          </w:p>
        </w:tc>
      </w:tr>
      <w:tr w:rsidR="00250529" w:rsidRPr="00986D12" w14:paraId="4C2B998F" w14:textId="77777777">
        <w:trPr>
          <w:trHeight w:val="270"/>
        </w:trPr>
        <w:tc>
          <w:tcPr>
            <w:tcW w:w="915" w:type="dxa"/>
            <w:tcBorders>
              <w:top w:val="single" w:sz="6" w:space="0" w:color="60CAF3"/>
              <w:left w:val="single" w:sz="6" w:space="0" w:color="60CAF3"/>
              <w:bottom w:val="single" w:sz="6" w:space="0" w:color="60CAF3"/>
              <w:right w:val="single" w:sz="6" w:space="0" w:color="60CAF3"/>
            </w:tcBorders>
            <w:shd w:val="clear" w:color="auto" w:fill="CAEDFB"/>
            <w:hideMark/>
          </w:tcPr>
          <w:p w14:paraId="06FB320C"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2025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6DBBA590"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278 225 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52CB6FC9"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295 800 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618C5034"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215 220 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5EEDC117"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282 500 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62158644"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327 682 </w:t>
            </w:r>
          </w:p>
        </w:tc>
        <w:tc>
          <w:tcPr>
            <w:tcW w:w="930" w:type="dxa"/>
            <w:tcBorders>
              <w:top w:val="single" w:sz="6" w:space="0" w:color="60CAF3"/>
              <w:left w:val="single" w:sz="6" w:space="0" w:color="60CAF3"/>
              <w:bottom w:val="single" w:sz="6" w:space="0" w:color="60CAF3"/>
              <w:right w:val="single" w:sz="6" w:space="0" w:color="60CAF3"/>
            </w:tcBorders>
            <w:shd w:val="clear" w:color="auto" w:fill="CAEDFB"/>
            <w:hideMark/>
          </w:tcPr>
          <w:p w14:paraId="6ECCC2A8"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218 204 </w:t>
            </w:r>
          </w:p>
        </w:tc>
        <w:tc>
          <w:tcPr>
            <w:tcW w:w="1335" w:type="dxa"/>
            <w:tcBorders>
              <w:top w:val="single" w:sz="6" w:space="0" w:color="60CAF3"/>
              <w:left w:val="single" w:sz="6" w:space="0" w:color="60CAF3"/>
              <w:bottom w:val="single" w:sz="6" w:space="0" w:color="60CAF3"/>
              <w:right w:val="single" w:sz="6" w:space="0" w:color="60CAF3"/>
            </w:tcBorders>
            <w:shd w:val="clear" w:color="auto" w:fill="CAEDFB"/>
            <w:hideMark/>
          </w:tcPr>
          <w:p w14:paraId="40548CB6"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1 538 255 </w:t>
            </w:r>
          </w:p>
        </w:tc>
        <w:tc>
          <w:tcPr>
            <w:tcW w:w="1110" w:type="dxa"/>
            <w:tcBorders>
              <w:top w:val="single" w:sz="6" w:space="0" w:color="60CAF3"/>
              <w:left w:val="single" w:sz="6" w:space="0" w:color="60CAF3"/>
              <w:bottom w:val="single" w:sz="6" w:space="0" w:color="60CAF3"/>
              <w:right w:val="single" w:sz="6" w:space="0" w:color="60CAF3"/>
            </w:tcBorders>
            <w:shd w:val="clear" w:color="auto" w:fill="CAEDFB"/>
            <w:hideMark/>
          </w:tcPr>
          <w:p w14:paraId="06A6E854"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3 155 886 </w:t>
            </w:r>
          </w:p>
        </w:tc>
      </w:tr>
    </w:tbl>
    <w:p w14:paraId="3FAEE1E2" w14:textId="77777777" w:rsidR="00250529" w:rsidRPr="00986D12" w:rsidRDefault="00250529" w:rsidP="00507BF5">
      <w:pPr>
        <w:pStyle w:val="Notes"/>
        <w:rPr>
          <w:rFonts w:asciiTheme="minorHAnsi" w:hAnsiTheme="minorHAnsi" w:cstheme="minorHAnsi"/>
        </w:rPr>
      </w:pPr>
      <w:r w:rsidRPr="00986D12">
        <w:rPr>
          <w:rFonts w:asciiTheme="minorHAnsi" w:hAnsiTheme="minorHAnsi" w:cstheme="minorHAnsi"/>
          <w:lang w:val="en-US"/>
        </w:rPr>
        <w:lastRenderedPageBreak/>
        <w:t>Source: </w:t>
      </w:r>
      <w:r w:rsidRPr="00986D12">
        <w:rPr>
          <w:rFonts w:asciiTheme="minorHAnsi" w:hAnsiTheme="minorHAnsi" w:cstheme="minorHAnsi"/>
        </w:rPr>
        <w:t>BDT operation plan system for Kigali Action Plan </w:t>
      </w:r>
    </w:p>
    <w:p w14:paraId="331C7A43" w14:textId="45028673" w:rsidR="00250529" w:rsidRPr="008C431B" w:rsidRDefault="008C431B" w:rsidP="008C431B">
      <w:pPr>
        <w:keepNext/>
        <w:tabs>
          <w:tab w:val="left" w:pos="720"/>
        </w:tabs>
        <w:spacing w:before="60" w:after="60"/>
        <w:ind w:left="714" w:hanging="357"/>
        <w:rPr>
          <w:rFonts w:asciiTheme="minorHAnsi" w:hAnsiTheme="minorHAnsi" w:cstheme="minorHAnsi"/>
          <w:b/>
          <w:lang w:eastAsia="en-GB"/>
        </w:rPr>
      </w:pPr>
      <w:r w:rsidRPr="00986D12">
        <w:rPr>
          <w:rFonts w:asciiTheme="minorHAnsi" w:eastAsia="Aptos" w:hAnsiTheme="minorHAnsi" w:cstheme="minorHAnsi"/>
          <w:b/>
          <w:kern w:val="2"/>
          <w:sz w:val="22"/>
          <w:szCs w:val="22"/>
          <w:lang w:eastAsia="en-GB"/>
          <w14:ligatures w14:val="standardContextual"/>
        </w:rPr>
        <w:t>2.</w:t>
      </w:r>
      <w:r w:rsidRPr="00986D12">
        <w:rPr>
          <w:rFonts w:asciiTheme="minorHAnsi" w:eastAsia="Aptos" w:hAnsiTheme="minorHAnsi" w:cstheme="minorHAnsi"/>
          <w:b/>
          <w:kern w:val="2"/>
          <w:sz w:val="22"/>
          <w:szCs w:val="22"/>
          <w:lang w:eastAsia="en-GB"/>
          <w14:ligatures w14:val="standardContextual"/>
        </w:rPr>
        <w:tab/>
      </w:r>
      <w:r w:rsidR="00250529" w:rsidRPr="008C431B">
        <w:rPr>
          <w:rFonts w:asciiTheme="minorHAnsi" w:hAnsiTheme="minorHAnsi" w:cstheme="minorHAnsi"/>
          <w:b/>
          <w:lang w:eastAsia="en-GB"/>
        </w:rPr>
        <w:t>Comparison of Workload Distribution Across Regional and Area Offices</w:t>
      </w:r>
    </w:p>
    <w:p w14:paraId="668B2A0A" w14:textId="77777777" w:rsidR="00250529" w:rsidRPr="00986D12" w:rsidRDefault="00250529" w:rsidP="00507BF5">
      <w:pPr>
        <w:pStyle w:val="Subtitle0"/>
        <w:jc w:val="center"/>
        <w:rPr>
          <w:rFonts w:asciiTheme="minorHAnsi" w:hAnsiTheme="minorHAnsi" w:cstheme="minorHAnsi"/>
          <w:color w:val="000000"/>
        </w:rPr>
      </w:pPr>
      <w:r w:rsidRPr="00986D12">
        <w:rPr>
          <w:rFonts w:asciiTheme="minorHAnsi" w:hAnsiTheme="minorHAnsi" w:cstheme="minorHAnsi"/>
          <w:lang w:val="en-US"/>
        </w:rPr>
        <w:t>Workload Dimension: Countries Served vs. Staffing Levels</w:t>
      </w:r>
    </w:p>
    <w:tbl>
      <w:tblPr>
        <w:tblW w:w="75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890"/>
        <w:gridCol w:w="1245"/>
        <w:gridCol w:w="2820"/>
      </w:tblGrid>
      <w:tr w:rsidR="00250529" w:rsidRPr="00986D12" w14:paraId="38948EBF"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03D8A956" w14:textId="77777777" w:rsidR="00250529" w:rsidRPr="00986D12" w:rsidRDefault="00250529" w:rsidP="00507BF5">
            <w:pPr>
              <w:pStyle w:val="Tabletitle0"/>
              <w:rPr>
                <w:rFonts w:asciiTheme="minorHAnsi" w:hAnsiTheme="minorHAnsi" w:cstheme="minorHAnsi"/>
                <w:lang w:eastAsia="en-GB"/>
              </w:rPr>
            </w:pPr>
            <w:r w:rsidRPr="00986D12">
              <w:rPr>
                <w:rFonts w:asciiTheme="minorHAnsi" w:hAnsiTheme="minorHAnsi" w:cstheme="minorHAnsi"/>
                <w:lang w:eastAsia="en-GB"/>
              </w:rPr>
              <w:t>Region</w:t>
            </w:r>
          </w:p>
        </w:tc>
        <w:tc>
          <w:tcPr>
            <w:tcW w:w="1890"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29E50AB5" w14:textId="77777777" w:rsidR="00250529" w:rsidRPr="00986D12" w:rsidRDefault="00250529" w:rsidP="00507BF5">
            <w:pPr>
              <w:pStyle w:val="Tabletitle0"/>
              <w:jc w:val="center"/>
              <w:rPr>
                <w:rFonts w:asciiTheme="minorHAnsi" w:hAnsiTheme="minorHAnsi" w:cstheme="minorHAnsi"/>
                <w:lang w:eastAsia="en-GB"/>
              </w:rPr>
            </w:pPr>
            <w:r w:rsidRPr="00986D12">
              <w:rPr>
                <w:rFonts w:asciiTheme="minorHAnsi" w:hAnsiTheme="minorHAnsi" w:cstheme="minorHAnsi"/>
                <w:lang w:eastAsia="en-GB"/>
              </w:rPr>
              <w:t>Countries Served</w:t>
            </w:r>
          </w:p>
        </w:tc>
        <w:tc>
          <w:tcPr>
            <w:tcW w:w="1245"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52D879A6" w14:textId="77777777" w:rsidR="00250529" w:rsidRPr="00986D12" w:rsidRDefault="00250529" w:rsidP="00507BF5">
            <w:pPr>
              <w:pStyle w:val="Tabletitle0"/>
              <w:jc w:val="center"/>
              <w:rPr>
                <w:rFonts w:asciiTheme="minorHAnsi" w:hAnsiTheme="minorHAnsi" w:cstheme="minorHAnsi"/>
                <w:lang w:eastAsia="en-GB"/>
              </w:rPr>
            </w:pPr>
            <w:r w:rsidRPr="00986D12">
              <w:rPr>
                <w:rFonts w:asciiTheme="minorHAnsi" w:hAnsiTheme="minorHAnsi" w:cstheme="minorHAnsi"/>
                <w:lang w:eastAsia="en-GB"/>
              </w:rPr>
              <w:t>Total Staff</w:t>
            </w:r>
          </w:p>
        </w:tc>
        <w:tc>
          <w:tcPr>
            <w:tcW w:w="2820"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55BFC279" w14:textId="77777777" w:rsidR="00250529" w:rsidRPr="00986D12" w:rsidRDefault="00250529" w:rsidP="00507BF5">
            <w:pPr>
              <w:pStyle w:val="Tabletitle0"/>
              <w:jc w:val="center"/>
              <w:rPr>
                <w:rFonts w:asciiTheme="minorHAnsi" w:hAnsiTheme="minorHAnsi" w:cstheme="minorHAnsi"/>
                <w:lang w:eastAsia="en-GB"/>
              </w:rPr>
            </w:pPr>
            <w:r w:rsidRPr="00986D12">
              <w:rPr>
                <w:rFonts w:asciiTheme="minorHAnsi" w:hAnsiTheme="minorHAnsi" w:cstheme="minorHAnsi"/>
                <w:lang w:eastAsia="en-GB"/>
              </w:rPr>
              <w:t>Approx. Countries per Staff</w:t>
            </w:r>
          </w:p>
        </w:tc>
      </w:tr>
      <w:tr w:rsidR="00250529" w:rsidRPr="00986D12" w14:paraId="4EFBDAB5"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363519B7"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Europe</w:t>
            </w:r>
          </w:p>
        </w:tc>
        <w:tc>
          <w:tcPr>
            <w:tcW w:w="189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2E2863A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46</w:t>
            </w:r>
          </w:p>
        </w:tc>
        <w:tc>
          <w:tcPr>
            <w:tcW w:w="124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5E833C1B"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w:t>
            </w:r>
          </w:p>
        </w:tc>
        <w:tc>
          <w:tcPr>
            <w:tcW w:w="282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6BA5B41E"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~15.3</w:t>
            </w:r>
          </w:p>
        </w:tc>
      </w:tr>
      <w:tr w:rsidR="00250529" w:rsidRPr="00986D12" w14:paraId="46E3DDEC"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vAlign w:val="center"/>
            <w:hideMark/>
          </w:tcPr>
          <w:p w14:paraId="2F023CAE"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Africa</w:t>
            </w:r>
          </w:p>
        </w:tc>
        <w:tc>
          <w:tcPr>
            <w:tcW w:w="1890" w:type="dxa"/>
            <w:tcBorders>
              <w:top w:val="single" w:sz="6" w:space="0" w:color="FFFFFF"/>
              <w:left w:val="single" w:sz="6" w:space="0" w:color="FFFFFF"/>
              <w:bottom w:val="single" w:sz="6" w:space="0" w:color="FFFFFF"/>
              <w:right w:val="single" w:sz="6" w:space="0" w:color="FFFFFF"/>
            </w:tcBorders>
            <w:vAlign w:val="center"/>
            <w:hideMark/>
          </w:tcPr>
          <w:p w14:paraId="03DE9A69"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43</w:t>
            </w:r>
          </w:p>
        </w:tc>
        <w:tc>
          <w:tcPr>
            <w:tcW w:w="1245" w:type="dxa"/>
            <w:tcBorders>
              <w:top w:val="single" w:sz="6" w:space="0" w:color="FFFFFF"/>
              <w:left w:val="single" w:sz="6" w:space="0" w:color="FFFFFF"/>
              <w:bottom w:val="single" w:sz="6" w:space="0" w:color="FFFFFF"/>
              <w:right w:val="single" w:sz="6" w:space="0" w:color="FFFFFF"/>
            </w:tcBorders>
            <w:vAlign w:val="center"/>
            <w:hideMark/>
          </w:tcPr>
          <w:p w14:paraId="0DD64E4B"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18</w:t>
            </w:r>
          </w:p>
        </w:tc>
        <w:tc>
          <w:tcPr>
            <w:tcW w:w="2820" w:type="dxa"/>
            <w:tcBorders>
              <w:top w:val="single" w:sz="6" w:space="0" w:color="FFFFFF"/>
              <w:left w:val="single" w:sz="6" w:space="0" w:color="FFFFFF"/>
              <w:bottom w:val="single" w:sz="6" w:space="0" w:color="FFFFFF"/>
              <w:right w:val="single" w:sz="6" w:space="0" w:color="FFFFFF"/>
            </w:tcBorders>
            <w:vAlign w:val="center"/>
            <w:hideMark/>
          </w:tcPr>
          <w:p w14:paraId="718643CC"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~2.4</w:t>
            </w:r>
          </w:p>
        </w:tc>
      </w:tr>
      <w:tr w:rsidR="00250529" w:rsidRPr="00986D12" w14:paraId="4BFDB187"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2EC58778"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Asia-Pacific</w:t>
            </w:r>
          </w:p>
        </w:tc>
        <w:tc>
          <w:tcPr>
            <w:tcW w:w="189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6AEACD2D"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39</w:t>
            </w:r>
          </w:p>
        </w:tc>
        <w:tc>
          <w:tcPr>
            <w:tcW w:w="124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4CCE153B"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17</w:t>
            </w:r>
          </w:p>
        </w:tc>
        <w:tc>
          <w:tcPr>
            <w:tcW w:w="282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19116934"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~2.3</w:t>
            </w:r>
          </w:p>
        </w:tc>
      </w:tr>
      <w:tr w:rsidR="00250529" w:rsidRPr="00986D12" w14:paraId="5688A058"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vAlign w:val="center"/>
            <w:hideMark/>
          </w:tcPr>
          <w:p w14:paraId="5E906660"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Americas</w:t>
            </w:r>
          </w:p>
        </w:tc>
        <w:tc>
          <w:tcPr>
            <w:tcW w:w="1890" w:type="dxa"/>
            <w:tcBorders>
              <w:top w:val="single" w:sz="6" w:space="0" w:color="FFFFFF"/>
              <w:left w:val="single" w:sz="6" w:space="0" w:color="FFFFFF"/>
              <w:bottom w:val="single" w:sz="6" w:space="0" w:color="FFFFFF"/>
              <w:right w:val="single" w:sz="6" w:space="0" w:color="FFFFFF"/>
            </w:tcBorders>
            <w:vAlign w:val="center"/>
            <w:hideMark/>
          </w:tcPr>
          <w:p w14:paraId="64B4650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35</w:t>
            </w:r>
          </w:p>
        </w:tc>
        <w:tc>
          <w:tcPr>
            <w:tcW w:w="1245" w:type="dxa"/>
            <w:tcBorders>
              <w:top w:val="single" w:sz="6" w:space="0" w:color="FFFFFF"/>
              <w:left w:val="single" w:sz="6" w:space="0" w:color="FFFFFF"/>
              <w:bottom w:val="single" w:sz="6" w:space="0" w:color="FFFFFF"/>
              <w:right w:val="single" w:sz="6" w:space="0" w:color="FFFFFF"/>
            </w:tcBorders>
            <w:vAlign w:val="center"/>
            <w:hideMark/>
          </w:tcPr>
          <w:p w14:paraId="779412C2"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13</w:t>
            </w:r>
          </w:p>
        </w:tc>
        <w:tc>
          <w:tcPr>
            <w:tcW w:w="2820" w:type="dxa"/>
            <w:tcBorders>
              <w:top w:val="single" w:sz="6" w:space="0" w:color="FFFFFF"/>
              <w:left w:val="single" w:sz="6" w:space="0" w:color="FFFFFF"/>
              <w:bottom w:val="single" w:sz="6" w:space="0" w:color="FFFFFF"/>
              <w:right w:val="single" w:sz="6" w:space="0" w:color="FFFFFF"/>
            </w:tcBorders>
            <w:vAlign w:val="center"/>
            <w:hideMark/>
          </w:tcPr>
          <w:p w14:paraId="06A0812F"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~2.7</w:t>
            </w:r>
          </w:p>
        </w:tc>
      </w:tr>
      <w:tr w:rsidR="00250529" w:rsidRPr="00986D12" w14:paraId="6C76538D"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527C399E"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Arab States</w:t>
            </w:r>
          </w:p>
        </w:tc>
        <w:tc>
          <w:tcPr>
            <w:tcW w:w="189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02BB4096"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22</w:t>
            </w:r>
          </w:p>
        </w:tc>
        <w:tc>
          <w:tcPr>
            <w:tcW w:w="124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64A97A54"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10</w:t>
            </w:r>
          </w:p>
        </w:tc>
        <w:tc>
          <w:tcPr>
            <w:tcW w:w="282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54C6DF6E"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~2.2</w:t>
            </w:r>
          </w:p>
        </w:tc>
      </w:tr>
      <w:tr w:rsidR="00250529" w:rsidRPr="00986D12" w14:paraId="4C882B14" w14:textId="77777777" w:rsidTr="00507BF5">
        <w:trPr>
          <w:trHeight w:val="300"/>
          <w:jc w:val="center"/>
        </w:trPr>
        <w:tc>
          <w:tcPr>
            <w:tcW w:w="1575" w:type="dxa"/>
            <w:tcBorders>
              <w:top w:val="single" w:sz="6" w:space="0" w:color="FFFFFF"/>
              <w:left w:val="single" w:sz="6" w:space="0" w:color="FFFFFF"/>
              <w:bottom w:val="single" w:sz="6" w:space="0" w:color="FFFFFF"/>
              <w:right w:val="single" w:sz="6" w:space="0" w:color="FFFFFF"/>
            </w:tcBorders>
            <w:vAlign w:val="center"/>
            <w:hideMark/>
          </w:tcPr>
          <w:p w14:paraId="12704B33"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CIS</w:t>
            </w:r>
          </w:p>
        </w:tc>
        <w:tc>
          <w:tcPr>
            <w:tcW w:w="1890" w:type="dxa"/>
            <w:tcBorders>
              <w:top w:val="single" w:sz="6" w:space="0" w:color="FFFFFF"/>
              <w:left w:val="single" w:sz="6" w:space="0" w:color="FFFFFF"/>
              <w:bottom w:val="single" w:sz="6" w:space="0" w:color="FFFFFF"/>
              <w:right w:val="single" w:sz="6" w:space="0" w:color="FFFFFF"/>
            </w:tcBorders>
            <w:vAlign w:val="center"/>
            <w:hideMark/>
          </w:tcPr>
          <w:p w14:paraId="7901AA7B"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9</w:t>
            </w:r>
          </w:p>
        </w:tc>
        <w:tc>
          <w:tcPr>
            <w:tcW w:w="1245" w:type="dxa"/>
            <w:tcBorders>
              <w:top w:val="single" w:sz="6" w:space="0" w:color="FFFFFF"/>
              <w:left w:val="single" w:sz="6" w:space="0" w:color="FFFFFF"/>
              <w:bottom w:val="single" w:sz="6" w:space="0" w:color="FFFFFF"/>
              <w:right w:val="single" w:sz="6" w:space="0" w:color="FFFFFF"/>
            </w:tcBorders>
            <w:vAlign w:val="center"/>
            <w:hideMark/>
          </w:tcPr>
          <w:p w14:paraId="4FF63169"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w:t>
            </w:r>
          </w:p>
        </w:tc>
        <w:tc>
          <w:tcPr>
            <w:tcW w:w="2820" w:type="dxa"/>
            <w:tcBorders>
              <w:top w:val="single" w:sz="6" w:space="0" w:color="FFFFFF"/>
              <w:left w:val="single" w:sz="6" w:space="0" w:color="FFFFFF"/>
              <w:bottom w:val="single" w:sz="6" w:space="0" w:color="FFFFFF"/>
              <w:right w:val="single" w:sz="6" w:space="0" w:color="FFFFFF"/>
            </w:tcBorders>
            <w:vAlign w:val="center"/>
            <w:hideMark/>
          </w:tcPr>
          <w:p w14:paraId="32D26562"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~3</w:t>
            </w:r>
          </w:p>
        </w:tc>
      </w:tr>
    </w:tbl>
    <w:p w14:paraId="1EE98D3D" w14:textId="77777777" w:rsidR="00250529" w:rsidRPr="00986D12" w:rsidRDefault="00250529" w:rsidP="00507BF5">
      <w:pPr>
        <w:pStyle w:val="Subtitle0"/>
        <w:jc w:val="center"/>
        <w:rPr>
          <w:rFonts w:asciiTheme="minorHAnsi" w:hAnsiTheme="minorHAnsi" w:cstheme="minorHAnsi"/>
          <w:lang w:val="en-US"/>
        </w:rPr>
      </w:pPr>
      <w:r w:rsidRPr="00986D12">
        <w:rPr>
          <w:rFonts w:asciiTheme="minorHAnsi" w:hAnsiTheme="minorHAnsi" w:cstheme="minorHAnsi"/>
          <w:lang w:val="en-US"/>
        </w:rPr>
        <w:t>Staff, number of countries served and number of projects</w:t>
      </w:r>
    </w:p>
    <w:p w14:paraId="00DC1104" w14:textId="77777777" w:rsidR="00250529" w:rsidRPr="00986D12" w:rsidRDefault="00250529" w:rsidP="00507BF5">
      <w:pPr>
        <w:jc w:val="center"/>
        <w:rPr>
          <w:rFonts w:asciiTheme="minorHAnsi" w:hAnsiTheme="minorHAnsi" w:cstheme="minorHAnsi"/>
          <w:sz w:val="18"/>
          <w:szCs w:val="18"/>
          <w:lang w:eastAsia="en-GB"/>
        </w:rPr>
      </w:pPr>
      <w:r w:rsidRPr="00986D12">
        <w:rPr>
          <w:rFonts w:asciiTheme="minorHAnsi" w:hAnsiTheme="minorHAnsi" w:cstheme="minorHAnsi"/>
          <w:noProof/>
        </w:rPr>
        <w:drawing>
          <wp:inline distT="0" distB="0" distL="0" distR="0" wp14:anchorId="59C21563" wp14:editId="05BB5B73">
            <wp:extent cx="5410200" cy="3409950"/>
            <wp:effectExtent l="0" t="0" r="0" b="0"/>
            <wp:docPr id="1333186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0200" cy="3409950"/>
                    </a:xfrm>
                    <a:prstGeom prst="rect">
                      <a:avLst/>
                    </a:prstGeom>
                    <a:noFill/>
                    <a:ln>
                      <a:noFill/>
                    </a:ln>
                  </pic:spPr>
                </pic:pic>
              </a:graphicData>
            </a:graphic>
          </wp:inline>
        </w:drawing>
      </w:r>
    </w:p>
    <w:p w14:paraId="15856E3E" w14:textId="317B32CF"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Europe shows the highest country-to-staff ratio by a very large margin (~15 countries per staff member).</w:t>
      </w:r>
    </w:p>
    <w:p w14:paraId="3AE3054F" w14:textId="03C6FB31"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CIS has a moderate ratio (~3 countries per staff member).</w:t>
      </w:r>
    </w:p>
    <w:p w14:paraId="324F834D" w14:textId="5FC13C5E"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Africa, Asia-Pacific, Arab States, and Americas operate within a relatively similar range (2–3 countries per staff member). </w:t>
      </w:r>
    </w:p>
    <w:p w14:paraId="2F6CE9CE" w14:textId="77777777" w:rsidR="00250529" w:rsidRPr="00986D12" w:rsidRDefault="00250529" w:rsidP="00507BF5">
      <w:pPr>
        <w:pStyle w:val="Subtitle0"/>
        <w:jc w:val="center"/>
        <w:rPr>
          <w:rFonts w:asciiTheme="minorHAnsi" w:hAnsiTheme="minorHAnsi" w:cstheme="minorHAnsi"/>
          <w:color w:val="000000"/>
        </w:rPr>
      </w:pPr>
      <w:r w:rsidRPr="00986D12">
        <w:rPr>
          <w:rFonts w:asciiTheme="minorHAnsi" w:hAnsiTheme="minorHAnsi" w:cstheme="minorHAnsi"/>
          <w:lang w:val="en-US"/>
        </w:rPr>
        <w:t>Projects Implemented (as of 30 September 2025)</w:t>
      </w:r>
      <w:r w:rsidRPr="00986D12">
        <w:rPr>
          <w:rFonts w:asciiTheme="minorHAnsi" w:hAnsiTheme="minorHAnsi" w:cstheme="minorHAnsi"/>
          <w:color w:val="000000"/>
          <w:lang w:val="en-US"/>
        </w:rPr>
        <w:t>  </w:t>
      </w:r>
    </w:p>
    <w:tbl>
      <w:tblPr>
        <w:tblW w:w="69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3075"/>
        <w:gridCol w:w="1800"/>
      </w:tblGrid>
      <w:tr w:rsidR="00250529" w:rsidRPr="00986D12" w14:paraId="1297D836" w14:textId="77777777" w:rsidTr="00507BF5">
        <w:trPr>
          <w:trHeight w:val="300"/>
          <w:tblHeader/>
          <w:jc w:val="center"/>
        </w:trPr>
        <w:tc>
          <w:tcPr>
            <w:tcW w:w="2115"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00524C98" w14:textId="77777777" w:rsidR="00250529" w:rsidRPr="00986D12" w:rsidRDefault="00250529" w:rsidP="00507BF5">
            <w:pPr>
              <w:pStyle w:val="Tabletitle0"/>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Region</w:t>
            </w:r>
          </w:p>
        </w:tc>
        <w:tc>
          <w:tcPr>
            <w:tcW w:w="3075"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70512501" w14:textId="77777777" w:rsidR="00250529" w:rsidRPr="00986D12" w:rsidRDefault="00250529" w:rsidP="00507BF5">
            <w:pPr>
              <w:pStyle w:val="Tabletitle0"/>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Projects with Activities </w:t>
            </w:r>
            <w:r w:rsidRPr="00986D12">
              <w:rPr>
                <w:rFonts w:asciiTheme="minorHAnsi" w:hAnsiTheme="minorHAnsi" w:cstheme="minorHAnsi"/>
                <w:color w:val="FFFFFF" w:themeColor="background1"/>
                <w:lang w:eastAsia="en-GB"/>
              </w:rPr>
              <w:br/>
              <w:t>(2023–2025 data)</w:t>
            </w:r>
          </w:p>
        </w:tc>
        <w:tc>
          <w:tcPr>
            <w:tcW w:w="1800" w:type="dxa"/>
            <w:tcBorders>
              <w:top w:val="single" w:sz="6" w:space="0" w:color="FFFFFF"/>
              <w:left w:val="single" w:sz="6" w:space="0" w:color="FFFFFF"/>
              <w:bottom w:val="single" w:sz="6" w:space="0" w:color="FFFFFF"/>
              <w:right w:val="single" w:sz="6" w:space="0" w:color="FFFFFF"/>
            </w:tcBorders>
            <w:shd w:val="clear" w:color="auto" w:fill="45B0E1"/>
            <w:vAlign w:val="center"/>
            <w:hideMark/>
          </w:tcPr>
          <w:p w14:paraId="740583A2" w14:textId="77777777" w:rsidR="00250529" w:rsidRPr="00986D12" w:rsidRDefault="00250529" w:rsidP="00507BF5">
            <w:pPr>
              <w:pStyle w:val="Tabletitle0"/>
              <w:jc w:val="center"/>
              <w:rPr>
                <w:rFonts w:asciiTheme="minorHAnsi" w:hAnsiTheme="minorHAnsi" w:cstheme="minorHAnsi"/>
                <w:color w:val="FFFFFF" w:themeColor="background1"/>
                <w:lang w:eastAsia="en-GB"/>
              </w:rPr>
            </w:pPr>
            <w:r w:rsidRPr="00986D12">
              <w:rPr>
                <w:rFonts w:asciiTheme="minorHAnsi" w:hAnsiTheme="minorHAnsi" w:cstheme="minorHAnsi"/>
                <w:color w:val="FFFFFF" w:themeColor="background1"/>
                <w:lang w:eastAsia="en-GB"/>
              </w:rPr>
              <w:t>CHF Total (approx.)</w:t>
            </w:r>
          </w:p>
        </w:tc>
      </w:tr>
      <w:tr w:rsidR="00250529" w:rsidRPr="00986D12" w14:paraId="7FB2EB8C"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664E5AEB"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Africa</w:t>
            </w:r>
          </w:p>
        </w:tc>
        <w:tc>
          <w:tcPr>
            <w:tcW w:w="30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6702D84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22</w:t>
            </w:r>
          </w:p>
        </w:tc>
        <w:tc>
          <w:tcPr>
            <w:tcW w:w="180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732F7BF2"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28.97M</w:t>
            </w:r>
            <w:proofErr w:type="spellEnd"/>
          </w:p>
        </w:tc>
      </w:tr>
      <w:tr w:rsidR="00250529" w:rsidRPr="00986D12" w14:paraId="7B67EE37"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vAlign w:val="center"/>
            <w:hideMark/>
          </w:tcPr>
          <w:p w14:paraId="0E0344C9"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Americas</w:t>
            </w:r>
          </w:p>
        </w:tc>
        <w:tc>
          <w:tcPr>
            <w:tcW w:w="3075" w:type="dxa"/>
            <w:tcBorders>
              <w:top w:val="single" w:sz="6" w:space="0" w:color="FFFFFF"/>
              <w:left w:val="single" w:sz="6" w:space="0" w:color="FFFFFF"/>
              <w:bottom w:val="single" w:sz="6" w:space="0" w:color="FFFFFF"/>
              <w:right w:val="single" w:sz="6" w:space="0" w:color="FFFFFF"/>
            </w:tcBorders>
            <w:vAlign w:val="center"/>
            <w:hideMark/>
          </w:tcPr>
          <w:p w14:paraId="2E728E4A"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24</w:t>
            </w:r>
          </w:p>
        </w:tc>
        <w:tc>
          <w:tcPr>
            <w:tcW w:w="1800" w:type="dxa"/>
            <w:tcBorders>
              <w:top w:val="single" w:sz="6" w:space="0" w:color="FFFFFF"/>
              <w:left w:val="single" w:sz="6" w:space="0" w:color="FFFFFF"/>
              <w:bottom w:val="single" w:sz="6" w:space="0" w:color="FFFFFF"/>
              <w:right w:val="single" w:sz="6" w:space="0" w:color="FFFFFF"/>
            </w:tcBorders>
            <w:vAlign w:val="center"/>
            <w:hideMark/>
          </w:tcPr>
          <w:p w14:paraId="7BC97A5B"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42.89M</w:t>
            </w:r>
            <w:proofErr w:type="spellEnd"/>
          </w:p>
        </w:tc>
      </w:tr>
      <w:tr w:rsidR="00250529" w:rsidRPr="00986D12" w14:paraId="484524CE"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5D2AA93E"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lastRenderedPageBreak/>
              <w:t>Asia-Pacific</w:t>
            </w:r>
          </w:p>
        </w:tc>
        <w:tc>
          <w:tcPr>
            <w:tcW w:w="30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48AB93B4"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19</w:t>
            </w:r>
          </w:p>
        </w:tc>
        <w:tc>
          <w:tcPr>
            <w:tcW w:w="180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794E349B"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8.07M</w:t>
            </w:r>
            <w:proofErr w:type="spellEnd"/>
          </w:p>
        </w:tc>
      </w:tr>
      <w:tr w:rsidR="00250529" w:rsidRPr="00986D12" w14:paraId="79FBE7D8"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vAlign w:val="center"/>
            <w:hideMark/>
          </w:tcPr>
          <w:p w14:paraId="1FA1CE7A"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Arab States</w:t>
            </w:r>
          </w:p>
        </w:tc>
        <w:tc>
          <w:tcPr>
            <w:tcW w:w="3075" w:type="dxa"/>
            <w:tcBorders>
              <w:top w:val="single" w:sz="6" w:space="0" w:color="FFFFFF"/>
              <w:left w:val="single" w:sz="6" w:space="0" w:color="FFFFFF"/>
              <w:bottom w:val="single" w:sz="6" w:space="0" w:color="FFFFFF"/>
              <w:right w:val="single" w:sz="6" w:space="0" w:color="FFFFFF"/>
            </w:tcBorders>
            <w:vAlign w:val="center"/>
            <w:hideMark/>
          </w:tcPr>
          <w:p w14:paraId="1D7AD76B"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10</w:t>
            </w:r>
          </w:p>
        </w:tc>
        <w:tc>
          <w:tcPr>
            <w:tcW w:w="1800" w:type="dxa"/>
            <w:tcBorders>
              <w:top w:val="single" w:sz="6" w:space="0" w:color="FFFFFF"/>
              <w:left w:val="single" w:sz="6" w:space="0" w:color="FFFFFF"/>
              <w:bottom w:val="single" w:sz="6" w:space="0" w:color="FFFFFF"/>
              <w:right w:val="single" w:sz="6" w:space="0" w:color="FFFFFF"/>
            </w:tcBorders>
            <w:vAlign w:val="center"/>
            <w:hideMark/>
          </w:tcPr>
          <w:p w14:paraId="0CA6E716"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8.35M</w:t>
            </w:r>
            <w:proofErr w:type="spellEnd"/>
          </w:p>
        </w:tc>
      </w:tr>
      <w:tr w:rsidR="00250529" w:rsidRPr="00986D12" w14:paraId="639DFAA4"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4FFA33CB"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Europe</w:t>
            </w:r>
          </w:p>
        </w:tc>
        <w:tc>
          <w:tcPr>
            <w:tcW w:w="30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4CA1C2FE"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5</w:t>
            </w:r>
          </w:p>
        </w:tc>
        <w:tc>
          <w:tcPr>
            <w:tcW w:w="180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74C278B7"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4.01M</w:t>
            </w:r>
            <w:proofErr w:type="spellEnd"/>
          </w:p>
        </w:tc>
      </w:tr>
      <w:tr w:rsidR="00250529" w:rsidRPr="00986D12" w14:paraId="68B41F53"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vAlign w:val="center"/>
            <w:hideMark/>
          </w:tcPr>
          <w:p w14:paraId="3EA550A7"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CIS</w:t>
            </w:r>
          </w:p>
        </w:tc>
        <w:tc>
          <w:tcPr>
            <w:tcW w:w="3075" w:type="dxa"/>
            <w:tcBorders>
              <w:top w:val="single" w:sz="6" w:space="0" w:color="FFFFFF"/>
              <w:left w:val="single" w:sz="6" w:space="0" w:color="FFFFFF"/>
              <w:bottom w:val="single" w:sz="6" w:space="0" w:color="FFFFFF"/>
              <w:right w:val="single" w:sz="6" w:space="0" w:color="FFFFFF"/>
            </w:tcBorders>
            <w:vAlign w:val="center"/>
            <w:hideMark/>
          </w:tcPr>
          <w:p w14:paraId="6713DFCC"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4</w:t>
            </w:r>
          </w:p>
        </w:tc>
        <w:tc>
          <w:tcPr>
            <w:tcW w:w="1800" w:type="dxa"/>
            <w:tcBorders>
              <w:top w:val="single" w:sz="6" w:space="0" w:color="FFFFFF"/>
              <w:left w:val="single" w:sz="6" w:space="0" w:color="FFFFFF"/>
              <w:bottom w:val="single" w:sz="6" w:space="0" w:color="FFFFFF"/>
              <w:right w:val="single" w:sz="6" w:space="0" w:color="FFFFFF"/>
            </w:tcBorders>
            <w:vAlign w:val="center"/>
            <w:hideMark/>
          </w:tcPr>
          <w:p w14:paraId="007D79BE"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0.86M</w:t>
            </w:r>
            <w:proofErr w:type="spellEnd"/>
          </w:p>
        </w:tc>
      </w:tr>
      <w:tr w:rsidR="00250529" w:rsidRPr="00986D12" w14:paraId="2CBB0BC5" w14:textId="77777777" w:rsidTr="00507BF5">
        <w:trPr>
          <w:trHeight w:val="300"/>
          <w:jc w:val="center"/>
        </w:trPr>
        <w:tc>
          <w:tcPr>
            <w:tcW w:w="211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6122A0EC"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Multi-Regional</w:t>
            </w:r>
          </w:p>
        </w:tc>
        <w:tc>
          <w:tcPr>
            <w:tcW w:w="3075"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08846703" w14:textId="77777777" w:rsidR="00250529" w:rsidRPr="00986D12" w:rsidRDefault="00250529" w:rsidP="00507BF5">
            <w:pPr>
              <w:pStyle w:val="Texttable"/>
              <w:jc w:val="center"/>
              <w:rPr>
                <w:rFonts w:asciiTheme="minorHAnsi" w:hAnsiTheme="minorHAnsi" w:cstheme="minorHAnsi"/>
                <w:lang w:eastAsia="en-GB"/>
              </w:rPr>
            </w:pPr>
            <w:r w:rsidRPr="00986D12">
              <w:rPr>
                <w:rFonts w:asciiTheme="minorHAnsi" w:hAnsiTheme="minorHAnsi" w:cstheme="minorHAnsi"/>
                <w:lang w:eastAsia="en-GB"/>
              </w:rPr>
              <w:t>52</w:t>
            </w:r>
          </w:p>
        </w:tc>
        <w:tc>
          <w:tcPr>
            <w:tcW w:w="1800" w:type="dxa"/>
            <w:tcBorders>
              <w:top w:val="single" w:sz="6" w:space="0" w:color="FFFFFF"/>
              <w:left w:val="single" w:sz="6" w:space="0" w:color="FFFFFF"/>
              <w:bottom w:val="single" w:sz="6" w:space="0" w:color="FFFFFF"/>
              <w:right w:val="single" w:sz="6" w:space="0" w:color="FFFFFF"/>
            </w:tcBorders>
            <w:shd w:val="clear" w:color="auto" w:fill="C1E4F5"/>
            <w:vAlign w:val="center"/>
            <w:hideMark/>
          </w:tcPr>
          <w:p w14:paraId="5A70996F" w14:textId="77777777" w:rsidR="00250529" w:rsidRPr="00986D12" w:rsidRDefault="00250529" w:rsidP="00507BF5">
            <w:pPr>
              <w:pStyle w:val="Texttable"/>
              <w:jc w:val="center"/>
              <w:rPr>
                <w:rFonts w:asciiTheme="minorHAnsi" w:hAnsiTheme="minorHAnsi" w:cstheme="minorHAnsi"/>
                <w:lang w:eastAsia="en-GB"/>
              </w:rPr>
            </w:pPr>
            <w:proofErr w:type="spellStart"/>
            <w:r w:rsidRPr="00986D12">
              <w:rPr>
                <w:rFonts w:asciiTheme="minorHAnsi" w:hAnsiTheme="minorHAnsi" w:cstheme="minorHAnsi"/>
                <w:lang w:eastAsia="en-GB"/>
              </w:rPr>
              <w:t>41.65M</w:t>
            </w:r>
            <w:proofErr w:type="spellEnd"/>
          </w:p>
        </w:tc>
      </w:tr>
    </w:tbl>
    <w:p w14:paraId="1EBF533E" w14:textId="027FFA50" w:rsidR="00250529" w:rsidRPr="008C431B" w:rsidRDefault="008C431B" w:rsidP="008C431B">
      <w:pPr>
        <w:spacing w:before="60" w:after="60"/>
        <w:ind w:left="720" w:hanging="360"/>
        <w:rPr>
          <w:rFonts w:asciiTheme="minorHAnsi" w:hAnsiTheme="minorHAnsi" w:cstheme="minorHAnsi"/>
          <w:lang w:eastAsia="en-GB"/>
        </w:rPr>
      </w:pPr>
      <w:r w:rsidRPr="00986D12">
        <w:rPr>
          <w:rFonts w:ascii="Symbol" w:eastAsia="Aptos" w:hAnsi="Symbol" w:cstheme="minorHAnsi"/>
          <w:kern w:val="2"/>
          <w:sz w:val="22"/>
          <w:szCs w:val="22"/>
          <w:lang w:eastAsia="en-GB"/>
          <w14:ligatures w14:val="standardContextual"/>
        </w:rPr>
        <w:t></w:t>
      </w:r>
      <w:r w:rsidRPr="00986D12">
        <w:rPr>
          <w:rFonts w:ascii="Symbol" w:eastAsia="Aptos" w:hAnsi="Symbol" w:cstheme="minorHAnsi"/>
          <w:kern w:val="2"/>
          <w:sz w:val="22"/>
          <w:szCs w:val="22"/>
          <w:lang w:eastAsia="en-GB"/>
          <w14:ligatures w14:val="standardContextual"/>
        </w:rPr>
        <w:tab/>
      </w:r>
      <w:r w:rsidR="00250529" w:rsidRPr="008C431B">
        <w:rPr>
          <w:rFonts w:asciiTheme="minorHAnsi" w:hAnsiTheme="minorHAnsi" w:cstheme="minorHAnsi"/>
          <w:lang w:eastAsia="en-GB"/>
        </w:rPr>
        <w:t>Americas and Africa carry the largest project portfolios in financial and quantitative terms. </w:t>
      </w:r>
    </w:p>
    <w:p w14:paraId="2CE940B9" w14:textId="3E64CFF6" w:rsidR="00250529" w:rsidRPr="008C431B" w:rsidRDefault="008C431B" w:rsidP="008C431B">
      <w:pPr>
        <w:spacing w:before="60" w:after="60"/>
        <w:ind w:left="720" w:hanging="360"/>
        <w:rPr>
          <w:rFonts w:asciiTheme="minorHAnsi" w:hAnsiTheme="minorHAnsi" w:cstheme="minorHAnsi"/>
          <w:lang w:eastAsia="en-GB"/>
        </w:rPr>
      </w:pPr>
      <w:r w:rsidRPr="00986D12">
        <w:rPr>
          <w:rFonts w:ascii="Symbol" w:eastAsia="Aptos" w:hAnsi="Symbol" w:cstheme="minorHAnsi"/>
          <w:kern w:val="2"/>
          <w:sz w:val="22"/>
          <w:szCs w:val="22"/>
          <w:lang w:eastAsia="en-GB"/>
          <w14:ligatures w14:val="standardContextual"/>
        </w:rPr>
        <w:t></w:t>
      </w:r>
      <w:r w:rsidRPr="00986D12">
        <w:rPr>
          <w:rFonts w:ascii="Symbol" w:eastAsia="Aptos" w:hAnsi="Symbol" w:cstheme="minorHAnsi"/>
          <w:kern w:val="2"/>
          <w:sz w:val="22"/>
          <w:szCs w:val="22"/>
          <w:lang w:eastAsia="en-GB"/>
          <w14:ligatures w14:val="standardContextual"/>
        </w:rPr>
        <w:tab/>
      </w:r>
      <w:r w:rsidR="00250529" w:rsidRPr="008C431B">
        <w:rPr>
          <w:rFonts w:asciiTheme="minorHAnsi" w:hAnsiTheme="minorHAnsi" w:cstheme="minorHAnsi"/>
          <w:lang w:eastAsia="en-GB"/>
        </w:rPr>
        <w:t>Asia-Pacific also has substantial project volume but lower average funding per project compared to the Americas. </w:t>
      </w:r>
    </w:p>
    <w:p w14:paraId="0B64D2D3" w14:textId="6E88494C" w:rsidR="00250529" w:rsidRPr="008C431B" w:rsidRDefault="008C431B" w:rsidP="008C431B">
      <w:pPr>
        <w:spacing w:before="60" w:after="60"/>
        <w:ind w:left="720" w:hanging="360"/>
        <w:rPr>
          <w:rFonts w:asciiTheme="minorHAnsi" w:hAnsiTheme="minorHAnsi" w:cstheme="minorBidi"/>
          <w:lang w:eastAsia="en-GB"/>
        </w:rPr>
      </w:pPr>
      <w:r w:rsidRPr="00986D12">
        <w:rPr>
          <w:rFonts w:asciiTheme="minorHAnsi" w:eastAsia="Aptos" w:hAnsiTheme="minorHAnsi" w:cstheme="minorBidi"/>
          <w:kern w:val="2"/>
          <w:sz w:val="22"/>
          <w:szCs w:val="22"/>
          <w:lang w:eastAsia="en-GB"/>
          <w14:ligatures w14:val="standardContextual"/>
        </w:rPr>
        <w:t>13.</w:t>
      </w:r>
      <w:r w:rsidRPr="00986D12">
        <w:rPr>
          <w:rFonts w:asciiTheme="minorHAnsi" w:eastAsia="Aptos" w:hAnsiTheme="minorHAnsi" w:cstheme="minorBidi"/>
          <w:kern w:val="2"/>
          <w:sz w:val="22"/>
          <w:szCs w:val="22"/>
          <w:lang w:eastAsia="en-GB"/>
          <w14:ligatures w14:val="standardContextual"/>
        </w:rPr>
        <w:tab/>
      </w:r>
      <w:r w:rsidR="00250529" w:rsidRPr="008C431B">
        <w:rPr>
          <w:rFonts w:asciiTheme="minorHAnsi" w:hAnsiTheme="minorHAnsi" w:cstheme="minorBidi"/>
          <w:lang w:eastAsia="en-GB"/>
        </w:rPr>
        <w:t xml:space="preserve">Europe and </w:t>
      </w:r>
      <w:r w:rsidR="3E407A01" w:rsidRPr="008C431B">
        <w:rPr>
          <w:rFonts w:asciiTheme="minorHAnsi" w:hAnsiTheme="minorHAnsi" w:cstheme="minorBidi"/>
          <w:lang w:eastAsia="en-GB"/>
        </w:rPr>
        <w:t>CIS have relatively</w:t>
      </w:r>
      <w:r w:rsidR="00250529" w:rsidRPr="008C431B">
        <w:rPr>
          <w:rFonts w:asciiTheme="minorHAnsi" w:hAnsiTheme="minorHAnsi" w:cstheme="minorBidi"/>
          <w:lang w:eastAsia="en-GB"/>
        </w:rPr>
        <w:t xml:space="preserve"> </w:t>
      </w:r>
      <w:r w:rsidR="3E407A01" w:rsidRPr="008C431B">
        <w:rPr>
          <w:rFonts w:asciiTheme="minorHAnsi" w:hAnsiTheme="minorHAnsi" w:cstheme="minorBidi"/>
          <w:lang w:eastAsia="en-GB"/>
        </w:rPr>
        <w:t>smaller development</w:t>
      </w:r>
      <w:r w:rsidR="00250529" w:rsidRPr="008C431B">
        <w:rPr>
          <w:rFonts w:asciiTheme="minorHAnsi" w:hAnsiTheme="minorHAnsi" w:cstheme="minorBidi"/>
          <w:lang w:eastAsia="en-GB"/>
        </w:rPr>
        <w:t xml:space="preserve"> project portfolios.</w:t>
      </w:r>
      <w:r w:rsidR="3E407A01" w:rsidRPr="008C431B">
        <w:rPr>
          <w:rFonts w:asciiTheme="minorHAnsi" w:hAnsiTheme="minorHAnsi" w:cstheme="minorBidi"/>
          <w:lang w:eastAsia="en-GB"/>
        </w:rPr>
        <w:t> </w:t>
      </w:r>
    </w:p>
    <w:p w14:paraId="35F8A56C" w14:textId="1E7EA555" w:rsidR="00250529" w:rsidRPr="008C431B" w:rsidRDefault="008C431B" w:rsidP="008C431B">
      <w:pPr>
        <w:spacing w:before="60" w:after="60"/>
        <w:ind w:left="720" w:hanging="360"/>
        <w:rPr>
          <w:rFonts w:asciiTheme="minorHAnsi" w:hAnsiTheme="minorHAnsi" w:cstheme="minorHAnsi"/>
          <w:lang w:eastAsia="en-GB"/>
        </w:rPr>
      </w:pPr>
      <w:r w:rsidRPr="00986D12">
        <w:rPr>
          <w:rFonts w:ascii="Symbol" w:eastAsia="Aptos" w:hAnsi="Symbol" w:cstheme="minorHAnsi"/>
          <w:kern w:val="2"/>
          <w:sz w:val="22"/>
          <w:szCs w:val="22"/>
          <w:lang w:eastAsia="en-GB"/>
          <w14:ligatures w14:val="standardContextual"/>
        </w:rPr>
        <w:t></w:t>
      </w:r>
      <w:r w:rsidRPr="00986D12">
        <w:rPr>
          <w:rFonts w:ascii="Symbol" w:eastAsia="Aptos" w:hAnsi="Symbol" w:cstheme="minorHAnsi"/>
          <w:kern w:val="2"/>
          <w:sz w:val="22"/>
          <w:szCs w:val="22"/>
          <w:lang w:eastAsia="en-GB"/>
          <w14:ligatures w14:val="standardContextual"/>
        </w:rPr>
        <w:tab/>
      </w:r>
      <w:r w:rsidR="00250529" w:rsidRPr="008C431B">
        <w:rPr>
          <w:rFonts w:asciiTheme="minorHAnsi" w:hAnsiTheme="minorHAnsi" w:cstheme="minorHAnsi"/>
          <w:lang w:eastAsia="en-GB"/>
        </w:rPr>
        <w:t>A significant portion (52 projects) is multi-regional, indicating cross-regional coordination demands on HQ and regional offices. </w:t>
      </w:r>
    </w:p>
    <w:p w14:paraId="1EEEDFA0" w14:textId="77777777" w:rsidR="00250529" w:rsidRPr="00986D12" w:rsidRDefault="00250529" w:rsidP="00507BF5">
      <w:pPr>
        <w:pStyle w:val="Subtitle0"/>
        <w:jc w:val="center"/>
        <w:rPr>
          <w:rFonts w:asciiTheme="minorHAnsi" w:hAnsiTheme="minorHAnsi" w:cstheme="minorHAnsi"/>
          <w:lang w:val="en-US"/>
        </w:rPr>
      </w:pPr>
      <w:r w:rsidRPr="00986D12">
        <w:rPr>
          <w:rFonts w:asciiTheme="minorHAnsi" w:hAnsiTheme="minorHAnsi" w:cstheme="minorHAnsi"/>
          <w:lang w:val="en-US"/>
        </w:rPr>
        <w:t>Project volume by region</w:t>
      </w:r>
    </w:p>
    <w:p w14:paraId="4D05CA3A" w14:textId="77777777" w:rsidR="00250529" w:rsidRPr="00986D12" w:rsidRDefault="00250529" w:rsidP="00507BF5">
      <w:pPr>
        <w:jc w:val="center"/>
        <w:rPr>
          <w:rFonts w:asciiTheme="minorHAnsi" w:hAnsiTheme="minorHAnsi" w:cstheme="minorHAnsi"/>
          <w:lang w:eastAsia="en-GB"/>
        </w:rPr>
      </w:pPr>
      <w:r w:rsidRPr="00986D12">
        <w:rPr>
          <w:rFonts w:asciiTheme="minorHAnsi" w:hAnsiTheme="minorHAnsi" w:cstheme="minorHAnsi"/>
          <w:noProof/>
          <w:lang w:eastAsia="en-GB"/>
        </w:rPr>
        <w:drawing>
          <wp:inline distT="0" distB="0" distL="0" distR="0" wp14:anchorId="7FAFEE24" wp14:editId="1B4FD118">
            <wp:extent cx="4514850" cy="3086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14850" cy="3086100"/>
                    </a:xfrm>
                    <a:prstGeom prst="rect">
                      <a:avLst/>
                    </a:prstGeom>
                    <a:noFill/>
                    <a:ln>
                      <a:noFill/>
                    </a:ln>
                  </pic:spPr>
                </pic:pic>
              </a:graphicData>
            </a:graphic>
          </wp:inline>
        </w:drawing>
      </w:r>
      <w:r w:rsidRPr="00986D12">
        <w:rPr>
          <w:rFonts w:asciiTheme="minorHAnsi" w:hAnsiTheme="minorHAnsi" w:cstheme="minorHAnsi"/>
          <w:color w:val="000000"/>
          <w:lang w:eastAsia="en-GB"/>
        </w:rPr>
        <w:t> </w:t>
      </w:r>
    </w:p>
    <w:p w14:paraId="722BE963" w14:textId="321BE25E"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Americas and Africa carry the largest project portfolios in financial and quantitative terms. </w:t>
      </w:r>
    </w:p>
    <w:p w14:paraId="19A55E66" w14:textId="28D4216B"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Asia-Pacific also has substantial project volume but lower average funding per project compared to the Americas. </w:t>
      </w:r>
    </w:p>
    <w:p w14:paraId="78232407" w14:textId="6E7DCB60"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Europe and CIS have relatively smaller development project portfolios. </w:t>
      </w:r>
    </w:p>
    <w:p w14:paraId="772A0A7D" w14:textId="46C8F596" w:rsidR="00250529" w:rsidRPr="008C431B" w:rsidRDefault="008C431B" w:rsidP="008C431B">
      <w:pPr>
        <w:tabs>
          <w:tab w:val="left" w:pos="720"/>
        </w:tabs>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0"/>
          <w:szCs w:val="22"/>
          <w:lang w:eastAsia="en-GB"/>
          <w14:ligatures w14:val="standardContextual"/>
        </w:rPr>
        <w:t></w:t>
      </w:r>
      <w:r w:rsidRPr="00986D12">
        <w:rPr>
          <w:rFonts w:ascii="Symbol" w:eastAsia="Aptos" w:hAnsi="Symbol" w:cstheme="minorHAnsi"/>
          <w:kern w:val="2"/>
          <w:sz w:val="20"/>
          <w:szCs w:val="22"/>
          <w:lang w:eastAsia="en-GB"/>
          <w14:ligatures w14:val="standardContextual"/>
        </w:rPr>
        <w:tab/>
      </w:r>
      <w:r w:rsidR="00250529" w:rsidRPr="008C431B">
        <w:rPr>
          <w:rFonts w:asciiTheme="minorHAnsi" w:hAnsiTheme="minorHAnsi" w:cstheme="minorHAnsi"/>
          <w:lang w:eastAsia="en-GB"/>
        </w:rPr>
        <w:t>A significant portion (52 projects) is multi-regional, indicating cross-regional coordination demands on HQ and regional offices. </w:t>
      </w:r>
    </w:p>
    <w:p w14:paraId="22E1579F" w14:textId="77777777" w:rsidR="00250529" w:rsidRPr="00986D12" w:rsidRDefault="00250529" w:rsidP="00507BF5">
      <w:pPr>
        <w:pStyle w:val="KPItitle"/>
        <w:rPr>
          <w:rFonts w:asciiTheme="minorHAnsi" w:eastAsia="Avenir Nxt2 W1G" w:hAnsiTheme="minorHAnsi" w:cstheme="minorHAnsi"/>
        </w:rPr>
      </w:pPr>
      <w:bookmarkStart w:id="126" w:name="_Toc224213058"/>
      <w:bookmarkStart w:id="127" w:name="_Toc224236489"/>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14 — The recruitment strateg</w:t>
      </w:r>
      <w:r w:rsidRPr="00986D12">
        <w:rPr>
          <w:rFonts w:asciiTheme="minorHAnsi" w:eastAsia="Avenir Nxt2 W1G" w:hAnsiTheme="minorHAnsi" w:cstheme="minorHAnsi"/>
        </w:rPr>
        <w:t>y including:</w:t>
      </w:r>
      <w:bookmarkEnd w:id="126"/>
      <w:bookmarkEnd w:id="127"/>
    </w:p>
    <w:p w14:paraId="39EB2C21" w14:textId="172891FB" w:rsidR="00250529" w:rsidRPr="008C431B" w:rsidRDefault="008C431B" w:rsidP="008C431B">
      <w:pPr>
        <w:spacing w:before="60" w:after="60"/>
        <w:ind w:left="720" w:hanging="360"/>
        <w:jc w:val="both"/>
        <w:rPr>
          <w:rFonts w:asciiTheme="minorHAnsi" w:hAnsiTheme="minorHAnsi" w:cstheme="minorHAnsi"/>
          <w:lang w:val="en-US" w:eastAsia="en-GB"/>
        </w:rPr>
      </w:pPr>
      <w:r w:rsidRPr="00986D12">
        <w:rPr>
          <w:rFonts w:ascii="Avenir Nxt2 W1G,Segoe UI" w:eastAsia="Aptos" w:hAnsi="Avenir Nxt2 W1G,Segoe UI" w:cstheme="minorHAnsi"/>
          <w:kern w:val="2"/>
          <w:sz w:val="22"/>
          <w:szCs w:val="22"/>
          <w:lang w:val="en-US" w:eastAsia="en-GB"/>
          <w14:ligatures w14:val="standardContextual"/>
        </w:rPr>
        <w:t>a.</w:t>
      </w:r>
      <w:r w:rsidRPr="00986D12">
        <w:rPr>
          <w:rFonts w:ascii="Avenir Nxt2 W1G,Segoe UI" w:eastAsia="Aptos" w:hAnsi="Avenir Nxt2 W1G,Segoe UI" w:cstheme="minorHAnsi"/>
          <w:kern w:val="2"/>
          <w:sz w:val="22"/>
          <w:szCs w:val="22"/>
          <w:lang w:val="en-US" w:eastAsia="en-GB"/>
          <w14:ligatures w14:val="standardContextual"/>
        </w:rPr>
        <w:tab/>
      </w:r>
      <w:r w:rsidR="00250529" w:rsidRPr="008C431B">
        <w:rPr>
          <w:rFonts w:asciiTheme="minorHAnsi" w:hAnsiTheme="minorHAnsi" w:cstheme="minorHAnsi"/>
          <w:lang w:eastAsia="en-GB"/>
        </w:rPr>
        <w:t xml:space="preserve">number </w:t>
      </w:r>
      <w:r w:rsidR="00250529" w:rsidRPr="008C431B">
        <w:rPr>
          <w:rFonts w:asciiTheme="minorHAnsi" w:hAnsiTheme="minorHAnsi" w:cstheme="minorHAnsi"/>
          <w:lang w:val="en-US" w:eastAsia="en-GB"/>
        </w:rPr>
        <w:t>and type of vacant positions per Regional and Area Office (per year in review)</w:t>
      </w:r>
    </w:p>
    <w:p w14:paraId="0E08BEC4" w14:textId="246DBB1B"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Avenir Nxt2 W1G,Segoe UI" w:eastAsia="Aptos" w:hAnsi="Avenir Nxt2 W1G,Segoe UI" w:cstheme="minorHAnsi"/>
          <w:kern w:val="2"/>
          <w:sz w:val="22"/>
          <w:szCs w:val="22"/>
          <w:lang w:eastAsia="en-GB"/>
          <w14:ligatures w14:val="standardContextual"/>
        </w:rPr>
        <w:lastRenderedPageBreak/>
        <w:t>b.</w:t>
      </w:r>
      <w:r w:rsidRPr="00986D12">
        <w:rPr>
          <w:rFonts w:ascii="Avenir Nxt2 W1G,Segoe UI" w:eastAsia="Aptos" w:hAnsi="Avenir Nxt2 W1G,Segoe UI" w:cstheme="minorHAnsi"/>
          <w:kern w:val="2"/>
          <w:sz w:val="22"/>
          <w:szCs w:val="22"/>
          <w:lang w:eastAsia="en-GB"/>
          <w14:ligatures w14:val="standardContextual"/>
        </w:rPr>
        <w:tab/>
      </w:r>
      <w:r w:rsidR="00250529" w:rsidRPr="008C431B">
        <w:rPr>
          <w:rFonts w:asciiTheme="minorHAnsi" w:hAnsiTheme="minorHAnsi" w:cstheme="minorHAnsi"/>
          <w:lang w:eastAsia="en-GB"/>
        </w:rPr>
        <w:t>average time of recruitment of new staff in Regional and Area Office (from identification of vacant /needed position to the contract signature)</w:t>
      </w:r>
    </w:p>
    <w:p w14:paraId="008B1157" w14:textId="0F521B95"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Avenir Nxt2 W1G,Segoe UI" w:eastAsia="Aptos" w:hAnsi="Avenir Nxt2 W1G,Segoe UI" w:cstheme="minorHAnsi"/>
          <w:kern w:val="2"/>
          <w:sz w:val="22"/>
          <w:szCs w:val="22"/>
          <w:lang w:eastAsia="en-GB"/>
          <w14:ligatures w14:val="standardContextual"/>
        </w:rPr>
        <w:t>c.</w:t>
      </w:r>
      <w:r w:rsidRPr="00986D12">
        <w:rPr>
          <w:rFonts w:ascii="Avenir Nxt2 W1G,Segoe UI" w:eastAsia="Aptos" w:hAnsi="Avenir Nxt2 W1G,Segoe UI" w:cstheme="minorHAnsi"/>
          <w:kern w:val="2"/>
          <w:sz w:val="22"/>
          <w:szCs w:val="22"/>
          <w:lang w:eastAsia="en-GB"/>
          <w14:ligatures w14:val="standardContextual"/>
        </w:rPr>
        <w:tab/>
      </w:r>
      <w:r w:rsidR="00250529" w:rsidRPr="008C431B">
        <w:rPr>
          <w:rFonts w:asciiTheme="minorHAnsi" w:hAnsiTheme="minorHAnsi" w:cstheme="minorHAnsi"/>
          <w:lang w:eastAsia="en-GB"/>
        </w:rPr>
        <w:t>implementation of improvements to recruitment processes and tools in Regional and Area Office to enable the identification and recruitment of talent with relevant project management expertise</w:t>
      </w:r>
    </w:p>
    <w:p w14:paraId="7224E98E" w14:textId="3D6EA3A5"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Avenir Nxt2 W1G,Segoe UI" w:eastAsia="Aptos" w:hAnsi="Avenir Nxt2 W1G,Segoe UI" w:cstheme="minorHAnsi"/>
          <w:kern w:val="2"/>
          <w:sz w:val="22"/>
          <w:szCs w:val="22"/>
          <w:lang w:eastAsia="en-GB"/>
          <w14:ligatures w14:val="standardContextual"/>
        </w:rPr>
        <w:t>d.</w:t>
      </w:r>
      <w:r w:rsidRPr="00986D12">
        <w:rPr>
          <w:rFonts w:ascii="Avenir Nxt2 W1G,Segoe UI" w:eastAsia="Aptos" w:hAnsi="Avenir Nxt2 W1G,Segoe UI" w:cstheme="minorHAnsi"/>
          <w:kern w:val="2"/>
          <w:sz w:val="22"/>
          <w:szCs w:val="22"/>
          <w:lang w:eastAsia="en-GB"/>
          <w14:ligatures w14:val="standardContextual"/>
        </w:rPr>
        <w:tab/>
      </w:r>
      <w:r w:rsidR="00250529" w:rsidRPr="008C431B">
        <w:rPr>
          <w:rFonts w:asciiTheme="minorHAnsi" w:hAnsiTheme="minorHAnsi" w:cstheme="minorHAnsi"/>
          <w:lang w:eastAsia="en-GB"/>
        </w:rPr>
        <w:t>implementation of staff mobility policy (per Regional and Area Office, per year in review)</w:t>
      </w:r>
    </w:p>
    <w:p w14:paraId="0D20DA3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Evidence from document analysis and survey responses provides a consistent picture of structural staffing challenges affecting the regional presence, particularly in relation to vacancy patterns, recruitment timelines and the limited development of dedicated recruitment tools for field offices.</w:t>
      </w:r>
    </w:p>
    <w:p w14:paraId="405FFEB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Documented vacancy data (see table in supplementary notes) indicate recurring gaps across Regional and Area Offices between 2022 and 2025. Vacancies affect both Professional and General Service posts and include programme delivery roles, advisory functions and administrative support positions. In several offices, the same types of posts appear vacant across consecutive years, indicating that some positions remain unfilled for extended periods. Such patterns suggest that vacancies are not isolated occurrences but a recurrent feature of staffing dynamics across the field network.</w:t>
      </w:r>
    </w:p>
    <w:p w14:paraId="3DBC908C"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Recruitment timelines (see table) further illustrate these structural constraints. Available data show that completed recruitment processes frequently require between approximately nine and fourteen months from the initiation of a vacancy request to the closure of the recruitment case. Several cases exceed twelve months, and multiple recruitment actions initiated in 2025 remain ongoing. The persistence of long recruitment durations suggests that delays are not merely episodic but reflect structural features of recruitment processes affecting field offices.</w:t>
      </w:r>
    </w:p>
    <w:p w14:paraId="06021651" w14:textId="77777777" w:rsidR="00250529" w:rsidRPr="00986D12" w:rsidRDefault="00250529" w:rsidP="00507BF5">
      <w:pPr>
        <w:pStyle w:val="Subtitle0"/>
        <w:jc w:val="center"/>
        <w:rPr>
          <w:rFonts w:asciiTheme="minorHAnsi" w:hAnsiTheme="minorHAnsi" w:cstheme="minorHAnsi"/>
          <w:lang w:val="en-US"/>
        </w:rPr>
      </w:pPr>
      <w:r w:rsidRPr="00986D12">
        <w:rPr>
          <w:rFonts w:asciiTheme="minorHAnsi" w:hAnsiTheme="minorHAnsi" w:cstheme="minorHAnsi"/>
          <w:lang w:val="en-US"/>
        </w:rPr>
        <w:t>Regional and Area Office recruitment processing</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19"/>
        <w:gridCol w:w="2551"/>
        <w:gridCol w:w="3827"/>
      </w:tblGrid>
      <w:tr w:rsidR="00250529" w:rsidRPr="00986D12" w14:paraId="2416C2FD" w14:textId="77777777" w:rsidTr="00507BF5">
        <w:trPr>
          <w:trHeight w:val="300"/>
          <w:tblHeader/>
          <w:jc w:val="center"/>
        </w:trPr>
        <w:tc>
          <w:tcPr>
            <w:tcW w:w="2119" w:type="dxa"/>
            <w:shd w:val="clear" w:color="auto" w:fill="45B0E1"/>
            <w:tcMar>
              <w:left w:w="105" w:type="dxa"/>
              <w:right w:w="105" w:type="dxa"/>
            </w:tcMar>
            <w:vAlign w:val="bottom"/>
          </w:tcPr>
          <w:p w14:paraId="191ED188" w14:textId="77777777" w:rsidR="00250529" w:rsidRPr="00986D12" w:rsidRDefault="00250529" w:rsidP="00507BF5">
            <w:pPr>
              <w:pStyle w:val="Texttable"/>
              <w:rPr>
                <w:rFonts w:asciiTheme="minorHAnsi" w:hAnsiTheme="minorHAnsi" w:cstheme="minorHAnsi"/>
                <w:b/>
                <w:color w:val="FFFFFF" w:themeColor="background1"/>
              </w:rPr>
            </w:pPr>
            <w:r w:rsidRPr="00986D12">
              <w:rPr>
                <w:rFonts w:asciiTheme="minorHAnsi" w:hAnsiTheme="minorHAnsi" w:cstheme="minorHAnsi"/>
                <w:b/>
                <w:color w:val="FFFFFF" w:themeColor="background1"/>
              </w:rPr>
              <w:t>Year</w:t>
            </w:r>
          </w:p>
        </w:tc>
        <w:tc>
          <w:tcPr>
            <w:tcW w:w="2551" w:type="dxa"/>
            <w:shd w:val="clear" w:color="auto" w:fill="45B0E1"/>
            <w:tcMar>
              <w:left w:w="105" w:type="dxa"/>
              <w:right w:w="105" w:type="dxa"/>
            </w:tcMar>
            <w:vAlign w:val="bottom"/>
          </w:tcPr>
          <w:p w14:paraId="4E591969" w14:textId="77777777" w:rsidR="00250529" w:rsidRPr="00986D12" w:rsidRDefault="00250529" w:rsidP="00507BF5">
            <w:pPr>
              <w:pStyle w:val="Texttable"/>
              <w:jc w:val="center"/>
              <w:rPr>
                <w:rFonts w:asciiTheme="minorHAnsi" w:hAnsiTheme="minorHAnsi" w:cstheme="minorHAnsi"/>
                <w:b/>
                <w:color w:val="FFFFFF" w:themeColor="background1"/>
              </w:rPr>
            </w:pPr>
            <w:r w:rsidRPr="00986D12">
              <w:rPr>
                <w:rFonts w:asciiTheme="minorHAnsi" w:hAnsiTheme="minorHAnsi" w:cstheme="minorHAnsi"/>
                <w:b/>
                <w:color w:val="FFFFFF" w:themeColor="background1"/>
              </w:rPr>
              <w:t>Vacancy Number</w:t>
            </w:r>
          </w:p>
        </w:tc>
        <w:tc>
          <w:tcPr>
            <w:tcW w:w="3827" w:type="dxa"/>
            <w:shd w:val="clear" w:color="auto" w:fill="45B0E1"/>
            <w:tcMar>
              <w:left w:w="105" w:type="dxa"/>
              <w:right w:w="105" w:type="dxa"/>
            </w:tcMar>
            <w:vAlign w:val="bottom"/>
          </w:tcPr>
          <w:p w14:paraId="4B30A42A" w14:textId="77777777" w:rsidR="00250529" w:rsidRPr="00986D12" w:rsidRDefault="00250529" w:rsidP="00507BF5">
            <w:pPr>
              <w:pStyle w:val="Texttable"/>
              <w:jc w:val="center"/>
              <w:rPr>
                <w:rFonts w:asciiTheme="minorHAnsi" w:hAnsiTheme="minorHAnsi" w:cstheme="minorHAnsi"/>
                <w:b/>
                <w:color w:val="FFFFFF" w:themeColor="background1"/>
              </w:rPr>
            </w:pPr>
            <w:r w:rsidRPr="00986D12">
              <w:rPr>
                <w:rFonts w:asciiTheme="minorHAnsi" w:hAnsiTheme="minorHAnsi" w:cstheme="minorHAnsi"/>
                <w:b/>
                <w:color w:val="FFFFFF" w:themeColor="background1"/>
              </w:rPr>
              <w:t>Number of days for recruitment processing*</w:t>
            </w:r>
          </w:p>
        </w:tc>
      </w:tr>
      <w:tr w:rsidR="00250529" w:rsidRPr="00986D12" w14:paraId="2DE987D1" w14:textId="77777777" w:rsidTr="00507BF5">
        <w:trPr>
          <w:trHeight w:val="285"/>
          <w:jc w:val="center"/>
        </w:trPr>
        <w:tc>
          <w:tcPr>
            <w:tcW w:w="2119" w:type="dxa"/>
            <w:tcMar>
              <w:left w:w="105" w:type="dxa"/>
              <w:right w:w="105" w:type="dxa"/>
            </w:tcMar>
            <w:vAlign w:val="bottom"/>
          </w:tcPr>
          <w:p w14:paraId="184334B0"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2023</w:t>
            </w:r>
          </w:p>
        </w:tc>
        <w:tc>
          <w:tcPr>
            <w:tcW w:w="2551" w:type="dxa"/>
            <w:tcMar>
              <w:left w:w="105" w:type="dxa"/>
              <w:right w:w="105" w:type="dxa"/>
            </w:tcMar>
            <w:vAlign w:val="bottom"/>
          </w:tcPr>
          <w:p w14:paraId="6548F011"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1147P</w:t>
            </w:r>
            <w:proofErr w:type="spellEnd"/>
          </w:p>
        </w:tc>
        <w:tc>
          <w:tcPr>
            <w:tcW w:w="3827" w:type="dxa"/>
            <w:tcMar>
              <w:left w:w="105" w:type="dxa"/>
              <w:right w:w="105" w:type="dxa"/>
            </w:tcMar>
            <w:vAlign w:val="bottom"/>
          </w:tcPr>
          <w:p w14:paraId="3A2EBBDB"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370</w:t>
            </w:r>
          </w:p>
        </w:tc>
      </w:tr>
      <w:tr w:rsidR="00250529" w:rsidRPr="00986D12" w14:paraId="3D1CA255" w14:textId="77777777" w:rsidTr="00507BF5">
        <w:trPr>
          <w:trHeight w:val="285"/>
          <w:jc w:val="center"/>
        </w:trPr>
        <w:tc>
          <w:tcPr>
            <w:tcW w:w="2119" w:type="dxa"/>
            <w:shd w:val="clear" w:color="auto" w:fill="C1E4F5"/>
            <w:tcMar>
              <w:left w:w="105" w:type="dxa"/>
              <w:right w:w="105" w:type="dxa"/>
            </w:tcMar>
            <w:vAlign w:val="bottom"/>
          </w:tcPr>
          <w:p w14:paraId="730C2CCC"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351F8014"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1148P</w:t>
            </w:r>
            <w:proofErr w:type="spellEnd"/>
          </w:p>
        </w:tc>
        <w:tc>
          <w:tcPr>
            <w:tcW w:w="3827" w:type="dxa"/>
            <w:shd w:val="clear" w:color="auto" w:fill="C1E4F5"/>
            <w:tcMar>
              <w:left w:w="105" w:type="dxa"/>
              <w:right w:w="105" w:type="dxa"/>
            </w:tcMar>
            <w:vAlign w:val="bottom"/>
          </w:tcPr>
          <w:p w14:paraId="14813D62"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370</w:t>
            </w:r>
          </w:p>
        </w:tc>
      </w:tr>
      <w:tr w:rsidR="00250529" w:rsidRPr="00986D12" w14:paraId="1E18939F" w14:textId="77777777" w:rsidTr="00507BF5">
        <w:trPr>
          <w:trHeight w:val="285"/>
          <w:jc w:val="center"/>
        </w:trPr>
        <w:tc>
          <w:tcPr>
            <w:tcW w:w="2119" w:type="dxa"/>
            <w:tcMar>
              <w:left w:w="105" w:type="dxa"/>
              <w:right w:w="105" w:type="dxa"/>
            </w:tcMar>
            <w:vAlign w:val="bottom"/>
          </w:tcPr>
          <w:p w14:paraId="0E8C6688" w14:textId="77777777" w:rsidR="00250529" w:rsidRPr="00986D12" w:rsidRDefault="00250529" w:rsidP="00507BF5">
            <w:pPr>
              <w:pStyle w:val="Texttable"/>
              <w:rPr>
                <w:rFonts w:asciiTheme="minorHAnsi" w:hAnsiTheme="minorHAnsi" w:cstheme="minorHAnsi"/>
              </w:rPr>
            </w:pPr>
          </w:p>
        </w:tc>
        <w:tc>
          <w:tcPr>
            <w:tcW w:w="2551" w:type="dxa"/>
            <w:tcMar>
              <w:left w:w="105" w:type="dxa"/>
              <w:right w:w="105" w:type="dxa"/>
            </w:tcMar>
            <w:vAlign w:val="bottom"/>
          </w:tcPr>
          <w:p w14:paraId="3B46261B"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1180P</w:t>
            </w:r>
            <w:proofErr w:type="spellEnd"/>
          </w:p>
        </w:tc>
        <w:tc>
          <w:tcPr>
            <w:tcW w:w="3827" w:type="dxa"/>
            <w:tcMar>
              <w:left w:w="105" w:type="dxa"/>
              <w:right w:w="105" w:type="dxa"/>
            </w:tcMar>
            <w:vAlign w:val="bottom"/>
          </w:tcPr>
          <w:p w14:paraId="0D30A437"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380</w:t>
            </w:r>
          </w:p>
        </w:tc>
      </w:tr>
      <w:tr w:rsidR="00250529" w:rsidRPr="00986D12" w14:paraId="55EA56F5" w14:textId="77777777" w:rsidTr="00507BF5">
        <w:trPr>
          <w:trHeight w:val="285"/>
          <w:jc w:val="center"/>
        </w:trPr>
        <w:tc>
          <w:tcPr>
            <w:tcW w:w="2119" w:type="dxa"/>
            <w:shd w:val="clear" w:color="auto" w:fill="C1E4F5"/>
            <w:tcMar>
              <w:left w:w="105" w:type="dxa"/>
              <w:right w:w="105" w:type="dxa"/>
            </w:tcMar>
            <w:vAlign w:val="bottom"/>
          </w:tcPr>
          <w:p w14:paraId="2FE3F2BC"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56E3E412"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1346P</w:t>
            </w:r>
            <w:proofErr w:type="spellEnd"/>
          </w:p>
        </w:tc>
        <w:tc>
          <w:tcPr>
            <w:tcW w:w="3827" w:type="dxa"/>
            <w:shd w:val="clear" w:color="auto" w:fill="C1E4F5"/>
            <w:tcMar>
              <w:left w:w="105" w:type="dxa"/>
              <w:right w:w="105" w:type="dxa"/>
            </w:tcMar>
            <w:vAlign w:val="bottom"/>
          </w:tcPr>
          <w:p w14:paraId="7FB17534"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286</w:t>
            </w:r>
          </w:p>
        </w:tc>
      </w:tr>
      <w:tr w:rsidR="00250529" w:rsidRPr="00986D12" w14:paraId="195412E0" w14:textId="77777777" w:rsidTr="00507BF5">
        <w:trPr>
          <w:trHeight w:val="300"/>
          <w:jc w:val="center"/>
        </w:trPr>
        <w:tc>
          <w:tcPr>
            <w:tcW w:w="2119" w:type="dxa"/>
            <w:tcMar>
              <w:left w:w="105" w:type="dxa"/>
              <w:right w:w="105" w:type="dxa"/>
            </w:tcMar>
            <w:vAlign w:val="bottom"/>
          </w:tcPr>
          <w:p w14:paraId="1A16D3A4" w14:textId="77777777" w:rsidR="00250529" w:rsidRPr="00986D12" w:rsidRDefault="00250529" w:rsidP="00507BF5">
            <w:pPr>
              <w:pStyle w:val="Texttable"/>
              <w:rPr>
                <w:rFonts w:asciiTheme="minorHAnsi" w:hAnsiTheme="minorHAnsi" w:cstheme="minorHAnsi"/>
              </w:rPr>
            </w:pPr>
          </w:p>
        </w:tc>
        <w:tc>
          <w:tcPr>
            <w:tcW w:w="2551" w:type="dxa"/>
            <w:tcMar>
              <w:left w:w="105" w:type="dxa"/>
              <w:right w:w="105" w:type="dxa"/>
            </w:tcMar>
            <w:vAlign w:val="bottom"/>
          </w:tcPr>
          <w:p w14:paraId="78C1FDDC"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1378P</w:t>
            </w:r>
            <w:proofErr w:type="spellEnd"/>
          </w:p>
        </w:tc>
        <w:tc>
          <w:tcPr>
            <w:tcW w:w="3827" w:type="dxa"/>
            <w:tcMar>
              <w:left w:w="105" w:type="dxa"/>
              <w:right w:w="105" w:type="dxa"/>
            </w:tcMar>
            <w:vAlign w:val="bottom"/>
          </w:tcPr>
          <w:p w14:paraId="4534E578"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417</w:t>
            </w:r>
          </w:p>
        </w:tc>
      </w:tr>
      <w:tr w:rsidR="00250529" w:rsidRPr="00986D12" w14:paraId="562FDF92" w14:textId="77777777" w:rsidTr="00507BF5">
        <w:trPr>
          <w:trHeight w:val="300"/>
          <w:jc w:val="center"/>
        </w:trPr>
        <w:tc>
          <w:tcPr>
            <w:tcW w:w="2119" w:type="dxa"/>
            <w:shd w:val="clear" w:color="auto" w:fill="C1E4F5"/>
            <w:tcMar>
              <w:left w:w="105" w:type="dxa"/>
              <w:right w:w="105" w:type="dxa"/>
            </w:tcMar>
            <w:vAlign w:val="bottom"/>
          </w:tcPr>
          <w:p w14:paraId="4964CC87"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3B0736E0" w14:textId="77777777" w:rsidR="00250529" w:rsidRPr="00986D12" w:rsidRDefault="00250529" w:rsidP="00507BF5">
            <w:pPr>
              <w:pStyle w:val="Texttable"/>
              <w:jc w:val="center"/>
              <w:rPr>
                <w:rFonts w:asciiTheme="minorHAnsi" w:hAnsiTheme="minorHAnsi" w:cstheme="minorHAnsi"/>
              </w:rPr>
            </w:pPr>
          </w:p>
        </w:tc>
        <w:tc>
          <w:tcPr>
            <w:tcW w:w="3827" w:type="dxa"/>
            <w:shd w:val="clear" w:color="auto" w:fill="C1E4F5"/>
            <w:tcMar>
              <w:left w:w="105" w:type="dxa"/>
              <w:right w:w="105" w:type="dxa"/>
            </w:tcMar>
            <w:vAlign w:val="bottom"/>
          </w:tcPr>
          <w:p w14:paraId="1ED1156E" w14:textId="77777777" w:rsidR="00250529" w:rsidRPr="00986D12" w:rsidRDefault="00250529" w:rsidP="00507BF5">
            <w:pPr>
              <w:pStyle w:val="Texttable"/>
              <w:jc w:val="center"/>
              <w:rPr>
                <w:rFonts w:asciiTheme="minorHAnsi" w:hAnsiTheme="minorHAnsi" w:cstheme="minorHAnsi"/>
              </w:rPr>
            </w:pPr>
          </w:p>
        </w:tc>
      </w:tr>
      <w:tr w:rsidR="00250529" w:rsidRPr="00986D12" w14:paraId="3B247AAC" w14:textId="77777777" w:rsidTr="00507BF5">
        <w:trPr>
          <w:trHeight w:val="285"/>
          <w:jc w:val="center"/>
        </w:trPr>
        <w:tc>
          <w:tcPr>
            <w:tcW w:w="2119" w:type="dxa"/>
            <w:tcMar>
              <w:left w:w="105" w:type="dxa"/>
              <w:right w:w="105" w:type="dxa"/>
            </w:tcMar>
            <w:vAlign w:val="bottom"/>
          </w:tcPr>
          <w:p w14:paraId="05A0D03D" w14:textId="77777777" w:rsidR="00250529" w:rsidRPr="00986D12" w:rsidRDefault="00250529" w:rsidP="00507BF5">
            <w:pPr>
              <w:pStyle w:val="Texttable"/>
              <w:rPr>
                <w:rFonts w:asciiTheme="minorHAnsi" w:hAnsiTheme="minorHAnsi" w:cstheme="minorHAnsi"/>
              </w:rPr>
            </w:pPr>
            <w:r w:rsidRPr="00986D12">
              <w:rPr>
                <w:rFonts w:asciiTheme="minorHAnsi" w:hAnsiTheme="minorHAnsi" w:cstheme="minorHAnsi"/>
              </w:rPr>
              <w:t>2024</w:t>
            </w:r>
          </w:p>
        </w:tc>
        <w:tc>
          <w:tcPr>
            <w:tcW w:w="2551" w:type="dxa"/>
            <w:tcMar>
              <w:left w:w="105" w:type="dxa"/>
              <w:right w:w="105" w:type="dxa"/>
            </w:tcMar>
            <w:vAlign w:val="bottom"/>
          </w:tcPr>
          <w:p w14:paraId="056172BB"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1547P</w:t>
            </w:r>
            <w:proofErr w:type="spellEnd"/>
          </w:p>
        </w:tc>
        <w:tc>
          <w:tcPr>
            <w:tcW w:w="3827" w:type="dxa"/>
            <w:tcMar>
              <w:left w:w="105" w:type="dxa"/>
              <w:right w:w="105" w:type="dxa"/>
            </w:tcMar>
            <w:vAlign w:val="bottom"/>
          </w:tcPr>
          <w:p w14:paraId="067B16C0"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362</w:t>
            </w:r>
          </w:p>
        </w:tc>
      </w:tr>
      <w:tr w:rsidR="00250529" w:rsidRPr="00986D12" w14:paraId="3A38B986" w14:textId="77777777" w:rsidTr="00507BF5">
        <w:trPr>
          <w:trHeight w:val="285"/>
          <w:jc w:val="center"/>
        </w:trPr>
        <w:tc>
          <w:tcPr>
            <w:tcW w:w="2119" w:type="dxa"/>
            <w:shd w:val="clear" w:color="auto" w:fill="C1E4F5"/>
            <w:tcMar>
              <w:left w:w="105" w:type="dxa"/>
              <w:right w:w="105" w:type="dxa"/>
            </w:tcMar>
            <w:vAlign w:val="bottom"/>
          </w:tcPr>
          <w:p w14:paraId="0182F7CC"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18690263"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1555P</w:t>
            </w:r>
            <w:proofErr w:type="spellEnd"/>
          </w:p>
        </w:tc>
        <w:tc>
          <w:tcPr>
            <w:tcW w:w="3827" w:type="dxa"/>
            <w:shd w:val="clear" w:color="auto" w:fill="C1E4F5"/>
            <w:tcMar>
              <w:left w:w="105" w:type="dxa"/>
              <w:right w:w="105" w:type="dxa"/>
            </w:tcMar>
            <w:vAlign w:val="bottom"/>
          </w:tcPr>
          <w:p w14:paraId="0F8D4911"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329</w:t>
            </w:r>
          </w:p>
        </w:tc>
      </w:tr>
      <w:tr w:rsidR="00250529" w:rsidRPr="00986D12" w14:paraId="00BBE8E0" w14:textId="77777777" w:rsidTr="00507BF5">
        <w:trPr>
          <w:trHeight w:val="300"/>
          <w:jc w:val="center"/>
        </w:trPr>
        <w:tc>
          <w:tcPr>
            <w:tcW w:w="2119" w:type="dxa"/>
            <w:tcMar>
              <w:left w:w="105" w:type="dxa"/>
              <w:right w:w="105" w:type="dxa"/>
            </w:tcMar>
            <w:vAlign w:val="bottom"/>
          </w:tcPr>
          <w:p w14:paraId="2D322F8C" w14:textId="77777777" w:rsidR="00250529" w:rsidRPr="00986D12" w:rsidRDefault="00250529" w:rsidP="00507BF5">
            <w:pPr>
              <w:pStyle w:val="Texttable"/>
              <w:rPr>
                <w:rFonts w:asciiTheme="minorHAnsi" w:hAnsiTheme="minorHAnsi" w:cstheme="minorHAnsi"/>
              </w:rPr>
            </w:pPr>
          </w:p>
        </w:tc>
        <w:tc>
          <w:tcPr>
            <w:tcW w:w="2551" w:type="dxa"/>
            <w:tcMar>
              <w:left w:w="105" w:type="dxa"/>
              <w:right w:w="105" w:type="dxa"/>
            </w:tcMar>
            <w:vAlign w:val="bottom"/>
          </w:tcPr>
          <w:p w14:paraId="7956D231"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1756P</w:t>
            </w:r>
            <w:proofErr w:type="spellEnd"/>
          </w:p>
        </w:tc>
        <w:tc>
          <w:tcPr>
            <w:tcW w:w="3827" w:type="dxa"/>
            <w:tcMar>
              <w:left w:w="105" w:type="dxa"/>
              <w:right w:w="105" w:type="dxa"/>
            </w:tcMar>
            <w:vAlign w:val="bottom"/>
          </w:tcPr>
          <w:p w14:paraId="12CA94D2"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344</w:t>
            </w:r>
          </w:p>
        </w:tc>
      </w:tr>
      <w:tr w:rsidR="00250529" w:rsidRPr="00986D12" w14:paraId="31A54FFB" w14:textId="77777777" w:rsidTr="00507BF5">
        <w:trPr>
          <w:trHeight w:val="300"/>
          <w:jc w:val="center"/>
        </w:trPr>
        <w:tc>
          <w:tcPr>
            <w:tcW w:w="2119" w:type="dxa"/>
            <w:shd w:val="clear" w:color="auto" w:fill="C1E4F5"/>
            <w:tcMar>
              <w:left w:w="105" w:type="dxa"/>
              <w:right w:w="105" w:type="dxa"/>
            </w:tcMar>
            <w:vAlign w:val="bottom"/>
          </w:tcPr>
          <w:p w14:paraId="43E18FC6"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3F5573D3" w14:textId="77777777" w:rsidR="00250529" w:rsidRPr="00986D12" w:rsidRDefault="00250529" w:rsidP="00507BF5">
            <w:pPr>
              <w:pStyle w:val="Texttable"/>
              <w:jc w:val="center"/>
              <w:rPr>
                <w:rFonts w:asciiTheme="minorHAnsi" w:hAnsiTheme="minorHAnsi" w:cstheme="minorHAnsi"/>
              </w:rPr>
            </w:pPr>
          </w:p>
        </w:tc>
        <w:tc>
          <w:tcPr>
            <w:tcW w:w="3827" w:type="dxa"/>
            <w:shd w:val="clear" w:color="auto" w:fill="C1E4F5"/>
            <w:tcMar>
              <w:left w:w="105" w:type="dxa"/>
              <w:right w:w="105" w:type="dxa"/>
            </w:tcMar>
            <w:vAlign w:val="bottom"/>
          </w:tcPr>
          <w:p w14:paraId="4C49433D" w14:textId="77777777" w:rsidR="00250529" w:rsidRPr="00986D12" w:rsidRDefault="00250529" w:rsidP="00507BF5">
            <w:pPr>
              <w:pStyle w:val="Texttable"/>
              <w:jc w:val="center"/>
              <w:rPr>
                <w:rFonts w:asciiTheme="minorHAnsi" w:hAnsiTheme="minorHAnsi" w:cstheme="minorHAnsi"/>
              </w:rPr>
            </w:pPr>
          </w:p>
        </w:tc>
      </w:tr>
      <w:tr w:rsidR="00250529" w:rsidRPr="00986D12" w14:paraId="1169560E" w14:textId="77777777" w:rsidTr="00507BF5">
        <w:trPr>
          <w:trHeight w:val="285"/>
          <w:jc w:val="center"/>
        </w:trPr>
        <w:tc>
          <w:tcPr>
            <w:tcW w:w="2119" w:type="dxa"/>
            <w:tcMar>
              <w:left w:w="105" w:type="dxa"/>
              <w:right w:w="105" w:type="dxa"/>
            </w:tcMar>
            <w:vAlign w:val="bottom"/>
          </w:tcPr>
          <w:p w14:paraId="2DFA1B57" w14:textId="77777777" w:rsidR="00250529" w:rsidRPr="00986D12" w:rsidRDefault="00250529" w:rsidP="00507BF5">
            <w:pPr>
              <w:pStyle w:val="Texttable"/>
              <w:keepNext/>
              <w:rPr>
                <w:rFonts w:asciiTheme="minorHAnsi" w:hAnsiTheme="minorHAnsi" w:cstheme="minorHAnsi"/>
              </w:rPr>
            </w:pPr>
            <w:r w:rsidRPr="00986D12">
              <w:rPr>
                <w:rFonts w:asciiTheme="minorHAnsi" w:hAnsiTheme="minorHAnsi" w:cstheme="minorHAnsi"/>
              </w:rPr>
              <w:t>2025</w:t>
            </w:r>
          </w:p>
        </w:tc>
        <w:tc>
          <w:tcPr>
            <w:tcW w:w="2551" w:type="dxa"/>
            <w:tcMar>
              <w:left w:w="105" w:type="dxa"/>
              <w:right w:w="105" w:type="dxa"/>
            </w:tcMar>
            <w:vAlign w:val="bottom"/>
          </w:tcPr>
          <w:p w14:paraId="6EF79332" w14:textId="77777777" w:rsidR="00250529" w:rsidRPr="00986D12" w:rsidRDefault="00250529" w:rsidP="00507BF5">
            <w:pPr>
              <w:pStyle w:val="Texttable"/>
              <w:keepNext/>
              <w:jc w:val="center"/>
              <w:rPr>
                <w:rFonts w:asciiTheme="minorHAnsi" w:hAnsiTheme="minorHAnsi" w:cstheme="minorHAnsi"/>
              </w:rPr>
            </w:pPr>
            <w:proofErr w:type="spellStart"/>
            <w:r w:rsidRPr="00986D12">
              <w:rPr>
                <w:rFonts w:asciiTheme="minorHAnsi" w:hAnsiTheme="minorHAnsi" w:cstheme="minorHAnsi"/>
              </w:rPr>
              <w:t>1893P</w:t>
            </w:r>
            <w:proofErr w:type="spellEnd"/>
          </w:p>
        </w:tc>
        <w:tc>
          <w:tcPr>
            <w:tcW w:w="3827" w:type="dxa"/>
            <w:tcMar>
              <w:left w:w="105" w:type="dxa"/>
              <w:right w:w="105" w:type="dxa"/>
            </w:tcMar>
            <w:vAlign w:val="bottom"/>
          </w:tcPr>
          <w:p w14:paraId="2AD6E704" w14:textId="77777777" w:rsidR="00250529" w:rsidRPr="00986D12" w:rsidRDefault="00250529" w:rsidP="00507BF5">
            <w:pPr>
              <w:pStyle w:val="Texttable"/>
              <w:keepNext/>
              <w:jc w:val="center"/>
              <w:rPr>
                <w:rFonts w:asciiTheme="minorHAnsi" w:hAnsiTheme="minorHAnsi" w:cstheme="minorHAnsi"/>
              </w:rPr>
            </w:pPr>
            <w:r w:rsidRPr="00986D12">
              <w:rPr>
                <w:rFonts w:asciiTheme="minorHAnsi" w:hAnsiTheme="minorHAnsi" w:cstheme="minorHAnsi"/>
              </w:rPr>
              <w:t>357</w:t>
            </w:r>
          </w:p>
        </w:tc>
      </w:tr>
      <w:tr w:rsidR="00250529" w:rsidRPr="00986D12" w14:paraId="5A0DEC56" w14:textId="77777777" w:rsidTr="00507BF5">
        <w:trPr>
          <w:trHeight w:val="285"/>
          <w:jc w:val="center"/>
        </w:trPr>
        <w:tc>
          <w:tcPr>
            <w:tcW w:w="2119" w:type="dxa"/>
            <w:shd w:val="clear" w:color="auto" w:fill="C1E4F5"/>
            <w:tcMar>
              <w:left w:w="105" w:type="dxa"/>
              <w:right w:w="105" w:type="dxa"/>
            </w:tcMar>
            <w:vAlign w:val="bottom"/>
          </w:tcPr>
          <w:p w14:paraId="11170326"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3AE074CA"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1898P</w:t>
            </w:r>
            <w:proofErr w:type="spellEnd"/>
          </w:p>
        </w:tc>
        <w:tc>
          <w:tcPr>
            <w:tcW w:w="3827" w:type="dxa"/>
            <w:shd w:val="clear" w:color="auto" w:fill="C1E4F5"/>
            <w:tcMar>
              <w:left w:w="105" w:type="dxa"/>
              <w:right w:w="105" w:type="dxa"/>
            </w:tcMar>
            <w:vAlign w:val="bottom"/>
          </w:tcPr>
          <w:p w14:paraId="4FED34C3"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235</w:t>
            </w:r>
          </w:p>
        </w:tc>
      </w:tr>
      <w:tr w:rsidR="00250529" w:rsidRPr="00986D12" w14:paraId="2E069BD5" w14:textId="77777777" w:rsidTr="00507BF5">
        <w:trPr>
          <w:trHeight w:val="285"/>
          <w:jc w:val="center"/>
        </w:trPr>
        <w:tc>
          <w:tcPr>
            <w:tcW w:w="2119" w:type="dxa"/>
            <w:tcMar>
              <w:left w:w="105" w:type="dxa"/>
              <w:right w:w="105" w:type="dxa"/>
            </w:tcMar>
            <w:vAlign w:val="bottom"/>
          </w:tcPr>
          <w:p w14:paraId="633094BA" w14:textId="77777777" w:rsidR="00250529" w:rsidRPr="00986D12" w:rsidRDefault="00250529" w:rsidP="00507BF5">
            <w:pPr>
              <w:pStyle w:val="Texttable"/>
              <w:rPr>
                <w:rFonts w:asciiTheme="minorHAnsi" w:hAnsiTheme="minorHAnsi" w:cstheme="minorHAnsi"/>
              </w:rPr>
            </w:pPr>
          </w:p>
        </w:tc>
        <w:tc>
          <w:tcPr>
            <w:tcW w:w="2551" w:type="dxa"/>
            <w:tcMar>
              <w:left w:w="105" w:type="dxa"/>
              <w:right w:w="105" w:type="dxa"/>
            </w:tcMar>
            <w:vAlign w:val="bottom"/>
          </w:tcPr>
          <w:p w14:paraId="59C69C94"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1965P</w:t>
            </w:r>
            <w:proofErr w:type="spellEnd"/>
          </w:p>
        </w:tc>
        <w:tc>
          <w:tcPr>
            <w:tcW w:w="3827" w:type="dxa"/>
            <w:tcMar>
              <w:left w:w="105" w:type="dxa"/>
              <w:right w:w="105" w:type="dxa"/>
            </w:tcMar>
            <w:vAlign w:val="bottom"/>
          </w:tcPr>
          <w:p w14:paraId="3371C105"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284</w:t>
            </w:r>
          </w:p>
        </w:tc>
      </w:tr>
      <w:tr w:rsidR="00250529" w:rsidRPr="00986D12" w14:paraId="0B5FD7C2" w14:textId="77777777" w:rsidTr="00507BF5">
        <w:trPr>
          <w:trHeight w:val="285"/>
          <w:jc w:val="center"/>
        </w:trPr>
        <w:tc>
          <w:tcPr>
            <w:tcW w:w="2119" w:type="dxa"/>
            <w:shd w:val="clear" w:color="auto" w:fill="C1E4F5"/>
            <w:tcMar>
              <w:left w:w="105" w:type="dxa"/>
              <w:right w:w="105" w:type="dxa"/>
            </w:tcMar>
            <w:vAlign w:val="bottom"/>
          </w:tcPr>
          <w:p w14:paraId="4E950B00" w14:textId="77777777" w:rsidR="00250529" w:rsidRPr="00986D12" w:rsidRDefault="00250529" w:rsidP="00507BF5">
            <w:pPr>
              <w:pStyle w:val="Texttable"/>
              <w:rPr>
                <w:rFonts w:asciiTheme="minorHAnsi" w:hAnsiTheme="minorHAnsi" w:cstheme="minorHAnsi"/>
              </w:rPr>
            </w:pPr>
          </w:p>
        </w:tc>
        <w:tc>
          <w:tcPr>
            <w:tcW w:w="2551" w:type="dxa"/>
            <w:shd w:val="clear" w:color="auto" w:fill="C1E4F5"/>
            <w:tcMar>
              <w:left w:w="105" w:type="dxa"/>
              <w:right w:w="105" w:type="dxa"/>
            </w:tcMar>
            <w:vAlign w:val="bottom"/>
          </w:tcPr>
          <w:p w14:paraId="46D3E9EC"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2201P</w:t>
            </w:r>
            <w:proofErr w:type="spellEnd"/>
          </w:p>
        </w:tc>
        <w:tc>
          <w:tcPr>
            <w:tcW w:w="3827" w:type="dxa"/>
            <w:shd w:val="clear" w:color="auto" w:fill="C1E4F5"/>
            <w:tcMar>
              <w:left w:w="105" w:type="dxa"/>
              <w:right w:w="105" w:type="dxa"/>
            </w:tcMar>
            <w:vAlign w:val="bottom"/>
          </w:tcPr>
          <w:p w14:paraId="4AC1E44A"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Ongoing</w:t>
            </w:r>
          </w:p>
        </w:tc>
      </w:tr>
      <w:tr w:rsidR="00250529" w:rsidRPr="00986D12" w14:paraId="50E2E854" w14:textId="77777777" w:rsidTr="00507BF5">
        <w:trPr>
          <w:trHeight w:val="300"/>
          <w:jc w:val="center"/>
        </w:trPr>
        <w:tc>
          <w:tcPr>
            <w:tcW w:w="2119" w:type="dxa"/>
            <w:tcMar>
              <w:left w:w="105" w:type="dxa"/>
              <w:right w:w="105" w:type="dxa"/>
            </w:tcMar>
            <w:vAlign w:val="bottom"/>
          </w:tcPr>
          <w:p w14:paraId="76E4DE07" w14:textId="77777777" w:rsidR="00250529" w:rsidRPr="00986D12" w:rsidRDefault="00250529" w:rsidP="00507BF5">
            <w:pPr>
              <w:pStyle w:val="Texttable"/>
              <w:rPr>
                <w:rFonts w:asciiTheme="minorHAnsi" w:hAnsiTheme="minorHAnsi" w:cstheme="minorHAnsi"/>
              </w:rPr>
            </w:pPr>
          </w:p>
        </w:tc>
        <w:tc>
          <w:tcPr>
            <w:tcW w:w="2551" w:type="dxa"/>
            <w:tcMar>
              <w:left w:w="105" w:type="dxa"/>
              <w:right w:w="105" w:type="dxa"/>
            </w:tcMar>
            <w:vAlign w:val="bottom"/>
          </w:tcPr>
          <w:p w14:paraId="4526A75B" w14:textId="77777777" w:rsidR="00250529" w:rsidRPr="00986D12" w:rsidRDefault="00250529" w:rsidP="00507BF5">
            <w:pPr>
              <w:pStyle w:val="Texttable"/>
              <w:jc w:val="center"/>
              <w:rPr>
                <w:rFonts w:asciiTheme="minorHAnsi" w:hAnsiTheme="minorHAnsi" w:cstheme="minorHAnsi"/>
              </w:rPr>
            </w:pPr>
            <w:proofErr w:type="spellStart"/>
            <w:r w:rsidRPr="00986D12">
              <w:rPr>
                <w:rFonts w:asciiTheme="minorHAnsi" w:hAnsiTheme="minorHAnsi" w:cstheme="minorHAnsi"/>
              </w:rPr>
              <w:t>2225P</w:t>
            </w:r>
            <w:proofErr w:type="spellEnd"/>
          </w:p>
        </w:tc>
        <w:tc>
          <w:tcPr>
            <w:tcW w:w="3827" w:type="dxa"/>
            <w:tcMar>
              <w:left w:w="105" w:type="dxa"/>
              <w:right w:w="105" w:type="dxa"/>
            </w:tcMar>
            <w:vAlign w:val="bottom"/>
          </w:tcPr>
          <w:p w14:paraId="76EF2ECA" w14:textId="77777777" w:rsidR="00250529" w:rsidRPr="00986D12" w:rsidRDefault="00250529" w:rsidP="00507BF5">
            <w:pPr>
              <w:pStyle w:val="Texttable"/>
              <w:jc w:val="center"/>
              <w:rPr>
                <w:rFonts w:asciiTheme="minorHAnsi" w:hAnsiTheme="minorHAnsi" w:cstheme="minorHAnsi"/>
              </w:rPr>
            </w:pPr>
            <w:r w:rsidRPr="00986D12">
              <w:rPr>
                <w:rFonts w:asciiTheme="minorHAnsi" w:hAnsiTheme="minorHAnsi" w:cstheme="minorHAnsi"/>
              </w:rPr>
              <w:t>Ongoing</w:t>
            </w:r>
          </w:p>
        </w:tc>
      </w:tr>
    </w:tbl>
    <w:p w14:paraId="2BF7BC8D" w14:textId="77777777" w:rsidR="00250529" w:rsidRPr="00986D12" w:rsidRDefault="00250529" w:rsidP="00507BF5">
      <w:pPr>
        <w:pStyle w:val="Notes"/>
        <w:rPr>
          <w:rFonts w:asciiTheme="minorHAnsi" w:hAnsiTheme="minorHAnsi" w:cstheme="minorHAnsi"/>
        </w:rPr>
      </w:pPr>
      <w:r w:rsidRPr="00986D12">
        <w:rPr>
          <w:rFonts w:asciiTheme="minorHAnsi" w:eastAsia="Avenir Nxt2 W1G" w:hAnsiTheme="minorHAnsi" w:cstheme="minorHAnsi"/>
        </w:rPr>
        <w:t xml:space="preserve">Source: </w:t>
      </w:r>
      <w:r w:rsidRPr="00986D12">
        <w:rPr>
          <w:rFonts w:asciiTheme="minorHAnsi" w:hAnsiTheme="minorHAnsi" w:cstheme="minorHAnsi"/>
        </w:rPr>
        <w:t>Information provided by ITU-HR-ODR Division.</w:t>
      </w:r>
    </w:p>
    <w:p w14:paraId="5A09457D" w14:textId="77777777" w:rsidR="00250529" w:rsidRPr="00986D12" w:rsidRDefault="00250529" w:rsidP="00507BF5">
      <w:pPr>
        <w:pStyle w:val="Notes"/>
        <w:rPr>
          <w:rFonts w:asciiTheme="minorHAnsi" w:hAnsiTheme="minorHAnsi" w:cstheme="minorHAnsi"/>
        </w:rPr>
      </w:pPr>
      <w:r w:rsidRPr="00986D12">
        <w:rPr>
          <w:rFonts w:asciiTheme="minorHAnsi" w:hAnsiTheme="minorHAnsi" w:cstheme="minorHAnsi"/>
        </w:rPr>
        <w:t>*Number of days refer to the recruitment process starts on the day the ODR division received a request to advertise a vacancy and ends on the day negative replies are issued to unsuccessful applicants.</w:t>
      </w:r>
    </w:p>
    <w:p w14:paraId="30BBA53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Membership Survey responses provide complementary perceptions regarding staffing adequacy. Forty-nine per cent</w:t>
      </w:r>
      <w:r w:rsidRPr="00986D12" w:rsidDel="006B3589">
        <w:rPr>
          <w:rFonts w:asciiTheme="minorHAnsi" w:hAnsiTheme="minorHAnsi" w:cstheme="minorHAnsi"/>
        </w:rPr>
        <w:t xml:space="preserve"> </w:t>
      </w:r>
      <w:r w:rsidRPr="00986D12">
        <w:rPr>
          <w:rFonts w:asciiTheme="minorHAnsi" w:hAnsiTheme="minorHAnsi" w:cstheme="minorHAnsi"/>
        </w:rPr>
        <w:t>of respondents agree that human resources available to Regional and Area Offices are adequate to meet operational objectives, while a significant share remain neutral or express reservations regarding staffing sufficiency (</w:t>
      </w:r>
      <w:proofErr w:type="spellStart"/>
      <w:r w:rsidRPr="00986D12">
        <w:rPr>
          <w:rFonts w:asciiTheme="minorHAnsi" w:hAnsiTheme="minorHAnsi" w:cstheme="minorHAnsi"/>
        </w:rPr>
        <w:t>Q3_b</w:t>
      </w:r>
      <w:proofErr w:type="spellEnd"/>
      <w:r w:rsidRPr="00986D12">
        <w:rPr>
          <w:rFonts w:asciiTheme="minorHAnsi" w:hAnsiTheme="minorHAnsi" w:cstheme="minorHAnsi"/>
        </w:rPr>
        <w:t>). This distribution of responses indicates that, while staffing levels are viewed as broadly functional, concerns remain regarding the capacity of Regional and Area Offices to fully meet expectations with existing human resources.</w:t>
      </w:r>
    </w:p>
    <w:p w14:paraId="29BD78B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Perceptions regarding recruitment processes show similar patterns. Forty-nine per cent</w:t>
      </w:r>
      <w:r w:rsidRPr="00986D12" w:rsidDel="006B3589">
        <w:rPr>
          <w:rFonts w:asciiTheme="minorHAnsi" w:hAnsiTheme="minorHAnsi" w:cstheme="minorHAnsi"/>
        </w:rPr>
        <w:t xml:space="preserve"> </w:t>
      </w:r>
      <w:r w:rsidRPr="00986D12">
        <w:rPr>
          <w:rFonts w:asciiTheme="minorHAnsi" w:hAnsiTheme="minorHAnsi" w:cstheme="minorHAnsi"/>
        </w:rPr>
        <w:t>of Membership Survey respondents agree that recruitment processes for project managers and experts in Regional and Area Offices are adequate, while a substantial share remain neutral and a smaller proportion express disagreement (</w:t>
      </w:r>
      <w:proofErr w:type="spellStart"/>
      <w:r w:rsidRPr="00986D12">
        <w:rPr>
          <w:rFonts w:asciiTheme="minorHAnsi" w:hAnsiTheme="minorHAnsi" w:cstheme="minorHAnsi"/>
        </w:rPr>
        <w:t>Q6_g</w:t>
      </w:r>
      <w:proofErr w:type="spellEnd"/>
      <w:r w:rsidRPr="00986D12">
        <w:rPr>
          <w:rFonts w:asciiTheme="minorHAnsi" w:hAnsiTheme="minorHAnsi" w:cstheme="minorHAnsi"/>
        </w:rPr>
        <w:t>). These responses suggest that the effectiveness of recruitment mechanisms is viewed as moderate rather than strongly positive, which aligns with the structural recruitment delays identified in the document analysis.</w:t>
      </w:r>
    </w:p>
    <w:p w14:paraId="64CD8AA7" w14:textId="77777777" w:rsidR="00250529" w:rsidRPr="00986D12" w:rsidRDefault="00250529" w:rsidP="005B5E68">
      <w:pPr>
        <w:jc w:val="both"/>
        <w:rPr>
          <w:rFonts w:asciiTheme="minorHAnsi" w:hAnsiTheme="minorHAnsi" w:cstheme="minorHAnsi"/>
          <w:b/>
        </w:rPr>
      </w:pPr>
      <w:r w:rsidRPr="00986D12">
        <w:rPr>
          <w:rFonts w:asciiTheme="minorHAnsi" w:hAnsiTheme="minorHAnsi" w:cstheme="minorHAnsi"/>
        </w:rPr>
        <w:t xml:space="preserve">Documentary evidence regarding improvements to recruitment tools indicates limited progress in this area. While vacancy notices have become clearer and posts are systematically advertised on the ITU career portal and external recruitment platforms, no major process improvements specific to Regional and Area Offices have been implemented in recent years. Planned initiatives such as a functional mobility framework remain under consideration but have not yet been effectively operationalized due to funding constraints. </w:t>
      </w:r>
    </w:p>
    <w:p w14:paraId="3C4D1803"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Information on staff mobility also indicates limited movement between headquarters and field offices. Available data show only a small number of staff transfers between headquarters and Regional or Area Offices during the period under review, suggesting that mobility mechanisms have so far played a limited role in addressing staffing needs across the regional network. In the Internal Assessment Survey, 66% of respondents agree or strongly agree that implementing the staff mobility policy would positively impact ITU Regional Presence (</w:t>
      </w:r>
      <w:proofErr w:type="spellStart"/>
      <w:r w:rsidRPr="00986D12">
        <w:rPr>
          <w:rFonts w:asciiTheme="minorHAnsi" w:hAnsiTheme="minorHAnsi" w:cstheme="minorHAnsi"/>
        </w:rPr>
        <w:t>Q13</w:t>
      </w:r>
      <w:proofErr w:type="spellEnd"/>
      <w:r w:rsidRPr="00986D12">
        <w:rPr>
          <w:rFonts w:asciiTheme="minorHAnsi" w:hAnsiTheme="minorHAnsi" w:cstheme="minorHAnsi"/>
        </w:rPr>
        <w:t>).</w:t>
      </w:r>
    </w:p>
    <w:p w14:paraId="749F01C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Taken together, the evidence indicates that Regional and Area Offices face persistent staffing challenges, including extended recruitment timelines and limited mechanisms to support mobility or expedite hiring. Survey results reflect these constraints: while staff express moderate confidence in current processes, they also signal that improvements are needed to ensure adequate staffing levels for programme delivery and engagement with Member States.</w:t>
      </w:r>
    </w:p>
    <w:p w14:paraId="2404019E" w14:textId="04227801"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0957C256" w14:textId="7D61E62E"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Overall, the findings indicate that while the existing recruitment framework provides the basic mechanisms required to fill positions in Regional and Area Offices, structural delays in recruitment, recurring vacancy patterns and limited mobility mechanisms continue to constrain the effective staffing of the regional presence. </w:t>
      </w:r>
      <w:r w:rsidR="00F75AD9" w:rsidRPr="00986D12">
        <w:rPr>
          <w:rFonts w:asciiTheme="minorHAnsi" w:hAnsiTheme="minorHAnsi" w:cstheme="minorHAnsi"/>
        </w:rPr>
        <w:t xml:space="preserve">Taken together, these findings suggest that </w:t>
      </w:r>
      <w:r w:rsidR="007E2807">
        <w:rPr>
          <w:rFonts w:asciiTheme="minorHAnsi" w:hAnsiTheme="minorHAnsi" w:cstheme="minorHAnsi"/>
        </w:rPr>
        <w:t>st</w:t>
      </w:r>
      <w:r w:rsidRPr="00986D12">
        <w:rPr>
          <w:rFonts w:asciiTheme="minorHAnsi" w:hAnsiTheme="minorHAnsi" w:cstheme="minorHAnsi"/>
        </w:rPr>
        <w:t xml:space="preserve">rengthening recruitment processes, improving workforce planning and </w:t>
      </w:r>
      <w:r w:rsidRPr="00986D12">
        <w:rPr>
          <w:rFonts w:asciiTheme="minorHAnsi" w:hAnsiTheme="minorHAnsi" w:cstheme="minorHAnsi"/>
        </w:rPr>
        <w:lastRenderedPageBreak/>
        <w:t>expanding mobility mechanisms could contribute to improving the resilience and operational capacity of Regional and Area Offices.</w:t>
      </w:r>
    </w:p>
    <w:p w14:paraId="06C71BBC"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Data Sources</w:t>
      </w:r>
    </w:p>
    <w:p w14:paraId="1F7FC182" w14:textId="04B4ACB8" w:rsidR="00250529" w:rsidRPr="008C431B" w:rsidRDefault="008C431B" w:rsidP="008C431B">
      <w:pPr>
        <w:tabs>
          <w:tab w:val="left" w:pos="720"/>
        </w:tabs>
        <w:spacing w:before="60" w:after="60"/>
        <w:ind w:left="720" w:hanging="360"/>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val="en-US"/>
        </w:rPr>
        <w:t>Information from ITU HR Department mainly ODR Division</w:t>
      </w:r>
    </w:p>
    <w:p w14:paraId="032F5346"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Supplementary Notes</w:t>
      </w:r>
    </w:p>
    <w:p w14:paraId="499A5D00" w14:textId="77777777" w:rsidR="00250529" w:rsidRPr="00986D12" w:rsidRDefault="00250529" w:rsidP="00507BF5">
      <w:pPr>
        <w:pStyle w:val="Subtitle0"/>
        <w:jc w:val="center"/>
        <w:rPr>
          <w:rFonts w:asciiTheme="minorHAnsi" w:hAnsiTheme="minorHAnsi" w:cstheme="minorHAnsi"/>
        </w:rPr>
      </w:pPr>
      <w:r w:rsidRPr="00986D12">
        <w:rPr>
          <w:rFonts w:asciiTheme="minorHAnsi" w:hAnsiTheme="minorHAnsi" w:cstheme="minorHAnsi"/>
        </w:rPr>
        <w:t>Post types and vacancies advertisement start &amp; end dates (where applicable) for regional/area offices</w:t>
      </w:r>
      <w:r w:rsidRPr="00986D12">
        <w:rPr>
          <w:rFonts w:asciiTheme="minorHAnsi" w:hAnsiTheme="minorHAnsi" w:cstheme="minorHAnsi"/>
          <w:vertAlign w:val="superscript"/>
        </w:rPr>
        <w:footnoteReference w:id="5"/>
      </w:r>
    </w:p>
    <w:tbl>
      <w:tblPr>
        <w:tblStyle w:val="ListTable3-Accent41"/>
        <w:tblW w:w="0" w:type="auto"/>
        <w:jc w:val="center"/>
        <w:tblLook w:val="04A0" w:firstRow="1" w:lastRow="0" w:firstColumn="1" w:lastColumn="0" w:noHBand="0" w:noVBand="1"/>
      </w:tblPr>
      <w:tblGrid>
        <w:gridCol w:w="1278"/>
        <w:gridCol w:w="482"/>
        <w:gridCol w:w="1209"/>
        <w:gridCol w:w="287"/>
        <w:gridCol w:w="2284"/>
        <w:gridCol w:w="1780"/>
        <w:gridCol w:w="1696"/>
      </w:tblGrid>
      <w:tr w:rsidR="00250529" w:rsidRPr="00986D12" w14:paraId="66D28DB0" w14:textId="77777777" w:rsidTr="00507BF5">
        <w:trPr>
          <w:cnfStyle w:val="100000000000" w:firstRow="1" w:lastRow="0" w:firstColumn="0" w:lastColumn="0" w:oddVBand="0" w:evenVBand="0" w:oddHBand="0" w:evenHBand="0" w:firstRowFirstColumn="0" w:firstRowLastColumn="0" w:lastRowFirstColumn="0" w:lastRowLastColumn="0"/>
          <w:trHeight w:val="855"/>
          <w:tblHeader/>
          <w:jc w:val="center"/>
        </w:trPr>
        <w:tc>
          <w:tcPr>
            <w:cnfStyle w:val="001000000100" w:firstRow="0" w:lastRow="0" w:firstColumn="1" w:lastColumn="0" w:oddVBand="0" w:evenVBand="0" w:oddHBand="0" w:evenHBand="0" w:firstRowFirstColumn="1" w:firstRowLastColumn="0" w:lastRowFirstColumn="0" w:lastRowLastColumn="0"/>
            <w:tcW w:w="1278" w:type="dxa"/>
          </w:tcPr>
          <w:p w14:paraId="41EEA829" w14:textId="77777777" w:rsidR="00250529" w:rsidRPr="00986D12" w:rsidRDefault="00250529" w:rsidP="00507BF5">
            <w:pPr>
              <w:pStyle w:val="Tabletitle0"/>
              <w:rPr>
                <w:rFonts w:asciiTheme="minorHAnsi" w:hAnsiTheme="minorHAnsi" w:cstheme="minorHAnsi"/>
                <w:b/>
                <w:sz w:val="16"/>
                <w:szCs w:val="16"/>
              </w:rPr>
            </w:pPr>
            <w:r w:rsidRPr="00986D12">
              <w:rPr>
                <w:rFonts w:asciiTheme="minorHAnsi" w:hAnsiTheme="minorHAnsi" w:cstheme="minorHAnsi"/>
                <w:b/>
                <w:sz w:val="16"/>
                <w:szCs w:val="16"/>
              </w:rPr>
              <w:t>Regional Office / Area Office</w:t>
            </w:r>
          </w:p>
        </w:tc>
        <w:tc>
          <w:tcPr>
            <w:tcW w:w="1691" w:type="dxa"/>
            <w:gridSpan w:val="2"/>
          </w:tcPr>
          <w:p w14:paraId="7BB61198" w14:textId="77777777" w:rsidR="00250529" w:rsidRPr="00986D12" w:rsidRDefault="00250529" w:rsidP="00507BF5">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986D12">
              <w:rPr>
                <w:rFonts w:asciiTheme="minorHAnsi" w:hAnsiTheme="minorHAnsi" w:cstheme="minorHAnsi"/>
                <w:b/>
                <w:sz w:val="16"/>
                <w:szCs w:val="16"/>
              </w:rPr>
              <w:t xml:space="preserve">2022 Post type &amp; Vacancy dates </w:t>
            </w:r>
          </w:p>
        </w:tc>
        <w:tc>
          <w:tcPr>
            <w:tcW w:w="287" w:type="dxa"/>
          </w:tcPr>
          <w:p w14:paraId="12CDF938" w14:textId="77777777" w:rsidR="00250529" w:rsidRPr="00986D12" w:rsidRDefault="00250529" w:rsidP="00507BF5">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2284" w:type="dxa"/>
          </w:tcPr>
          <w:p w14:paraId="02DE9CB5" w14:textId="77777777" w:rsidR="00250529" w:rsidRPr="00986D12" w:rsidRDefault="00250529" w:rsidP="00507BF5">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986D12">
              <w:rPr>
                <w:rFonts w:asciiTheme="minorHAnsi" w:hAnsiTheme="minorHAnsi" w:cstheme="minorHAnsi"/>
                <w:b/>
                <w:sz w:val="16"/>
                <w:szCs w:val="16"/>
              </w:rPr>
              <w:t>2023 Post type &amp; Vacancy dates</w:t>
            </w:r>
          </w:p>
        </w:tc>
        <w:tc>
          <w:tcPr>
            <w:tcW w:w="1780" w:type="dxa"/>
          </w:tcPr>
          <w:p w14:paraId="312E8A8C" w14:textId="77777777" w:rsidR="00250529" w:rsidRPr="00986D12" w:rsidRDefault="00250529" w:rsidP="00507BF5">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986D12">
              <w:rPr>
                <w:rFonts w:asciiTheme="minorHAnsi" w:hAnsiTheme="minorHAnsi" w:cstheme="minorHAnsi"/>
                <w:b/>
                <w:sz w:val="16"/>
                <w:szCs w:val="16"/>
              </w:rPr>
              <w:t>2024 Post type &amp; Vacancy dates</w:t>
            </w:r>
          </w:p>
        </w:tc>
        <w:tc>
          <w:tcPr>
            <w:tcW w:w="1696" w:type="dxa"/>
          </w:tcPr>
          <w:p w14:paraId="6185D894" w14:textId="77777777" w:rsidR="00250529" w:rsidRPr="00986D12" w:rsidRDefault="00250529" w:rsidP="00507BF5">
            <w:pPr>
              <w:pStyle w:val="Tabletitl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986D12">
              <w:rPr>
                <w:rFonts w:asciiTheme="minorHAnsi" w:hAnsiTheme="minorHAnsi" w:cstheme="minorHAnsi"/>
                <w:b/>
                <w:sz w:val="16"/>
                <w:szCs w:val="16"/>
              </w:rPr>
              <w:t>2025 Post type &amp; Vacancy dates</w:t>
            </w:r>
          </w:p>
        </w:tc>
      </w:tr>
      <w:tr w:rsidR="00250529" w:rsidRPr="00986D12" w14:paraId="65650DE9" w14:textId="77777777" w:rsidTr="00507BF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60" w:type="dxa"/>
            <w:gridSpan w:val="2"/>
            <w:shd w:val="clear" w:color="auto" w:fill="C1E4F5"/>
          </w:tcPr>
          <w:p w14:paraId="369296A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AFRICA</w:t>
            </w:r>
          </w:p>
        </w:tc>
        <w:tc>
          <w:tcPr>
            <w:tcW w:w="3780" w:type="dxa"/>
            <w:gridSpan w:val="3"/>
            <w:shd w:val="clear" w:color="auto" w:fill="C1E4F5"/>
          </w:tcPr>
          <w:p w14:paraId="30AAF005"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shd w:val="clear" w:color="auto" w:fill="C1E4F5"/>
          </w:tcPr>
          <w:p w14:paraId="28C6B7C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shd w:val="clear" w:color="auto" w:fill="C1E4F5"/>
          </w:tcPr>
          <w:p w14:paraId="6A84029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090737A6"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70D38B6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Addis Ababa</w:t>
            </w:r>
          </w:p>
        </w:tc>
        <w:tc>
          <w:tcPr>
            <w:tcW w:w="1691" w:type="dxa"/>
            <w:gridSpan w:val="2"/>
          </w:tcPr>
          <w:p w14:paraId="7E9877A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P4</w:t>
            </w:r>
            <w:proofErr w:type="spellEnd"/>
            <w:r w:rsidRPr="00986D12">
              <w:rPr>
                <w:rFonts w:asciiTheme="minorHAnsi" w:hAnsiTheme="minorHAnsi" w:cstheme="minorHAnsi"/>
                <w:sz w:val="16"/>
                <w:szCs w:val="16"/>
              </w:rPr>
              <w:t>/580 'Programme Coordinator'</w:t>
            </w:r>
          </w:p>
          <w:p w14:paraId="3A338EE6"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287" w:type="dxa"/>
          </w:tcPr>
          <w:p w14:paraId="66FDD4C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32D9FF70"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tcPr>
          <w:p w14:paraId="7029374A"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P4</w:t>
            </w:r>
            <w:proofErr w:type="spellEnd"/>
            <w:r w:rsidRPr="00986D12">
              <w:rPr>
                <w:rFonts w:asciiTheme="minorHAnsi" w:hAnsiTheme="minorHAnsi" w:cstheme="minorHAnsi"/>
                <w:sz w:val="16"/>
                <w:szCs w:val="16"/>
              </w:rPr>
              <w:t>/580 'Programme Coordinator'</w:t>
            </w:r>
            <w:r w:rsidRPr="00986D12">
              <w:rPr>
                <w:rFonts w:asciiTheme="minorHAnsi" w:hAnsiTheme="minorHAnsi" w:cstheme="minorHAnsi"/>
                <w:sz w:val="16"/>
                <w:szCs w:val="16"/>
              </w:rPr>
              <w:br/>
              <w:t>from 1 Nov. 24 to 31 Dec. 24</w:t>
            </w:r>
          </w:p>
        </w:tc>
        <w:tc>
          <w:tcPr>
            <w:tcW w:w="1696" w:type="dxa"/>
          </w:tcPr>
          <w:p w14:paraId="783AF64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P4</w:t>
            </w:r>
            <w:proofErr w:type="spellEnd"/>
            <w:r w:rsidRPr="00986D12">
              <w:rPr>
                <w:rFonts w:asciiTheme="minorHAnsi" w:hAnsiTheme="minorHAnsi" w:cstheme="minorHAnsi"/>
                <w:sz w:val="16"/>
                <w:szCs w:val="16"/>
              </w:rPr>
              <w:t>/580 'Programme Coordinator'</w:t>
            </w:r>
            <w:r w:rsidRPr="00986D12">
              <w:rPr>
                <w:rFonts w:asciiTheme="minorHAnsi" w:hAnsiTheme="minorHAnsi" w:cstheme="minorHAnsi"/>
                <w:sz w:val="16"/>
                <w:szCs w:val="16"/>
              </w:rPr>
              <w:br/>
              <w:t>from 1 Jan. 25 to 31 Oct. 25</w:t>
            </w:r>
          </w:p>
        </w:tc>
      </w:tr>
      <w:tr w:rsidR="00250529" w:rsidRPr="00986D12" w14:paraId="1E18EF26"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74EE88C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Addis Ababa</w:t>
            </w:r>
          </w:p>
        </w:tc>
        <w:tc>
          <w:tcPr>
            <w:tcW w:w="1691" w:type="dxa"/>
            <w:gridSpan w:val="2"/>
          </w:tcPr>
          <w:p w14:paraId="7E026AA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3DC338C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0566F51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/581 'Programme Officer'</w:t>
            </w:r>
          </w:p>
          <w:p w14:paraId="59D5BE1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r w:rsidRPr="00986D12" w:rsidDel="004F6710">
              <w:rPr>
                <w:rFonts w:asciiTheme="minorHAnsi" w:hAnsiTheme="minorHAnsi" w:cstheme="minorHAnsi"/>
                <w:sz w:val="16"/>
                <w:szCs w:val="16"/>
              </w:rPr>
              <w:t xml:space="preserve"> </w:t>
            </w:r>
            <w:r w:rsidRPr="00986D12" w:rsidDel="004F6710">
              <w:rPr>
                <w:rFonts w:asciiTheme="minorHAnsi" w:hAnsiTheme="minorHAnsi" w:cstheme="minorHAnsi"/>
                <w:sz w:val="16"/>
                <w:szCs w:val="16"/>
              </w:rPr>
              <w:br/>
            </w:r>
          </w:p>
        </w:tc>
        <w:tc>
          <w:tcPr>
            <w:tcW w:w="1780" w:type="dxa"/>
          </w:tcPr>
          <w:p w14:paraId="77EB25F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/581 'Programme Officer'</w:t>
            </w:r>
            <w:r w:rsidRPr="00986D12">
              <w:rPr>
                <w:rFonts w:asciiTheme="minorHAnsi" w:hAnsiTheme="minorHAnsi" w:cstheme="minorHAnsi"/>
                <w:sz w:val="16"/>
                <w:szCs w:val="16"/>
              </w:rPr>
              <w:br/>
              <w:t>from 1 Jan. 24 to 31 May 24</w:t>
            </w:r>
          </w:p>
        </w:tc>
        <w:tc>
          <w:tcPr>
            <w:tcW w:w="1696" w:type="dxa"/>
          </w:tcPr>
          <w:p w14:paraId="131B6C5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404902B3"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3D9B4398"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Addis Ababa</w:t>
            </w:r>
          </w:p>
        </w:tc>
        <w:tc>
          <w:tcPr>
            <w:tcW w:w="1691" w:type="dxa"/>
            <w:gridSpan w:val="2"/>
          </w:tcPr>
          <w:p w14:paraId="087D004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3E815AE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0388E3A1"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/833 'External Affairs Officer'</w:t>
            </w:r>
            <w:r w:rsidRPr="00986D12">
              <w:rPr>
                <w:rFonts w:asciiTheme="minorHAnsi" w:hAnsiTheme="minorHAnsi" w:cstheme="minorHAnsi"/>
                <w:sz w:val="16"/>
                <w:szCs w:val="16"/>
              </w:rPr>
              <w:br/>
              <w:t>from 1 Sep. 23 to 31 Dec. 23</w:t>
            </w:r>
          </w:p>
        </w:tc>
        <w:tc>
          <w:tcPr>
            <w:tcW w:w="1780" w:type="dxa"/>
          </w:tcPr>
          <w:p w14:paraId="3591423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/833 'External Affairs Officer'</w:t>
            </w:r>
            <w:r w:rsidRPr="00986D12">
              <w:rPr>
                <w:rFonts w:asciiTheme="minorHAnsi" w:hAnsiTheme="minorHAnsi" w:cstheme="minorHAnsi"/>
                <w:sz w:val="16"/>
                <w:szCs w:val="16"/>
              </w:rPr>
              <w:br/>
              <w:t>from 1 Sep. 24 to 31 Dec. 24</w:t>
            </w:r>
          </w:p>
          <w:p w14:paraId="20A5668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045B5E9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56DA3B51"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4BF9752D"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Addis Ababa</w:t>
            </w:r>
          </w:p>
        </w:tc>
        <w:tc>
          <w:tcPr>
            <w:tcW w:w="1691" w:type="dxa"/>
            <w:gridSpan w:val="2"/>
          </w:tcPr>
          <w:p w14:paraId="3C112B9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79C3384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515384AA"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tcPr>
          <w:p w14:paraId="0C154B7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/882 'Programme Administrator'</w:t>
            </w:r>
            <w:r w:rsidRPr="00986D12">
              <w:rPr>
                <w:rFonts w:asciiTheme="minorHAnsi" w:hAnsiTheme="minorHAnsi" w:cstheme="minorHAnsi"/>
                <w:sz w:val="16"/>
                <w:szCs w:val="16"/>
              </w:rPr>
              <w:br/>
              <w:t>from 1 Sep. 24 to 31 Dec. 24</w:t>
            </w:r>
          </w:p>
        </w:tc>
        <w:tc>
          <w:tcPr>
            <w:tcW w:w="1696" w:type="dxa"/>
          </w:tcPr>
          <w:p w14:paraId="27FE0388"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/882 'Programme Administrator'</w:t>
            </w:r>
            <w:r w:rsidRPr="00986D12">
              <w:rPr>
                <w:rFonts w:asciiTheme="minorHAnsi" w:hAnsiTheme="minorHAnsi" w:cstheme="minorHAnsi"/>
                <w:sz w:val="16"/>
                <w:szCs w:val="16"/>
              </w:rPr>
              <w:br/>
              <w:t>from 1 Jan. 25 to 30 Jun. 25</w:t>
            </w:r>
          </w:p>
        </w:tc>
      </w:tr>
      <w:tr w:rsidR="00250529" w:rsidRPr="00986D12" w14:paraId="5D964B95"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0D22742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Harare</w:t>
            </w:r>
          </w:p>
        </w:tc>
        <w:tc>
          <w:tcPr>
            <w:tcW w:w="1691" w:type="dxa"/>
            <w:gridSpan w:val="2"/>
          </w:tcPr>
          <w:p w14:paraId="7DCE10C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656730C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42C75E5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 xml:space="preserve">/780 'ITU Area Representative' </w:t>
            </w:r>
            <w:r w:rsidRPr="00986D12">
              <w:rPr>
                <w:rFonts w:asciiTheme="minorHAnsi" w:hAnsiTheme="minorHAnsi" w:cstheme="minorHAnsi"/>
                <w:sz w:val="16"/>
                <w:szCs w:val="16"/>
              </w:rPr>
              <w:br/>
              <w:t>from 1 Oct. 23 to 31 Dec. 23</w:t>
            </w:r>
          </w:p>
        </w:tc>
        <w:tc>
          <w:tcPr>
            <w:tcW w:w="1780" w:type="dxa"/>
          </w:tcPr>
          <w:p w14:paraId="757C23B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/780 'ITU Area Representative'</w:t>
            </w:r>
            <w:r w:rsidRPr="00986D12">
              <w:rPr>
                <w:rFonts w:asciiTheme="minorHAnsi" w:hAnsiTheme="minorHAnsi" w:cstheme="minorHAnsi"/>
                <w:sz w:val="16"/>
                <w:szCs w:val="16"/>
              </w:rPr>
              <w:br/>
              <w:t>from 1 Jan. 24 to 31 Aug. 24</w:t>
            </w:r>
          </w:p>
        </w:tc>
        <w:tc>
          <w:tcPr>
            <w:tcW w:w="1696" w:type="dxa"/>
          </w:tcPr>
          <w:p w14:paraId="367264E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602374D3"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69DE8684"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Harare</w:t>
            </w:r>
          </w:p>
        </w:tc>
        <w:tc>
          <w:tcPr>
            <w:tcW w:w="1691" w:type="dxa"/>
            <w:gridSpan w:val="2"/>
          </w:tcPr>
          <w:p w14:paraId="18DB6BA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34BE404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01B5F197"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/435 'Associate Programme Officer'</w:t>
            </w:r>
            <w:r w:rsidRPr="00986D12">
              <w:rPr>
                <w:rFonts w:asciiTheme="minorHAnsi" w:hAnsiTheme="minorHAnsi" w:cstheme="minorHAnsi"/>
                <w:sz w:val="16"/>
                <w:szCs w:val="16"/>
              </w:rPr>
              <w:br/>
              <w:t>from 1 Sep. 23 to 31 Dec. 23</w:t>
            </w:r>
          </w:p>
        </w:tc>
        <w:tc>
          <w:tcPr>
            <w:tcW w:w="1780" w:type="dxa"/>
          </w:tcPr>
          <w:p w14:paraId="3C01EDF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/435 'Associate Programme Officer'</w:t>
            </w:r>
          </w:p>
          <w:p w14:paraId="311415B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1696" w:type="dxa"/>
          </w:tcPr>
          <w:p w14:paraId="6A91382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TD25R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/435 'Associate Programme Officer'</w:t>
            </w:r>
            <w:r w:rsidRPr="00986D12">
              <w:rPr>
                <w:rFonts w:asciiTheme="minorHAnsi" w:hAnsiTheme="minorHAnsi" w:cstheme="minorHAnsi"/>
                <w:sz w:val="16"/>
                <w:szCs w:val="16"/>
              </w:rPr>
              <w:br/>
              <w:t>from 1 Jan. 25 to 31 Aug. 25</w:t>
            </w:r>
          </w:p>
        </w:tc>
      </w:tr>
      <w:tr w:rsidR="00250529" w:rsidRPr="00986D12" w14:paraId="121C5623" w14:textId="77777777" w:rsidTr="00507BF5">
        <w:trPr>
          <w:trHeight w:val="285"/>
          <w:jc w:val="center"/>
        </w:trPr>
        <w:tc>
          <w:tcPr>
            <w:cnfStyle w:val="001000000000" w:firstRow="0" w:lastRow="0" w:firstColumn="1" w:lastColumn="0" w:oddVBand="0" w:evenVBand="0" w:oddHBand="0" w:evenHBand="0" w:firstRowFirstColumn="0" w:firstRowLastColumn="0" w:lastRowFirstColumn="0" w:lastRowLastColumn="0"/>
            <w:tcW w:w="1760" w:type="dxa"/>
            <w:gridSpan w:val="2"/>
            <w:shd w:val="clear" w:color="auto" w:fill="C1E4F5"/>
          </w:tcPr>
          <w:p w14:paraId="4B45A1E3" w14:textId="77777777" w:rsidR="00250529" w:rsidRPr="00986D12" w:rsidRDefault="00250529" w:rsidP="00507BF5">
            <w:pPr>
              <w:pStyle w:val="Texttable"/>
              <w:keepNext/>
              <w:rPr>
                <w:rFonts w:asciiTheme="minorHAnsi" w:hAnsiTheme="minorHAnsi" w:cstheme="minorHAnsi"/>
                <w:sz w:val="16"/>
                <w:szCs w:val="16"/>
              </w:rPr>
            </w:pPr>
            <w:r w:rsidRPr="00986D12">
              <w:rPr>
                <w:rFonts w:asciiTheme="minorHAnsi" w:hAnsiTheme="minorHAnsi" w:cstheme="minorHAnsi"/>
                <w:sz w:val="16"/>
                <w:szCs w:val="16"/>
              </w:rPr>
              <w:t>AMERICAS</w:t>
            </w:r>
          </w:p>
        </w:tc>
        <w:tc>
          <w:tcPr>
            <w:tcW w:w="3780" w:type="dxa"/>
            <w:gridSpan w:val="3"/>
            <w:shd w:val="clear" w:color="auto" w:fill="C1E4F5"/>
          </w:tcPr>
          <w:p w14:paraId="49605622" w14:textId="77777777" w:rsidR="00250529" w:rsidRPr="00986D12" w:rsidRDefault="00250529" w:rsidP="00507BF5">
            <w:pPr>
              <w:pStyle w:val="Texttable"/>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shd w:val="clear" w:color="auto" w:fill="C1E4F5"/>
          </w:tcPr>
          <w:p w14:paraId="0FD539EF" w14:textId="77777777" w:rsidR="00250529" w:rsidRPr="00986D12" w:rsidRDefault="00250529" w:rsidP="00507BF5">
            <w:pPr>
              <w:pStyle w:val="Texttable"/>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shd w:val="clear" w:color="auto" w:fill="C1E4F5"/>
          </w:tcPr>
          <w:p w14:paraId="021C48AA" w14:textId="77777777" w:rsidR="00250529" w:rsidRPr="00986D12" w:rsidRDefault="00250529" w:rsidP="00507BF5">
            <w:pPr>
              <w:pStyle w:val="Texttable"/>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5DE03426" w14:textId="77777777" w:rsidTr="00507BF5">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278" w:type="dxa"/>
          </w:tcPr>
          <w:p w14:paraId="64212EE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Brasilia</w:t>
            </w:r>
          </w:p>
        </w:tc>
        <w:tc>
          <w:tcPr>
            <w:tcW w:w="1691" w:type="dxa"/>
            <w:gridSpan w:val="2"/>
          </w:tcPr>
          <w:p w14:paraId="6811D2A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0ECC0081"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433C1D8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/611 'Senior Advisor'</w:t>
            </w:r>
          </w:p>
          <w:p w14:paraId="74463EA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1780" w:type="dxa"/>
          </w:tcPr>
          <w:p w14:paraId="45DF633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/611 'Senior Advisor'</w:t>
            </w:r>
            <w:r w:rsidRPr="00986D12">
              <w:rPr>
                <w:rFonts w:asciiTheme="minorHAnsi" w:hAnsiTheme="minorHAnsi" w:cstheme="minorHAnsi"/>
                <w:sz w:val="16"/>
                <w:szCs w:val="16"/>
              </w:rPr>
              <w:br/>
              <w:t>from 1 Jan. 24 to 31 Oct. 24</w:t>
            </w:r>
          </w:p>
        </w:tc>
        <w:tc>
          <w:tcPr>
            <w:tcW w:w="1696" w:type="dxa"/>
          </w:tcPr>
          <w:p w14:paraId="25EF06A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717D1647"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7D3D8811"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Brasilia</w:t>
            </w:r>
          </w:p>
        </w:tc>
        <w:tc>
          <w:tcPr>
            <w:tcW w:w="1691" w:type="dxa"/>
            <w:gridSpan w:val="2"/>
          </w:tcPr>
          <w:p w14:paraId="3C99F474"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7943DEC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3BC673E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/352 'Programme Officer'</w:t>
            </w:r>
            <w:r w:rsidRPr="00986D12">
              <w:rPr>
                <w:rFonts w:asciiTheme="minorHAnsi" w:hAnsiTheme="minorHAnsi" w:cstheme="minorHAnsi"/>
                <w:sz w:val="16"/>
                <w:szCs w:val="16"/>
              </w:rPr>
              <w:br/>
              <w:t>from 1 Mar. 23 to 31 Dec. 23</w:t>
            </w:r>
          </w:p>
        </w:tc>
        <w:tc>
          <w:tcPr>
            <w:tcW w:w="1780" w:type="dxa"/>
          </w:tcPr>
          <w:p w14:paraId="475A19D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/352 'Programme Officer'</w:t>
            </w:r>
            <w:r w:rsidRPr="00986D12">
              <w:rPr>
                <w:rFonts w:asciiTheme="minorHAnsi" w:hAnsiTheme="minorHAnsi" w:cstheme="minorHAnsi"/>
                <w:sz w:val="16"/>
                <w:szCs w:val="16"/>
              </w:rPr>
              <w:br/>
              <w:t>from 1 Jan. 24 to 31 Mar. 24</w:t>
            </w:r>
          </w:p>
          <w:p w14:paraId="669E6FF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673B857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lastRenderedPageBreak/>
              <w:t xml:space="preserve"> </w:t>
            </w:r>
          </w:p>
        </w:tc>
      </w:tr>
      <w:tr w:rsidR="00250529" w:rsidRPr="00986D12" w14:paraId="4EE30F45" w14:textId="77777777" w:rsidTr="00507BF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278" w:type="dxa"/>
          </w:tcPr>
          <w:p w14:paraId="66CC840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Brasilia</w:t>
            </w:r>
          </w:p>
        </w:tc>
        <w:tc>
          <w:tcPr>
            <w:tcW w:w="1691" w:type="dxa"/>
            <w:gridSpan w:val="2"/>
          </w:tcPr>
          <w:p w14:paraId="4EF1B91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2A576CB2"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76F1B65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tcPr>
          <w:p w14:paraId="31EDF57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/418 'Programme Officer'</w:t>
            </w:r>
            <w:r w:rsidRPr="00986D12">
              <w:rPr>
                <w:rFonts w:asciiTheme="minorHAnsi" w:hAnsiTheme="minorHAnsi" w:cstheme="minorHAnsi"/>
                <w:sz w:val="16"/>
                <w:szCs w:val="16"/>
              </w:rPr>
              <w:br/>
              <w:t>from 1 Nov. 24 to 31 Dec. 24</w:t>
            </w:r>
          </w:p>
        </w:tc>
        <w:tc>
          <w:tcPr>
            <w:tcW w:w="1696" w:type="dxa"/>
          </w:tcPr>
          <w:p w14:paraId="10EF7EE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 xml:space="preserve">/418 'Programme Officer' </w:t>
            </w:r>
            <w:r w:rsidRPr="00986D12">
              <w:rPr>
                <w:rFonts w:asciiTheme="minorHAnsi" w:hAnsiTheme="minorHAnsi" w:cstheme="minorHAnsi"/>
                <w:sz w:val="16"/>
                <w:szCs w:val="16"/>
              </w:rPr>
              <w:br/>
              <w:t>from 1 Jan. 25 to 14 Feb. 25 / 1 Nov. 25 to 31 Dec. 25</w:t>
            </w:r>
          </w:p>
        </w:tc>
      </w:tr>
      <w:tr w:rsidR="00250529" w:rsidRPr="00986D12" w14:paraId="068631C1" w14:textId="77777777" w:rsidTr="00507BF5">
        <w:trPr>
          <w:trHeight w:val="570"/>
          <w:jc w:val="center"/>
        </w:trPr>
        <w:tc>
          <w:tcPr>
            <w:cnfStyle w:val="001000000000" w:firstRow="0" w:lastRow="0" w:firstColumn="1" w:lastColumn="0" w:oddVBand="0" w:evenVBand="0" w:oddHBand="0" w:evenHBand="0" w:firstRowFirstColumn="0" w:firstRowLastColumn="0" w:lastRowFirstColumn="0" w:lastRowLastColumn="0"/>
            <w:tcW w:w="1278" w:type="dxa"/>
          </w:tcPr>
          <w:p w14:paraId="77CDB73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Brasilia</w:t>
            </w:r>
          </w:p>
        </w:tc>
        <w:tc>
          <w:tcPr>
            <w:tcW w:w="1691" w:type="dxa"/>
            <w:gridSpan w:val="2"/>
          </w:tcPr>
          <w:p w14:paraId="29FB6B9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 xml:space="preserve">/456 'Secretary' </w:t>
            </w:r>
            <w:r w:rsidRPr="00986D12">
              <w:rPr>
                <w:rFonts w:asciiTheme="minorHAnsi" w:hAnsiTheme="minorHAnsi" w:cstheme="minorHAnsi"/>
                <w:sz w:val="16"/>
                <w:szCs w:val="16"/>
              </w:rPr>
              <w:br/>
              <w:t>from 1 Oct. 22 to 31 Dec. 22</w:t>
            </w:r>
          </w:p>
        </w:tc>
        <w:tc>
          <w:tcPr>
            <w:tcW w:w="287" w:type="dxa"/>
          </w:tcPr>
          <w:p w14:paraId="2D5B3DD3" w14:textId="77777777" w:rsidR="00250529" w:rsidRPr="00986D12" w:rsidDel="00CA787C"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205F837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sidDel="00CA787C">
              <w:rPr>
                <w:rFonts w:asciiTheme="minorHAnsi" w:hAnsiTheme="minorHAnsi" w:cstheme="minorHAnsi"/>
                <w:sz w:val="16"/>
                <w:szCs w:val="16"/>
              </w:rPr>
              <w:t>TD26R</w:t>
            </w:r>
            <w:proofErr w:type="spellEnd"/>
            <w:r w:rsidRPr="00986D12" w:rsidDel="00CA787C">
              <w:rPr>
                <w:rFonts w:asciiTheme="minorHAnsi" w:hAnsiTheme="minorHAnsi" w:cstheme="minorHAnsi"/>
                <w:sz w:val="16"/>
                <w:szCs w:val="16"/>
              </w:rPr>
              <w:t>/</w:t>
            </w:r>
            <w:proofErr w:type="spellStart"/>
            <w:r w:rsidRPr="00986D12" w:rsidDel="00CA787C">
              <w:rPr>
                <w:rFonts w:asciiTheme="minorHAnsi" w:hAnsiTheme="minorHAnsi" w:cstheme="minorHAnsi"/>
                <w:sz w:val="16"/>
                <w:szCs w:val="16"/>
              </w:rPr>
              <w:t>G5</w:t>
            </w:r>
            <w:proofErr w:type="spellEnd"/>
            <w:r w:rsidRPr="00986D12" w:rsidDel="00CA787C">
              <w:rPr>
                <w:rFonts w:asciiTheme="minorHAnsi" w:hAnsiTheme="minorHAnsi" w:cstheme="minorHAnsi"/>
                <w:sz w:val="16"/>
                <w:szCs w:val="16"/>
              </w:rPr>
              <w:t>/456 'Secretary'</w:t>
            </w:r>
            <w:r w:rsidRPr="00986D12" w:rsidDel="00CA787C">
              <w:rPr>
                <w:rFonts w:asciiTheme="minorHAnsi" w:hAnsiTheme="minorHAnsi" w:cstheme="minorHAnsi"/>
                <w:sz w:val="16"/>
                <w:szCs w:val="16"/>
              </w:rPr>
              <w:br/>
              <w:t>from 1 Jan. 23 to 28 Feb. 23</w:t>
            </w:r>
          </w:p>
        </w:tc>
        <w:tc>
          <w:tcPr>
            <w:tcW w:w="1780" w:type="dxa"/>
          </w:tcPr>
          <w:p w14:paraId="0B42844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11DA80A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52BD0456"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652F7D99"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Brasilia</w:t>
            </w:r>
          </w:p>
        </w:tc>
        <w:tc>
          <w:tcPr>
            <w:tcW w:w="1691" w:type="dxa"/>
            <w:gridSpan w:val="2"/>
          </w:tcPr>
          <w:p w14:paraId="69F2312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0B552F9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5E10709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tcPr>
          <w:p w14:paraId="37BBAFB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G6</w:t>
            </w:r>
            <w:proofErr w:type="spellEnd"/>
            <w:r w:rsidRPr="00986D12">
              <w:rPr>
                <w:rFonts w:asciiTheme="minorHAnsi" w:hAnsiTheme="minorHAnsi" w:cstheme="minorHAnsi"/>
                <w:sz w:val="16"/>
                <w:szCs w:val="16"/>
              </w:rPr>
              <w:t>/791 'Administrative Assistant'</w:t>
            </w:r>
            <w:r w:rsidRPr="00986D12">
              <w:rPr>
                <w:rFonts w:asciiTheme="minorHAnsi" w:hAnsiTheme="minorHAnsi" w:cstheme="minorHAnsi"/>
                <w:sz w:val="16"/>
                <w:szCs w:val="16"/>
              </w:rPr>
              <w:br/>
              <w:t>from 1 Apr. 24 to 31 Dec. 24</w:t>
            </w:r>
          </w:p>
        </w:tc>
        <w:tc>
          <w:tcPr>
            <w:tcW w:w="1696" w:type="dxa"/>
          </w:tcPr>
          <w:p w14:paraId="3651B49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G6</w:t>
            </w:r>
            <w:proofErr w:type="spellEnd"/>
            <w:r w:rsidRPr="00986D12">
              <w:rPr>
                <w:rFonts w:asciiTheme="minorHAnsi" w:hAnsiTheme="minorHAnsi" w:cstheme="minorHAnsi"/>
                <w:sz w:val="16"/>
                <w:szCs w:val="16"/>
              </w:rPr>
              <w:t>/791 'Administrative Assistant'</w:t>
            </w:r>
          </w:p>
          <w:p w14:paraId="7788B60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r>
      <w:tr w:rsidR="00250529" w:rsidRPr="00986D12" w14:paraId="60B84BDD" w14:textId="77777777" w:rsidTr="00507BF5">
        <w:trPr>
          <w:trHeight w:val="570"/>
          <w:jc w:val="center"/>
        </w:trPr>
        <w:tc>
          <w:tcPr>
            <w:cnfStyle w:val="001000000000" w:firstRow="0" w:lastRow="0" w:firstColumn="1" w:lastColumn="0" w:oddVBand="0" w:evenVBand="0" w:oddHBand="0" w:evenHBand="0" w:firstRowFirstColumn="0" w:firstRowLastColumn="0" w:lastRowFirstColumn="0" w:lastRowLastColumn="0"/>
            <w:tcW w:w="1278" w:type="dxa"/>
          </w:tcPr>
          <w:p w14:paraId="385C3B9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Santiago de Chile</w:t>
            </w:r>
          </w:p>
        </w:tc>
        <w:tc>
          <w:tcPr>
            <w:tcW w:w="1691" w:type="dxa"/>
            <w:gridSpan w:val="2"/>
          </w:tcPr>
          <w:p w14:paraId="4566323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/374 'Programme Administrator'</w:t>
            </w:r>
          </w:p>
          <w:p w14:paraId="7CA0800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287" w:type="dxa"/>
          </w:tcPr>
          <w:p w14:paraId="345D7566"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006D9B8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tcPr>
          <w:p w14:paraId="07F3685A"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1FF6F8E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5EC84339"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1943427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Tegucigalpa</w:t>
            </w:r>
          </w:p>
        </w:tc>
        <w:tc>
          <w:tcPr>
            <w:tcW w:w="1691" w:type="dxa"/>
            <w:gridSpan w:val="2"/>
          </w:tcPr>
          <w:p w14:paraId="445A14B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tcPr>
          <w:p w14:paraId="4EDA8F5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31BAFAE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tcPr>
          <w:p w14:paraId="6D37CC5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tcPr>
          <w:p w14:paraId="10A681A5"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TD26R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 xml:space="preserve">/663 'Programme Officer' </w:t>
            </w:r>
            <w:r w:rsidRPr="00986D12">
              <w:rPr>
                <w:rFonts w:asciiTheme="minorHAnsi" w:hAnsiTheme="minorHAnsi" w:cstheme="minorHAnsi"/>
                <w:sz w:val="16"/>
                <w:szCs w:val="16"/>
              </w:rPr>
              <w:br/>
              <w:t>from 15 Feb. 25 to 31 Oct. 25</w:t>
            </w:r>
          </w:p>
        </w:tc>
      </w:tr>
      <w:tr w:rsidR="00250529" w:rsidRPr="00986D12" w14:paraId="21F47491" w14:textId="77777777" w:rsidTr="00507BF5">
        <w:trPr>
          <w:trHeight w:val="285"/>
          <w:jc w:val="center"/>
        </w:trPr>
        <w:tc>
          <w:tcPr>
            <w:cnfStyle w:val="001000000000" w:firstRow="0" w:lastRow="0" w:firstColumn="1" w:lastColumn="0" w:oddVBand="0" w:evenVBand="0" w:oddHBand="0" w:evenHBand="0" w:firstRowFirstColumn="0" w:firstRowLastColumn="0" w:lastRowFirstColumn="0" w:lastRowLastColumn="0"/>
            <w:tcW w:w="1278" w:type="dxa"/>
          </w:tcPr>
          <w:p w14:paraId="43C7C8F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Bridgetown</w:t>
            </w:r>
          </w:p>
        </w:tc>
        <w:tc>
          <w:tcPr>
            <w:tcW w:w="1691" w:type="dxa"/>
            <w:gridSpan w:val="2"/>
          </w:tcPr>
          <w:p w14:paraId="62754461"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47CD343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265959A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tcPr>
          <w:p w14:paraId="4CD0570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6FA82DD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40D02E60" w14:textId="77777777" w:rsidTr="00507BF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60" w:type="dxa"/>
            <w:gridSpan w:val="2"/>
            <w:shd w:val="clear" w:color="auto" w:fill="C1E4F5"/>
          </w:tcPr>
          <w:p w14:paraId="3A28AD20"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ASIA-PACIFIC</w:t>
            </w:r>
          </w:p>
        </w:tc>
        <w:tc>
          <w:tcPr>
            <w:tcW w:w="3780" w:type="dxa"/>
            <w:gridSpan w:val="3"/>
            <w:shd w:val="clear" w:color="auto" w:fill="C1E4F5"/>
          </w:tcPr>
          <w:p w14:paraId="45868548"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shd w:val="clear" w:color="auto" w:fill="C1E4F5"/>
          </w:tcPr>
          <w:p w14:paraId="54B40122"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shd w:val="clear" w:color="auto" w:fill="C1E4F5"/>
          </w:tcPr>
          <w:p w14:paraId="189C575C"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7AE7276C" w14:textId="77777777" w:rsidTr="00507BF5">
        <w:trPr>
          <w:trHeight w:val="570"/>
          <w:jc w:val="center"/>
        </w:trPr>
        <w:tc>
          <w:tcPr>
            <w:cnfStyle w:val="001000000000" w:firstRow="0" w:lastRow="0" w:firstColumn="1" w:lastColumn="0" w:oddVBand="0" w:evenVBand="0" w:oddHBand="0" w:evenHBand="0" w:firstRowFirstColumn="0" w:firstRowLastColumn="0" w:lastRowFirstColumn="0" w:lastRowLastColumn="0"/>
            <w:tcW w:w="1278" w:type="dxa"/>
          </w:tcPr>
          <w:p w14:paraId="0D8FFD6F"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Bangkok</w:t>
            </w:r>
          </w:p>
        </w:tc>
        <w:tc>
          <w:tcPr>
            <w:tcW w:w="1691" w:type="dxa"/>
            <w:gridSpan w:val="2"/>
          </w:tcPr>
          <w:p w14:paraId="67FA35A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G3</w:t>
            </w:r>
            <w:proofErr w:type="spellEnd"/>
            <w:r w:rsidRPr="00986D12">
              <w:rPr>
                <w:rFonts w:asciiTheme="minorHAnsi" w:hAnsiTheme="minorHAnsi" w:cstheme="minorHAnsi"/>
                <w:sz w:val="16"/>
                <w:szCs w:val="16"/>
              </w:rPr>
              <w:t>/521 'Driver'</w:t>
            </w:r>
            <w:r w:rsidRPr="00986D12">
              <w:rPr>
                <w:rFonts w:asciiTheme="minorHAnsi" w:hAnsiTheme="minorHAnsi" w:cstheme="minorHAnsi"/>
                <w:sz w:val="16"/>
                <w:szCs w:val="16"/>
              </w:rPr>
              <w:br/>
              <w:t>from 1 Oct. 22 to 31 Dec. 22</w:t>
            </w:r>
          </w:p>
        </w:tc>
        <w:tc>
          <w:tcPr>
            <w:tcW w:w="287" w:type="dxa"/>
          </w:tcPr>
          <w:p w14:paraId="04E95FE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0811BE2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G3</w:t>
            </w:r>
            <w:proofErr w:type="spellEnd"/>
            <w:r w:rsidRPr="00986D12">
              <w:rPr>
                <w:rFonts w:asciiTheme="minorHAnsi" w:hAnsiTheme="minorHAnsi" w:cstheme="minorHAnsi"/>
                <w:sz w:val="16"/>
                <w:szCs w:val="16"/>
              </w:rPr>
              <w:t>/521 'Driver'</w:t>
            </w:r>
          </w:p>
          <w:p w14:paraId="2BB964D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1780" w:type="dxa"/>
          </w:tcPr>
          <w:p w14:paraId="025F6C0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G3</w:t>
            </w:r>
            <w:proofErr w:type="spellEnd"/>
            <w:r w:rsidRPr="00986D12">
              <w:rPr>
                <w:rFonts w:asciiTheme="minorHAnsi" w:hAnsiTheme="minorHAnsi" w:cstheme="minorHAnsi"/>
                <w:sz w:val="16"/>
                <w:szCs w:val="16"/>
              </w:rPr>
              <w:t>/521 'Driver'</w:t>
            </w:r>
            <w:r w:rsidRPr="00986D12">
              <w:rPr>
                <w:rFonts w:asciiTheme="minorHAnsi" w:hAnsiTheme="minorHAnsi" w:cstheme="minorHAnsi"/>
                <w:sz w:val="16"/>
                <w:szCs w:val="16"/>
              </w:rPr>
              <w:br/>
              <w:t>from 1 Jan. 24 to 30 Jun. 24</w:t>
            </w:r>
          </w:p>
        </w:tc>
        <w:tc>
          <w:tcPr>
            <w:tcW w:w="1696" w:type="dxa"/>
          </w:tcPr>
          <w:p w14:paraId="21C0C235"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/387 'Senior Advisor'</w:t>
            </w:r>
            <w:r w:rsidRPr="00986D12">
              <w:rPr>
                <w:rFonts w:asciiTheme="minorHAnsi" w:hAnsiTheme="minorHAnsi" w:cstheme="minorHAnsi"/>
                <w:sz w:val="16"/>
                <w:szCs w:val="16"/>
              </w:rPr>
              <w:br/>
              <w:t>from 19 Sep. 25 to 31 Dec. 25</w:t>
            </w:r>
          </w:p>
        </w:tc>
      </w:tr>
      <w:tr w:rsidR="00250529" w:rsidRPr="00986D12" w14:paraId="184F3721"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10E0459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Bangkok</w:t>
            </w:r>
          </w:p>
        </w:tc>
        <w:tc>
          <w:tcPr>
            <w:tcW w:w="1691" w:type="dxa"/>
            <w:gridSpan w:val="2"/>
          </w:tcPr>
          <w:p w14:paraId="06DB306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G6</w:t>
            </w:r>
            <w:proofErr w:type="spellEnd"/>
            <w:r w:rsidRPr="00986D12">
              <w:rPr>
                <w:rFonts w:asciiTheme="minorHAnsi" w:hAnsiTheme="minorHAnsi" w:cstheme="minorHAnsi"/>
                <w:sz w:val="16"/>
                <w:szCs w:val="16"/>
              </w:rPr>
              <w:t>/928 'Financial and Administrative Assistant'</w:t>
            </w:r>
          </w:p>
          <w:p w14:paraId="21DC211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from 1 Jan. 22 to 28 Feb. 22</w:t>
            </w:r>
          </w:p>
        </w:tc>
        <w:tc>
          <w:tcPr>
            <w:tcW w:w="287" w:type="dxa"/>
          </w:tcPr>
          <w:p w14:paraId="14EDD15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0283A3C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tcPr>
          <w:p w14:paraId="0F2E1E1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tcPr>
          <w:p w14:paraId="77447526"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/900 'Programme Officer'</w:t>
            </w:r>
            <w:r w:rsidRPr="00986D12">
              <w:rPr>
                <w:rFonts w:asciiTheme="minorHAnsi" w:hAnsiTheme="minorHAnsi" w:cstheme="minorHAnsi"/>
                <w:sz w:val="16"/>
                <w:szCs w:val="16"/>
              </w:rPr>
              <w:br/>
              <w:t>from 1 Oct. 25 to 31 Dec. 25</w:t>
            </w:r>
          </w:p>
        </w:tc>
      </w:tr>
      <w:tr w:rsidR="00250529" w:rsidRPr="00986D12" w14:paraId="56AA417C"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3202BE70"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Bangkok</w:t>
            </w:r>
          </w:p>
        </w:tc>
        <w:tc>
          <w:tcPr>
            <w:tcW w:w="1691" w:type="dxa"/>
            <w:gridSpan w:val="2"/>
          </w:tcPr>
          <w:p w14:paraId="2E50932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642AD99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5AE9A70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tcPr>
          <w:p w14:paraId="50B9B47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/749 'Programme Officer'</w:t>
            </w:r>
          </w:p>
          <w:p w14:paraId="7F4C71B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1696" w:type="dxa"/>
          </w:tcPr>
          <w:p w14:paraId="32B4A1A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/749 'Programme Officer'</w:t>
            </w:r>
            <w:r w:rsidRPr="00986D12">
              <w:rPr>
                <w:rFonts w:asciiTheme="minorHAnsi" w:hAnsiTheme="minorHAnsi" w:cstheme="minorHAnsi"/>
                <w:sz w:val="16"/>
                <w:szCs w:val="16"/>
              </w:rPr>
              <w:br/>
              <w:t>from 1 Jan. 25 to 13 Jul. 25</w:t>
            </w:r>
          </w:p>
        </w:tc>
      </w:tr>
      <w:tr w:rsidR="00250529" w:rsidRPr="00986D12" w14:paraId="6124BFB8"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5C9F0644"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Jakarta</w:t>
            </w:r>
          </w:p>
        </w:tc>
        <w:tc>
          <w:tcPr>
            <w:tcW w:w="1691" w:type="dxa"/>
            <w:gridSpan w:val="2"/>
          </w:tcPr>
          <w:p w14:paraId="5BC03ED6"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/651 'ITU Area Representative'</w:t>
            </w:r>
            <w:r w:rsidRPr="00986D12">
              <w:rPr>
                <w:rFonts w:asciiTheme="minorHAnsi" w:hAnsiTheme="minorHAnsi" w:cstheme="minorHAnsi"/>
                <w:sz w:val="16"/>
                <w:szCs w:val="16"/>
              </w:rPr>
              <w:br/>
              <w:t>from 24 May 22 to 31 Dec. 22</w:t>
            </w:r>
          </w:p>
        </w:tc>
        <w:tc>
          <w:tcPr>
            <w:tcW w:w="287" w:type="dxa"/>
          </w:tcPr>
          <w:p w14:paraId="7937734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5F4F4FD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/651 'ITU Area Representative'</w:t>
            </w:r>
            <w:r w:rsidRPr="00986D12">
              <w:rPr>
                <w:rFonts w:asciiTheme="minorHAnsi" w:hAnsiTheme="minorHAnsi" w:cstheme="minorHAnsi"/>
                <w:sz w:val="16"/>
                <w:szCs w:val="16"/>
              </w:rPr>
              <w:br/>
              <w:t>from 1 Jan. 23 to 31 May 23</w:t>
            </w:r>
          </w:p>
        </w:tc>
        <w:tc>
          <w:tcPr>
            <w:tcW w:w="1780" w:type="dxa"/>
          </w:tcPr>
          <w:p w14:paraId="00B63F6D"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tcPr>
          <w:p w14:paraId="6AABF00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0D97AF4C"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59DBE67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Jakarta</w:t>
            </w:r>
          </w:p>
        </w:tc>
        <w:tc>
          <w:tcPr>
            <w:tcW w:w="1691" w:type="dxa"/>
            <w:gridSpan w:val="2"/>
          </w:tcPr>
          <w:p w14:paraId="642516E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/393 'Administrative Assistant'</w:t>
            </w:r>
            <w:r w:rsidRPr="00986D12">
              <w:rPr>
                <w:rFonts w:asciiTheme="minorHAnsi" w:hAnsiTheme="minorHAnsi" w:cstheme="minorHAnsi"/>
                <w:sz w:val="16"/>
                <w:szCs w:val="16"/>
              </w:rPr>
              <w:br/>
              <w:t>from 14 Apr. 22 to 31 Dec. 22</w:t>
            </w:r>
          </w:p>
        </w:tc>
        <w:tc>
          <w:tcPr>
            <w:tcW w:w="287" w:type="dxa"/>
          </w:tcPr>
          <w:p w14:paraId="7DED8F0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1D953FA9"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/393 'Administrative Assistant'</w:t>
            </w:r>
            <w:r w:rsidRPr="00986D12">
              <w:rPr>
                <w:rFonts w:asciiTheme="minorHAnsi" w:hAnsiTheme="minorHAnsi" w:cstheme="minorHAnsi"/>
                <w:sz w:val="16"/>
                <w:szCs w:val="16"/>
              </w:rPr>
              <w:br/>
              <w:t>from 1 Jan. 23 to 15 Mar. 23</w:t>
            </w:r>
          </w:p>
        </w:tc>
        <w:tc>
          <w:tcPr>
            <w:tcW w:w="1780" w:type="dxa"/>
          </w:tcPr>
          <w:p w14:paraId="01B805B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0BC13194"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1FE88714"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0F2CA762"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New Delhi</w:t>
            </w:r>
          </w:p>
        </w:tc>
        <w:tc>
          <w:tcPr>
            <w:tcW w:w="1691" w:type="dxa"/>
            <w:gridSpan w:val="2"/>
          </w:tcPr>
          <w:p w14:paraId="3F1E0858"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/778 'Head, ITU Area Office'</w:t>
            </w:r>
            <w:r w:rsidRPr="00986D12">
              <w:rPr>
                <w:rFonts w:asciiTheme="minorHAnsi" w:hAnsiTheme="minorHAnsi" w:cstheme="minorHAnsi"/>
                <w:sz w:val="16"/>
                <w:szCs w:val="16"/>
              </w:rPr>
              <w:br/>
              <w:t>from 1 Jul. 22 to 31 Dec. 22</w:t>
            </w:r>
          </w:p>
        </w:tc>
        <w:tc>
          <w:tcPr>
            <w:tcW w:w="287" w:type="dxa"/>
          </w:tcPr>
          <w:p w14:paraId="7E3300D4"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05B3B9E8"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/778 'Head, ITU Area Office'</w:t>
            </w:r>
          </w:p>
        </w:tc>
        <w:tc>
          <w:tcPr>
            <w:tcW w:w="1780" w:type="dxa"/>
          </w:tcPr>
          <w:p w14:paraId="5AEFBA8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/778 'Head, ITU Area Office'</w:t>
            </w:r>
            <w:r w:rsidRPr="00986D12">
              <w:rPr>
                <w:rFonts w:asciiTheme="minorHAnsi" w:hAnsiTheme="minorHAnsi" w:cstheme="minorHAnsi"/>
                <w:sz w:val="16"/>
                <w:szCs w:val="16"/>
              </w:rPr>
              <w:br/>
              <w:t>from 1 Jan. 24 to 31 Jul. 24</w:t>
            </w:r>
          </w:p>
        </w:tc>
        <w:tc>
          <w:tcPr>
            <w:tcW w:w="1696" w:type="dxa"/>
          </w:tcPr>
          <w:p w14:paraId="39D4485A"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5989D6E0"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3692D0B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lastRenderedPageBreak/>
              <w:t>New Delhi</w:t>
            </w:r>
          </w:p>
        </w:tc>
        <w:tc>
          <w:tcPr>
            <w:tcW w:w="1691" w:type="dxa"/>
            <w:gridSpan w:val="2"/>
          </w:tcPr>
          <w:p w14:paraId="395D32FA"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/781 'Programme Officer'</w:t>
            </w:r>
            <w:r w:rsidRPr="00986D12">
              <w:rPr>
                <w:rFonts w:asciiTheme="minorHAnsi" w:hAnsiTheme="minorHAnsi" w:cstheme="minorHAnsi"/>
                <w:sz w:val="16"/>
                <w:szCs w:val="16"/>
              </w:rPr>
              <w:br/>
              <w:t>from 1 Jul. 22 to 31 Dec. 22</w:t>
            </w:r>
          </w:p>
        </w:tc>
        <w:tc>
          <w:tcPr>
            <w:tcW w:w="287" w:type="dxa"/>
          </w:tcPr>
          <w:p w14:paraId="47797364"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194CA39D"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P3</w:t>
            </w:r>
            <w:proofErr w:type="spellEnd"/>
            <w:r w:rsidRPr="00986D12">
              <w:rPr>
                <w:rFonts w:asciiTheme="minorHAnsi" w:hAnsiTheme="minorHAnsi" w:cstheme="minorHAnsi"/>
                <w:sz w:val="16"/>
                <w:szCs w:val="16"/>
              </w:rPr>
              <w:t>/781 'Programme Officer'</w:t>
            </w:r>
            <w:r w:rsidRPr="00986D12">
              <w:rPr>
                <w:rFonts w:asciiTheme="minorHAnsi" w:hAnsiTheme="minorHAnsi" w:cstheme="minorHAnsi"/>
                <w:sz w:val="16"/>
                <w:szCs w:val="16"/>
              </w:rPr>
              <w:br/>
              <w:t>from 1 Jan. 23 to 24 Sep. 23</w:t>
            </w:r>
          </w:p>
        </w:tc>
        <w:tc>
          <w:tcPr>
            <w:tcW w:w="1780" w:type="dxa"/>
          </w:tcPr>
          <w:p w14:paraId="2C2D812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68C1453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30077901"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1805458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New Delhi</w:t>
            </w:r>
          </w:p>
        </w:tc>
        <w:tc>
          <w:tcPr>
            <w:tcW w:w="1691" w:type="dxa"/>
            <w:gridSpan w:val="2"/>
          </w:tcPr>
          <w:p w14:paraId="1D4983C5"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/783 'Administrative Assistant'</w:t>
            </w:r>
            <w:r w:rsidRPr="00986D12">
              <w:rPr>
                <w:rFonts w:asciiTheme="minorHAnsi" w:hAnsiTheme="minorHAnsi" w:cstheme="minorHAnsi"/>
                <w:sz w:val="16"/>
                <w:szCs w:val="16"/>
              </w:rPr>
              <w:br/>
              <w:t>from 1 Jul. 22 to 31 Dec. 22</w:t>
            </w:r>
          </w:p>
        </w:tc>
        <w:tc>
          <w:tcPr>
            <w:tcW w:w="287" w:type="dxa"/>
          </w:tcPr>
          <w:p w14:paraId="2850DEB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417D6E52"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TD27R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/783 'Administrative Assistant'</w:t>
            </w:r>
            <w:r w:rsidRPr="00986D12">
              <w:rPr>
                <w:rFonts w:asciiTheme="minorHAnsi" w:hAnsiTheme="minorHAnsi" w:cstheme="minorHAnsi"/>
                <w:sz w:val="16"/>
                <w:szCs w:val="16"/>
              </w:rPr>
              <w:br/>
              <w:t>from 1 Jan. 23 to 9 May 23</w:t>
            </w:r>
          </w:p>
        </w:tc>
        <w:tc>
          <w:tcPr>
            <w:tcW w:w="1780" w:type="dxa"/>
          </w:tcPr>
          <w:p w14:paraId="03FE1716"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tcPr>
          <w:p w14:paraId="45C84B8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391BFF3A" w14:textId="77777777" w:rsidTr="00507BF5">
        <w:trPr>
          <w:trHeight w:val="285"/>
          <w:jc w:val="center"/>
        </w:trPr>
        <w:tc>
          <w:tcPr>
            <w:cnfStyle w:val="001000000000" w:firstRow="0" w:lastRow="0" w:firstColumn="1" w:lastColumn="0" w:oddVBand="0" w:evenVBand="0" w:oddHBand="0" w:evenHBand="0" w:firstRowFirstColumn="0" w:firstRowLastColumn="0" w:lastRowFirstColumn="0" w:lastRowLastColumn="0"/>
            <w:tcW w:w="1760" w:type="dxa"/>
            <w:gridSpan w:val="2"/>
            <w:shd w:val="clear" w:color="auto" w:fill="C1E4F5"/>
          </w:tcPr>
          <w:p w14:paraId="29B9DCDA"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ARAB STATES</w:t>
            </w:r>
          </w:p>
        </w:tc>
        <w:tc>
          <w:tcPr>
            <w:tcW w:w="3780" w:type="dxa"/>
            <w:gridSpan w:val="3"/>
            <w:shd w:val="clear" w:color="auto" w:fill="C1E4F5"/>
          </w:tcPr>
          <w:p w14:paraId="5A5A679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shd w:val="clear" w:color="auto" w:fill="C1E4F5"/>
          </w:tcPr>
          <w:p w14:paraId="5945083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shd w:val="clear" w:color="auto" w:fill="C1E4F5"/>
          </w:tcPr>
          <w:p w14:paraId="4859D3B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250529" w:rsidRPr="00986D12" w14:paraId="7A9D9213" w14:textId="77777777" w:rsidTr="00507BF5">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021B358E"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Cairo</w:t>
            </w:r>
          </w:p>
        </w:tc>
        <w:tc>
          <w:tcPr>
            <w:tcW w:w="1691" w:type="dxa"/>
            <w:gridSpan w:val="2"/>
          </w:tcPr>
          <w:p w14:paraId="68E2481F"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TD28R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/670 'Administrative Assistant'</w:t>
            </w:r>
            <w:r w:rsidRPr="00986D12">
              <w:rPr>
                <w:rFonts w:asciiTheme="minorHAnsi" w:hAnsiTheme="minorHAnsi" w:cstheme="minorHAnsi"/>
                <w:sz w:val="16"/>
                <w:szCs w:val="16"/>
              </w:rPr>
              <w:br/>
              <w:t>from 1 Aug. 22 to 31 Dec. 22</w:t>
            </w:r>
          </w:p>
        </w:tc>
        <w:tc>
          <w:tcPr>
            <w:tcW w:w="287" w:type="dxa"/>
          </w:tcPr>
          <w:p w14:paraId="4BF5CEAA"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tcPr>
          <w:p w14:paraId="300634D6"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TD28R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G5</w:t>
            </w:r>
            <w:proofErr w:type="spellEnd"/>
            <w:r w:rsidRPr="00986D12">
              <w:rPr>
                <w:rFonts w:asciiTheme="minorHAnsi" w:hAnsiTheme="minorHAnsi" w:cstheme="minorHAnsi"/>
                <w:sz w:val="16"/>
                <w:szCs w:val="16"/>
              </w:rPr>
              <w:t>/670 'Administrative Assistant'</w:t>
            </w:r>
            <w:r w:rsidRPr="00986D12">
              <w:rPr>
                <w:rFonts w:asciiTheme="minorHAnsi" w:hAnsiTheme="minorHAnsi" w:cstheme="minorHAnsi"/>
                <w:sz w:val="16"/>
                <w:szCs w:val="16"/>
              </w:rPr>
              <w:br/>
              <w:t xml:space="preserve">from 1 Jan. 23 to 28 Feb. 23 </w:t>
            </w:r>
          </w:p>
        </w:tc>
        <w:tc>
          <w:tcPr>
            <w:tcW w:w="1780" w:type="dxa"/>
          </w:tcPr>
          <w:p w14:paraId="7925D0DA"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tcPr>
          <w:p w14:paraId="3ACA369A"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TD28R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P5</w:t>
            </w:r>
            <w:proofErr w:type="spellEnd"/>
            <w:r w:rsidRPr="00986D12">
              <w:rPr>
                <w:rFonts w:asciiTheme="minorHAnsi" w:hAnsiTheme="minorHAnsi" w:cstheme="minorHAnsi"/>
                <w:sz w:val="16"/>
                <w:szCs w:val="16"/>
              </w:rPr>
              <w:t>/425 'Senior Advisor'</w:t>
            </w:r>
            <w:r w:rsidRPr="00986D12">
              <w:rPr>
                <w:rFonts w:asciiTheme="minorHAnsi" w:hAnsiTheme="minorHAnsi" w:cstheme="minorHAnsi"/>
                <w:sz w:val="16"/>
                <w:szCs w:val="16"/>
              </w:rPr>
              <w:br/>
              <w:t>from 1 Nov. 25 to 31 Dec. 25</w:t>
            </w:r>
          </w:p>
        </w:tc>
      </w:tr>
      <w:tr w:rsidR="00250529" w:rsidRPr="00986D12" w14:paraId="5D972D29"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09F9E4D5"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Cairo</w:t>
            </w:r>
          </w:p>
        </w:tc>
        <w:tc>
          <w:tcPr>
            <w:tcW w:w="1691" w:type="dxa"/>
            <w:gridSpan w:val="2"/>
          </w:tcPr>
          <w:p w14:paraId="52CC71A8"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08310F4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5D24CB9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TD28R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/685 'Programme Administrator'</w:t>
            </w:r>
            <w:r w:rsidRPr="00986D12">
              <w:rPr>
                <w:rFonts w:asciiTheme="minorHAnsi" w:hAnsiTheme="minorHAnsi" w:cstheme="minorHAnsi"/>
                <w:sz w:val="16"/>
                <w:szCs w:val="16"/>
              </w:rPr>
              <w:br/>
              <w:t xml:space="preserve">from 1 Mar. 23 to 31 Dec. 23 </w:t>
            </w:r>
          </w:p>
        </w:tc>
        <w:tc>
          <w:tcPr>
            <w:tcW w:w="1780" w:type="dxa"/>
          </w:tcPr>
          <w:p w14:paraId="67A28EA2"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TD28R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/685 'Programme Administrator'</w:t>
            </w:r>
          </w:p>
          <w:p w14:paraId="6246BA96"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1696" w:type="dxa"/>
          </w:tcPr>
          <w:p w14:paraId="4E70EF3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TD28R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/685 'Programme Administrator'</w:t>
            </w:r>
            <w:r w:rsidRPr="00986D12">
              <w:rPr>
                <w:rFonts w:asciiTheme="minorHAnsi" w:hAnsiTheme="minorHAnsi" w:cstheme="minorHAnsi"/>
                <w:sz w:val="16"/>
                <w:szCs w:val="16"/>
              </w:rPr>
              <w:br/>
              <w:t>from 1 Jan. 25 to 31 Aug. 25</w:t>
            </w:r>
          </w:p>
        </w:tc>
      </w:tr>
      <w:tr w:rsidR="00250529" w:rsidRPr="00986D12" w14:paraId="2CD2A8AB" w14:textId="77777777" w:rsidTr="00507BF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60" w:type="dxa"/>
            <w:gridSpan w:val="2"/>
            <w:shd w:val="clear" w:color="auto" w:fill="C1E4F5"/>
          </w:tcPr>
          <w:p w14:paraId="0BAC5F9B"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CIS</w:t>
            </w:r>
          </w:p>
        </w:tc>
        <w:tc>
          <w:tcPr>
            <w:tcW w:w="3780" w:type="dxa"/>
            <w:gridSpan w:val="3"/>
            <w:shd w:val="clear" w:color="auto" w:fill="C1E4F5"/>
          </w:tcPr>
          <w:p w14:paraId="6EDC6B6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shd w:val="clear" w:color="auto" w:fill="C1E4F5"/>
          </w:tcPr>
          <w:p w14:paraId="1910AA01"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shd w:val="clear" w:color="auto" w:fill="C1E4F5"/>
          </w:tcPr>
          <w:p w14:paraId="2F56B7B7"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4944ADCE" w14:textId="77777777" w:rsidTr="00507BF5">
        <w:trPr>
          <w:trHeight w:val="855"/>
          <w:jc w:val="center"/>
        </w:trPr>
        <w:tc>
          <w:tcPr>
            <w:cnfStyle w:val="001000000000" w:firstRow="0" w:lastRow="0" w:firstColumn="1" w:lastColumn="0" w:oddVBand="0" w:evenVBand="0" w:oddHBand="0" w:evenHBand="0" w:firstRowFirstColumn="0" w:firstRowLastColumn="0" w:lastRowFirstColumn="0" w:lastRowLastColumn="0"/>
            <w:tcW w:w="1278" w:type="dxa"/>
          </w:tcPr>
          <w:p w14:paraId="289D8303"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Moscow</w:t>
            </w:r>
          </w:p>
        </w:tc>
        <w:tc>
          <w:tcPr>
            <w:tcW w:w="1691" w:type="dxa"/>
            <w:gridSpan w:val="2"/>
          </w:tcPr>
          <w:p w14:paraId="3DB7CA3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4ED5FF7E"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02B7583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TD29R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G6</w:t>
            </w:r>
            <w:proofErr w:type="spellEnd"/>
            <w:r w:rsidRPr="00986D12">
              <w:rPr>
                <w:rFonts w:asciiTheme="minorHAnsi" w:hAnsiTheme="minorHAnsi" w:cstheme="minorHAnsi"/>
                <w:sz w:val="16"/>
                <w:szCs w:val="16"/>
              </w:rPr>
              <w:t>/290 'Administrative Assistant'</w:t>
            </w:r>
            <w:r w:rsidRPr="00986D12">
              <w:rPr>
                <w:rFonts w:asciiTheme="minorHAnsi" w:hAnsiTheme="minorHAnsi" w:cstheme="minorHAnsi"/>
                <w:sz w:val="16"/>
                <w:szCs w:val="16"/>
              </w:rPr>
              <w:br/>
              <w:t>from 31 Aug. 23 to 31 Dec. 23</w:t>
            </w:r>
          </w:p>
        </w:tc>
        <w:tc>
          <w:tcPr>
            <w:tcW w:w="1780" w:type="dxa"/>
          </w:tcPr>
          <w:p w14:paraId="4EC129B3"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TD29R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/379 'Associate Programme Officer'</w:t>
            </w:r>
          </w:p>
          <w:p w14:paraId="63699670"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86D12">
              <w:rPr>
                <w:rFonts w:asciiTheme="minorHAnsi" w:hAnsiTheme="minorHAnsi" w:cstheme="minorHAnsi"/>
                <w:sz w:val="16"/>
                <w:szCs w:val="16"/>
              </w:rPr>
              <w:t>(date not provided)</w:t>
            </w:r>
          </w:p>
        </w:tc>
        <w:tc>
          <w:tcPr>
            <w:tcW w:w="1696" w:type="dxa"/>
          </w:tcPr>
          <w:p w14:paraId="64BD326F"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986D12">
              <w:rPr>
                <w:rFonts w:asciiTheme="minorHAnsi" w:hAnsiTheme="minorHAnsi" w:cstheme="minorHAnsi"/>
                <w:sz w:val="16"/>
                <w:szCs w:val="16"/>
              </w:rPr>
              <w:t>TD29R</w:t>
            </w:r>
            <w:proofErr w:type="spellEnd"/>
            <w:r w:rsidRPr="00986D12">
              <w:rPr>
                <w:rFonts w:asciiTheme="minorHAnsi" w:hAnsiTheme="minorHAnsi" w:cstheme="minorHAnsi"/>
                <w:sz w:val="16"/>
                <w:szCs w:val="16"/>
              </w:rPr>
              <w:t>/</w:t>
            </w:r>
            <w:proofErr w:type="spellStart"/>
            <w:r w:rsidRPr="00986D12">
              <w:rPr>
                <w:rFonts w:asciiTheme="minorHAnsi" w:hAnsiTheme="minorHAnsi" w:cstheme="minorHAnsi"/>
                <w:sz w:val="16"/>
                <w:szCs w:val="16"/>
              </w:rPr>
              <w:t>P2</w:t>
            </w:r>
            <w:proofErr w:type="spellEnd"/>
            <w:r w:rsidRPr="00986D12">
              <w:rPr>
                <w:rFonts w:asciiTheme="minorHAnsi" w:hAnsiTheme="minorHAnsi" w:cstheme="minorHAnsi"/>
                <w:sz w:val="16"/>
                <w:szCs w:val="16"/>
              </w:rPr>
              <w:t>/379 'Associate Programme Officer'</w:t>
            </w:r>
            <w:r w:rsidRPr="00986D12">
              <w:rPr>
                <w:rFonts w:asciiTheme="minorHAnsi" w:hAnsiTheme="minorHAnsi" w:cstheme="minorHAnsi"/>
                <w:sz w:val="16"/>
                <w:szCs w:val="16"/>
              </w:rPr>
              <w:br/>
              <w:t>from 1 Jan. 25 to 31 Mar. 25</w:t>
            </w:r>
          </w:p>
        </w:tc>
      </w:tr>
      <w:tr w:rsidR="00250529" w:rsidRPr="00986D12" w14:paraId="49BB6252" w14:textId="77777777" w:rsidTr="00507BF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278" w:type="dxa"/>
            <w:shd w:val="clear" w:color="auto" w:fill="C1E4F5"/>
          </w:tcPr>
          <w:p w14:paraId="6ACC9DBC"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 xml:space="preserve">Europe </w:t>
            </w:r>
          </w:p>
        </w:tc>
        <w:tc>
          <w:tcPr>
            <w:tcW w:w="1691" w:type="dxa"/>
            <w:gridSpan w:val="2"/>
            <w:shd w:val="clear" w:color="auto" w:fill="C1E4F5"/>
          </w:tcPr>
          <w:p w14:paraId="46CC36B3"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87" w:type="dxa"/>
            <w:shd w:val="clear" w:color="auto" w:fill="C1E4F5"/>
          </w:tcPr>
          <w:p w14:paraId="235B3F2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284" w:type="dxa"/>
            <w:shd w:val="clear" w:color="auto" w:fill="C1E4F5"/>
          </w:tcPr>
          <w:p w14:paraId="7E938C7E"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780" w:type="dxa"/>
            <w:shd w:val="clear" w:color="auto" w:fill="C1E4F5"/>
          </w:tcPr>
          <w:p w14:paraId="7D81B43B"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696" w:type="dxa"/>
            <w:shd w:val="clear" w:color="auto" w:fill="C1E4F5"/>
          </w:tcPr>
          <w:p w14:paraId="73EC4260" w14:textId="77777777" w:rsidR="00250529" w:rsidRPr="00986D12" w:rsidRDefault="00250529" w:rsidP="00507BF5">
            <w:pPr>
              <w:pStyle w:val="Text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250529" w:rsidRPr="00986D12" w14:paraId="776604D1" w14:textId="77777777" w:rsidTr="00507BF5">
        <w:trPr>
          <w:trHeight w:val="267"/>
          <w:jc w:val="center"/>
        </w:trPr>
        <w:tc>
          <w:tcPr>
            <w:cnfStyle w:val="001000000000" w:firstRow="0" w:lastRow="0" w:firstColumn="1" w:lastColumn="0" w:oddVBand="0" w:evenVBand="0" w:oddHBand="0" w:evenHBand="0" w:firstRowFirstColumn="0" w:firstRowLastColumn="0" w:lastRowFirstColumn="0" w:lastRowLastColumn="0"/>
            <w:tcW w:w="1278" w:type="dxa"/>
          </w:tcPr>
          <w:p w14:paraId="34B7D0F6" w14:textId="77777777" w:rsidR="00250529" w:rsidRPr="00986D12" w:rsidRDefault="00250529" w:rsidP="00507BF5">
            <w:pPr>
              <w:pStyle w:val="Texttable"/>
              <w:rPr>
                <w:rFonts w:asciiTheme="minorHAnsi" w:hAnsiTheme="minorHAnsi" w:cstheme="minorHAnsi"/>
                <w:sz w:val="16"/>
                <w:szCs w:val="16"/>
              </w:rPr>
            </w:pPr>
            <w:r w:rsidRPr="00986D12">
              <w:rPr>
                <w:rFonts w:asciiTheme="minorHAnsi" w:hAnsiTheme="minorHAnsi" w:cstheme="minorHAnsi"/>
                <w:sz w:val="16"/>
                <w:szCs w:val="16"/>
              </w:rPr>
              <w:t xml:space="preserve">Geneva </w:t>
            </w:r>
          </w:p>
        </w:tc>
        <w:tc>
          <w:tcPr>
            <w:tcW w:w="1691" w:type="dxa"/>
            <w:gridSpan w:val="2"/>
          </w:tcPr>
          <w:p w14:paraId="0AD839CC"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87" w:type="dxa"/>
          </w:tcPr>
          <w:p w14:paraId="242E0514"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284" w:type="dxa"/>
          </w:tcPr>
          <w:p w14:paraId="14858C10"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80" w:type="dxa"/>
          </w:tcPr>
          <w:p w14:paraId="625AF357"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696" w:type="dxa"/>
          </w:tcPr>
          <w:p w14:paraId="56362CEB" w14:textId="77777777" w:rsidR="00250529" w:rsidRPr="00986D12" w:rsidRDefault="00250529" w:rsidP="00507BF5">
            <w:pPr>
              <w:pStyle w:val="Text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bl>
    <w:p w14:paraId="1FD3B0C7" w14:textId="77777777" w:rsidR="00250529" w:rsidRPr="00986D12" w:rsidRDefault="00250529" w:rsidP="005B5E68">
      <w:pPr>
        <w:pStyle w:val="KPItitle"/>
        <w:jc w:val="both"/>
        <w:rPr>
          <w:rFonts w:asciiTheme="minorHAnsi" w:hAnsiTheme="minorHAnsi" w:cstheme="minorHAnsi"/>
        </w:rPr>
      </w:pPr>
      <w:bookmarkStart w:id="128" w:name="_Toc224213059"/>
      <w:bookmarkStart w:id="129" w:name="_Toc224236490"/>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15 — Specific activities (projects, regional initiatives, events/meetings/ conferences, regional preparatory meetings, sectoral activities, etc.), with additional criteria assessing the administrative, financial, technical and logistical support, as well as victuals and other special conditions provided for participants of the ITU events held by Regional and Area Offices in the regions</w:t>
      </w:r>
      <w:bookmarkEnd w:id="128"/>
      <w:bookmarkEnd w:id="129"/>
    </w:p>
    <w:p w14:paraId="173176A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Document analysis shows that events held in the regions represent a substantial share of ITU’s overall event activity and that Regional and Area Offices support a wide range of event formats across the three Sectors. Based on the ITU events registration dashboard, 340 events were held physically in the regions during 2022–2025, representing </w:t>
      </w:r>
      <w:r w:rsidRPr="00986D12">
        <w:rPr>
          <w:rFonts w:asciiTheme="minorHAnsi" w:hAnsiTheme="minorHAnsi" w:cstheme="minorHAnsi"/>
          <w:lang w:eastAsia="ko-KR"/>
        </w:rPr>
        <w:t>36%</w:t>
      </w:r>
      <w:r w:rsidRPr="00986D12">
        <w:rPr>
          <w:rFonts w:asciiTheme="minorHAnsi" w:hAnsiTheme="minorHAnsi" w:cstheme="minorHAnsi"/>
        </w:rPr>
        <w:t xml:space="preserve"> of all events organized by the three Sectors, compared with </w:t>
      </w:r>
      <w:r w:rsidRPr="00986D12">
        <w:rPr>
          <w:rFonts w:asciiTheme="minorHAnsi" w:hAnsiTheme="minorHAnsi" w:cstheme="minorHAnsi"/>
          <w:lang w:eastAsia="ko-KR"/>
        </w:rPr>
        <w:t xml:space="preserve">31% </w:t>
      </w:r>
      <w:r w:rsidRPr="00986D12">
        <w:rPr>
          <w:rFonts w:asciiTheme="minorHAnsi" w:hAnsiTheme="minorHAnsi" w:cstheme="minorHAnsi"/>
        </w:rPr>
        <w:t xml:space="preserve">held physically at headquarters and </w:t>
      </w:r>
      <w:r w:rsidRPr="00986D12">
        <w:rPr>
          <w:rFonts w:asciiTheme="minorHAnsi" w:hAnsiTheme="minorHAnsi" w:cstheme="minorHAnsi"/>
          <w:lang w:eastAsia="ko-KR"/>
        </w:rPr>
        <w:t xml:space="preserve">32% </w:t>
      </w:r>
      <w:r w:rsidRPr="00986D12">
        <w:rPr>
          <w:rFonts w:asciiTheme="minorHAnsi" w:hAnsiTheme="minorHAnsi" w:cstheme="minorHAnsi"/>
        </w:rPr>
        <w:t>organized virtually. This indicates that the regions are a major venue for ITU meetings, workshops, conferences and preparatory processes.</w:t>
      </w:r>
      <w:r w:rsidRPr="00986D12">
        <w:rPr>
          <w:rFonts w:asciiTheme="minorHAnsi" w:hAnsiTheme="minorHAnsi" w:cstheme="minorHAnsi"/>
          <w:vertAlign w:val="superscript"/>
        </w:rPr>
        <w:footnoteReference w:id="6"/>
      </w:r>
    </w:p>
    <w:p w14:paraId="5FA256AF"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nature of regional events varies significantly by Sector. </w:t>
      </w:r>
      <w:r w:rsidRPr="00986D12">
        <w:rPr>
          <w:rFonts w:asciiTheme="minorHAnsi" w:hAnsiTheme="minorHAnsi" w:cstheme="minorHAnsi"/>
          <w:lang w:eastAsia="ko-KR"/>
        </w:rPr>
        <w:t>A comparative table is shown below.</w:t>
      </w:r>
      <w:r w:rsidRPr="00986D12">
        <w:rPr>
          <w:rFonts w:asciiTheme="minorHAnsi" w:hAnsiTheme="minorHAnsi" w:cstheme="minorHAnsi"/>
        </w:rPr>
        <w:t xml:space="preserve"> These figures, drawn from the </w:t>
      </w:r>
      <w:r w:rsidRPr="00986D12">
        <w:rPr>
          <w:rFonts w:asciiTheme="minorHAnsi" w:hAnsiTheme="minorHAnsi" w:cstheme="minorHAnsi"/>
          <w:lang w:eastAsia="ko-KR"/>
        </w:rPr>
        <w:t xml:space="preserve">ITU </w:t>
      </w:r>
      <w:r w:rsidRPr="00986D12">
        <w:rPr>
          <w:rFonts w:asciiTheme="minorHAnsi" w:hAnsiTheme="minorHAnsi" w:cstheme="minorHAnsi"/>
        </w:rPr>
        <w:t>event</w:t>
      </w:r>
      <w:r w:rsidRPr="00986D12">
        <w:rPr>
          <w:rFonts w:asciiTheme="minorHAnsi" w:hAnsiTheme="minorHAnsi" w:cstheme="minorHAnsi"/>
          <w:lang w:eastAsia="ko-KR"/>
        </w:rPr>
        <w:t>s</w:t>
      </w:r>
      <w:r w:rsidRPr="00986D12">
        <w:rPr>
          <w:rFonts w:asciiTheme="minorHAnsi" w:hAnsiTheme="minorHAnsi" w:cstheme="minorHAnsi"/>
        </w:rPr>
        <w:t xml:space="preserve"> registration dashboard, show that Regional and Area Offices support a sizeable and diverse event portfolio</w:t>
      </w:r>
      <w:r w:rsidRPr="00986D12">
        <w:rPr>
          <w:rFonts w:asciiTheme="minorHAnsi" w:hAnsiTheme="minorHAnsi" w:cstheme="minorHAnsi"/>
          <w:lang w:eastAsia="ko-KR"/>
        </w:rPr>
        <w:t>.</w:t>
      </w:r>
      <w:r w:rsidRPr="00986D12">
        <w:rPr>
          <w:rFonts w:asciiTheme="minorHAnsi" w:hAnsiTheme="minorHAnsi" w:cstheme="minorHAnsi"/>
          <w:vertAlign w:val="superscript"/>
          <w:lang w:eastAsia="ko-KR"/>
        </w:rPr>
        <w:footnoteReference w:id="7"/>
      </w:r>
      <w:r w:rsidRPr="00986D12">
        <w:rPr>
          <w:rFonts w:asciiTheme="minorHAnsi" w:hAnsiTheme="minorHAnsi" w:cstheme="minorHAnsi"/>
        </w:rPr>
        <w:t> </w:t>
      </w:r>
    </w:p>
    <w:p w14:paraId="71E46C3C" w14:textId="77777777" w:rsidR="00250529" w:rsidRPr="00986D12" w:rsidRDefault="00250529" w:rsidP="00507BF5">
      <w:pPr>
        <w:pStyle w:val="Subtitle0"/>
        <w:jc w:val="center"/>
        <w:rPr>
          <w:rFonts w:asciiTheme="minorHAnsi" w:hAnsiTheme="minorHAnsi" w:cstheme="minorHAnsi"/>
          <w:lang w:eastAsia="ko-KR"/>
        </w:rPr>
      </w:pPr>
      <w:r w:rsidRPr="00986D12">
        <w:rPr>
          <w:rFonts w:asciiTheme="minorHAnsi" w:hAnsiTheme="minorHAnsi" w:cstheme="minorHAnsi"/>
          <w:lang w:eastAsia="ko-KR"/>
        </w:rPr>
        <w:lastRenderedPageBreak/>
        <w:t>Percentage and most frequent types of events in the regions, by ITU Sector</w:t>
      </w:r>
    </w:p>
    <w:tbl>
      <w:tblPr>
        <w:tblStyle w:val="GridTable5Dark-Accent11"/>
        <w:tblW w:w="8500" w:type="dxa"/>
        <w:jc w:val="center"/>
        <w:tblLook w:val="0420" w:firstRow="1" w:lastRow="0" w:firstColumn="0" w:lastColumn="0" w:noHBand="0" w:noVBand="1"/>
      </w:tblPr>
      <w:tblGrid>
        <w:gridCol w:w="2689"/>
        <w:gridCol w:w="1984"/>
        <w:gridCol w:w="3827"/>
      </w:tblGrid>
      <w:tr w:rsidR="00250529" w:rsidRPr="00986D12" w14:paraId="0FA99A57" w14:textId="77777777" w:rsidTr="00507BF5">
        <w:trPr>
          <w:cnfStyle w:val="100000000000" w:firstRow="1" w:lastRow="0" w:firstColumn="0" w:lastColumn="0" w:oddVBand="0" w:evenVBand="0" w:oddHBand="0" w:evenHBand="0" w:firstRowFirstColumn="0" w:firstRowLastColumn="0" w:lastRowFirstColumn="0" w:lastRowLastColumn="0"/>
          <w:trHeight w:val="300"/>
          <w:jc w:val="center"/>
        </w:trPr>
        <w:tc>
          <w:tcPr>
            <w:tcW w:w="2689" w:type="dxa"/>
            <w:tcBorders>
              <w:right w:val="single" w:sz="4" w:space="0" w:color="FFFFFF"/>
            </w:tcBorders>
            <w:shd w:val="clear" w:color="auto" w:fill="45B0E1"/>
            <w:hideMark/>
          </w:tcPr>
          <w:p w14:paraId="631932E1" w14:textId="77777777" w:rsidR="00250529" w:rsidRPr="00986D12" w:rsidRDefault="00250529" w:rsidP="00507BF5">
            <w:pPr>
              <w:pStyle w:val="Texttable"/>
              <w:rPr>
                <w:rFonts w:asciiTheme="minorHAnsi" w:hAnsiTheme="minorHAnsi" w:cstheme="minorHAnsi"/>
                <w:lang w:eastAsia="en-GB"/>
              </w:rPr>
            </w:pPr>
            <w:r w:rsidRPr="00986D12">
              <w:rPr>
                <w:rFonts w:asciiTheme="minorHAnsi" w:hAnsiTheme="minorHAnsi" w:cstheme="minorHAnsi"/>
                <w:lang w:eastAsia="en-GB"/>
              </w:rPr>
              <w:t>ITU Sector</w:t>
            </w:r>
          </w:p>
        </w:tc>
        <w:tc>
          <w:tcPr>
            <w:tcW w:w="1984" w:type="dxa"/>
            <w:tcBorders>
              <w:left w:val="single" w:sz="4" w:space="0" w:color="FFFFFF"/>
              <w:right w:val="single" w:sz="4" w:space="0" w:color="FFFFFF"/>
            </w:tcBorders>
            <w:shd w:val="clear" w:color="auto" w:fill="45B0E1"/>
            <w:hideMark/>
          </w:tcPr>
          <w:p w14:paraId="58C1CFF5" w14:textId="77777777" w:rsidR="00250529" w:rsidRPr="00986D12" w:rsidRDefault="00250529" w:rsidP="00507BF5">
            <w:pPr>
              <w:pStyle w:val="Texttable"/>
              <w:tabs>
                <w:tab w:val="left" w:pos="860"/>
              </w:tabs>
              <w:jc w:val="center"/>
              <w:rPr>
                <w:rFonts w:asciiTheme="minorHAnsi" w:hAnsiTheme="minorHAnsi" w:cstheme="minorHAnsi"/>
                <w:lang w:eastAsia="en-GB"/>
              </w:rPr>
            </w:pPr>
            <w:r w:rsidRPr="00986D12">
              <w:rPr>
                <w:rFonts w:asciiTheme="minorHAnsi" w:hAnsiTheme="minorHAnsi" w:cstheme="minorHAnsi"/>
                <w:lang w:val="en-US" w:eastAsia="en-GB"/>
              </w:rPr>
              <w:t>Percentage of events in regions</w:t>
            </w:r>
          </w:p>
        </w:tc>
        <w:tc>
          <w:tcPr>
            <w:tcW w:w="3827" w:type="dxa"/>
            <w:tcBorders>
              <w:left w:val="single" w:sz="4" w:space="0" w:color="FFFFFF"/>
            </w:tcBorders>
            <w:shd w:val="clear" w:color="auto" w:fill="45B0E1"/>
            <w:hideMark/>
          </w:tcPr>
          <w:p w14:paraId="1E53CB43" w14:textId="77777777" w:rsidR="00250529" w:rsidRPr="00986D12" w:rsidRDefault="00250529" w:rsidP="00507BF5">
            <w:pPr>
              <w:pStyle w:val="Texttable"/>
              <w:tabs>
                <w:tab w:val="left" w:pos="860"/>
              </w:tabs>
              <w:rPr>
                <w:rFonts w:asciiTheme="minorHAnsi" w:hAnsiTheme="minorHAnsi" w:cstheme="minorHAnsi"/>
                <w:lang w:eastAsia="en-GB"/>
              </w:rPr>
            </w:pPr>
            <w:r w:rsidRPr="00986D12">
              <w:rPr>
                <w:rFonts w:asciiTheme="minorHAnsi" w:hAnsiTheme="minorHAnsi" w:cstheme="minorHAnsi"/>
                <w:lang w:val="en-US" w:eastAsia="en-GB"/>
              </w:rPr>
              <w:t>Most frequent type</w:t>
            </w:r>
            <w:r w:rsidRPr="00986D12">
              <w:rPr>
                <w:rFonts w:asciiTheme="minorHAnsi" w:eastAsia="Malgun Gothic" w:hAnsiTheme="minorHAnsi" w:cstheme="minorHAnsi"/>
                <w:lang w:val="en-US" w:eastAsia="ko-KR"/>
              </w:rPr>
              <w:t>(s)</w:t>
            </w:r>
            <w:r w:rsidRPr="00986D12">
              <w:rPr>
                <w:rFonts w:asciiTheme="minorHAnsi" w:hAnsiTheme="minorHAnsi" w:cstheme="minorHAnsi"/>
                <w:lang w:val="en-US" w:eastAsia="en-GB"/>
              </w:rPr>
              <w:t xml:space="preserve"> of event </w:t>
            </w:r>
            <w:r w:rsidRPr="00986D12">
              <w:rPr>
                <w:rFonts w:asciiTheme="minorHAnsi" w:eastAsia="Malgun Gothic" w:hAnsiTheme="minorHAnsi" w:cstheme="minorHAnsi"/>
                <w:lang w:val="en-US" w:eastAsia="ko-KR"/>
              </w:rPr>
              <w:br/>
            </w:r>
            <w:r w:rsidRPr="00986D12">
              <w:rPr>
                <w:rFonts w:asciiTheme="minorHAnsi" w:hAnsiTheme="minorHAnsi" w:cstheme="minorHAnsi"/>
                <w:lang w:val="en-US" w:eastAsia="en-GB"/>
              </w:rPr>
              <w:t>(% of events in the regions)</w:t>
            </w:r>
          </w:p>
        </w:tc>
      </w:tr>
      <w:tr w:rsidR="00250529" w:rsidRPr="00986D12" w14:paraId="6919A394" w14:textId="77777777" w:rsidTr="00507BF5">
        <w:trPr>
          <w:cnfStyle w:val="000000100000" w:firstRow="0" w:lastRow="0" w:firstColumn="0" w:lastColumn="0" w:oddVBand="0" w:evenVBand="0" w:oddHBand="1" w:evenHBand="0" w:firstRowFirstColumn="0" w:firstRowLastColumn="0" w:lastRowFirstColumn="0" w:lastRowLastColumn="0"/>
          <w:trHeight w:val="300"/>
          <w:jc w:val="center"/>
        </w:trPr>
        <w:tc>
          <w:tcPr>
            <w:tcW w:w="2689" w:type="dxa"/>
            <w:hideMark/>
          </w:tcPr>
          <w:p w14:paraId="7892BCA4" w14:textId="77777777" w:rsidR="00250529" w:rsidRPr="00986D12" w:rsidRDefault="00250529" w:rsidP="00507BF5">
            <w:pPr>
              <w:pStyle w:val="Texttable"/>
              <w:rPr>
                <w:rFonts w:asciiTheme="minorHAnsi" w:hAnsiTheme="minorHAnsi" w:cstheme="minorHAnsi"/>
                <w:b/>
                <w:bCs/>
                <w:lang w:eastAsia="en-GB"/>
              </w:rPr>
            </w:pPr>
            <w:r w:rsidRPr="00986D12">
              <w:rPr>
                <w:rFonts w:asciiTheme="minorHAnsi" w:hAnsiTheme="minorHAnsi" w:cstheme="minorHAnsi"/>
                <w:b/>
                <w:bCs/>
                <w:lang w:eastAsia="en-GB"/>
              </w:rPr>
              <w:t>ITU-D</w:t>
            </w:r>
          </w:p>
        </w:tc>
        <w:tc>
          <w:tcPr>
            <w:tcW w:w="1984" w:type="dxa"/>
            <w:hideMark/>
          </w:tcPr>
          <w:p w14:paraId="305BD2E5" w14:textId="77777777" w:rsidR="00250529" w:rsidRPr="00986D12" w:rsidRDefault="00250529" w:rsidP="00507BF5">
            <w:pPr>
              <w:pStyle w:val="Texttable"/>
              <w:tabs>
                <w:tab w:val="left" w:pos="860"/>
              </w:tabs>
              <w:jc w:val="center"/>
              <w:rPr>
                <w:rFonts w:asciiTheme="minorHAnsi" w:hAnsiTheme="minorHAnsi" w:cstheme="minorHAnsi"/>
                <w:lang w:eastAsia="en-GB"/>
              </w:rPr>
            </w:pPr>
            <w:r w:rsidRPr="00986D12">
              <w:rPr>
                <w:rFonts w:asciiTheme="minorHAnsi" w:hAnsiTheme="minorHAnsi" w:cstheme="minorHAnsi"/>
                <w:lang w:eastAsia="en-GB"/>
              </w:rPr>
              <w:t>50%</w:t>
            </w:r>
          </w:p>
        </w:tc>
        <w:tc>
          <w:tcPr>
            <w:tcW w:w="3827" w:type="dxa"/>
            <w:hideMark/>
          </w:tcPr>
          <w:p w14:paraId="4DB663A6" w14:textId="77777777" w:rsidR="00250529" w:rsidRPr="00986D12" w:rsidRDefault="00250529" w:rsidP="00507BF5">
            <w:pPr>
              <w:pStyle w:val="Texttable"/>
              <w:tabs>
                <w:tab w:val="left" w:pos="860"/>
              </w:tabs>
              <w:rPr>
                <w:rFonts w:asciiTheme="minorHAnsi" w:hAnsiTheme="minorHAnsi" w:cstheme="minorHAnsi"/>
                <w:lang w:eastAsia="en-GB"/>
              </w:rPr>
            </w:pPr>
            <w:r w:rsidRPr="00986D12">
              <w:rPr>
                <w:rFonts w:asciiTheme="minorHAnsi" w:hAnsiTheme="minorHAnsi" w:cstheme="minorHAnsi"/>
                <w:lang w:eastAsia="en-GB"/>
              </w:rPr>
              <w:t>Workshops (89%)</w:t>
            </w:r>
          </w:p>
        </w:tc>
      </w:tr>
      <w:tr w:rsidR="00250529" w:rsidRPr="00986D12" w14:paraId="43FB8B1E" w14:textId="77777777" w:rsidTr="00507BF5">
        <w:trPr>
          <w:trHeight w:val="300"/>
          <w:jc w:val="center"/>
        </w:trPr>
        <w:tc>
          <w:tcPr>
            <w:tcW w:w="2689" w:type="dxa"/>
            <w:shd w:val="clear" w:color="auto" w:fill="FFFFFF"/>
            <w:hideMark/>
          </w:tcPr>
          <w:p w14:paraId="17A56186" w14:textId="77777777" w:rsidR="00250529" w:rsidRPr="00986D12" w:rsidRDefault="00250529" w:rsidP="00507BF5">
            <w:pPr>
              <w:pStyle w:val="Texttable"/>
              <w:rPr>
                <w:rFonts w:asciiTheme="minorHAnsi" w:hAnsiTheme="minorHAnsi" w:cstheme="minorHAnsi"/>
                <w:b/>
                <w:bCs/>
                <w:color w:val="000000" w:themeColor="text1"/>
                <w:lang w:eastAsia="en-GB"/>
              </w:rPr>
            </w:pPr>
            <w:r w:rsidRPr="00986D12">
              <w:rPr>
                <w:rFonts w:asciiTheme="minorHAnsi" w:hAnsiTheme="minorHAnsi" w:cstheme="minorHAnsi"/>
                <w:b/>
                <w:bCs/>
                <w:color w:val="000000" w:themeColor="text1"/>
                <w:lang w:eastAsia="en-GB"/>
              </w:rPr>
              <w:t>ITU-R</w:t>
            </w:r>
          </w:p>
        </w:tc>
        <w:tc>
          <w:tcPr>
            <w:tcW w:w="1984" w:type="dxa"/>
            <w:shd w:val="clear" w:color="auto" w:fill="FFFFFF"/>
            <w:hideMark/>
          </w:tcPr>
          <w:p w14:paraId="3E9B15B7" w14:textId="77777777" w:rsidR="00250529" w:rsidRPr="00986D12" w:rsidRDefault="00250529" w:rsidP="00507BF5">
            <w:pPr>
              <w:pStyle w:val="Texttable"/>
              <w:tabs>
                <w:tab w:val="left" w:pos="860"/>
              </w:tabs>
              <w:jc w:val="center"/>
              <w:rPr>
                <w:rFonts w:asciiTheme="minorHAnsi" w:hAnsiTheme="minorHAnsi" w:cstheme="minorHAnsi"/>
                <w:lang w:eastAsia="en-GB"/>
              </w:rPr>
            </w:pPr>
            <w:r w:rsidRPr="00986D12">
              <w:rPr>
                <w:rFonts w:asciiTheme="minorHAnsi" w:hAnsiTheme="minorHAnsi" w:cstheme="minorHAnsi"/>
                <w:lang w:eastAsia="en-GB"/>
              </w:rPr>
              <w:t>22%</w:t>
            </w:r>
          </w:p>
        </w:tc>
        <w:tc>
          <w:tcPr>
            <w:tcW w:w="3827" w:type="dxa"/>
            <w:shd w:val="clear" w:color="auto" w:fill="FFFFFF"/>
            <w:hideMark/>
          </w:tcPr>
          <w:p w14:paraId="5E9CE49F" w14:textId="77777777" w:rsidR="00250529" w:rsidRPr="00986D12" w:rsidRDefault="00250529" w:rsidP="00507BF5">
            <w:pPr>
              <w:pStyle w:val="Texttable"/>
              <w:tabs>
                <w:tab w:val="left" w:pos="860"/>
              </w:tabs>
              <w:rPr>
                <w:rFonts w:asciiTheme="minorHAnsi" w:hAnsiTheme="minorHAnsi" w:cstheme="minorHAnsi"/>
                <w:lang w:eastAsia="en-GB"/>
              </w:rPr>
            </w:pPr>
            <w:r w:rsidRPr="00986D12">
              <w:rPr>
                <w:rFonts w:asciiTheme="minorHAnsi" w:hAnsiTheme="minorHAnsi" w:cstheme="minorHAnsi"/>
                <w:lang w:eastAsia="en-GB"/>
              </w:rPr>
              <w:t>Study groups (70%)</w:t>
            </w:r>
          </w:p>
        </w:tc>
      </w:tr>
      <w:tr w:rsidR="00250529" w:rsidRPr="00986D12" w14:paraId="0BD8EB4A" w14:textId="77777777" w:rsidTr="00507BF5">
        <w:trPr>
          <w:cnfStyle w:val="000000100000" w:firstRow="0" w:lastRow="0" w:firstColumn="0" w:lastColumn="0" w:oddVBand="0" w:evenVBand="0" w:oddHBand="1" w:evenHBand="0" w:firstRowFirstColumn="0" w:firstRowLastColumn="0" w:lastRowFirstColumn="0" w:lastRowLastColumn="0"/>
          <w:trHeight w:val="300"/>
          <w:jc w:val="center"/>
        </w:trPr>
        <w:tc>
          <w:tcPr>
            <w:tcW w:w="2689" w:type="dxa"/>
            <w:hideMark/>
          </w:tcPr>
          <w:p w14:paraId="2414D232" w14:textId="77777777" w:rsidR="00250529" w:rsidRPr="00986D12" w:rsidRDefault="00250529" w:rsidP="00507BF5">
            <w:pPr>
              <w:pStyle w:val="Texttable"/>
              <w:rPr>
                <w:rFonts w:asciiTheme="minorHAnsi" w:hAnsiTheme="minorHAnsi" w:cstheme="minorHAnsi"/>
                <w:b/>
                <w:bCs/>
                <w:lang w:eastAsia="en-GB"/>
              </w:rPr>
            </w:pPr>
            <w:r w:rsidRPr="00986D12">
              <w:rPr>
                <w:rFonts w:asciiTheme="minorHAnsi" w:hAnsiTheme="minorHAnsi" w:cstheme="minorHAnsi"/>
                <w:b/>
                <w:bCs/>
                <w:lang w:eastAsia="en-GB"/>
              </w:rPr>
              <w:t>ITU-T</w:t>
            </w:r>
          </w:p>
        </w:tc>
        <w:tc>
          <w:tcPr>
            <w:tcW w:w="1984" w:type="dxa"/>
            <w:hideMark/>
          </w:tcPr>
          <w:p w14:paraId="4DD088E7" w14:textId="77777777" w:rsidR="00250529" w:rsidRPr="00986D12" w:rsidRDefault="00250529" w:rsidP="00507BF5">
            <w:pPr>
              <w:pStyle w:val="Texttable"/>
              <w:tabs>
                <w:tab w:val="left" w:pos="860"/>
              </w:tabs>
              <w:jc w:val="center"/>
              <w:rPr>
                <w:rFonts w:asciiTheme="minorHAnsi" w:hAnsiTheme="minorHAnsi" w:cstheme="minorHAnsi"/>
                <w:lang w:eastAsia="en-GB"/>
              </w:rPr>
            </w:pPr>
            <w:r w:rsidRPr="00986D12">
              <w:rPr>
                <w:rFonts w:asciiTheme="minorHAnsi" w:hAnsiTheme="minorHAnsi" w:cstheme="minorHAnsi"/>
                <w:lang w:eastAsia="en-GB"/>
              </w:rPr>
              <w:t>30%</w:t>
            </w:r>
          </w:p>
        </w:tc>
        <w:tc>
          <w:tcPr>
            <w:tcW w:w="3827" w:type="dxa"/>
            <w:hideMark/>
          </w:tcPr>
          <w:p w14:paraId="5420DD5C" w14:textId="77777777" w:rsidR="00250529" w:rsidRPr="00986D12" w:rsidRDefault="00250529" w:rsidP="00507BF5">
            <w:pPr>
              <w:pStyle w:val="Texttable"/>
              <w:tabs>
                <w:tab w:val="left" w:pos="860"/>
              </w:tabs>
              <w:rPr>
                <w:rFonts w:asciiTheme="minorHAnsi" w:hAnsiTheme="minorHAnsi" w:cstheme="minorHAnsi"/>
                <w:lang w:eastAsia="ko-KR"/>
              </w:rPr>
            </w:pPr>
            <w:r w:rsidRPr="00986D12">
              <w:rPr>
                <w:rFonts w:asciiTheme="minorHAnsi" w:eastAsia="Times New Roman" w:hAnsiTheme="minorHAnsi" w:cstheme="minorHAnsi"/>
                <w:lang w:eastAsia="en-GB"/>
              </w:rPr>
              <w:t>Workshops (44%)</w:t>
            </w:r>
            <w:r w:rsidRPr="00986D12">
              <w:rPr>
                <w:rFonts w:asciiTheme="minorHAnsi" w:hAnsiTheme="minorHAnsi" w:cstheme="minorHAnsi"/>
                <w:lang w:eastAsia="ko-KR"/>
              </w:rPr>
              <w:br/>
              <w:t>Regional study groups (30%)</w:t>
            </w:r>
          </w:p>
        </w:tc>
      </w:tr>
    </w:tbl>
    <w:p w14:paraId="1BC739B2" w14:textId="77777777" w:rsidR="00250529" w:rsidRPr="00986D12" w:rsidRDefault="00250529" w:rsidP="00507BF5">
      <w:pPr>
        <w:pStyle w:val="Notes"/>
        <w:rPr>
          <w:rFonts w:asciiTheme="minorHAnsi" w:hAnsiTheme="minorHAnsi" w:cstheme="minorHAnsi"/>
        </w:rPr>
      </w:pPr>
      <w:r w:rsidRPr="00986D12">
        <w:rPr>
          <w:rFonts w:asciiTheme="minorHAnsi" w:hAnsiTheme="minorHAnsi" w:cstheme="minorHAnsi"/>
        </w:rPr>
        <w:t xml:space="preserve">Source: ITU events registration dashboard (internal) </w:t>
      </w:r>
    </w:p>
    <w:p w14:paraId="44FD23E7" w14:textId="77777777" w:rsidR="00250529" w:rsidRPr="00986D12" w:rsidRDefault="00250529" w:rsidP="005B5E68">
      <w:pPr>
        <w:jc w:val="both"/>
        <w:rPr>
          <w:rFonts w:asciiTheme="minorHAnsi" w:hAnsiTheme="minorHAnsi" w:cstheme="minorHAnsi"/>
          <w:lang w:eastAsia="ko-KR"/>
        </w:rPr>
      </w:pPr>
      <w:r w:rsidRPr="00986D12">
        <w:rPr>
          <w:rFonts w:asciiTheme="minorHAnsi" w:hAnsiTheme="minorHAnsi" w:cstheme="minorHAnsi"/>
        </w:rPr>
        <w:t xml:space="preserve">The document analysis also draws on a separate analysis of information collected from selected staff who organized events in the regions. The analysis </w:t>
      </w:r>
      <w:r w:rsidRPr="00986D12">
        <w:rPr>
          <w:rFonts w:asciiTheme="minorHAnsi" w:hAnsiTheme="minorHAnsi" w:cstheme="minorHAnsi"/>
          <w:lang w:eastAsia="ko-KR"/>
        </w:rPr>
        <w:t>shows</w:t>
      </w:r>
      <w:r w:rsidRPr="00986D12">
        <w:rPr>
          <w:rFonts w:asciiTheme="minorHAnsi" w:hAnsiTheme="minorHAnsi" w:cstheme="minorHAnsi"/>
        </w:rPr>
        <w:t xml:space="preserve"> that </w:t>
      </w:r>
      <w:r w:rsidRPr="00986D12">
        <w:rPr>
          <w:rFonts w:asciiTheme="minorHAnsi" w:hAnsiTheme="minorHAnsi" w:cstheme="minorHAnsi"/>
          <w:lang w:eastAsia="ko-KR"/>
        </w:rPr>
        <w:t>event support extends well beyond venue logistics and includes substantive coordination functions. Below were the most frequent supports provided by category:</w:t>
      </w:r>
    </w:p>
    <w:p w14:paraId="3E571E46" w14:textId="78E5F798"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Administrative: invitation letters, registration</w:t>
      </w:r>
      <w:r w:rsidR="00250529" w:rsidRPr="008C431B">
        <w:rPr>
          <w:rFonts w:asciiTheme="minorHAnsi" w:hAnsiTheme="minorHAnsi" w:cstheme="minorHAnsi"/>
          <w:lang w:eastAsia="ko-KR"/>
        </w:rPr>
        <w:t>,</w:t>
      </w:r>
      <w:r w:rsidR="00250529" w:rsidRPr="008C431B">
        <w:rPr>
          <w:rFonts w:asciiTheme="minorHAnsi" w:hAnsiTheme="minorHAnsi" w:cstheme="minorHAnsi"/>
        </w:rPr>
        <w:t xml:space="preserve"> visa facilitation;</w:t>
      </w:r>
    </w:p>
    <w:p w14:paraId="2F31369A" w14:textId="0FD0AED8"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Financial: speaker travel/accommodation, fellowships</w:t>
      </w:r>
      <w:r w:rsidR="00250529" w:rsidRPr="008C431B">
        <w:rPr>
          <w:rFonts w:asciiTheme="minorHAnsi" w:hAnsiTheme="minorHAnsi" w:cstheme="minorHAnsi"/>
          <w:lang w:eastAsia="ko-KR"/>
        </w:rPr>
        <w:t>, but also none (e.g. due to donor restrictions that limit what could be funded);</w:t>
      </w:r>
    </w:p>
    <w:p w14:paraId="0E087D40" w14:textId="2397DE78" w:rsidR="00250529" w:rsidRPr="00111EA4"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lang w:val="fr-CH"/>
          <w14:ligatures w14:val="standardContextual"/>
        </w:rPr>
        <w:t></w:t>
      </w:r>
      <w:r w:rsidRPr="00111EA4">
        <w:rPr>
          <w:rFonts w:ascii="Symbol" w:eastAsia="Aptos" w:hAnsi="Symbol" w:cstheme="minorHAnsi"/>
          <w:kern w:val="2"/>
          <w:sz w:val="20"/>
          <w:szCs w:val="22"/>
          <w14:ligatures w14:val="standardContextual"/>
        </w:rPr>
        <w:tab/>
      </w:r>
      <w:proofErr w:type="gramStart"/>
      <w:r w:rsidR="00250529" w:rsidRPr="00111EA4">
        <w:rPr>
          <w:rFonts w:asciiTheme="minorHAnsi" w:hAnsiTheme="minorHAnsi" w:cstheme="minorHAnsi"/>
        </w:rPr>
        <w:t>Technical:</w:t>
      </w:r>
      <w:proofErr w:type="gramEnd"/>
      <w:r w:rsidR="00250529" w:rsidRPr="00111EA4">
        <w:rPr>
          <w:rFonts w:asciiTheme="minorHAnsi" w:hAnsiTheme="minorHAnsi" w:cstheme="minorHAnsi"/>
        </w:rPr>
        <w:t xml:space="preserve"> onsite technical support, remote participation, </w:t>
      </w:r>
      <w:proofErr w:type="gramStart"/>
      <w:r w:rsidR="00250529" w:rsidRPr="00111EA4">
        <w:rPr>
          <w:rFonts w:asciiTheme="minorHAnsi" w:hAnsiTheme="minorHAnsi" w:cstheme="minorHAnsi"/>
        </w:rPr>
        <w:t>interpretation;</w:t>
      </w:r>
      <w:proofErr w:type="gramEnd"/>
    </w:p>
    <w:p w14:paraId="76B9C8C7" w14:textId="03294324"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Logistical: meeting rooms, catering, accommodation/transport.</w:t>
      </w:r>
      <w:r w:rsidR="00250529" w:rsidRPr="008C431B">
        <w:rPr>
          <w:rFonts w:asciiTheme="minorHAnsi" w:hAnsiTheme="minorHAnsi" w:cstheme="minorHAnsi"/>
          <w:vertAlign w:val="superscript"/>
        </w:rPr>
        <w:t xml:space="preserve"> </w:t>
      </w:r>
      <w:r w:rsidR="00250529" w:rsidRPr="00986D12">
        <w:rPr>
          <w:vertAlign w:val="superscript"/>
        </w:rPr>
        <w:footnoteReference w:id="8"/>
      </w:r>
    </w:p>
    <w:p w14:paraId="505873E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analysis further reveals that support conditions are shaped primarily by operational constraints and event needs. Budget availability was cited as </w:t>
      </w:r>
      <w:r w:rsidRPr="00986D12">
        <w:rPr>
          <w:rFonts w:asciiTheme="minorHAnsi" w:hAnsiTheme="minorHAnsi" w:cstheme="minorHAnsi"/>
          <w:lang w:eastAsia="ko-KR"/>
        </w:rPr>
        <w:t>the most</w:t>
      </w:r>
      <w:r w:rsidRPr="00986D12">
        <w:rPr>
          <w:rFonts w:asciiTheme="minorHAnsi" w:hAnsiTheme="minorHAnsi" w:cstheme="minorHAnsi"/>
        </w:rPr>
        <w:t xml:space="preserve"> determining factor, followed by the expected number of participants</w:t>
      </w:r>
      <w:r w:rsidRPr="00986D12">
        <w:rPr>
          <w:rFonts w:asciiTheme="minorHAnsi" w:hAnsiTheme="minorHAnsi" w:cstheme="minorHAnsi"/>
          <w:lang w:eastAsia="ko-KR"/>
        </w:rPr>
        <w:t>,</w:t>
      </w:r>
      <w:r w:rsidRPr="00986D12">
        <w:rPr>
          <w:rFonts w:asciiTheme="minorHAnsi" w:hAnsiTheme="minorHAnsi" w:cstheme="minorHAnsi"/>
        </w:rPr>
        <w:t xml:space="preserve"> and requests from registered participants. This suggests that support is calibrated pragmatically rather than applied uniformly across all events.</w:t>
      </w:r>
      <w:r w:rsidRPr="00986D12">
        <w:rPr>
          <w:rFonts w:asciiTheme="minorHAnsi" w:hAnsiTheme="minorHAnsi" w:cstheme="minorHAnsi"/>
          <w:vertAlign w:val="superscript"/>
        </w:rPr>
        <w:footnoteReference w:id="9"/>
      </w:r>
    </w:p>
    <w:p w14:paraId="6C633743"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Membership Survey shows strong support for strengthening remote and hybrid delivery modalities. A total of </w:t>
      </w:r>
      <w:r w:rsidRPr="00986D12">
        <w:rPr>
          <w:rFonts w:asciiTheme="minorHAnsi" w:hAnsiTheme="minorHAnsi" w:cstheme="minorHAnsi"/>
          <w:lang w:eastAsia="ko-KR"/>
        </w:rPr>
        <w:t xml:space="preserve">71% </w:t>
      </w:r>
      <w:r w:rsidRPr="00986D12">
        <w:rPr>
          <w:rFonts w:asciiTheme="minorHAnsi" w:hAnsiTheme="minorHAnsi" w:cstheme="minorHAnsi"/>
        </w:rPr>
        <w:t>agree that greater exploitation of remote participation and online tools would strengthen the activities of regional presence (</w:t>
      </w:r>
      <w:proofErr w:type="spellStart"/>
      <w:r w:rsidRPr="00986D12">
        <w:rPr>
          <w:rFonts w:asciiTheme="minorHAnsi" w:hAnsiTheme="minorHAnsi" w:cstheme="minorHAnsi"/>
        </w:rPr>
        <w:t>Q5_g</w:t>
      </w:r>
      <w:proofErr w:type="spellEnd"/>
      <w:r w:rsidRPr="00986D12">
        <w:rPr>
          <w:rFonts w:asciiTheme="minorHAnsi" w:hAnsiTheme="minorHAnsi" w:cstheme="minorHAnsi"/>
        </w:rPr>
        <w:t xml:space="preserve">). This complements the findings from the </w:t>
      </w:r>
      <w:r w:rsidRPr="00986D12">
        <w:rPr>
          <w:rFonts w:asciiTheme="minorHAnsi" w:hAnsiTheme="minorHAnsi" w:cstheme="minorHAnsi"/>
          <w:lang w:eastAsia="ko-KR"/>
        </w:rPr>
        <w:t xml:space="preserve">analysis of information collected from </w:t>
      </w:r>
      <w:r w:rsidRPr="00986D12">
        <w:rPr>
          <w:rFonts w:asciiTheme="minorHAnsi" w:hAnsiTheme="minorHAnsi" w:cstheme="minorHAnsi"/>
        </w:rPr>
        <w:t>event-organizer</w:t>
      </w:r>
      <w:r w:rsidRPr="00986D12">
        <w:rPr>
          <w:rFonts w:asciiTheme="minorHAnsi" w:hAnsiTheme="minorHAnsi" w:cstheme="minorHAnsi"/>
          <w:lang w:eastAsia="ko-KR"/>
        </w:rPr>
        <w:t>s</w:t>
      </w:r>
      <w:r w:rsidRPr="00986D12">
        <w:rPr>
          <w:rFonts w:asciiTheme="minorHAnsi" w:hAnsiTheme="minorHAnsi" w:cstheme="minorHAnsi"/>
        </w:rPr>
        <w:t>, which show that remote participation is already widely used in practice. Taken together, these two sources suggest that hybrid delivery is both an established feature of event organization and an area where membership still sees room for further strengthening.</w:t>
      </w:r>
    </w:p>
    <w:p w14:paraId="354BF715"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 xml:space="preserve">Additional observations reported through the </w:t>
      </w:r>
      <w:r w:rsidRPr="00986D12">
        <w:rPr>
          <w:rFonts w:asciiTheme="minorHAnsi" w:eastAsia="Malgun Gothic" w:hAnsiTheme="minorHAnsi" w:cstheme="minorHAnsi"/>
          <w:lang w:eastAsia="ko-KR"/>
        </w:rPr>
        <w:t xml:space="preserve">analysis of information collected from </w:t>
      </w:r>
      <w:r w:rsidRPr="00986D12">
        <w:rPr>
          <w:rFonts w:asciiTheme="minorHAnsi" w:hAnsiTheme="minorHAnsi" w:cstheme="minorHAnsi"/>
          <w:lang w:eastAsia="en-GB"/>
        </w:rPr>
        <w:t>event-organizer</w:t>
      </w:r>
      <w:r w:rsidRPr="00986D12">
        <w:rPr>
          <w:rFonts w:asciiTheme="minorHAnsi" w:eastAsia="Malgun Gothic" w:hAnsiTheme="minorHAnsi" w:cstheme="minorHAnsi"/>
          <w:lang w:eastAsia="ko-KR"/>
        </w:rPr>
        <w:t>s</w:t>
      </w:r>
      <w:r w:rsidRPr="00986D12">
        <w:rPr>
          <w:rFonts w:asciiTheme="minorHAnsi" w:hAnsiTheme="minorHAnsi" w:cstheme="minorHAnsi"/>
          <w:lang w:eastAsia="en-GB"/>
        </w:rPr>
        <w:t xml:space="preserve"> reinforce this interpretation. Respondents emphasized the importance of budget optimization and resource management to maximize knowledge sharing and broaden participation through interpretation, webcasting and online </w:t>
      </w:r>
      <w:r w:rsidRPr="00986D12">
        <w:rPr>
          <w:rFonts w:asciiTheme="minorHAnsi" w:hAnsiTheme="minorHAnsi" w:cstheme="minorHAnsi"/>
          <w:lang w:eastAsia="ko-KR"/>
        </w:rPr>
        <w:t>participation</w:t>
      </w:r>
      <w:r w:rsidRPr="00986D12">
        <w:rPr>
          <w:rFonts w:asciiTheme="minorHAnsi" w:hAnsiTheme="minorHAnsi" w:cstheme="minorHAnsi"/>
          <w:lang w:eastAsia="en-GB"/>
        </w:rPr>
        <w:t>. They also highlighted the potential value of simplifying procedures and approvals, delegating selected event-management responsibilities to field offices, and developing guidelines, checklists and lessons learned reports to improve consistency and quality control.</w:t>
      </w:r>
      <w:r w:rsidRPr="00986D12">
        <w:rPr>
          <w:rFonts w:asciiTheme="minorHAnsi" w:eastAsia="DengXian Light" w:hAnsiTheme="minorHAnsi" w:cstheme="minorHAnsi"/>
          <w:vertAlign w:val="superscript"/>
          <w:lang w:eastAsia="en-GB"/>
        </w:rPr>
        <w:footnoteReference w:id="10"/>
      </w:r>
    </w:p>
    <w:p w14:paraId="0617F7BF" w14:textId="37FBAC09"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lastRenderedPageBreak/>
        <w:t xml:space="preserve">Conclusion </w:t>
      </w:r>
    </w:p>
    <w:p w14:paraId="054170DC" w14:textId="544736B5"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Overall, the evidence from three distinct sources points in the same direction. The </w:t>
      </w:r>
      <w:r w:rsidRPr="00986D12">
        <w:rPr>
          <w:rFonts w:asciiTheme="minorHAnsi" w:hAnsiTheme="minorHAnsi" w:cstheme="minorHAnsi"/>
          <w:lang w:eastAsia="ko-KR"/>
        </w:rPr>
        <w:t xml:space="preserve">ITU </w:t>
      </w:r>
      <w:r w:rsidRPr="00986D12">
        <w:rPr>
          <w:rFonts w:asciiTheme="minorHAnsi" w:hAnsiTheme="minorHAnsi" w:cstheme="minorHAnsi"/>
        </w:rPr>
        <w:t>event</w:t>
      </w:r>
      <w:r w:rsidRPr="00986D12">
        <w:rPr>
          <w:rFonts w:asciiTheme="minorHAnsi" w:hAnsiTheme="minorHAnsi" w:cstheme="minorHAnsi"/>
          <w:lang w:eastAsia="ko-KR"/>
        </w:rPr>
        <w:t>s</w:t>
      </w:r>
      <w:r w:rsidRPr="00986D12">
        <w:rPr>
          <w:rFonts w:asciiTheme="minorHAnsi" w:hAnsiTheme="minorHAnsi" w:cstheme="minorHAnsi"/>
        </w:rPr>
        <w:t xml:space="preserve"> registration dashboard shows that Regional and Area Offices support a large and diverse portfolio of ITU events in the regions. The </w:t>
      </w:r>
      <w:r w:rsidRPr="00986D12">
        <w:rPr>
          <w:rFonts w:asciiTheme="minorHAnsi" w:hAnsiTheme="minorHAnsi" w:cstheme="minorHAnsi"/>
          <w:lang w:eastAsia="ko-KR"/>
        </w:rPr>
        <w:t>analysis of information collected from</w:t>
      </w:r>
      <w:r w:rsidRPr="00986D12">
        <w:rPr>
          <w:rFonts w:asciiTheme="minorHAnsi" w:hAnsiTheme="minorHAnsi" w:cstheme="minorHAnsi"/>
        </w:rPr>
        <w:t xml:space="preserve"> selected event organizers shows that these events are backed by extensive administrative, technical and logistical support, </w:t>
      </w:r>
      <w:r w:rsidRPr="00986D12">
        <w:rPr>
          <w:rFonts w:asciiTheme="minorHAnsi" w:hAnsiTheme="minorHAnsi" w:cstheme="minorHAnsi"/>
          <w:lang w:eastAsia="ko-KR"/>
        </w:rPr>
        <w:t>while</w:t>
      </w:r>
      <w:r w:rsidRPr="00986D12">
        <w:rPr>
          <w:rFonts w:asciiTheme="minorHAnsi" w:hAnsiTheme="minorHAnsi" w:cstheme="minorHAnsi"/>
        </w:rPr>
        <w:t xml:space="preserve"> financial support </w:t>
      </w:r>
      <w:r w:rsidRPr="00986D12">
        <w:rPr>
          <w:rFonts w:asciiTheme="minorHAnsi" w:hAnsiTheme="minorHAnsi" w:cstheme="minorHAnsi"/>
          <w:lang w:eastAsia="ko-KR"/>
        </w:rPr>
        <w:t xml:space="preserve">may depend on </w:t>
      </w:r>
      <w:r w:rsidRPr="00986D12">
        <w:rPr>
          <w:rFonts w:asciiTheme="minorHAnsi" w:hAnsiTheme="minorHAnsi" w:cstheme="minorHAnsi"/>
        </w:rPr>
        <w:t>available resources. The Membership Survey indicates that support for expanded use of remote and online modalities is strong. Taken together, these findings suggest that the operational framework for event delivery in the regions is well established, but that further gains could be made through stronger enabling conditions, more consistent support arrangements and continued expansion of hybrid participation models.</w:t>
      </w:r>
    </w:p>
    <w:p w14:paraId="3A934BF7"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Data Sources</w:t>
      </w:r>
    </w:p>
    <w:p w14:paraId="3FD6045E" w14:textId="457322D7"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val="en-US" w:eastAsia="ko-KR"/>
        </w:rPr>
        <w:t>ITU events registration dashboard (internal).</w:t>
      </w:r>
    </w:p>
    <w:p w14:paraId="1072687D" w14:textId="5F525A7D"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2.</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eastAsia="ko-KR"/>
        </w:rPr>
        <w:t>Analysis of information collected from selected staff who organized events in the regions.</w:t>
      </w:r>
    </w:p>
    <w:p w14:paraId="101F2AD3" w14:textId="11A49C00"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eastAsia="ko-KR"/>
        </w:rPr>
        <w:t xml:space="preserve">Interim report on the review of the ITU regional presence (Doc. </w:t>
      </w:r>
      <w:hyperlink r:id="rId90" w:history="1">
        <w:r w:rsidR="00250529" w:rsidRPr="008C431B">
          <w:rPr>
            <w:rFonts w:asciiTheme="minorHAnsi" w:hAnsiTheme="minorHAnsi" w:cstheme="minorHAnsi"/>
            <w:color w:val="467886"/>
            <w:u w:val="single"/>
            <w:lang w:eastAsia="ko-KR"/>
          </w:rPr>
          <w:t>CWG-FHR-22/4</w:t>
        </w:r>
      </w:hyperlink>
      <w:r w:rsidR="00250529" w:rsidRPr="008C431B">
        <w:rPr>
          <w:rFonts w:asciiTheme="minorHAnsi" w:hAnsiTheme="minorHAnsi" w:cstheme="minorHAnsi"/>
          <w:lang w:eastAsia="ko-KR"/>
        </w:rPr>
        <w:t>).</w:t>
      </w:r>
    </w:p>
    <w:p w14:paraId="16BAA8F6" w14:textId="77777777" w:rsidR="00250529" w:rsidRPr="00986D12" w:rsidRDefault="00250529" w:rsidP="005B5E68">
      <w:pPr>
        <w:pStyle w:val="KPItitle"/>
        <w:jc w:val="both"/>
        <w:rPr>
          <w:rFonts w:asciiTheme="minorHAnsi" w:hAnsiTheme="minorHAnsi" w:cstheme="minorHAnsi"/>
        </w:rPr>
      </w:pPr>
      <w:bookmarkStart w:id="130" w:name="_Toc224213060"/>
      <w:bookmarkStart w:id="131" w:name="_Toc224236491"/>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16 — Participation of members in regional activities, global ITU-D/ITU-T/ITU-R events and the working activities of the three Sectors (e.g. study groups, expert groups, sector advisory groups, etc.)</w:t>
      </w:r>
      <w:bookmarkEnd w:id="130"/>
      <w:bookmarkEnd w:id="131"/>
    </w:p>
    <w:p w14:paraId="11F0A3B6" w14:textId="77777777" w:rsidR="00250529" w:rsidRPr="00986D12" w:rsidRDefault="00250529" w:rsidP="005B5E68">
      <w:pPr>
        <w:jc w:val="both"/>
        <w:rPr>
          <w:rFonts w:asciiTheme="minorHAnsi" w:eastAsia="Malgun Gothic" w:hAnsiTheme="minorHAnsi" w:cstheme="minorHAnsi"/>
          <w:lang w:eastAsia="ko-KR"/>
        </w:rPr>
      </w:pPr>
      <w:r w:rsidRPr="00986D12">
        <w:rPr>
          <w:rFonts w:asciiTheme="minorHAnsi" w:hAnsiTheme="minorHAnsi" w:cstheme="minorHAnsi"/>
        </w:rPr>
        <w:t xml:space="preserve">Membership perception evidence indicates strong support for participation mechanisms. A high </w:t>
      </w:r>
      <w:r w:rsidRPr="00986D12">
        <w:rPr>
          <w:rFonts w:asciiTheme="minorHAnsi" w:eastAsia="Malgun Gothic" w:hAnsiTheme="minorHAnsi" w:cstheme="minorHAnsi"/>
          <w:lang w:eastAsia="ko-KR"/>
        </w:rPr>
        <w:t>7</w:t>
      </w:r>
      <w:r w:rsidRPr="00986D12">
        <w:rPr>
          <w:rFonts w:asciiTheme="minorHAnsi" w:hAnsiTheme="minorHAnsi" w:cstheme="minorHAnsi"/>
        </w:rPr>
        <w:t>7%</w:t>
      </w:r>
      <w:r w:rsidRPr="00986D12">
        <w:rPr>
          <w:rFonts w:asciiTheme="minorHAnsi" w:eastAsia="Malgun Gothic" w:hAnsiTheme="minorHAnsi" w:cstheme="minorHAnsi"/>
          <w:lang w:eastAsia="ko-KR"/>
        </w:rPr>
        <w:t xml:space="preserve"> </w:t>
      </w:r>
      <w:r w:rsidRPr="00986D12">
        <w:rPr>
          <w:rFonts w:asciiTheme="minorHAnsi" w:hAnsiTheme="minorHAnsi" w:cstheme="minorHAnsi"/>
        </w:rPr>
        <w:t xml:space="preserve">of Membership Survey respondents agree or strongly agree that participation of members in regional activities, global ITU-D/ITU-T/ITU-R events and working activities of the three ITU Sectors enhances synergies in coordination and communication (MS </w:t>
      </w:r>
      <w:proofErr w:type="spellStart"/>
      <w:r w:rsidRPr="00986D12">
        <w:rPr>
          <w:rFonts w:asciiTheme="minorHAnsi" w:hAnsiTheme="minorHAnsi" w:cstheme="minorHAnsi"/>
        </w:rPr>
        <w:t>Q7_b</w:t>
      </w:r>
      <w:proofErr w:type="spellEnd"/>
      <w:r w:rsidRPr="00986D12">
        <w:rPr>
          <w:rFonts w:asciiTheme="minorHAnsi" w:hAnsiTheme="minorHAnsi" w:cstheme="minorHAnsi"/>
        </w:rPr>
        <w:t>).</w:t>
      </w:r>
    </w:p>
    <w:p w14:paraId="57C53563"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Staff responses show similar alignment. A strong </w:t>
      </w:r>
      <w:r w:rsidRPr="00986D12">
        <w:rPr>
          <w:rFonts w:asciiTheme="minorHAnsi" w:eastAsia="Malgun Gothic" w:hAnsiTheme="minorHAnsi" w:cstheme="minorHAnsi"/>
          <w:lang w:eastAsia="ko-KR"/>
        </w:rPr>
        <w:t xml:space="preserve">81% </w:t>
      </w:r>
      <w:r w:rsidRPr="00986D12">
        <w:rPr>
          <w:rFonts w:asciiTheme="minorHAnsi" w:hAnsiTheme="minorHAnsi" w:cstheme="minorHAnsi"/>
        </w:rPr>
        <w:t xml:space="preserve">of Internal Assessment respondents agree or strongly agree that participation of members in regional and global activities enhances coordination and communication across the Regional and Area Offices, the General Secretariat and the three Bureaus (IA </w:t>
      </w:r>
      <w:proofErr w:type="spellStart"/>
      <w:r w:rsidRPr="00986D12">
        <w:rPr>
          <w:rFonts w:asciiTheme="minorHAnsi" w:hAnsiTheme="minorHAnsi" w:cstheme="minorHAnsi"/>
        </w:rPr>
        <w:t>Q26_c</w:t>
      </w:r>
      <w:proofErr w:type="spellEnd"/>
      <w:r w:rsidRPr="00986D12">
        <w:rPr>
          <w:rFonts w:asciiTheme="minorHAnsi" w:hAnsiTheme="minorHAnsi" w:cstheme="minorHAnsi"/>
        </w:rPr>
        <w:t>).</w:t>
      </w:r>
    </w:p>
    <w:p w14:paraId="439E009D"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Document analysis provides quantitative evidence of participation levels between 2022 and 2025. A total of 1,067 events and 1,501 meetings were recorded across 109 host countries. Announced registrations reached 266,586, corresponding to 124,120 unique individuals. Confirmed presence amounted to 154,862 registrations, corresponding to 67,013 unique participants.</w:t>
      </w:r>
    </w:p>
    <w:p w14:paraId="1F8A6539"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Regional distribution </w:t>
      </w:r>
      <w:r w:rsidRPr="00986D12">
        <w:rPr>
          <w:rFonts w:asciiTheme="minorHAnsi" w:hAnsiTheme="minorHAnsi" w:cstheme="minorHAnsi"/>
          <w:lang w:eastAsia="ko-KR"/>
        </w:rPr>
        <w:t xml:space="preserve">of events </w:t>
      </w:r>
      <w:r w:rsidRPr="00986D12">
        <w:rPr>
          <w:rFonts w:asciiTheme="minorHAnsi" w:hAnsiTheme="minorHAnsi" w:cstheme="minorHAnsi"/>
        </w:rPr>
        <w:t xml:space="preserve">varies across Sectors between 2022 and 2025. In ITU-D, </w:t>
      </w:r>
      <w:r w:rsidRPr="00986D12">
        <w:rPr>
          <w:rFonts w:asciiTheme="minorHAnsi" w:eastAsia="Malgun Gothic" w:hAnsiTheme="minorHAnsi" w:cstheme="minorHAnsi"/>
          <w:lang w:eastAsia="ko-KR"/>
        </w:rPr>
        <w:t xml:space="preserve">50% </w:t>
      </w:r>
      <w:r w:rsidRPr="00986D12">
        <w:rPr>
          <w:rFonts w:asciiTheme="minorHAnsi" w:hAnsiTheme="minorHAnsi" w:cstheme="minorHAnsi"/>
        </w:rPr>
        <w:t xml:space="preserve">of all ITU-D events over the period were held in the regions, increasing from </w:t>
      </w:r>
      <w:r w:rsidRPr="00986D12">
        <w:rPr>
          <w:rFonts w:asciiTheme="minorHAnsi" w:eastAsia="Malgun Gothic" w:hAnsiTheme="minorHAnsi" w:cstheme="minorHAnsi"/>
          <w:lang w:eastAsia="ko-KR"/>
        </w:rPr>
        <w:t xml:space="preserve">29% </w:t>
      </w:r>
      <w:r w:rsidRPr="00986D12">
        <w:rPr>
          <w:rFonts w:asciiTheme="minorHAnsi" w:hAnsiTheme="minorHAnsi" w:cstheme="minorHAnsi"/>
        </w:rPr>
        <w:t xml:space="preserve">in 2022 to </w:t>
      </w:r>
      <w:r w:rsidRPr="00986D12">
        <w:rPr>
          <w:rFonts w:asciiTheme="minorHAnsi" w:eastAsia="Malgun Gothic" w:hAnsiTheme="minorHAnsi" w:cstheme="minorHAnsi"/>
          <w:lang w:eastAsia="ko-KR"/>
        </w:rPr>
        <w:t xml:space="preserve">61% </w:t>
      </w:r>
      <w:r w:rsidRPr="00986D12">
        <w:rPr>
          <w:rFonts w:asciiTheme="minorHAnsi" w:hAnsiTheme="minorHAnsi" w:cstheme="minorHAnsi"/>
        </w:rPr>
        <w:t xml:space="preserve">in 2025. In ITU-T, </w:t>
      </w:r>
      <w:r w:rsidRPr="00986D12">
        <w:rPr>
          <w:rFonts w:asciiTheme="minorHAnsi" w:eastAsia="Malgun Gothic" w:hAnsiTheme="minorHAnsi" w:cstheme="minorHAnsi"/>
          <w:lang w:eastAsia="ko-KR"/>
        </w:rPr>
        <w:t xml:space="preserve">30% </w:t>
      </w:r>
      <w:r w:rsidRPr="00986D12">
        <w:rPr>
          <w:rFonts w:asciiTheme="minorHAnsi" w:hAnsiTheme="minorHAnsi" w:cstheme="minorHAnsi"/>
        </w:rPr>
        <w:t xml:space="preserve">of all ITU-T events over the period were regional overall, with a peak of </w:t>
      </w:r>
      <w:r w:rsidRPr="00986D12">
        <w:rPr>
          <w:rFonts w:asciiTheme="minorHAnsi" w:eastAsia="Malgun Gothic" w:hAnsiTheme="minorHAnsi" w:cstheme="minorHAnsi"/>
          <w:lang w:eastAsia="ko-KR"/>
        </w:rPr>
        <w:t>44%</w:t>
      </w:r>
      <w:r w:rsidRPr="00986D12">
        <w:rPr>
          <w:rFonts w:asciiTheme="minorHAnsi" w:hAnsiTheme="minorHAnsi" w:cstheme="minorHAnsi"/>
        </w:rPr>
        <w:t xml:space="preserve"> in 2024. In ITU-R </w:t>
      </w:r>
      <w:r w:rsidRPr="00986D12">
        <w:rPr>
          <w:rFonts w:asciiTheme="minorHAnsi" w:eastAsia="Malgun Gothic" w:hAnsiTheme="minorHAnsi" w:cstheme="minorHAnsi"/>
          <w:lang w:eastAsia="ko-KR"/>
        </w:rPr>
        <w:t xml:space="preserve">22% </w:t>
      </w:r>
      <w:r w:rsidRPr="00986D12">
        <w:rPr>
          <w:rFonts w:asciiTheme="minorHAnsi" w:hAnsiTheme="minorHAnsi" w:cstheme="minorHAnsi"/>
        </w:rPr>
        <w:t>of all events over the period were held in the regions.</w:t>
      </w:r>
    </w:p>
    <w:p w14:paraId="1B59FB8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Participation spans membership categories. Presence records include 173 Member States, 293 Sector Members, 174 Academia or Associate entities</w:t>
      </w:r>
      <w:r w:rsidRPr="00986D12">
        <w:rPr>
          <w:rFonts w:asciiTheme="minorHAnsi" w:eastAsia="Malgun Gothic" w:hAnsiTheme="minorHAnsi" w:cstheme="minorHAnsi"/>
          <w:lang w:eastAsia="ko-KR"/>
        </w:rPr>
        <w:t>, and 29 UN entities</w:t>
      </w:r>
      <w:r w:rsidRPr="00986D12">
        <w:rPr>
          <w:rFonts w:asciiTheme="minorHAnsi" w:hAnsiTheme="minorHAnsi" w:cstheme="minorHAnsi"/>
        </w:rPr>
        <w:t xml:space="preserve">. </w:t>
      </w:r>
      <w:r w:rsidRPr="00986D12">
        <w:rPr>
          <w:rFonts w:asciiTheme="minorHAnsi" w:eastAsia="Malgun Gothic" w:hAnsiTheme="minorHAnsi" w:cstheme="minorHAnsi"/>
          <w:lang w:eastAsia="ko-KR"/>
        </w:rPr>
        <w:t>Least developed and d</w:t>
      </w:r>
      <w:r w:rsidRPr="00986D12">
        <w:rPr>
          <w:rFonts w:asciiTheme="minorHAnsi" w:hAnsiTheme="minorHAnsi" w:cstheme="minorHAnsi"/>
        </w:rPr>
        <w:t xml:space="preserve">eveloping countries represent </w:t>
      </w:r>
      <w:r w:rsidRPr="00986D12">
        <w:rPr>
          <w:rFonts w:asciiTheme="minorHAnsi" w:eastAsia="Malgun Gothic" w:hAnsiTheme="minorHAnsi" w:cstheme="minorHAnsi"/>
          <w:lang w:eastAsia="ko-KR"/>
        </w:rPr>
        <w:t xml:space="preserve">together 78% </w:t>
      </w:r>
      <w:r w:rsidRPr="00986D12">
        <w:rPr>
          <w:rFonts w:asciiTheme="minorHAnsi" w:hAnsiTheme="minorHAnsi" w:cstheme="minorHAnsi"/>
        </w:rPr>
        <w:t>of confirmed presence.</w:t>
      </w:r>
      <w:r w:rsidRPr="00986D12">
        <w:rPr>
          <w:rFonts w:asciiTheme="minorHAnsi" w:hAnsiTheme="minorHAnsi" w:cstheme="minorHAnsi"/>
          <w:vertAlign w:val="superscript"/>
        </w:rPr>
        <w:footnoteReference w:id="11"/>
      </w:r>
    </w:p>
    <w:p w14:paraId="33C440DD" w14:textId="3D5D7E2C"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lastRenderedPageBreak/>
        <w:t xml:space="preserve">Conclusion </w:t>
      </w:r>
    </w:p>
    <w:p w14:paraId="277A4BBD" w14:textId="4B0A91D3"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combined evidence demonstrates sustained and geographically diverse participation across global and regional activities, including global ITU-D/ITU-T/ITU-R events and the working activities of the three Sectors (e.g. study groups, expert groups, sector advisory groups, etc.</w:t>
      </w:r>
      <w:r w:rsidRPr="00986D12">
        <w:rPr>
          <w:rFonts w:asciiTheme="minorHAnsi" w:hAnsiTheme="minorHAnsi" w:cstheme="minorHAnsi"/>
          <w:lang w:eastAsia="ko-KR"/>
        </w:rPr>
        <w:t>)</w:t>
      </w:r>
      <w:r w:rsidRPr="00986D12">
        <w:rPr>
          <w:rFonts w:asciiTheme="minorHAnsi" w:hAnsiTheme="minorHAnsi" w:cstheme="minorHAnsi"/>
        </w:rPr>
        <w:t>, with a</w:t>
      </w:r>
      <w:r w:rsidRPr="00986D12">
        <w:rPr>
          <w:rFonts w:asciiTheme="minorHAnsi" w:hAnsiTheme="minorHAnsi" w:cstheme="minorHAnsi"/>
          <w:lang w:eastAsia="ko-KR"/>
        </w:rPr>
        <w:t xml:space="preserve"> </w:t>
      </w:r>
      <w:r w:rsidRPr="00986D12">
        <w:rPr>
          <w:rFonts w:asciiTheme="minorHAnsi" w:hAnsiTheme="minorHAnsi" w:cstheme="minorHAnsi"/>
        </w:rPr>
        <w:t>strong perceived value of participation mechanisms, and increasing regionalization in ITU-D event delivery.</w:t>
      </w:r>
    </w:p>
    <w:p w14:paraId="19B850FA"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Data Sources</w:t>
      </w:r>
    </w:p>
    <w:p w14:paraId="4F074CF4" w14:textId="4F4C6872" w:rsidR="00250529" w:rsidRPr="008C431B" w:rsidRDefault="008C431B" w:rsidP="008C431B">
      <w:pPr>
        <w:tabs>
          <w:tab w:val="left" w:pos="720"/>
        </w:tabs>
        <w:spacing w:before="60" w:after="60"/>
        <w:ind w:left="720" w:hanging="360"/>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val="en-US"/>
        </w:rPr>
        <w:t>ITU events registration dashboard (internal)</w:t>
      </w:r>
    </w:p>
    <w:p w14:paraId="66200714" w14:textId="77777777" w:rsidR="00250529" w:rsidRPr="00986D12" w:rsidRDefault="00250529" w:rsidP="00507BF5">
      <w:pPr>
        <w:pStyle w:val="KPItitle"/>
        <w:rPr>
          <w:rFonts w:asciiTheme="minorHAnsi" w:hAnsiTheme="minorHAnsi" w:cstheme="minorHAnsi"/>
        </w:rPr>
      </w:pPr>
      <w:bookmarkStart w:id="132" w:name="_Toc224213061"/>
      <w:bookmarkStart w:id="133" w:name="_Toc224236492"/>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17 — Outcomes of activities demonstrating linkages between outputs/ outcomes and the achievement of strategic goals, objectives and progress on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targets by region/sub-regional area</w:t>
      </w:r>
      <w:bookmarkEnd w:id="132"/>
      <w:bookmarkEnd w:id="133"/>
    </w:p>
    <w:p w14:paraId="75BC6D51" w14:textId="77777777" w:rsidR="00250529" w:rsidRPr="00986D12" w:rsidRDefault="00250529" w:rsidP="00507BF5">
      <w:pPr>
        <w:rPr>
          <w:rFonts w:asciiTheme="minorHAnsi" w:eastAsia="Malgun Gothic" w:hAnsiTheme="minorHAnsi" w:cstheme="minorHAnsi"/>
          <w:lang w:eastAsia="ko-KR"/>
        </w:rPr>
      </w:pPr>
      <w:r w:rsidRPr="00986D12">
        <w:rPr>
          <w:rFonts w:asciiTheme="minorHAnsi" w:hAnsiTheme="minorHAnsi" w:cstheme="minorHAnsi"/>
        </w:rPr>
        <w:t>Document analysis demonstrates structured alignment between regional outputs and the Union’s Strategic and Financial Plans 2024–2027</w:t>
      </w:r>
      <w:r w:rsidRPr="00986D12">
        <w:rPr>
          <w:rFonts w:asciiTheme="minorHAnsi" w:eastAsia="Malgun Gothic" w:hAnsiTheme="minorHAnsi" w:cstheme="minorHAnsi"/>
          <w:lang w:eastAsia="ko-KR"/>
        </w:rPr>
        <w:t>.</w:t>
      </w:r>
    </w:p>
    <w:p w14:paraId="58BAC192" w14:textId="77777777" w:rsidR="00250529" w:rsidRPr="00986D12" w:rsidRDefault="00250529" w:rsidP="00507BF5">
      <w:pPr>
        <w:rPr>
          <w:rFonts w:asciiTheme="minorHAnsi" w:hAnsiTheme="minorHAnsi" w:cstheme="minorHAnsi"/>
          <w:lang w:eastAsia="ko-KR"/>
        </w:rPr>
      </w:pPr>
      <w:r w:rsidRPr="00986D12">
        <w:rPr>
          <w:rFonts w:asciiTheme="minorHAnsi" w:hAnsiTheme="minorHAnsi" w:cstheme="minorHAnsi"/>
          <w:lang w:val="en-US" w:eastAsia="ko-KR"/>
        </w:rPr>
        <w:t xml:space="preserve">The Union’s Strategic and Financial Plans 2024-2027 establishes two strategic goals (Universal Connectivity and Sustainable Digital Transformation) and five thematic priorities (TP). </w:t>
      </w:r>
      <w:r w:rsidRPr="00986D12">
        <w:rPr>
          <w:rFonts w:asciiTheme="minorHAnsi" w:hAnsiTheme="minorHAnsi" w:cstheme="minorHAnsi"/>
          <w:lang w:eastAsia="ko-KR"/>
        </w:rPr>
        <w:t>The current strategic framework is illustrated below:</w:t>
      </w:r>
      <w:r w:rsidRPr="00986D12">
        <w:rPr>
          <w:rFonts w:asciiTheme="minorHAnsi" w:hAnsiTheme="minorHAnsi" w:cstheme="minorHAnsi"/>
          <w:vertAlign w:val="superscript"/>
          <w:lang w:eastAsia="ko-KR"/>
        </w:rPr>
        <w:footnoteReference w:id="12"/>
      </w:r>
    </w:p>
    <w:p w14:paraId="0FA0F5B4" w14:textId="77777777" w:rsidR="00250529" w:rsidRPr="00986D12" w:rsidRDefault="00250529" w:rsidP="00507BF5">
      <w:pPr>
        <w:pStyle w:val="Subtitle0"/>
        <w:jc w:val="center"/>
        <w:rPr>
          <w:rFonts w:asciiTheme="minorHAnsi" w:hAnsiTheme="minorHAnsi" w:cstheme="minorHAnsi"/>
        </w:rPr>
      </w:pPr>
      <w:r w:rsidRPr="00986D12">
        <w:rPr>
          <w:rFonts w:asciiTheme="minorHAnsi" w:hAnsiTheme="minorHAnsi" w:cstheme="minorHAnsi"/>
        </w:rPr>
        <w:t>Strategic framework of the ITU Strategic Plan 2024-2027</w:t>
      </w:r>
    </w:p>
    <w:p w14:paraId="2CFEB0F1" w14:textId="77777777" w:rsidR="00250529" w:rsidRPr="00986D12" w:rsidRDefault="00250529" w:rsidP="00507BF5">
      <w:pPr>
        <w:jc w:val="center"/>
        <w:rPr>
          <w:rFonts w:asciiTheme="minorHAnsi" w:hAnsiTheme="minorHAnsi" w:cstheme="minorHAnsi"/>
          <w:lang w:eastAsia="ko-KR"/>
        </w:rPr>
      </w:pPr>
      <w:r w:rsidRPr="00986D12">
        <w:rPr>
          <w:rFonts w:asciiTheme="minorHAnsi" w:eastAsia="Batang" w:hAnsiTheme="minorHAnsi" w:cstheme="minorHAnsi"/>
          <w:noProof/>
        </w:rPr>
        <w:drawing>
          <wp:inline distT="0" distB="0" distL="0" distR="0" wp14:anchorId="60153C7D" wp14:editId="29BE7F26">
            <wp:extent cx="5724525" cy="3400425"/>
            <wp:effectExtent l="0" t="0" r="0" b="0"/>
            <wp:docPr id="11858401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40144" name="Picture 1185840144"/>
                    <pic:cNvPicPr/>
                  </pic:nvPicPr>
                  <pic:blipFill>
                    <a:blip r:embed="rId91">
                      <a:extLst>
                        <a:ext uri="{28A0092B-C50C-407E-A947-70E740481C1C}">
                          <a14:useLocalDpi xmlns:a14="http://schemas.microsoft.com/office/drawing/2010/main"/>
                        </a:ext>
                      </a:extLst>
                    </a:blip>
                    <a:stretch>
                      <a:fillRect/>
                    </a:stretch>
                  </pic:blipFill>
                  <pic:spPr>
                    <a:xfrm>
                      <a:off x="0" y="0"/>
                      <a:ext cx="5724525" cy="3400425"/>
                    </a:xfrm>
                    <a:prstGeom prst="rect">
                      <a:avLst/>
                    </a:prstGeom>
                  </pic:spPr>
                </pic:pic>
              </a:graphicData>
            </a:graphic>
          </wp:inline>
        </w:drawing>
      </w:r>
    </w:p>
    <w:p w14:paraId="41D6CA05" w14:textId="77777777" w:rsidR="00250529" w:rsidRPr="00986D12" w:rsidRDefault="00250529" w:rsidP="005B5E68">
      <w:pPr>
        <w:jc w:val="both"/>
        <w:rPr>
          <w:rFonts w:asciiTheme="minorHAnsi" w:hAnsiTheme="minorHAnsi" w:cstheme="minorHAnsi"/>
          <w:lang w:eastAsia="ko-KR"/>
        </w:rPr>
      </w:pPr>
      <w:r w:rsidRPr="00986D12">
        <w:rPr>
          <w:rFonts w:asciiTheme="minorHAnsi" w:hAnsiTheme="minorHAnsi" w:cstheme="minorHAnsi"/>
          <w:lang w:eastAsia="ko-KR"/>
        </w:rPr>
        <w:t>The approach to link ITU's strategic, financial and operational plans relies on the principles of results-based management (</w:t>
      </w:r>
      <w:proofErr w:type="spellStart"/>
      <w:r w:rsidRPr="00986D12">
        <w:rPr>
          <w:rFonts w:asciiTheme="minorHAnsi" w:hAnsiTheme="minorHAnsi" w:cstheme="minorHAnsi"/>
          <w:lang w:eastAsia="ko-KR"/>
        </w:rPr>
        <w:t>RBM</w:t>
      </w:r>
      <w:proofErr w:type="spellEnd"/>
      <w:r w:rsidRPr="00986D12">
        <w:rPr>
          <w:rFonts w:asciiTheme="minorHAnsi" w:hAnsiTheme="minorHAnsi" w:cstheme="minorHAnsi"/>
          <w:lang w:eastAsia="ko-KR"/>
        </w:rPr>
        <w:t xml:space="preserve">), to ensure that the strategic objectives established in the ITU Strategic and Financial Plan are properly translated into the organization’s biennial and </w:t>
      </w:r>
      <w:r w:rsidRPr="00986D12">
        <w:rPr>
          <w:rFonts w:asciiTheme="minorHAnsi" w:hAnsiTheme="minorHAnsi" w:cstheme="minorHAnsi"/>
          <w:lang w:eastAsia="ko-KR"/>
        </w:rPr>
        <w:lastRenderedPageBreak/>
        <w:t>annual operational plans and budgets, thereby ensuring that resources are applied toward impactful efforts.</w:t>
      </w:r>
      <w:r w:rsidRPr="00986D12">
        <w:rPr>
          <w:rFonts w:asciiTheme="minorHAnsi" w:hAnsiTheme="minorHAnsi" w:cstheme="minorHAnsi"/>
          <w:vertAlign w:val="superscript"/>
          <w:lang w:eastAsia="ko-KR"/>
        </w:rPr>
        <w:footnoteReference w:id="13"/>
      </w:r>
    </w:p>
    <w:p w14:paraId="6810EBB2" w14:textId="77777777" w:rsidR="00250529" w:rsidRPr="00986D12" w:rsidRDefault="00250529" w:rsidP="005B5E68">
      <w:pPr>
        <w:jc w:val="both"/>
        <w:rPr>
          <w:rFonts w:asciiTheme="minorHAnsi" w:hAnsiTheme="minorHAnsi" w:cstheme="minorHAnsi"/>
          <w:lang w:eastAsia="ko-KR"/>
        </w:rPr>
      </w:pPr>
      <w:r w:rsidRPr="00986D12">
        <w:rPr>
          <w:rFonts w:asciiTheme="minorHAnsi" w:hAnsiTheme="minorHAnsi" w:cstheme="minorHAnsi"/>
          <w:lang w:eastAsia="ko-KR"/>
        </w:rPr>
        <w:t>For example, the ITU-D Operational Plan is aligned with the structure of the ITU Strategic Plan 2024-2027. The structure follows the Kigali Action Plan (KAP), outlining the ITU-D Priorities and Enablers, and their corresponding outcomes, products, and services, as well as the performance indicators (</w:t>
      </w:r>
      <w:proofErr w:type="spellStart"/>
      <w:r w:rsidRPr="00986D12">
        <w:rPr>
          <w:rFonts w:asciiTheme="minorHAnsi" w:hAnsiTheme="minorHAnsi" w:cstheme="minorHAnsi"/>
          <w:lang w:eastAsia="ko-KR"/>
        </w:rPr>
        <w:t>KPIs</w:t>
      </w:r>
      <w:proofErr w:type="spellEnd"/>
      <w:r w:rsidRPr="00986D12">
        <w:rPr>
          <w:rFonts w:asciiTheme="minorHAnsi" w:hAnsiTheme="minorHAnsi" w:cstheme="minorHAnsi"/>
          <w:lang w:eastAsia="ko-KR"/>
        </w:rPr>
        <w:t>) to measure their achievement level produced by the activities of the Sector. The KAP employs an </w:t>
      </w:r>
      <w:proofErr w:type="spellStart"/>
      <w:r w:rsidRPr="00986D12">
        <w:rPr>
          <w:rFonts w:asciiTheme="minorHAnsi" w:hAnsiTheme="minorHAnsi" w:cstheme="minorHAnsi"/>
          <w:lang w:eastAsia="ko-KR"/>
        </w:rPr>
        <w:t>RBM</w:t>
      </w:r>
      <w:proofErr w:type="spellEnd"/>
      <w:r w:rsidRPr="00986D12">
        <w:rPr>
          <w:rFonts w:asciiTheme="minorHAnsi" w:hAnsiTheme="minorHAnsi" w:cstheme="minorHAnsi"/>
          <w:lang w:eastAsia="ko-KR"/>
        </w:rPr>
        <w:t xml:space="preserve"> framework based on these ITU-D priorities, identified as key work areas that support the achievement of the ITU strategic plan.</w:t>
      </w:r>
      <w:r w:rsidRPr="00986D12">
        <w:rPr>
          <w:rFonts w:asciiTheme="minorHAnsi" w:hAnsiTheme="minorHAnsi" w:cstheme="minorHAnsi"/>
          <w:vertAlign w:val="superscript"/>
          <w:lang w:eastAsia="ko-KR"/>
        </w:rPr>
        <w:footnoteReference w:id="14"/>
      </w:r>
      <w:r w:rsidRPr="00986D12">
        <w:rPr>
          <w:rFonts w:asciiTheme="minorHAnsi" w:hAnsiTheme="minorHAnsi" w:cstheme="minorHAnsi"/>
          <w:lang w:eastAsia="ko-KR"/>
        </w:rPr>
        <w:t> </w:t>
      </w:r>
    </w:p>
    <w:p w14:paraId="6C2EE93F"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Across all </w:t>
      </w:r>
      <w:proofErr w:type="gramStart"/>
      <w:r w:rsidRPr="00986D12">
        <w:rPr>
          <w:rFonts w:asciiTheme="minorHAnsi" w:hAnsiTheme="minorHAnsi" w:cstheme="minorHAnsi"/>
        </w:rPr>
        <w:t>regions</w:t>
      </w:r>
      <w:proofErr w:type="gramEnd"/>
      <w:r w:rsidRPr="00986D12">
        <w:rPr>
          <w:rFonts w:asciiTheme="minorHAnsi" w:hAnsiTheme="minorHAnsi" w:cstheme="minorHAnsi"/>
        </w:rPr>
        <w:t>, documented outputs are connected to thematic priorities and defined outcomes. Examples include:</w:t>
      </w:r>
    </w:p>
    <w:p w14:paraId="5EB71111" w14:textId="251342ED"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eastAsia="Malgun Gothic" w:hAnsiTheme="minorHAnsi" w:cstheme="minorHAnsi"/>
          <w:lang w:eastAsia="ko-KR"/>
        </w:rPr>
        <w:t xml:space="preserve">Capacity building </w:t>
      </w:r>
      <w:r w:rsidR="00250529" w:rsidRPr="008C431B">
        <w:rPr>
          <w:rFonts w:asciiTheme="minorHAnsi" w:hAnsiTheme="minorHAnsi" w:cstheme="minorHAnsi"/>
        </w:rPr>
        <w:t>on the Harmonized Calculation Method for Africa (</w:t>
      </w:r>
      <w:proofErr w:type="spellStart"/>
      <w:r w:rsidR="00250529" w:rsidRPr="008C431B">
        <w:rPr>
          <w:rFonts w:asciiTheme="minorHAnsi" w:hAnsiTheme="minorHAnsi" w:cstheme="minorHAnsi"/>
        </w:rPr>
        <w:t>HCM4A</w:t>
      </w:r>
      <w:proofErr w:type="spellEnd"/>
      <w:r w:rsidR="00250529" w:rsidRPr="008C431B">
        <w:rPr>
          <w:rFonts w:asciiTheme="minorHAnsi" w:hAnsiTheme="minorHAnsi" w:cstheme="minorHAnsi"/>
        </w:rPr>
        <w:t>) in</w:t>
      </w:r>
      <w:r w:rsidR="00250529" w:rsidRPr="008C431B">
        <w:rPr>
          <w:rFonts w:asciiTheme="minorHAnsi" w:eastAsia="Malgun Gothic" w:hAnsiTheme="minorHAnsi" w:cstheme="minorHAnsi"/>
          <w:lang w:eastAsia="ko-KR"/>
        </w:rPr>
        <w:t xml:space="preserve"> Africa</w:t>
      </w:r>
      <w:r w:rsidR="00250529" w:rsidRPr="008C431B">
        <w:rPr>
          <w:rFonts w:asciiTheme="minorHAnsi" w:hAnsiTheme="minorHAnsi" w:cstheme="minorHAnsi"/>
        </w:rPr>
        <w:t xml:space="preserve"> contribute</w:t>
      </w:r>
      <w:r w:rsidR="00250529" w:rsidRPr="008C431B">
        <w:rPr>
          <w:rFonts w:asciiTheme="minorHAnsi" w:eastAsia="Malgun Gothic" w:hAnsiTheme="minorHAnsi" w:cstheme="minorHAnsi"/>
          <w:lang w:eastAsia="ko-KR"/>
        </w:rPr>
        <w:t>s</w:t>
      </w:r>
      <w:r w:rsidR="00250529" w:rsidRPr="008C431B">
        <w:rPr>
          <w:rFonts w:asciiTheme="minorHAnsi" w:hAnsiTheme="minorHAnsi" w:cstheme="minorHAnsi"/>
        </w:rPr>
        <w:t xml:space="preserve"> to efficient and equitable spectrum usage</w:t>
      </w:r>
      <w:r w:rsidR="00250529" w:rsidRPr="008C431B">
        <w:rPr>
          <w:rFonts w:asciiTheme="minorHAnsi" w:eastAsia="Malgun Gothic" w:hAnsiTheme="minorHAnsi" w:cstheme="minorHAnsi"/>
          <w:lang w:eastAsia="ko-KR"/>
        </w:rPr>
        <w:t>.</w:t>
      </w:r>
    </w:p>
    <w:p w14:paraId="3016AAB2" w14:textId="1E516F8B"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Broadband mapping and GIS capacity-building in the Americas </w:t>
      </w:r>
      <w:r w:rsidR="00250529" w:rsidRPr="008C431B">
        <w:rPr>
          <w:rFonts w:asciiTheme="minorHAnsi" w:eastAsia="Malgun Gothic" w:hAnsiTheme="minorHAnsi" w:cstheme="minorHAnsi"/>
          <w:lang w:eastAsia="ko-KR"/>
        </w:rPr>
        <w:t xml:space="preserve">contributes to </w:t>
      </w:r>
      <w:r w:rsidR="00250529" w:rsidRPr="008C431B">
        <w:rPr>
          <w:rFonts w:asciiTheme="minorHAnsi" w:hAnsiTheme="minorHAnsi" w:cstheme="minorHAnsi"/>
        </w:rPr>
        <w:t>enhanced connectivity</w:t>
      </w:r>
      <w:r w:rsidR="00250529" w:rsidRPr="008C431B">
        <w:rPr>
          <w:rFonts w:asciiTheme="minorHAnsi" w:eastAsia="Malgun Gothic" w:hAnsiTheme="minorHAnsi" w:cstheme="minorHAnsi"/>
          <w:lang w:eastAsia="ko-KR"/>
        </w:rPr>
        <w:t xml:space="preserve"> and access</w:t>
      </w:r>
      <w:r w:rsidR="00250529" w:rsidRPr="008C431B">
        <w:rPr>
          <w:rFonts w:asciiTheme="minorHAnsi" w:hAnsiTheme="minorHAnsi" w:cstheme="minorHAnsi"/>
        </w:rPr>
        <w:t>.</w:t>
      </w:r>
    </w:p>
    <w:p w14:paraId="709F2941" w14:textId="7C52CAC8"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Digital Innovation Profiles in Arab States </w:t>
      </w:r>
      <w:r w:rsidR="00250529" w:rsidRPr="008C431B">
        <w:rPr>
          <w:rFonts w:asciiTheme="minorHAnsi" w:eastAsia="Malgun Gothic" w:hAnsiTheme="minorHAnsi" w:cstheme="minorHAnsi"/>
          <w:lang w:eastAsia="ko-KR"/>
        </w:rPr>
        <w:t>contribute to telecommunication/</w:t>
      </w:r>
      <w:r w:rsidR="00250529" w:rsidRPr="008C431B">
        <w:rPr>
          <w:rFonts w:asciiTheme="minorHAnsi" w:hAnsiTheme="minorHAnsi" w:cstheme="minorHAnsi"/>
        </w:rPr>
        <w:t>ICT-centric innovation.</w:t>
      </w:r>
    </w:p>
    <w:p w14:paraId="24FEA477" w14:textId="02672A94"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Digital Transformation Centres in Asia-Pacific </w:t>
      </w:r>
      <w:r w:rsidR="00250529" w:rsidRPr="008C431B">
        <w:rPr>
          <w:rFonts w:asciiTheme="minorHAnsi" w:eastAsia="Malgun Gothic" w:hAnsiTheme="minorHAnsi" w:cstheme="minorHAnsi"/>
          <w:lang w:eastAsia="ko-KR"/>
        </w:rPr>
        <w:t xml:space="preserve">contribute to development of </w:t>
      </w:r>
      <w:r w:rsidR="00250529" w:rsidRPr="008C431B">
        <w:rPr>
          <w:rFonts w:asciiTheme="minorHAnsi" w:hAnsiTheme="minorHAnsi" w:cstheme="minorHAnsi"/>
        </w:rPr>
        <w:t>digital skill</w:t>
      </w:r>
      <w:r w:rsidR="00250529" w:rsidRPr="008C431B">
        <w:rPr>
          <w:rFonts w:asciiTheme="minorHAnsi" w:eastAsia="Malgun Gothic" w:hAnsiTheme="minorHAnsi" w:cstheme="minorHAnsi"/>
          <w:lang w:eastAsia="ko-KR"/>
        </w:rPr>
        <w:t>s</w:t>
      </w:r>
      <w:r w:rsidR="00250529" w:rsidRPr="008C431B">
        <w:rPr>
          <w:rFonts w:asciiTheme="minorHAnsi" w:hAnsiTheme="minorHAnsi" w:cstheme="minorHAnsi"/>
        </w:rPr>
        <w:t>.</w:t>
      </w:r>
    </w:p>
    <w:p w14:paraId="57F83AD4" w14:textId="1DF32CB9"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lang w:eastAsia="ko-KR"/>
        </w:rPr>
        <w:t xml:space="preserve">Awareness raising for adoption of </w:t>
      </w:r>
      <w:r w:rsidR="0067763E" w:rsidRPr="008C431B">
        <w:rPr>
          <w:rFonts w:asciiTheme="minorHAnsi" w:hAnsiTheme="minorHAnsi" w:cstheme="minorHAnsi"/>
          <w:lang w:eastAsia="ko-KR"/>
        </w:rPr>
        <w:t>Emerging Insights</w:t>
      </w:r>
      <w:r w:rsidR="00665690" w:rsidRPr="008C431B">
        <w:rPr>
          <w:rFonts w:asciiTheme="minorHAnsi" w:hAnsiTheme="minorHAnsi" w:cstheme="minorHAnsi"/>
          <w:lang w:eastAsia="ko-KR"/>
        </w:rPr>
        <w:t xml:space="preserve"> </w:t>
      </w:r>
      <w:r w:rsidR="00250529" w:rsidRPr="008C431B">
        <w:rPr>
          <w:rFonts w:asciiTheme="minorHAnsi" w:hAnsiTheme="minorHAnsi" w:cstheme="minorHAnsi"/>
          <w:lang w:eastAsia="ko-KR"/>
        </w:rPr>
        <w:t xml:space="preserve">and </w:t>
      </w:r>
      <w:proofErr w:type="spellStart"/>
      <w:r w:rsidR="00250529" w:rsidRPr="008C431B">
        <w:rPr>
          <w:rFonts w:asciiTheme="minorHAnsi" w:hAnsiTheme="minorHAnsi" w:cstheme="minorHAnsi"/>
          <w:lang w:eastAsia="ko-KR"/>
        </w:rPr>
        <w:t>KPIs</w:t>
      </w:r>
      <w:proofErr w:type="spellEnd"/>
      <w:r w:rsidR="00250529" w:rsidRPr="008C431B">
        <w:rPr>
          <w:rFonts w:asciiTheme="minorHAnsi" w:hAnsiTheme="minorHAnsi" w:cstheme="minorHAnsi"/>
          <w:lang w:eastAsia="ko-KR"/>
        </w:rPr>
        <w:t xml:space="preserve"> for smart cities and communities in CIS contributes to enhanced adoption and use of telecommunication/ICT applications.</w:t>
      </w:r>
    </w:p>
    <w:p w14:paraId="68F5A96F" w14:textId="54E9D0BF"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lang w:eastAsia="ko-KR"/>
        </w:rPr>
        <w:t>Development and implementation of National Emergency Telecommunication Plans in Europe contributes to resilient telecommunication/ICT infrastructures.</w:t>
      </w:r>
      <w:r w:rsidR="00250529" w:rsidRPr="00986D12">
        <w:rPr>
          <w:vertAlign w:val="superscript"/>
        </w:rPr>
        <w:footnoteReference w:id="15"/>
      </w:r>
    </w:p>
    <w:p w14:paraId="33720009" w14:textId="77777777" w:rsidR="00250529" w:rsidRPr="00986D12" w:rsidRDefault="00250529" w:rsidP="005B5E68">
      <w:pPr>
        <w:jc w:val="both"/>
        <w:rPr>
          <w:rFonts w:asciiTheme="minorHAnsi" w:hAnsiTheme="minorHAnsi" w:cstheme="minorHAnsi"/>
          <w:color w:val="000000"/>
        </w:rPr>
      </w:pPr>
      <w:r w:rsidRPr="00986D12">
        <w:rPr>
          <w:rFonts w:asciiTheme="minorHAnsi" w:hAnsiTheme="minorHAnsi" w:cstheme="minorHAnsi"/>
        </w:rPr>
        <w:t>These linkages illustrate translation of strategic objectives into regional outputs and measurable contributions to outcomes.</w:t>
      </w:r>
    </w:p>
    <w:p w14:paraId="377824A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Membership perception evidence supports this alignment. Seventy-one per cent of respondents agree or strongly agree that ITU is effective in delivering on its mandate and impact on the ground through Regional and Area Offices (MS </w:t>
      </w:r>
      <w:proofErr w:type="spellStart"/>
      <w:r w:rsidRPr="00986D12">
        <w:rPr>
          <w:rFonts w:asciiTheme="minorHAnsi" w:hAnsiTheme="minorHAnsi" w:cstheme="minorHAnsi"/>
        </w:rPr>
        <w:t>Q1</w:t>
      </w:r>
      <w:proofErr w:type="spellEnd"/>
      <w:r w:rsidRPr="00986D12">
        <w:rPr>
          <w:rFonts w:asciiTheme="minorHAnsi" w:hAnsiTheme="minorHAnsi" w:cstheme="minorHAnsi"/>
        </w:rPr>
        <w:t xml:space="preserve">). Sixty per cent agree that the current level of activities is satisfactory (MS </w:t>
      </w:r>
      <w:proofErr w:type="spellStart"/>
      <w:r w:rsidRPr="00986D12">
        <w:rPr>
          <w:rFonts w:asciiTheme="minorHAnsi" w:hAnsiTheme="minorHAnsi" w:cstheme="minorHAnsi"/>
        </w:rPr>
        <w:t>Q2</w:t>
      </w:r>
      <w:proofErr w:type="spellEnd"/>
      <w:r w:rsidRPr="00986D12">
        <w:rPr>
          <w:rFonts w:asciiTheme="minorHAnsi" w:hAnsiTheme="minorHAnsi" w:cstheme="minorHAnsi"/>
        </w:rPr>
        <w:t>).</w:t>
      </w:r>
    </w:p>
    <w:p w14:paraId="1722C3C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A high </w:t>
      </w:r>
      <w:r w:rsidRPr="00986D12">
        <w:rPr>
          <w:rFonts w:asciiTheme="minorHAnsi" w:eastAsia="Malgun Gothic" w:hAnsiTheme="minorHAnsi" w:cstheme="minorHAnsi"/>
          <w:lang w:eastAsia="ko-KR"/>
        </w:rPr>
        <w:t>82%</w:t>
      </w:r>
      <w:r w:rsidRPr="00986D12" w:rsidDel="00704A49">
        <w:rPr>
          <w:rFonts w:asciiTheme="minorHAnsi" w:eastAsia="Malgun Gothic" w:hAnsiTheme="minorHAnsi" w:cstheme="minorHAnsi"/>
          <w:lang w:eastAsia="ko-KR"/>
        </w:rPr>
        <w:t xml:space="preserve"> </w:t>
      </w:r>
      <w:r w:rsidRPr="00986D12">
        <w:rPr>
          <w:rFonts w:asciiTheme="minorHAnsi" w:hAnsiTheme="minorHAnsi" w:cstheme="minorHAnsi"/>
        </w:rPr>
        <w:t xml:space="preserve">agree that membership is willing to collaborate with Regional Offices (MS </w:t>
      </w:r>
      <w:proofErr w:type="spellStart"/>
      <w:r w:rsidRPr="00986D12">
        <w:rPr>
          <w:rFonts w:asciiTheme="minorHAnsi" w:hAnsiTheme="minorHAnsi" w:cstheme="minorHAnsi"/>
        </w:rPr>
        <w:t>Q9_a</w:t>
      </w:r>
      <w:proofErr w:type="spellEnd"/>
      <w:r w:rsidRPr="00986D12">
        <w:rPr>
          <w:rFonts w:asciiTheme="minorHAnsi" w:hAnsiTheme="minorHAnsi" w:cstheme="minorHAnsi"/>
        </w:rPr>
        <w:t xml:space="preserve">), and an equally strong </w:t>
      </w:r>
      <w:r w:rsidRPr="00986D12">
        <w:rPr>
          <w:rFonts w:asciiTheme="minorHAnsi" w:eastAsia="Malgun Gothic" w:hAnsiTheme="minorHAnsi" w:cstheme="minorHAnsi"/>
          <w:lang w:eastAsia="ko-KR"/>
        </w:rPr>
        <w:t xml:space="preserve">74% </w:t>
      </w:r>
      <w:r w:rsidRPr="00986D12">
        <w:rPr>
          <w:rFonts w:asciiTheme="minorHAnsi" w:hAnsiTheme="minorHAnsi" w:cstheme="minorHAnsi"/>
        </w:rPr>
        <w:t xml:space="preserve">confirm having consulted a Regional or Area Office in 2024–2025 (MS </w:t>
      </w:r>
      <w:proofErr w:type="spellStart"/>
      <w:r w:rsidRPr="00986D12">
        <w:rPr>
          <w:rFonts w:asciiTheme="minorHAnsi" w:hAnsiTheme="minorHAnsi" w:cstheme="minorHAnsi"/>
        </w:rPr>
        <w:t>Q10</w:t>
      </w:r>
      <w:proofErr w:type="spellEnd"/>
      <w:r w:rsidRPr="00986D12">
        <w:rPr>
          <w:rFonts w:asciiTheme="minorHAnsi" w:hAnsiTheme="minorHAnsi" w:cstheme="minorHAnsi"/>
        </w:rPr>
        <w:t>).</w:t>
      </w:r>
    </w:p>
    <w:p w14:paraId="2BBE84F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Effectiveness ratings across specific support areas range from </w:t>
      </w:r>
      <w:r w:rsidRPr="00986D12">
        <w:rPr>
          <w:rFonts w:asciiTheme="minorHAnsi" w:eastAsia="Malgun Gothic" w:hAnsiTheme="minorHAnsi" w:cstheme="minorHAnsi"/>
          <w:lang w:eastAsia="ko-KR"/>
        </w:rPr>
        <w:t>52%</w:t>
      </w:r>
      <w:r w:rsidRPr="00986D12">
        <w:rPr>
          <w:rFonts w:asciiTheme="minorHAnsi" w:hAnsiTheme="minorHAnsi" w:cstheme="minorHAnsi"/>
        </w:rPr>
        <w:t xml:space="preserve"> agreement for strategic planning support (</w:t>
      </w:r>
      <w:proofErr w:type="spellStart"/>
      <w:r w:rsidRPr="00986D12">
        <w:rPr>
          <w:rFonts w:asciiTheme="minorHAnsi" w:hAnsiTheme="minorHAnsi" w:cstheme="minorHAnsi"/>
        </w:rPr>
        <w:t>Q12_a</w:t>
      </w:r>
      <w:proofErr w:type="spellEnd"/>
      <w:r w:rsidRPr="00986D12">
        <w:rPr>
          <w:rFonts w:asciiTheme="minorHAnsi" w:hAnsiTheme="minorHAnsi" w:cstheme="minorHAnsi"/>
        </w:rPr>
        <w:t xml:space="preserve">) to </w:t>
      </w:r>
      <w:r w:rsidRPr="00986D12">
        <w:rPr>
          <w:rFonts w:asciiTheme="minorHAnsi" w:eastAsia="Malgun Gothic" w:hAnsiTheme="minorHAnsi" w:cstheme="minorHAnsi"/>
          <w:lang w:eastAsia="ko-KR"/>
        </w:rPr>
        <w:t xml:space="preserve">73% </w:t>
      </w:r>
      <w:r w:rsidRPr="00986D12">
        <w:rPr>
          <w:rFonts w:asciiTheme="minorHAnsi" w:hAnsiTheme="minorHAnsi" w:cstheme="minorHAnsi"/>
        </w:rPr>
        <w:t>for dissemination of information and data (</w:t>
      </w:r>
      <w:proofErr w:type="spellStart"/>
      <w:r w:rsidRPr="00986D12">
        <w:rPr>
          <w:rFonts w:asciiTheme="minorHAnsi" w:hAnsiTheme="minorHAnsi" w:cstheme="minorHAnsi"/>
        </w:rPr>
        <w:t>Q12_c</w:t>
      </w:r>
      <w:proofErr w:type="spellEnd"/>
      <w:r w:rsidRPr="00986D12">
        <w:rPr>
          <w:rFonts w:asciiTheme="minorHAnsi" w:hAnsiTheme="minorHAnsi" w:cstheme="minorHAnsi"/>
        </w:rPr>
        <w:t xml:space="preserve">). Technical expertise receives </w:t>
      </w:r>
      <w:r w:rsidRPr="00986D12">
        <w:rPr>
          <w:rFonts w:asciiTheme="minorHAnsi" w:eastAsia="Malgun Gothic" w:hAnsiTheme="minorHAnsi" w:cstheme="minorHAnsi"/>
          <w:lang w:eastAsia="ko-KR"/>
        </w:rPr>
        <w:t xml:space="preserve">66% </w:t>
      </w:r>
      <w:r w:rsidRPr="00986D12">
        <w:rPr>
          <w:rFonts w:asciiTheme="minorHAnsi" w:hAnsiTheme="minorHAnsi" w:cstheme="minorHAnsi"/>
        </w:rPr>
        <w:t>agreement (</w:t>
      </w:r>
      <w:proofErr w:type="spellStart"/>
      <w:r w:rsidRPr="00986D12">
        <w:rPr>
          <w:rFonts w:asciiTheme="minorHAnsi" w:hAnsiTheme="minorHAnsi" w:cstheme="minorHAnsi"/>
        </w:rPr>
        <w:t>Q12_g</w:t>
      </w:r>
      <w:proofErr w:type="spellEnd"/>
      <w:r w:rsidRPr="00986D12">
        <w:rPr>
          <w:rFonts w:asciiTheme="minorHAnsi" w:hAnsiTheme="minorHAnsi" w:cstheme="minorHAnsi"/>
        </w:rPr>
        <w:t xml:space="preserve">), and capacity-building support </w:t>
      </w:r>
      <w:r w:rsidRPr="00986D12">
        <w:rPr>
          <w:rFonts w:asciiTheme="minorHAnsi" w:eastAsia="Malgun Gothic" w:hAnsiTheme="minorHAnsi" w:cstheme="minorHAnsi"/>
          <w:lang w:eastAsia="ko-KR"/>
        </w:rPr>
        <w:t>67%</w:t>
      </w:r>
      <w:r w:rsidRPr="00986D12">
        <w:rPr>
          <w:rFonts w:asciiTheme="minorHAnsi" w:hAnsiTheme="minorHAnsi" w:cstheme="minorHAnsi"/>
        </w:rPr>
        <w:t xml:space="preserve"> (</w:t>
      </w:r>
      <w:proofErr w:type="spellStart"/>
      <w:r w:rsidRPr="00986D12">
        <w:rPr>
          <w:rFonts w:asciiTheme="minorHAnsi" w:hAnsiTheme="minorHAnsi" w:cstheme="minorHAnsi"/>
        </w:rPr>
        <w:t>Q12_h</w:t>
      </w:r>
      <w:proofErr w:type="spellEnd"/>
      <w:r w:rsidRPr="00986D12">
        <w:rPr>
          <w:rFonts w:asciiTheme="minorHAnsi" w:hAnsiTheme="minorHAnsi" w:cstheme="minorHAnsi"/>
        </w:rPr>
        <w:t>).</w:t>
      </w:r>
    </w:p>
    <w:p w14:paraId="46FFA403"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color w:val="000000"/>
        </w:rPr>
        <w:t xml:space="preserve">Measures reinforcing transparency and activity alignment receive strong support. Seventy-two per cent agree that </w:t>
      </w:r>
      <w:r w:rsidRPr="00986D12">
        <w:rPr>
          <w:rFonts w:asciiTheme="minorHAnsi" w:hAnsiTheme="minorHAnsi" w:cstheme="minorHAnsi"/>
        </w:rPr>
        <w:t>better data on staffing, financials and activity implementation would strengthen regional presence (</w:t>
      </w:r>
      <w:proofErr w:type="spellStart"/>
      <w:r w:rsidRPr="00986D12">
        <w:rPr>
          <w:rFonts w:asciiTheme="minorHAnsi" w:hAnsiTheme="minorHAnsi" w:cstheme="minorHAnsi"/>
        </w:rPr>
        <w:t>Q5_a</w:t>
      </w:r>
      <w:proofErr w:type="spellEnd"/>
      <w:r w:rsidRPr="00986D12">
        <w:rPr>
          <w:rFonts w:asciiTheme="minorHAnsi" w:hAnsiTheme="minorHAnsi" w:cstheme="minorHAnsi"/>
        </w:rPr>
        <w:t>). Sixty-seven per cent support increased activities in countries without ITU offices (</w:t>
      </w:r>
      <w:proofErr w:type="spellStart"/>
      <w:r w:rsidRPr="00986D12">
        <w:rPr>
          <w:rFonts w:asciiTheme="minorHAnsi" w:hAnsiTheme="minorHAnsi" w:cstheme="minorHAnsi"/>
        </w:rPr>
        <w:t>Q5_e</w:t>
      </w:r>
      <w:proofErr w:type="spellEnd"/>
      <w:r w:rsidRPr="00986D12">
        <w:rPr>
          <w:rFonts w:asciiTheme="minorHAnsi" w:hAnsiTheme="minorHAnsi" w:cstheme="minorHAnsi"/>
        </w:rPr>
        <w:t>).</w:t>
      </w:r>
    </w:p>
    <w:p w14:paraId="5843EE5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lastRenderedPageBreak/>
        <w:t xml:space="preserve">Broader governance and reporting mechanisms are viewed as positive, but relatively more moderately effective. Fifty-nine per cent agree that reporting to Council provides adequate information (MS </w:t>
      </w:r>
      <w:proofErr w:type="spellStart"/>
      <w:r w:rsidRPr="00986D12">
        <w:rPr>
          <w:rFonts w:asciiTheme="minorHAnsi" w:hAnsiTheme="minorHAnsi" w:cstheme="minorHAnsi"/>
        </w:rPr>
        <w:t>Q21_a</w:t>
      </w:r>
      <w:proofErr w:type="spellEnd"/>
      <w:r w:rsidRPr="00986D12">
        <w:rPr>
          <w:rFonts w:asciiTheme="minorHAnsi" w:hAnsiTheme="minorHAnsi" w:cstheme="minorHAnsi"/>
        </w:rPr>
        <w:t xml:space="preserve">). Agreement levels are </w:t>
      </w:r>
      <w:r w:rsidRPr="00986D12">
        <w:rPr>
          <w:rFonts w:asciiTheme="minorHAnsi" w:eastAsia="Malgun Gothic" w:hAnsiTheme="minorHAnsi" w:cstheme="minorHAnsi"/>
          <w:lang w:eastAsia="ko-KR"/>
        </w:rPr>
        <w:t xml:space="preserve">58% </w:t>
      </w:r>
      <w:r w:rsidRPr="00986D12">
        <w:rPr>
          <w:rFonts w:asciiTheme="minorHAnsi" w:hAnsiTheme="minorHAnsi" w:cstheme="minorHAnsi"/>
        </w:rPr>
        <w:t xml:space="preserve">for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(MS </w:t>
      </w:r>
      <w:proofErr w:type="spellStart"/>
      <w:r w:rsidRPr="00986D12">
        <w:rPr>
          <w:rFonts w:asciiTheme="minorHAnsi" w:hAnsiTheme="minorHAnsi" w:cstheme="minorHAnsi"/>
        </w:rPr>
        <w:t>Q21_b</w:t>
      </w:r>
      <w:proofErr w:type="spellEnd"/>
      <w:r w:rsidRPr="00986D12">
        <w:rPr>
          <w:rFonts w:asciiTheme="minorHAnsi" w:hAnsiTheme="minorHAnsi" w:cstheme="minorHAnsi"/>
        </w:rPr>
        <w:t xml:space="preserve">), </w:t>
      </w:r>
      <w:r w:rsidRPr="00986D12">
        <w:rPr>
          <w:rFonts w:asciiTheme="minorHAnsi" w:eastAsia="Malgun Gothic" w:hAnsiTheme="minorHAnsi" w:cstheme="minorHAnsi"/>
          <w:lang w:eastAsia="ko-KR"/>
        </w:rPr>
        <w:t xml:space="preserve">53% </w:t>
      </w:r>
      <w:r w:rsidRPr="00986D12">
        <w:rPr>
          <w:rFonts w:asciiTheme="minorHAnsi" w:hAnsiTheme="minorHAnsi" w:cstheme="minorHAnsi"/>
        </w:rPr>
        <w:t xml:space="preserve">for TSAG (MS </w:t>
      </w:r>
      <w:proofErr w:type="spellStart"/>
      <w:r w:rsidRPr="00986D12">
        <w:rPr>
          <w:rFonts w:asciiTheme="minorHAnsi" w:hAnsiTheme="minorHAnsi" w:cstheme="minorHAnsi"/>
        </w:rPr>
        <w:t>Q21_c</w:t>
      </w:r>
      <w:proofErr w:type="spellEnd"/>
      <w:r w:rsidRPr="00986D12">
        <w:rPr>
          <w:rFonts w:asciiTheme="minorHAnsi" w:hAnsiTheme="minorHAnsi" w:cstheme="minorHAnsi"/>
        </w:rPr>
        <w:t xml:space="preserve">), and </w:t>
      </w:r>
      <w:r w:rsidRPr="00986D12">
        <w:rPr>
          <w:rFonts w:asciiTheme="minorHAnsi" w:eastAsia="Malgun Gothic" w:hAnsiTheme="minorHAnsi" w:cstheme="minorHAnsi"/>
          <w:lang w:eastAsia="ko-KR"/>
        </w:rPr>
        <w:t xml:space="preserve">51% </w:t>
      </w:r>
      <w:r w:rsidRPr="00986D12">
        <w:rPr>
          <w:rFonts w:asciiTheme="minorHAnsi" w:hAnsiTheme="minorHAnsi" w:cstheme="minorHAnsi"/>
        </w:rPr>
        <w:t xml:space="preserve">for RAG (MS </w:t>
      </w:r>
      <w:proofErr w:type="spellStart"/>
      <w:r w:rsidRPr="00986D12">
        <w:rPr>
          <w:rFonts w:asciiTheme="minorHAnsi" w:hAnsiTheme="minorHAnsi" w:cstheme="minorHAnsi"/>
        </w:rPr>
        <w:t>Q21_d</w:t>
      </w:r>
      <w:proofErr w:type="spellEnd"/>
      <w:r w:rsidRPr="00986D12">
        <w:rPr>
          <w:rFonts w:asciiTheme="minorHAnsi" w:hAnsiTheme="minorHAnsi" w:cstheme="minorHAnsi"/>
        </w:rPr>
        <w:t>).</w:t>
      </w:r>
    </w:p>
    <w:p w14:paraId="411B64F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Sixty-seven per cent agree that evaluation of progress on relevant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enhances coordination and communication (MS </w:t>
      </w:r>
      <w:proofErr w:type="spellStart"/>
      <w:r w:rsidRPr="00986D12">
        <w:rPr>
          <w:rFonts w:asciiTheme="minorHAnsi" w:hAnsiTheme="minorHAnsi" w:cstheme="minorHAnsi"/>
        </w:rPr>
        <w:t>Q7_c</w:t>
      </w:r>
      <w:proofErr w:type="spellEnd"/>
      <w:r w:rsidRPr="00986D12">
        <w:rPr>
          <w:rFonts w:asciiTheme="minorHAnsi" w:hAnsiTheme="minorHAnsi" w:cstheme="minorHAnsi"/>
        </w:rPr>
        <w:t>)</w:t>
      </w:r>
      <w:r w:rsidRPr="00986D12">
        <w:rPr>
          <w:rFonts w:asciiTheme="minorHAnsi" w:eastAsia="Batang" w:hAnsiTheme="minorHAnsi" w:cstheme="minorHAnsi"/>
        </w:rPr>
        <w:t>.</w:t>
      </w:r>
    </w:p>
    <w:p w14:paraId="0465C330" w14:textId="33D403E9"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71C0A48B" w14:textId="0E0616BB" w:rsidR="00250529" w:rsidRPr="00986D12" w:rsidRDefault="00250529" w:rsidP="005B5E68">
      <w:pPr>
        <w:jc w:val="both"/>
        <w:rPr>
          <w:rFonts w:asciiTheme="minorHAnsi" w:hAnsiTheme="minorHAnsi" w:cstheme="minorHAnsi"/>
        </w:rPr>
      </w:pPr>
      <w:r w:rsidRPr="00986D12">
        <w:rPr>
          <w:rFonts w:asciiTheme="minorHAnsi" w:hAnsiTheme="minorHAnsi" w:cstheme="minorHAnsi"/>
        </w:rPr>
        <w:t>Overall, documented regional outputs are aligned with thematic priorities and strategic goals under the results-based management framework. The reporting is perceived as adequate and transparent. Membership perception data broadly support the view that regional activities contribute to mandated delivery, collaboration and strategic alignment, although perceptions of adequacy vary across specific support areas.</w:t>
      </w:r>
    </w:p>
    <w:p w14:paraId="06754A0E"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Data Sources</w:t>
      </w:r>
    </w:p>
    <w:p w14:paraId="5CA6C1BE" w14:textId="1F175E0C" w:rsidR="00250529" w:rsidRPr="008C431B" w:rsidRDefault="008C431B" w:rsidP="008C431B">
      <w:pPr>
        <w:tabs>
          <w:tab w:val="left" w:pos="720"/>
        </w:tabs>
        <w:spacing w:before="60" w:after="60"/>
        <w:ind w:left="720" w:hanging="360"/>
        <w:jc w:val="both"/>
        <w:rPr>
          <w:rFonts w:asciiTheme="minorHAnsi" w:eastAsia="Batang" w:hAnsiTheme="minorHAnsi" w:cstheme="minorHAnsi"/>
        </w:rPr>
      </w:pPr>
      <w:bookmarkStart w:id="134" w:name="_Hlk223888378"/>
      <w:bookmarkStart w:id="135" w:name="_Hlk223888340"/>
      <w:r w:rsidRPr="00986D12">
        <w:rPr>
          <w:rFonts w:asciiTheme="minorHAnsi" w:eastAsia="Batang" w:hAnsiTheme="minorHAnsi" w:cstheme="minorHAnsi"/>
          <w:kern w:val="2"/>
          <w:sz w:val="22"/>
          <w:szCs w:val="22"/>
          <w14:ligatures w14:val="standardContextual"/>
        </w:rPr>
        <w:t>1.</w:t>
      </w:r>
      <w:r w:rsidRPr="00986D12">
        <w:rPr>
          <w:rFonts w:asciiTheme="minorHAnsi" w:eastAsia="Batang" w:hAnsiTheme="minorHAnsi" w:cstheme="minorHAnsi"/>
          <w:kern w:val="2"/>
          <w:sz w:val="22"/>
          <w:szCs w:val="22"/>
          <w14:ligatures w14:val="standardContextual"/>
        </w:rPr>
        <w:tab/>
      </w:r>
      <w:r w:rsidR="00250529" w:rsidRPr="008C431B">
        <w:rPr>
          <w:rFonts w:asciiTheme="minorHAnsi" w:hAnsiTheme="minorHAnsi" w:cstheme="minorHAnsi"/>
          <w:color w:val="000000"/>
        </w:rPr>
        <w:t xml:space="preserve">Strategic and Financial Plans 2024-2027, </w:t>
      </w:r>
      <w:hyperlink r:id="rId92">
        <w:r w:rsidR="00250529" w:rsidRPr="008C431B">
          <w:rPr>
            <w:rFonts w:asciiTheme="minorHAnsi" w:hAnsiTheme="minorHAnsi" w:cstheme="minorHAnsi"/>
            <w:color w:val="467886"/>
            <w:u w:val="single"/>
          </w:rPr>
          <w:t>Resolution 71 (Rev. Bucharest, 2022)</w:t>
        </w:r>
      </w:hyperlink>
      <w:r w:rsidR="00250529" w:rsidRPr="008C431B">
        <w:rPr>
          <w:rFonts w:asciiTheme="minorHAnsi" w:eastAsia="Batang" w:hAnsiTheme="minorHAnsi" w:cstheme="minorHAnsi"/>
          <w:lang w:eastAsia="ko-KR"/>
        </w:rPr>
        <w:t xml:space="preserve"> of the Plenipotentiary Conference</w:t>
      </w:r>
      <w:bookmarkEnd w:id="134"/>
      <w:r w:rsidR="00250529" w:rsidRPr="008C431B">
        <w:rPr>
          <w:rFonts w:asciiTheme="minorHAnsi" w:eastAsia="Batang" w:hAnsiTheme="minorHAnsi" w:cstheme="minorHAnsi"/>
          <w:lang w:eastAsia="ko-KR"/>
        </w:rPr>
        <w:t>.</w:t>
      </w:r>
    </w:p>
    <w:p w14:paraId="04637AE2" w14:textId="456636C8"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2.</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eastAsia="ko-KR"/>
        </w:rPr>
        <w:t xml:space="preserve">Linking ITU strategic, financial and operational plans, </w:t>
      </w:r>
      <w:hyperlink r:id="rId93" w:history="1">
        <w:r w:rsidR="00250529" w:rsidRPr="008C431B">
          <w:rPr>
            <w:rFonts w:asciiTheme="minorHAnsi" w:hAnsiTheme="minorHAnsi" w:cstheme="minorHAnsi"/>
            <w:color w:val="467886"/>
            <w:u w:val="single"/>
            <w:lang w:eastAsia="ko-KR"/>
          </w:rPr>
          <w:t>CWG-SFP-3/6</w:t>
        </w:r>
      </w:hyperlink>
    </w:p>
    <w:p w14:paraId="776DCFF1" w14:textId="7F46CF71"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Report on the implementation of the strategic plan and the activities of the Union for 2024-2025, </w:t>
      </w:r>
      <w:hyperlink r:id="rId94">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/35</w:t>
        </w:r>
      </w:hyperlink>
      <w:r w:rsidR="00250529" w:rsidRPr="008C431B">
        <w:rPr>
          <w:rFonts w:asciiTheme="minorHAnsi" w:hAnsiTheme="minorHAnsi" w:cstheme="minorHAnsi"/>
        </w:rPr>
        <w:t>.</w:t>
      </w:r>
    </w:p>
    <w:p w14:paraId="4ACF5852" w14:textId="0626C597" w:rsidR="00250529" w:rsidRPr="008C431B" w:rsidRDefault="008C431B" w:rsidP="008C431B">
      <w:pPr>
        <w:tabs>
          <w:tab w:val="left" w:pos="720"/>
        </w:tabs>
        <w:spacing w:before="60" w:after="60"/>
        <w:ind w:left="720" w:hanging="360"/>
        <w:jc w:val="both"/>
        <w:rPr>
          <w:rFonts w:asciiTheme="minorHAnsi" w:eastAsia="Batang" w:hAnsiTheme="minorHAnsi" w:cstheme="minorHAnsi"/>
        </w:rPr>
      </w:pPr>
      <w:r w:rsidRPr="00986D12">
        <w:rPr>
          <w:rFonts w:asciiTheme="minorHAnsi" w:eastAsia="Batang" w:hAnsiTheme="minorHAnsi" w:cstheme="minorHAnsi"/>
          <w:kern w:val="2"/>
          <w:sz w:val="22"/>
          <w:szCs w:val="22"/>
          <w14:ligatures w14:val="standardContextual"/>
        </w:rPr>
        <w:t>4.</w:t>
      </w:r>
      <w:r w:rsidRPr="00986D12">
        <w:rPr>
          <w:rFonts w:asciiTheme="minorHAnsi" w:eastAsia="Batang" w:hAnsiTheme="minorHAnsi" w:cstheme="minorHAnsi"/>
          <w:kern w:val="2"/>
          <w:sz w:val="22"/>
          <w:szCs w:val="22"/>
          <w14:ligatures w14:val="standardContextual"/>
        </w:rPr>
        <w:tab/>
      </w:r>
      <w:r w:rsidR="00250529" w:rsidRPr="008C431B">
        <w:rPr>
          <w:rFonts w:asciiTheme="minorHAnsi" w:eastAsia="Batang" w:hAnsiTheme="minorHAnsi" w:cstheme="minorHAnsi"/>
          <w:lang w:eastAsia="ko-KR"/>
        </w:rPr>
        <w:t xml:space="preserve">Strengthening ITU's regional presence, </w:t>
      </w:r>
      <w:hyperlink r:id="rId95" w:history="1">
        <w:proofErr w:type="spellStart"/>
        <w:r w:rsidR="00250529" w:rsidRPr="008C431B">
          <w:rPr>
            <w:rFonts w:asciiTheme="minorHAnsi" w:eastAsia="Batang" w:hAnsiTheme="minorHAnsi" w:cstheme="minorHAnsi"/>
            <w:color w:val="467886"/>
            <w:u w:val="single"/>
            <w:lang w:eastAsia="ko-KR"/>
          </w:rPr>
          <w:t>C25</w:t>
        </w:r>
        <w:proofErr w:type="spellEnd"/>
        <w:r w:rsidR="00250529" w:rsidRPr="008C431B">
          <w:rPr>
            <w:rFonts w:asciiTheme="minorHAnsi" w:eastAsia="Batang" w:hAnsiTheme="minorHAnsi" w:cstheme="minorHAnsi"/>
            <w:color w:val="467886"/>
            <w:u w:val="single"/>
            <w:lang w:eastAsia="ko-KR"/>
          </w:rPr>
          <w:t>/25</w:t>
        </w:r>
      </w:hyperlink>
      <w:r w:rsidR="00250529" w:rsidRPr="008C431B">
        <w:rPr>
          <w:rFonts w:asciiTheme="minorHAnsi" w:hAnsiTheme="minorHAnsi" w:cstheme="minorHAnsi"/>
        </w:rPr>
        <w:t>.</w:t>
      </w:r>
    </w:p>
    <w:p w14:paraId="0F7C20BA" w14:textId="5DB569C0"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5.</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eastAsia="ko-KR"/>
        </w:rPr>
        <w:t xml:space="preserve">Report on the implementation of the Kigali Action Plan (KAP), </w:t>
      </w:r>
      <w:hyperlink r:id="rId96" w:history="1">
        <w:r w:rsidR="00250529" w:rsidRPr="008C431B">
          <w:rPr>
            <w:rFonts w:asciiTheme="minorHAnsi" w:hAnsiTheme="minorHAnsi" w:cstheme="minorHAnsi"/>
            <w:color w:val="467886"/>
            <w:u w:val="single"/>
            <w:lang w:eastAsia="ko-KR"/>
          </w:rPr>
          <w:t>WTDC-25/2</w:t>
        </w:r>
      </w:hyperlink>
      <w:bookmarkEnd w:id="135"/>
      <w:r w:rsidR="00250529" w:rsidRPr="008C431B">
        <w:rPr>
          <w:rFonts w:asciiTheme="minorHAnsi" w:hAnsiTheme="minorHAnsi" w:cstheme="minorHAnsi"/>
        </w:rPr>
        <w:t>.</w:t>
      </w:r>
    </w:p>
    <w:p w14:paraId="2800385E" w14:textId="77777777" w:rsidR="00250529" w:rsidRPr="00986D12" w:rsidRDefault="00250529" w:rsidP="005B5E68">
      <w:pPr>
        <w:pStyle w:val="KPItitle"/>
        <w:jc w:val="both"/>
        <w:rPr>
          <w:rFonts w:asciiTheme="minorHAnsi" w:hAnsiTheme="minorHAnsi" w:cstheme="minorHAnsi"/>
        </w:rPr>
      </w:pPr>
      <w:bookmarkStart w:id="136" w:name="_Toc224213062"/>
      <w:bookmarkStart w:id="137" w:name="_Toc224236493"/>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18 — An evaluation of progress on relevant </w:t>
      </w:r>
      <w:proofErr w:type="spellStart"/>
      <w:r w:rsidRPr="00986D12">
        <w:rPr>
          <w:rFonts w:asciiTheme="minorHAnsi" w:hAnsiTheme="minorHAnsi" w:cstheme="minorHAnsi"/>
        </w:rPr>
        <w:t>KPIs</w:t>
      </w:r>
      <w:bookmarkEnd w:id="136"/>
      <w:bookmarkEnd w:id="137"/>
      <w:proofErr w:type="spellEnd"/>
    </w:p>
    <w:p w14:paraId="2B7F3BD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Document analysis confirms the existence of structured planning and monitoring mechanisms linking regional activities to the Strategic and Financial Plans 2024–2027.</w:t>
      </w:r>
    </w:p>
    <w:p w14:paraId="4B27DB88" w14:textId="77777777" w:rsidR="00250529" w:rsidRPr="00986D12" w:rsidRDefault="00250529" w:rsidP="005B5E68">
      <w:pPr>
        <w:jc w:val="both"/>
        <w:rPr>
          <w:rFonts w:asciiTheme="minorHAnsi" w:hAnsiTheme="minorHAnsi" w:cstheme="minorHAnsi"/>
        </w:rPr>
      </w:pP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(target indicators and outcome indicators) contained in the current Strategic and Financial Plans, are reported annually to Council.</w:t>
      </w:r>
    </w:p>
    <w:p w14:paraId="531DD93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Regional workplans and implementation reports reference thematic priorities, defined outputs and expected outcomes. Draft operational plans for 2026–2029 and previous performance reports from the three ITU Sectors also provide advancements on their </w:t>
      </w:r>
      <w:proofErr w:type="spellStart"/>
      <w:r w:rsidRPr="00986D12">
        <w:rPr>
          <w:rFonts w:asciiTheme="minorHAnsi" w:hAnsiTheme="minorHAnsi" w:cstheme="minorHAnsi"/>
        </w:rPr>
        <w:t>KPIs</w:t>
      </w:r>
      <w:proofErr w:type="spellEnd"/>
      <w:r w:rsidRPr="00986D12">
        <w:rPr>
          <w:rFonts w:asciiTheme="minorHAnsi" w:hAnsiTheme="minorHAnsi" w:cstheme="minorHAnsi"/>
        </w:rPr>
        <w:t>:</w:t>
      </w:r>
    </w:p>
    <w:p w14:paraId="3B238AB2" w14:textId="556B1C89"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The ITU-R's progress reflects steady contributions to the management and implementation of radiocommunication priorities. There were notable advancements</w:t>
      </w:r>
      <w:r w:rsidR="00250529" w:rsidRPr="008C431B">
        <w:rPr>
          <w:rFonts w:asciiTheme="minorHAnsi" w:hAnsiTheme="minorHAnsi" w:cstheme="minorHAnsi"/>
          <w:lang w:eastAsia="ko-KR"/>
        </w:rPr>
        <w:t xml:space="preserve"> including </w:t>
      </w:r>
      <w:r w:rsidR="00250529" w:rsidRPr="008C431B">
        <w:rPr>
          <w:rFonts w:asciiTheme="minorHAnsi" w:hAnsiTheme="minorHAnsi" w:cstheme="minorHAnsi"/>
        </w:rPr>
        <w:t>in processing space and terrestrial notices, providing regulatory support, and offering technical assistance.</w:t>
      </w:r>
      <w:r w:rsidR="00250529" w:rsidRPr="00986D12">
        <w:rPr>
          <w:vertAlign w:val="superscript"/>
        </w:rPr>
        <w:footnoteReference w:id="16"/>
      </w:r>
    </w:p>
    <w:p w14:paraId="5D8C9578" w14:textId="49C539A9"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ITU-T reflects steady advancements in several key areas. Efforts </w:t>
      </w:r>
      <w:r w:rsidR="00250529" w:rsidRPr="008C431B">
        <w:rPr>
          <w:rFonts w:asciiTheme="minorHAnsi" w:hAnsiTheme="minorHAnsi" w:cstheme="minorHAnsi"/>
          <w:lang w:eastAsia="ko-KR"/>
        </w:rPr>
        <w:t xml:space="preserve">including </w:t>
      </w:r>
      <w:r w:rsidR="00250529" w:rsidRPr="008C431B">
        <w:rPr>
          <w:rFonts w:asciiTheme="minorHAnsi" w:hAnsiTheme="minorHAnsi" w:cstheme="minorHAnsi"/>
        </w:rPr>
        <w:t xml:space="preserve">in enhancing global telecommunication standards, fostering collaboration, and expanding participation have shown positive outcomes. Continued attention to capacity building and effective coordination </w:t>
      </w:r>
      <w:r w:rsidR="00250529" w:rsidRPr="008C431B">
        <w:rPr>
          <w:rFonts w:asciiTheme="minorHAnsi" w:hAnsiTheme="minorHAnsi" w:cstheme="minorHAnsi"/>
          <w:lang w:eastAsia="ko-KR"/>
        </w:rPr>
        <w:t>contributed also to</w:t>
      </w:r>
      <w:r w:rsidR="00250529" w:rsidRPr="008C431B">
        <w:rPr>
          <w:rFonts w:asciiTheme="minorHAnsi" w:hAnsiTheme="minorHAnsi" w:cstheme="minorHAnsi"/>
        </w:rPr>
        <w:t xml:space="preserve"> these developments.</w:t>
      </w:r>
      <w:r w:rsidR="00250529" w:rsidRPr="00986D12">
        <w:rPr>
          <w:vertAlign w:val="superscript"/>
        </w:rPr>
        <w:footnoteReference w:id="17"/>
      </w:r>
    </w:p>
    <w:p w14:paraId="754F0F62" w14:textId="14381CF6"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lastRenderedPageBreak/>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ITU-D made steady progress across multiple key performance indicators, supporting its mission to enhance global telecommunications and ICT development. Continued efforts in resource mobilization, capacity building, and strategic partnerships have contributed towards achieving </w:t>
      </w:r>
      <w:r w:rsidR="00250529" w:rsidRPr="008C431B">
        <w:rPr>
          <w:rFonts w:asciiTheme="minorHAnsi" w:hAnsiTheme="minorHAnsi" w:cstheme="minorHAnsi"/>
          <w:lang w:eastAsia="ko-KR"/>
        </w:rPr>
        <w:t xml:space="preserve">meaningful connectivity and </w:t>
      </w:r>
      <w:r w:rsidR="00250529" w:rsidRPr="008C431B">
        <w:rPr>
          <w:rFonts w:asciiTheme="minorHAnsi" w:hAnsiTheme="minorHAnsi" w:cstheme="minorHAnsi"/>
        </w:rPr>
        <w:t>sustainable digital transformation.</w:t>
      </w:r>
      <w:r w:rsidR="00250529" w:rsidRPr="00986D12">
        <w:rPr>
          <w:vertAlign w:val="superscript"/>
        </w:rPr>
        <w:footnoteReference w:id="18"/>
      </w:r>
    </w:p>
    <w:p w14:paraId="750E06ED"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results-based management framework provides the formal architecture through which progress against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is monitored.</w:t>
      </w:r>
    </w:p>
    <w:p w14:paraId="362CBAB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Internal Assessment evidence reflects staff perception of these monitoring mechanisms. A majority i.e., </w:t>
      </w:r>
      <w:r w:rsidRPr="00986D12">
        <w:rPr>
          <w:rFonts w:asciiTheme="minorHAnsi" w:hAnsiTheme="minorHAnsi" w:cstheme="minorHAnsi"/>
          <w:lang w:eastAsia="ko-KR"/>
        </w:rPr>
        <w:t xml:space="preserve">63% </w:t>
      </w:r>
      <w:r w:rsidRPr="00986D12">
        <w:rPr>
          <w:rFonts w:asciiTheme="minorHAnsi" w:hAnsiTheme="minorHAnsi" w:cstheme="minorHAnsi"/>
        </w:rPr>
        <w:t xml:space="preserve">of staff respondents agree or strongly agree that evaluation of progress on relevant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including identification of internal and external challenges affecting implementation, enhances coordination and communication across Regional and Area Offices and the three Bureaux (IA </w:t>
      </w:r>
      <w:proofErr w:type="spellStart"/>
      <w:r w:rsidRPr="00986D12">
        <w:rPr>
          <w:rFonts w:asciiTheme="minorHAnsi" w:hAnsiTheme="minorHAnsi" w:cstheme="minorHAnsi"/>
        </w:rPr>
        <w:t>Q26_d</w:t>
      </w:r>
      <w:proofErr w:type="spellEnd"/>
      <w:r w:rsidRPr="00986D12">
        <w:rPr>
          <w:rFonts w:asciiTheme="minorHAnsi" w:hAnsiTheme="minorHAnsi" w:cstheme="minorHAnsi"/>
        </w:rPr>
        <w:t>).</w:t>
      </w:r>
    </w:p>
    <w:p w14:paraId="6D02F73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Membership Survey responses provide perception-based validation of outcome delivery. Seventy-one per cent of Member State respondents agree that ITU is effective in delivering on its mandate and impact on the ground through Regional and Area Offices (MS </w:t>
      </w:r>
      <w:proofErr w:type="spellStart"/>
      <w:r w:rsidRPr="00986D12">
        <w:rPr>
          <w:rFonts w:asciiTheme="minorHAnsi" w:hAnsiTheme="minorHAnsi" w:cstheme="minorHAnsi"/>
        </w:rPr>
        <w:t>Q1</w:t>
      </w:r>
      <w:proofErr w:type="spellEnd"/>
      <w:r w:rsidRPr="00986D12">
        <w:rPr>
          <w:rFonts w:asciiTheme="minorHAnsi" w:hAnsiTheme="minorHAnsi" w:cstheme="minorHAnsi"/>
        </w:rPr>
        <w:t xml:space="preserve">). Sixty per cent consider the current level of activities satisfactory (MS </w:t>
      </w:r>
      <w:proofErr w:type="spellStart"/>
      <w:r w:rsidRPr="00986D12">
        <w:rPr>
          <w:rFonts w:asciiTheme="minorHAnsi" w:hAnsiTheme="minorHAnsi" w:cstheme="minorHAnsi"/>
        </w:rPr>
        <w:t>Q2</w:t>
      </w:r>
      <w:proofErr w:type="spellEnd"/>
      <w:r w:rsidRPr="00986D12">
        <w:rPr>
          <w:rFonts w:asciiTheme="minorHAnsi" w:hAnsiTheme="minorHAnsi" w:cstheme="minorHAnsi"/>
        </w:rPr>
        <w:t>).</w:t>
      </w:r>
    </w:p>
    <w:p w14:paraId="25D397F5"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Collaboration indicators are strong: </w:t>
      </w:r>
      <w:r w:rsidRPr="00986D12">
        <w:rPr>
          <w:rFonts w:asciiTheme="minorHAnsi" w:hAnsiTheme="minorHAnsi" w:cstheme="minorHAnsi"/>
          <w:lang w:eastAsia="ko-KR"/>
        </w:rPr>
        <w:t xml:space="preserve">82% </w:t>
      </w:r>
      <w:r w:rsidRPr="00986D12">
        <w:rPr>
          <w:rFonts w:asciiTheme="minorHAnsi" w:hAnsiTheme="minorHAnsi" w:cstheme="minorHAnsi"/>
        </w:rPr>
        <w:t xml:space="preserve">agree that membership is willing to collaborate with Regional Offices (MS </w:t>
      </w:r>
      <w:proofErr w:type="spellStart"/>
      <w:r w:rsidRPr="00986D12">
        <w:rPr>
          <w:rFonts w:asciiTheme="minorHAnsi" w:hAnsiTheme="minorHAnsi" w:cstheme="minorHAnsi"/>
        </w:rPr>
        <w:t>Q9_a</w:t>
      </w:r>
      <w:proofErr w:type="spellEnd"/>
      <w:r w:rsidRPr="00986D12">
        <w:rPr>
          <w:rFonts w:asciiTheme="minorHAnsi" w:hAnsiTheme="minorHAnsi" w:cstheme="minorHAnsi"/>
        </w:rPr>
        <w:t xml:space="preserve">), and </w:t>
      </w:r>
      <w:r w:rsidRPr="00986D12">
        <w:rPr>
          <w:rFonts w:asciiTheme="minorHAnsi" w:hAnsiTheme="minorHAnsi" w:cstheme="minorHAnsi"/>
          <w:lang w:eastAsia="ko-KR"/>
        </w:rPr>
        <w:t>74%</w:t>
      </w:r>
      <w:r w:rsidRPr="00986D12" w:rsidDel="00704A49">
        <w:rPr>
          <w:rFonts w:asciiTheme="minorHAnsi" w:hAnsiTheme="minorHAnsi" w:cstheme="minorHAnsi"/>
          <w:lang w:eastAsia="ko-KR"/>
        </w:rPr>
        <w:t xml:space="preserve"> </w:t>
      </w:r>
      <w:r w:rsidRPr="00986D12">
        <w:rPr>
          <w:rFonts w:asciiTheme="minorHAnsi" w:hAnsiTheme="minorHAnsi" w:cstheme="minorHAnsi"/>
        </w:rPr>
        <w:t xml:space="preserve">confirm having consulted a Regional or Area Office during 2024–2025 (MS </w:t>
      </w:r>
      <w:proofErr w:type="spellStart"/>
      <w:r w:rsidRPr="00986D12">
        <w:rPr>
          <w:rFonts w:asciiTheme="minorHAnsi" w:hAnsiTheme="minorHAnsi" w:cstheme="minorHAnsi"/>
        </w:rPr>
        <w:t>Q10</w:t>
      </w:r>
      <w:proofErr w:type="spellEnd"/>
      <w:r w:rsidRPr="00986D12">
        <w:rPr>
          <w:rFonts w:asciiTheme="minorHAnsi" w:hAnsiTheme="minorHAnsi" w:cstheme="minorHAnsi"/>
        </w:rPr>
        <w:t>).</w:t>
      </w:r>
    </w:p>
    <w:p w14:paraId="41795FD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Perceived effectiveness across specific support areas varies. Agreement levels range from </w:t>
      </w:r>
      <w:r w:rsidRPr="00986D12">
        <w:rPr>
          <w:rFonts w:asciiTheme="minorHAnsi" w:hAnsiTheme="minorHAnsi" w:cstheme="minorHAnsi"/>
          <w:lang w:eastAsia="ko-KR"/>
        </w:rPr>
        <w:t>52%</w:t>
      </w:r>
      <w:r w:rsidRPr="00986D12" w:rsidDel="00704A49">
        <w:rPr>
          <w:rFonts w:asciiTheme="minorHAnsi" w:hAnsiTheme="minorHAnsi" w:cstheme="minorHAnsi"/>
          <w:lang w:eastAsia="ko-KR"/>
        </w:rPr>
        <w:t xml:space="preserve"> </w:t>
      </w:r>
      <w:r w:rsidRPr="00986D12">
        <w:rPr>
          <w:rFonts w:asciiTheme="minorHAnsi" w:hAnsiTheme="minorHAnsi" w:cstheme="minorHAnsi"/>
        </w:rPr>
        <w:t xml:space="preserve">for support in strategic planning (MS </w:t>
      </w:r>
      <w:proofErr w:type="spellStart"/>
      <w:r w:rsidRPr="00986D12">
        <w:rPr>
          <w:rFonts w:asciiTheme="minorHAnsi" w:hAnsiTheme="minorHAnsi" w:cstheme="minorHAnsi"/>
        </w:rPr>
        <w:t>Q12_a</w:t>
      </w:r>
      <w:proofErr w:type="spellEnd"/>
      <w:r w:rsidRPr="00986D12">
        <w:rPr>
          <w:rFonts w:asciiTheme="minorHAnsi" w:hAnsiTheme="minorHAnsi" w:cstheme="minorHAnsi"/>
        </w:rPr>
        <w:t xml:space="preserve">) to </w:t>
      </w:r>
      <w:r w:rsidRPr="00986D12">
        <w:rPr>
          <w:rFonts w:asciiTheme="minorHAnsi" w:hAnsiTheme="minorHAnsi" w:cstheme="minorHAnsi"/>
          <w:lang w:eastAsia="ko-KR"/>
        </w:rPr>
        <w:t xml:space="preserve">73% </w:t>
      </w:r>
      <w:r w:rsidRPr="00986D12">
        <w:rPr>
          <w:rFonts w:asciiTheme="minorHAnsi" w:hAnsiTheme="minorHAnsi" w:cstheme="minorHAnsi"/>
        </w:rPr>
        <w:t xml:space="preserve">for dissemination of information and data (MS </w:t>
      </w:r>
      <w:proofErr w:type="spellStart"/>
      <w:r w:rsidRPr="00986D12">
        <w:rPr>
          <w:rFonts w:asciiTheme="minorHAnsi" w:hAnsiTheme="minorHAnsi" w:cstheme="minorHAnsi"/>
        </w:rPr>
        <w:t>Q12_c</w:t>
      </w:r>
      <w:proofErr w:type="spellEnd"/>
      <w:r w:rsidRPr="00986D12">
        <w:rPr>
          <w:rFonts w:asciiTheme="minorHAnsi" w:hAnsiTheme="minorHAnsi" w:cstheme="minorHAnsi"/>
        </w:rPr>
        <w:t xml:space="preserve">). Technical expertise receives </w:t>
      </w:r>
      <w:r w:rsidRPr="00986D12">
        <w:rPr>
          <w:rFonts w:asciiTheme="minorHAnsi" w:hAnsiTheme="minorHAnsi" w:cstheme="minorHAnsi"/>
          <w:lang w:eastAsia="ko-KR"/>
        </w:rPr>
        <w:t xml:space="preserve">66% </w:t>
      </w:r>
      <w:r w:rsidRPr="00986D12">
        <w:rPr>
          <w:rFonts w:asciiTheme="minorHAnsi" w:hAnsiTheme="minorHAnsi" w:cstheme="minorHAnsi"/>
        </w:rPr>
        <w:t xml:space="preserve">agreement (MS </w:t>
      </w:r>
      <w:proofErr w:type="spellStart"/>
      <w:r w:rsidRPr="00986D12">
        <w:rPr>
          <w:rFonts w:asciiTheme="minorHAnsi" w:hAnsiTheme="minorHAnsi" w:cstheme="minorHAnsi"/>
        </w:rPr>
        <w:t>Q12_g</w:t>
      </w:r>
      <w:proofErr w:type="spellEnd"/>
      <w:r w:rsidRPr="00986D12">
        <w:rPr>
          <w:rFonts w:asciiTheme="minorHAnsi" w:hAnsiTheme="minorHAnsi" w:cstheme="minorHAnsi"/>
        </w:rPr>
        <w:t xml:space="preserve">), and capacity-building support </w:t>
      </w:r>
      <w:r w:rsidRPr="00986D12">
        <w:rPr>
          <w:rFonts w:asciiTheme="minorHAnsi" w:hAnsiTheme="minorHAnsi" w:cstheme="minorHAnsi"/>
          <w:lang w:eastAsia="ko-KR"/>
        </w:rPr>
        <w:t xml:space="preserve">67% </w:t>
      </w:r>
      <w:r w:rsidRPr="00986D12">
        <w:rPr>
          <w:rFonts w:asciiTheme="minorHAnsi" w:hAnsiTheme="minorHAnsi" w:cstheme="minorHAnsi"/>
        </w:rPr>
        <w:t xml:space="preserve">(MS </w:t>
      </w:r>
      <w:proofErr w:type="spellStart"/>
      <w:r w:rsidRPr="00986D12">
        <w:rPr>
          <w:rFonts w:asciiTheme="minorHAnsi" w:hAnsiTheme="minorHAnsi" w:cstheme="minorHAnsi"/>
        </w:rPr>
        <w:t>Q12_h</w:t>
      </w:r>
      <w:proofErr w:type="spellEnd"/>
      <w:r w:rsidRPr="00986D12">
        <w:rPr>
          <w:rFonts w:asciiTheme="minorHAnsi" w:hAnsiTheme="minorHAnsi" w:cstheme="minorHAnsi"/>
        </w:rPr>
        <w:t>).</w:t>
      </w:r>
    </w:p>
    <w:p w14:paraId="685F23D5"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Seventy-two per cent agree that improved transparency on staffing, financials and activity implementation would strengthen regional presence (MS </w:t>
      </w:r>
      <w:proofErr w:type="spellStart"/>
      <w:r w:rsidRPr="00986D12">
        <w:rPr>
          <w:rFonts w:asciiTheme="minorHAnsi" w:hAnsiTheme="minorHAnsi" w:cstheme="minorHAnsi"/>
        </w:rPr>
        <w:t>Q5_a</w:t>
      </w:r>
      <w:proofErr w:type="spellEnd"/>
      <w:r w:rsidRPr="00986D12">
        <w:rPr>
          <w:rFonts w:asciiTheme="minorHAnsi" w:hAnsiTheme="minorHAnsi" w:cstheme="minorHAnsi"/>
        </w:rPr>
        <w:t>), suggesting demand for strengthened performance reporting.</w:t>
      </w:r>
    </w:p>
    <w:p w14:paraId="674B20F7" w14:textId="6F72D659"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6D22F660" w14:textId="7A4AF1A2"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Overall, documentation and surveys confirm that formal mechanisms for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tracking, and results monitoring are in place</w:t>
      </w:r>
      <w:r w:rsidRPr="00986D12">
        <w:rPr>
          <w:rFonts w:asciiTheme="minorHAnsi" w:hAnsiTheme="minorHAnsi" w:cstheme="minorHAnsi"/>
          <w:lang w:eastAsia="ko-KR"/>
        </w:rPr>
        <w:t xml:space="preserve"> in the three ITU Sectors</w:t>
      </w:r>
      <w:r w:rsidRPr="00986D12">
        <w:rPr>
          <w:rFonts w:asciiTheme="minorHAnsi" w:hAnsiTheme="minorHAnsi" w:cstheme="minorHAnsi"/>
        </w:rPr>
        <w:t>. Staff perception indicates that these mechanisms enhance coordination, while Member State responses suggest positive assessment of outcome delivery, alongside calls for increased transparency and strengthened reporting on implementation progress.</w:t>
      </w:r>
    </w:p>
    <w:p w14:paraId="7152A700"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Data Sources</w:t>
      </w:r>
    </w:p>
    <w:p w14:paraId="0ADD9B05" w14:textId="63575CBA"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lang w:eastAsia="ko-KR"/>
        </w:rPr>
        <w:t xml:space="preserve">Report on the implementation of the strategic plan and the activities of the Union for 2024-2025, </w:t>
      </w:r>
      <w:hyperlink r:id="rId97">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/35</w:t>
        </w:r>
      </w:hyperlink>
      <w:r w:rsidR="00250529" w:rsidRPr="008C431B">
        <w:rPr>
          <w:rFonts w:asciiTheme="minorHAnsi" w:hAnsiTheme="minorHAnsi" w:cstheme="minorHAnsi"/>
        </w:rPr>
        <w:t>.</w:t>
      </w:r>
    </w:p>
    <w:p w14:paraId="7290D792" w14:textId="74FE40AC"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2.</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ITU-R </w:t>
      </w:r>
      <w:r w:rsidR="00250529" w:rsidRPr="008C431B">
        <w:rPr>
          <w:rFonts w:asciiTheme="minorHAnsi" w:hAnsiTheme="minorHAnsi" w:cstheme="minorHAnsi"/>
          <w:lang w:eastAsia="ko-KR"/>
        </w:rPr>
        <w:t>d</w:t>
      </w:r>
      <w:r w:rsidR="00250529" w:rsidRPr="008C431B">
        <w:rPr>
          <w:rFonts w:asciiTheme="minorHAnsi" w:hAnsiTheme="minorHAnsi" w:cstheme="minorHAnsi"/>
        </w:rPr>
        <w:t xml:space="preserve">raft operational </w:t>
      </w:r>
      <w:r w:rsidR="00250529" w:rsidRPr="008C431B">
        <w:rPr>
          <w:rFonts w:asciiTheme="minorHAnsi" w:hAnsiTheme="minorHAnsi" w:cstheme="minorHAnsi"/>
          <w:lang w:eastAsia="ko-KR"/>
        </w:rPr>
        <w:t>p</w:t>
      </w:r>
      <w:r w:rsidR="00250529" w:rsidRPr="008C431B">
        <w:rPr>
          <w:rFonts w:asciiTheme="minorHAnsi" w:hAnsiTheme="minorHAnsi" w:cstheme="minorHAnsi"/>
        </w:rPr>
        <w:t xml:space="preserve">lan for 2026-2029 and 2024 performance report, </w:t>
      </w:r>
      <w:hyperlink r:id="rId98">
        <w:r w:rsidR="00250529" w:rsidRPr="008C431B">
          <w:rPr>
            <w:rFonts w:asciiTheme="minorHAnsi" w:hAnsiTheme="minorHAnsi" w:cstheme="minorHAnsi"/>
            <w:color w:val="467886"/>
            <w:u w:val="single"/>
            <w:lang w:eastAsia="ko-KR"/>
          </w:rPr>
          <w:t>RAG/37</w:t>
        </w:r>
      </w:hyperlink>
      <w:r w:rsidR="00250529" w:rsidRPr="008C431B">
        <w:rPr>
          <w:rFonts w:asciiTheme="minorHAnsi" w:hAnsiTheme="minorHAnsi" w:cstheme="minorHAnsi"/>
        </w:rPr>
        <w:t>.</w:t>
      </w:r>
    </w:p>
    <w:p w14:paraId="39AAE431" w14:textId="40460F05"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ITU-</w:t>
      </w:r>
      <w:r w:rsidR="00250529" w:rsidRPr="008C431B">
        <w:rPr>
          <w:rFonts w:asciiTheme="minorHAnsi" w:hAnsiTheme="minorHAnsi" w:cstheme="minorHAnsi"/>
          <w:lang w:eastAsia="ko-KR"/>
        </w:rPr>
        <w:t>T</w:t>
      </w:r>
      <w:r w:rsidR="00250529" w:rsidRPr="008C431B">
        <w:rPr>
          <w:rFonts w:asciiTheme="minorHAnsi" w:hAnsiTheme="minorHAnsi" w:cstheme="minorHAnsi"/>
        </w:rPr>
        <w:t xml:space="preserve"> </w:t>
      </w:r>
      <w:r w:rsidR="00250529" w:rsidRPr="008C431B">
        <w:rPr>
          <w:rFonts w:asciiTheme="minorHAnsi" w:hAnsiTheme="minorHAnsi" w:cstheme="minorHAnsi"/>
          <w:lang w:eastAsia="ko-KR"/>
        </w:rPr>
        <w:t>d</w:t>
      </w:r>
      <w:r w:rsidR="00250529" w:rsidRPr="008C431B">
        <w:rPr>
          <w:rFonts w:asciiTheme="minorHAnsi" w:hAnsiTheme="minorHAnsi" w:cstheme="minorHAnsi"/>
        </w:rPr>
        <w:t xml:space="preserve">raft operational </w:t>
      </w:r>
      <w:r w:rsidR="00250529" w:rsidRPr="008C431B">
        <w:rPr>
          <w:rFonts w:asciiTheme="minorHAnsi" w:hAnsiTheme="minorHAnsi" w:cstheme="minorHAnsi"/>
          <w:lang w:eastAsia="ko-KR"/>
        </w:rPr>
        <w:t>p</w:t>
      </w:r>
      <w:r w:rsidR="00250529" w:rsidRPr="008C431B">
        <w:rPr>
          <w:rFonts w:asciiTheme="minorHAnsi" w:hAnsiTheme="minorHAnsi" w:cstheme="minorHAnsi"/>
        </w:rPr>
        <w:t xml:space="preserve">lan for 2026-2029 and 2024 performance report, </w:t>
      </w:r>
      <w:hyperlink r:id="rId99">
        <w:r w:rsidR="00250529" w:rsidRPr="008C431B">
          <w:rPr>
            <w:rFonts w:asciiTheme="minorHAnsi" w:hAnsiTheme="minorHAnsi" w:cstheme="minorHAnsi"/>
            <w:color w:val="467886"/>
            <w:u w:val="single"/>
            <w:lang w:eastAsia="ko-KR"/>
          </w:rPr>
          <w:t>TSAG-</w:t>
        </w:r>
        <w:proofErr w:type="spellStart"/>
        <w:r w:rsidR="00250529" w:rsidRPr="008C431B">
          <w:rPr>
            <w:rFonts w:asciiTheme="minorHAnsi" w:hAnsiTheme="minorHAnsi" w:cstheme="minorHAnsi"/>
            <w:color w:val="467886"/>
            <w:u w:val="single"/>
            <w:lang w:eastAsia="ko-KR"/>
          </w:rPr>
          <w:t>TD137</w:t>
        </w:r>
        <w:proofErr w:type="spellEnd"/>
      </w:hyperlink>
      <w:r w:rsidR="00250529" w:rsidRPr="008C431B">
        <w:rPr>
          <w:rFonts w:asciiTheme="minorHAnsi" w:hAnsiTheme="minorHAnsi" w:cstheme="minorHAnsi"/>
        </w:rPr>
        <w:t>.</w:t>
      </w:r>
    </w:p>
    <w:p w14:paraId="6C00F1DB" w14:textId="68EE6FFD" w:rsidR="00250529" w:rsidRPr="008C431B" w:rsidRDefault="008C431B" w:rsidP="008C431B">
      <w:pPr>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4.</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ITU-D draft operational plan for 2026-2029 and 2024 performance report, </w:t>
      </w:r>
      <w:hyperlink r:id="rId100">
        <w:proofErr w:type="spellStart"/>
        <w:r w:rsidR="00250529" w:rsidRPr="008C431B">
          <w:rPr>
            <w:rFonts w:asciiTheme="minorHAnsi" w:hAnsiTheme="minorHAnsi" w:cstheme="minorHAnsi"/>
            <w:color w:val="467886"/>
            <w:u w:val="single"/>
          </w:rPr>
          <w:t>TDAG</w:t>
        </w:r>
        <w:proofErr w:type="spellEnd"/>
        <w:r w:rsidR="00250529" w:rsidRPr="008C431B">
          <w:rPr>
            <w:rFonts w:asciiTheme="minorHAnsi" w:hAnsiTheme="minorHAnsi" w:cstheme="minorHAnsi"/>
            <w:color w:val="467886"/>
            <w:u w:val="single"/>
          </w:rPr>
          <w:t>-25/40</w:t>
        </w:r>
      </w:hyperlink>
      <w:r w:rsidR="00250529" w:rsidRPr="008C431B">
        <w:rPr>
          <w:rFonts w:asciiTheme="minorHAnsi" w:hAnsiTheme="minorHAnsi" w:cstheme="minorHAnsi"/>
        </w:rPr>
        <w:t>.</w:t>
      </w:r>
    </w:p>
    <w:p w14:paraId="7B4B5864" w14:textId="77777777" w:rsidR="00250529" w:rsidRPr="00986D12" w:rsidRDefault="00250529" w:rsidP="005B5E68">
      <w:pPr>
        <w:pStyle w:val="KPItitle"/>
        <w:jc w:val="both"/>
        <w:rPr>
          <w:rFonts w:asciiTheme="minorHAnsi" w:hAnsiTheme="minorHAnsi" w:cstheme="minorHAnsi"/>
        </w:rPr>
      </w:pPr>
      <w:bookmarkStart w:id="138" w:name="_Toc224213063"/>
      <w:bookmarkStart w:id="139" w:name="_Toc224236494"/>
      <w:proofErr w:type="spellStart"/>
      <w:r w:rsidRPr="00986D12">
        <w:rPr>
          <w:rFonts w:asciiTheme="minorHAnsi" w:hAnsiTheme="minorHAnsi" w:cstheme="minorHAnsi"/>
        </w:rPr>
        <w:lastRenderedPageBreak/>
        <w:t>KPI</w:t>
      </w:r>
      <w:proofErr w:type="spellEnd"/>
      <w:r w:rsidRPr="00986D12">
        <w:rPr>
          <w:rFonts w:asciiTheme="minorHAnsi" w:hAnsiTheme="minorHAnsi" w:cstheme="minorHAnsi"/>
        </w:rPr>
        <w:t xml:space="preserve"> 19 — An indication of internal and external issues and challenges associated with implementation that impact the ability/feasibility of the regional presence achieving strategic objectives and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targets</w:t>
      </w:r>
      <w:bookmarkEnd w:id="138"/>
      <w:bookmarkEnd w:id="139"/>
    </w:p>
    <w:p w14:paraId="148ADBA8"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Survey responses indicate that mechanisms for identifying implementation challenges and integrating staff perspectives into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development are generally viewed as contributing to improved coordination and planning. Sixty-nine per cent</w:t>
      </w:r>
      <w:r w:rsidRPr="00986D12" w:rsidDel="00704A49">
        <w:rPr>
          <w:rFonts w:asciiTheme="minorHAnsi" w:hAnsiTheme="minorHAnsi" w:cstheme="minorHAnsi"/>
        </w:rPr>
        <w:t xml:space="preserve"> </w:t>
      </w:r>
      <w:r w:rsidRPr="00986D12">
        <w:rPr>
          <w:rFonts w:asciiTheme="minorHAnsi" w:hAnsiTheme="minorHAnsi" w:cstheme="minorHAnsi"/>
        </w:rPr>
        <w:t>of Internal Assessment respondents agree or strongly agree that staff engagement in the development of Telecommunication Development Advisory Group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enhances synergies in coordination and communication of activities, projects and initiatives (</w:t>
      </w:r>
      <w:proofErr w:type="spellStart"/>
      <w:r w:rsidRPr="00986D12">
        <w:rPr>
          <w:rFonts w:asciiTheme="minorHAnsi" w:hAnsiTheme="minorHAnsi" w:cstheme="minorHAnsi"/>
        </w:rPr>
        <w:t>Q26_a</w:t>
      </w:r>
      <w:proofErr w:type="spellEnd"/>
      <w:r w:rsidRPr="00986D12">
        <w:rPr>
          <w:rFonts w:asciiTheme="minorHAnsi" w:hAnsiTheme="minorHAnsi" w:cstheme="minorHAnsi"/>
        </w:rPr>
        <w:t xml:space="preserve">). This result suggests that staff participation in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formulation is perceived as an important mechanism for ensuring that performance indicators reflect operational realities and implementation constraints.</w:t>
      </w:r>
    </w:p>
    <w:p w14:paraId="2E19821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Perceptions are more mixed regarding the identification and communication of implementation challenges. While a substantial share of respondents recognizes the value of mechanisms designed to capture internal and external challenges affecting implementation (</w:t>
      </w:r>
      <w:proofErr w:type="spellStart"/>
      <w:r w:rsidRPr="00986D12">
        <w:rPr>
          <w:rFonts w:asciiTheme="minorHAnsi" w:hAnsiTheme="minorHAnsi" w:cstheme="minorHAnsi"/>
        </w:rPr>
        <w:t>Q26_d</w:t>
      </w:r>
      <w:proofErr w:type="spellEnd"/>
      <w:r w:rsidRPr="00986D12">
        <w:rPr>
          <w:rFonts w:asciiTheme="minorHAnsi" w:hAnsiTheme="minorHAnsi" w:cstheme="minorHAnsi"/>
        </w:rPr>
        <w:t>), responses indicate that such issues are not always consistently surfaced or systematically integrated into planning processes. Open-ended responses from the Internal Assessment highlight several recurring themes in this regard, including challenges related to recruitment processes, administrative procedures affecting project implementation, limitations in financial visibility at the regional level, and coordination challenges between headquarters and regional offices.</w:t>
      </w:r>
    </w:p>
    <w:p w14:paraId="23A07FD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Membership Survey open-ended responses reinforce the importance of identifying operational challenges early in the implementation cycle. Respondents emphasize the need for clearer communication on priorities, stronger coordination between regional and headquarters teams, and improved alignment between projects and evolving regional needs. Several responses also underline the importance of sustained engagement with national authorities and regional organizations to ensure that implementation challenges are identified early and addressed through adaptive programme management.</w:t>
      </w:r>
    </w:p>
    <w:p w14:paraId="5F54A8D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Insights from interviews with Regional Telecommunication Organizations (RTOs) further highlight structural and operational challenges affecting implementation. Interviewees emphasize the importance of maintaining continuous dialogue with regional stakeholders to capture evolving priorities and adjust initiatives during the implementation cycle. RTO representatives also underline the role of regional offices as “listening posts” capable of identifying emerging regional issues and translating them into programmatic adjustments, particularly in a context where technological and policy developments evolve rapidly.</w:t>
      </w:r>
    </w:p>
    <w:p w14:paraId="60AB0A71" w14:textId="14B044C2"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4C064957" w14:textId="2B9490CB"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Taken together, the evidence indicates that mechanisms exist to capture both internal and external challenges affecting implementation, and that staff engagement in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development contributes to improved coordination and planning. At the same time, survey responses and stakeholder feedback suggest that challenges related to administrative procedures, recruitment timelines, coordination across organizational units, and evolving regional priorities continue to affect implementation dynamics. </w:t>
      </w:r>
      <w:r w:rsidR="00B178B1">
        <w:rPr>
          <w:rFonts w:asciiTheme="minorHAnsi" w:hAnsiTheme="minorHAnsi" w:cstheme="minorHAnsi"/>
        </w:rPr>
        <w:t>The findings further suggest that s</w:t>
      </w:r>
      <w:r w:rsidRPr="00986D12">
        <w:rPr>
          <w:rFonts w:asciiTheme="minorHAnsi" w:hAnsiTheme="minorHAnsi" w:cstheme="minorHAnsi"/>
        </w:rPr>
        <w:t xml:space="preserve">trengthening mechanisms to systematically capture and communicate these challenges can further support the ability of regional presence to achieve strategic objectives and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targets.</w:t>
      </w:r>
    </w:p>
    <w:p w14:paraId="28387928" w14:textId="6756E53C" w:rsidR="00250529" w:rsidRPr="00986D12" w:rsidRDefault="00250529" w:rsidP="005B5E68">
      <w:pPr>
        <w:pStyle w:val="KPItitle"/>
        <w:jc w:val="both"/>
        <w:rPr>
          <w:rFonts w:asciiTheme="minorHAnsi" w:hAnsiTheme="minorHAnsi" w:cstheme="minorHAnsi"/>
        </w:rPr>
      </w:pPr>
      <w:bookmarkStart w:id="140" w:name="_Toc224213064"/>
      <w:bookmarkStart w:id="141" w:name="_Toc224236495"/>
      <w:proofErr w:type="spellStart"/>
      <w:r w:rsidRPr="00986D12">
        <w:rPr>
          <w:rFonts w:asciiTheme="minorHAnsi" w:hAnsiTheme="minorHAnsi" w:cstheme="minorHAnsi"/>
        </w:rPr>
        <w:lastRenderedPageBreak/>
        <w:t>KPI</w:t>
      </w:r>
      <w:proofErr w:type="spellEnd"/>
      <w:r w:rsidRPr="00986D12">
        <w:rPr>
          <w:rFonts w:asciiTheme="minorHAnsi" w:hAnsiTheme="minorHAnsi" w:cstheme="minorHAnsi"/>
        </w:rPr>
        <w:t xml:space="preserve"> 20 — If relevant, </w:t>
      </w:r>
      <w:r w:rsidR="001109D0">
        <w:rPr>
          <w:rFonts w:asciiTheme="minorHAnsi" w:hAnsiTheme="minorHAnsi" w:cstheme="minorHAnsi"/>
        </w:rPr>
        <w:t xml:space="preserve">recommendations on </w:t>
      </w:r>
      <w:r w:rsidRPr="00986D12">
        <w:rPr>
          <w:rFonts w:asciiTheme="minorHAnsi" w:hAnsiTheme="minorHAnsi" w:cstheme="minorHAnsi"/>
        </w:rPr>
        <w:t xml:space="preserve">new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that should be used to measure progress with achieving strategic goals and objectives</w:t>
      </w:r>
      <w:bookmarkEnd w:id="140"/>
      <w:bookmarkEnd w:id="141"/>
    </w:p>
    <w:p w14:paraId="198CB240"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Document analysis indicates that the current results-based management framework provides defined outputs, outcomes and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tracking mechanisms aligned with the Strategic and Financial Plans. Existing monitoring structures link regional activities to thematic priorities and measurable objectives.</w:t>
      </w:r>
    </w:p>
    <w:p w14:paraId="459EF600" w14:textId="77777777" w:rsidR="00250529" w:rsidRPr="00986D12" w:rsidRDefault="00250529" w:rsidP="005B5E68">
      <w:pPr>
        <w:jc w:val="both"/>
        <w:rPr>
          <w:rFonts w:asciiTheme="minorHAnsi" w:hAnsiTheme="minorHAnsi" w:cstheme="minorHAnsi"/>
          <w:lang w:eastAsia="ko-KR"/>
        </w:rPr>
      </w:pPr>
      <w:r w:rsidRPr="00986D12">
        <w:rPr>
          <w:rFonts w:asciiTheme="minorHAnsi" w:hAnsiTheme="minorHAnsi" w:cstheme="minorHAnsi"/>
        </w:rPr>
        <w:t>A</w:t>
      </w:r>
      <w:r w:rsidRPr="00986D12">
        <w:rPr>
          <w:rFonts w:asciiTheme="minorHAnsi" w:hAnsiTheme="minorHAnsi" w:cstheme="minorHAnsi"/>
          <w:lang w:eastAsia="ko-KR"/>
        </w:rPr>
        <w:t xml:space="preserve"> list of initial</w:t>
      </w:r>
      <w:r w:rsidRPr="00986D12">
        <w:rPr>
          <w:rFonts w:asciiTheme="minorHAnsi" w:hAnsiTheme="minorHAnsi" w:cstheme="minorHAnsi"/>
        </w:rPr>
        <w:t xml:space="preserve"> draft </w:t>
      </w:r>
      <w:r w:rsidRPr="00986D12">
        <w:rPr>
          <w:rFonts w:asciiTheme="minorHAnsi" w:hAnsiTheme="minorHAnsi" w:cstheme="minorHAnsi"/>
          <w:lang w:eastAsia="ko-KR"/>
        </w:rPr>
        <w:t>performance</w:t>
      </w:r>
      <w:r w:rsidRPr="00986D12">
        <w:rPr>
          <w:rFonts w:asciiTheme="minorHAnsi" w:hAnsiTheme="minorHAnsi" w:cstheme="minorHAnsi"/>
        </w:rPr>
        <w:t xml:space="preserve"> indicators</w:t>
      </w:r>
      <w:r w:rsidRPr="00986D12">
        <w:rPr>
          <w:rFonts w:asciiTheme="minorHAnsi" w:hAnsiTheme="minorHAnsi" w:cstheme="minorHAnsi"/>
          <w:lang w:eastAsia="ko-KR"/>
        </w:rPr>
        <w:t xml:space="preserve"> for the Strategic Plan 2028-2031 </w:t>
      </w:r>
      <w:r w:rsidRPr="00986D12">
        <w:rPr>
          <w:rFonts w:asciiTheme="minorHAnsi" w:hAnsiTheme="minorHAnsi" w:cstheme="minorHAnsi"/>
        </w:rPr>
        <w:t>was</w:t>
      </w:r>
      <w:r w:rsidRPr="00986D12">
        <w:rPr>
          <w:rFonts w:asciiTheme="minorHAnsi" w:hAnsiTheme="minorHAnsi" w:cstheme="minorHAnsi"/>
          <w:lang w:eastAsia="ko-KR"/>
        </w:rPr>
        <w:t xml:space="preserve"> </w:t>
      </w:r>
      <w:r w:rsidRPr="00986D12">
        <w:rPr>
          <w:rFonts w:asciiTheme="minorHAnsi" w:hAnsiTheme="minorHAnsi" w:cstheme="minorHAnsi"/>
        </w:rPr>
        <w:t>submitted</w:t>
      </w:r>
      <w:r w:rsidRPr="00986D12">
        <w:rPr>
          <w:rFonts w:asciiTheme="minorHAnsi" w:hAnsiTheme="minorHAnsi" w:cstheme="minorHAnsi"/>
          <w:lang w:eastAsia="ko-KR"/>
        </w:rPr>
        <w:t xml:space="preserve"> </w:t>
      </w:r>
      <w:r w:rsidRPr="00986D12">
        <w:rPr>
          <w:rFonts w:asciiTheme="minorHAnsi" w:hAnsiTheme="minorHAnsi" w:cstheme="minorHAnsi"/>
        </w:rPr>
        <w:t>for review</w:t>
      </w:r>
      <w:r w:rsidRPr="00986D12">
        <w:rPr>
          <w:rFonts w:asciiTheme="minorHAnsi" w:hAnsiTheme="minorHAnsi" w:cstheme="minorHAnsi"/>
          <w:lang w:eastAsia="ko-KR"/>
        </w:rPr>
        <w:t xml:space="preserve"> by the membership</w:t>
      </w:r>
      <w:r w:rsidRPr="00986D12">
        <w:rPr>
          <w:rFonts w:asciiTheme="minorHAnsi" w:hAnsiTheme="minorHAnsi" w:cstheme="minorHAnsi"/>
        </w:rPr>
        <w:t>.</w:t>
      </w:r>
      <w:r w:rsidRPr="00986D12">
        <w:rPr>
          <w:rFonts w:asciiTheme="minorHAnsi" w:hAnsiTheme="minorHAnsi" w:cstheme="minorHAnsi"/>
          <w:lang w:eastAsia="ko-KR"/>
        </w:rPr>
        <w:t xml:space="preserve"> </w:t>
      </w:r>
      <w:r w:rsidRPr="00986D12">
        <w:rPr>
          <w:rFonts w:asciiTheme="minorHAnsi" w:hAnsiTheme="minorHAnsi" w:cstheme="minorHAnsi"/>
        </w:rPr>
        <w:t>The indicators span:</w:t>
      </w:r>
    </w:p>
    <w:p w14:paraId="7E50330A" w14:textId="67C9F474"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Impact-level </w:t>
      </w:r>
      <w:proofErr w:type="spellStart"/>
      <w:r w:rsidR="00250529" w:rsidRPr="008C431B">
        <w:rPr>
          <w:rFonts w:asciiTheme="minorHAnsi" w:hAnsiTheme="minorHAnsi" w:cstheme="minorHAnsi"/>
        </w:rPr>
        <w:t>KPIs</w:t>
      </w:r>
      <w:proofErr w:type="spellEnd"/>
      <w:r w:rsidR="00250529" w:rsidRPr="008C431B">
        <w:rPr>
          <w:rFonts w:asciiTheme="minorHAnsi" w:hAnsiTheme="minorHAnsi" w:cstheme="minorHAnsi"/>
        </w:rPr>
        <w:t xml:space="preserve">, </w:t>
      </w:r>
      <w:r w:rsidR="00250529" w:rsidRPr="008C431B">
        <w:rPr>
          <w:rFonts w:asciiTheme="minorHAnsi" w:hAnsiTheme="minorHAnsi" w:cstheme="minorHAnsi"/>
          <w:lang w:eastAsia="ko-KR"/>
        </w:rPr>
        <w:t xml:space="preserve">related to and including </w:t>
      </w:r>
      <w:r w:rsidR="00250529" w:rsidRPr="008C431B">
        <w:rPr>
          <w:rFonts w:asciiTheme="minorHAnsi" w:hAnsiTheme="minorHAnsi" w:cstheme="minorHAnsi"/>
        </w:rPr>
        <w:t xml:space="preserve">broadband coverage, </w:t>
      </w:r>
      <w:r w:rsidR="00250529" w:rsidRPr="008C431B">
        <w:rPr>
          <w:rFonts w:asciiTheme="minorHAnsi" w:hAnsiTheme="minorHAnsi" w:cstheme="minorHAnsi"/>
          <w:lang w:eastAsia="ko-KR"/>
        </w:rPr>
        <w:t xml:space="preserve">device </w:t>
      </w:r>
      <w:r w:rsidR="00250529" w:rsidRPr="008C431B">
        <w:rPr>
          <w:rFonts w:asciiTheme="minorHAnsi" w:hAnsiTheme="minorHAnsi" w:cstheme="minorHAnsi"/>
        </w:rPr>
        <w:t>affordability, digital inclusion, and sustainability.</w:t>
      </w:r>
    </w:p>
    <w:p w14:paraId="65C30D0D" w14:textId="3F61D543"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rPr>
        <w:t xml:space="preserve">Outcome-level </w:t>
      </w:r>
      <w:proofErr w:type="spellStart"/>
      <w:r w:rsidR="00250529" w:rsidRPr="008C431B">
        <w:rPr>
          <w:rFonts w:asciiTheme="minorHAnsi" w:hAnsiTheme="minorHAnsi" w:cstheme="minorHAnsi"/>
        </w:rPr>
        <w:t>KPIs</w:t>
      </w:r>
      <w:proofErr w:type="spellEnd"/>
      <w:r w:rsidR="00250529" w:rsidRPr="008C431B">
        <w:rPr>
          <w:rFonts w:asciiTheme="minorHAnsi" w:hAnsiTheme="minorHAnsi" w:cstheme="minorHAnsi"/>
        </w:rPr>
        <w:t xml:space="preserve">, </w:t>
      </w:r>
      <w:r w:rsidR="00250529" w:rsidRPr="008C431B">
        <w:rPr>
          <w:rFonts w:asciiTheme="minorHAnsi" w:hAnsiTheme="minorHAnsi" w:cstheme="minorHAnsi"/>
          <w:lang w:eastAsia="ko-KR"/>
        </w:rPr>
        <w:t>related to</w:t>
      </w:r>
      <w:r w:rsidR="00250529" w:rsidRPr="008C431B">
        <w:rPr>
          <w:rFonts w:asciiTheme="minorHAnsi" w:hAnsiTheme="minorHAnsi" w:cstheme="minorHAnsi"/>
        </w:rPr>
        <w:t xml:space="preserve"> </w:t>
      </w:r>
      <w:r w:rsidR="00250529" w:rsidRPr="008C431B">
        <w:rPr>
          <w:rFonts w:asciiTheme="minorHAnsi" w:hAnsiTheme="minorHAnsi" w:cstheme="minorHAnsi"/>
          <w:lang w:eastAsia="ko-KR"/>
        </w:rPr>
        <w:t xml:space="preserve">and including </w:t>
      </w:r>
      <w:r w:rsidR="00250529" w:rsidRPr="008C431B">
        <w:rPr>
          <w:rFonts w:asciiTheme="minorHAnsi" w:hAnsiTheme="minorHAnsi" w:cstheme="minorHAnsi"/>
        </w:rPr>
        <w:t>spectrum management, connectivity, digital skills, cybersecurity, regulatory maturity, satisfaction, and resource allocation.</w:t>
      </w:r>
      <w:r w:rsidR="00250529" w:rsidRPr="00986D12">
        <w:rPr>
          <w:vertAlign w:val="superscript"/>
        </w:rPr>
        <w:footnoteReference w:id="19"/>
      </w:r>
    </w:p>
    <w:p w14:paraId="06D8A6D5"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Internal Assessment results show that </w:t>
      </w:r>
      <w:r w:rsidRPr="00986D12">
        <w:rPr>
          <w:rFonts w:asciiTheme="minorHAnsi" w:hAnsiTheme="minorHAnsi" w:cstheme="minorHAnsi"/>
          <w:lang w:eastAsia="ko-KR"/>
        </w:rPr>
        <w:t>63%</w:t>
      </w:r>
      <w:r w:rsidRPr="00986D12" w:rsidDel="00A12E96">
        <w:rPr>
          <w:rFonts w:asciiTheme="minorHAnsi" w:hAnsiTheme="minorHAnsi" w:cstheme="minorHAnsi"/>
        </w:rPr>
        <w:t xml:space="preserve"> </w:t>
      </w:r>
      <w:r w:rsidRPr="00986D12">
        <w:rPr>
          <w:rFonts w:asciiTheme="minorHAnsi" w:hAnsiTheme="minorHAnsi" w:cstheme="minorHAnsi"/>
        </w:rPr>
        <w:t xml:space="preserve">of staff respondents agree or strongly agree that evaluation of progress on relevant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and identification of internal and external implementation challenges enhances coordination and communication (IA </w:t>
      </w:r>
      <w:proofErr w:type="spellStart"/>
      <w:r w:rsidRPr="00986D12">
        <w:rPr>
          <w:rFonts w:asciiTheme="minorHAnsi" w:hAnsiTheme="minorHAnsi" w:cstheme="minorHAnsi"/>
        </w:rPr>
        <w:t>Q26_d</w:t>
      </w:r>
      <w:proofErr w:type="spellEnd"/>
      <w:r w:rsidRPr="00986D12">
        <w:rPr>
          <w:rFonts w:asciiTheme="minorHAnsi" w:hAnsiTheme="minorHAnsi" w:cstheme="minorHAnsi"/>
        </w:rPr>
        <w:t xml:space="preserve">). This suggests general confidence in the existing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evaluation mechanisms.</w:t>
      </w:r>
    </w:p>
    <w:p w14:paraId="4084FD90"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Membership perception data provide indirect signals regarding potential areas for strengthened measurement. Seventy-two per cent of Member State respondents agree that better data on staffing, financials and activity implementation would strengthen regional presence (MS </w:t>
      </w:r>
      <w:proofErr w:type="spellStart"/>
      <w:r w:rsidRPr="00986D12">
        <w:rPr>
          <w:rFonts w:asciiTheme="minorHAnsi" w:hAnsiTheme="minorHAnsi" w:cstheme="minorHAnsi"/>
        </w:rPr>
        <w:t>Q5_a</w:t>
      </w:r>
      <w:proofErr w:type="spellEnd"/>
      <w:r w:rsidRPr="00986D12">
        <w:rPr>
          <w:rFonts w:asciiTheme="minorHAnsi" w:hAnsiTheme="minorHAnsi" w:cstheme="minorHAnsi"/>
        </w:rPr>
        <w:t xml:space="preserve">). Agreement levels across effectiveness dimensions range from </w:t>
      </w:r>
      <w:r w:rsidRPr="00986D12">
        <w:rPr>
          <w:rFonts w:asciiTheme="minorHAnsi" w:hAnsiTheme="minorHAnsi" w:cstheme="minorHAnsi"/>
          <w:lang w:eastAsia="ko-KR"/>
        </w:rPr>
        <w:t xml:space="preserve">52% </w:t>
      </w:r>
      <w:r w:rsidRPr="00986D12">
        <w:rPr>
          <w:rFonts w:asciiTheme="minorHAnsi" w:hAnsiTheme="minorHAnsi" w:cstheme="minorHAnsi"/>
        </w:rPr>
        <w:t xml:space="preserve">for strategic planning support (MS </w:t>
      </w:r>
      <w:proofErr w:type="spellStart"/>
      <w:r w:rsidRPr="00986D12">
        <w:rPr>
          <w:rFonts w:asciiTheme="minorHAnsi" w:hAnsiTheme="minorHAnsi" w:cstheme="minorHAnsi"/>
        </w:rPr>
        <w:t>Q12_a</w:t>
      </w:r>
      <w:proofErr w:type="spellEnd"/>
      <w:r w:rsidRPr="00986D12">
        <w:rPr>
          <w:rFonts w:asciiTheme="minorHAnsi" w:hAnsiTheme="minorHAnsi" w:cstheme="minorHAnsi"/>
        </w:rPr>
        <w:t xml:space="preserve">) to </w:t>
      </w:r>
      <w:r w:rsidRPr="00986D12">
        <w:rPr>
          <w:rFonts w:asciiTheme="minorHAnsi" w:hAnsiTheme="minorHAnsi" w:cstheme="minorHAnsi"/>
          <w:lang w:eastAsia="ko-KR"/>
        </w:rPr>
        <w:t xml:space="preserve">73% </w:t>
      </w:r>
      <w:r w:rsidRPr="00986D12">
        <w:rPr>
          <w:rFonts w:asciiTheme="minorHAnsi" w:hAnsiTheme="minorHAnsi" w:cstheme="minorHAnsi"/>
        </w:rPr>
        <w:t xml:space="preserve">for dissemination of information and data (MS </w:t>
      </w:r>
      <w:proofErr w:type="spellStart"/>
      <w:r w:rsidRPr="00986D12">
        <w:rPr>
          <w:rFonts w:asciiTheme="minorHAnsi" w:hAnsiTheme="minorHAnsi" w:cstheme="minorHAnsi"/>
        </w:rPr>
        <w:t>Q12_c</w:t>
      </w:r>
      <w:proofErr w:type="spellEnd"/>
      <w:r w:rsidRPr="00986D12">
        <w:rPr>
          <w:rFonts w:asciiTheme="minorHAnsi" w:hAnsiTheme="minorHAnsi" w:cstheme="minorHAnsi"/>
        </w:rPr>
        <w:t xml:space="preserve">). Forty-three per cent agree that co-financed activities are aligned with national or regional priorities (MS </w:t>
      </w:r>
      <w:proofErr w:type="spellStart"/>
      <w:r w:rsidRPr="00986D12">
        <w:rPr>
          <w:rFonts w:asciiTheme="minorHAnsi" w:hAnsiTheme="minorHAnsi" w:cstheme="minorHAnsi"/>
        </w:rPr>
        <w:t>Q15</w:t>
      </w:r>
      <w:proofErr w:type="spellEnd"/>
      <w:r w:rsidRPr="00986D12">
        <w:rPr>
          <w:rFonts w:asciiTheme="minorHAnsi" w:hAnsiTheme="minorHAnsi" w:cstheme="minorHAnsi"/>
        </w:rPr>
        <w:t>), indicating comparatively lower perceived alignment in this area.</w:t>
      </w:r>
    </w:p>
    <w:p w14:paraId="3277FCCA" w14:textId="367DE8D6"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2ECB7171" w14:textId="7F5FF28A"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While a list of initial draft performance indicators has been submitted for review by the membership, no explicit </w:t>
      </w:r>
      <w:r w:rsidR="001109D0">
        <w:rPr>
          <w:rFonts w:asciiTheme="minorHAnsi" w:hAnsiTheme="minorHAnsi" w:cstheme="minorHAnsi"/>
        </w:rPr>
        <w:t xml:space="preserve">recommendations </w:t>
      </w:r>
      <w:r w:rsidRPr="00986D12">
        <w:rPr>
          <w:rFonts w:asciiTheme="minorHAnsi" w:hAnsiTheme="minorHAnsi" w:cstheme="minorHAnsi"/>
        </w:rPr>
        <w:t xml:space="preserve">for new </w:t>
      </w:r>
      <w:proofErr w:type="spellStart"/>
      <w:r w:rsidRPr="00986D12">
        <w:rPr>
          <w:rFonts w:asciiTheme="minorHAnsi" w:hAnsiTheme="minorHAnsi" w:cstheme="minorHAnsi"/>
        </w:rPr>
        <w:t>KPIs</w:t>
      </w:r>
      <w:proofErr w:type="spellEnd"/>
      <w:r w:rsidRPr="00986D12">
        <w:rPr>
          <w:rFonts w:asciiTheme="minorHAnsi" w:hAnsiTheme="minorHAnsi" w:cstheme="minorHAnsi"/>
        </w:rPr>
        <w:t xml:space="preserve"> emerge from the mapped evidence. Member State responses suggest that enhanced transparency, financial reporting, alignment monitoring and measurement of partnership outcomes may warrant strengthened or refined indicators within the existing framework.</w:t>
      </w:r>
    </w:p>
    <w:p w14:paraId="4DCBD118" w14:textId="77777777" w:rsidR="00250529" w:rsidRPr="00986D12" w:rsidRDefault="00250529" w:rsidP="005B5E68">
      <w:pPr>
        <w:jc w:val="both"/>
        <w:rPr>
          <w:rFonts w:asciiTheme="minorHAnsi" w:hAnsiTheme="minorHAnsi" w:cstheme="minorHAnsi"/>
        </w:rPr>
      </w:pPr>
      <w:proofErr w:type="gramStart"/>
      <w:r w:rsidRPr="00986D12">
        <w:rPr>
          <w:rFonts w:asciiTheme="minorHAnsi" w:hAnsiTheme="minorHAnsi" w:cstheme="minorHAnsi"/>
        </w:rPr>
        <w:t>On the basis of</w:t>
      </w:r>
      <w:proofErr w:type="gramEnd"/>
      <w:r w:rsidRPr="00986D12">
        <w:rPr>
          <w:rFonts w:asciiTheme="minorHAnsi" w:hAnsiTheme="minorHAnsi" w:cstheme="minorHAnsi"/>
        </w:rPr>
        <w:t xml:space="preserve"> available evidence, the current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structure appears operational and broadly supported. However, perception data indicate potential value in refining measurement of resource transparency, partnership alignment and activity impact to further strengthen progress monitoring against strategic goals.</w:t>
      </w:r>
    </w:p>
    <w:p w14:paraId="1F2165C7"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Data Sources</w:t>
      </w:r>
    </w:p>
    <w:p w14:paraId="5F4A57E3" w14:textId="0B80590D" w:rsidR="00250529" w:rsidRPr="008C431B" w:rsidRDefault="008C431B" w:rsidP="008C431B">
      <w:pPr>
        <w:spacing w:before="60" w:after="60"/>
        <w:ind w:left="720" w:hanging="360"/>
        <w:jc w:val="both"/>
        <w:rPr>
          <w:rFonts w:asciiTheme="minorHAnsi" w:eastAsia="Batang" w:hAnsiTheme="minorHAnsi" w:cstheme="minorHAnsi"/>
        </w:rPr>
      </w:pPr>
      <w:bookmarkStart w:id="142" w:name="_Hlk223889302"/>
      <w:r w:rsidRPr="00986D12">
        <w:rPr>
          <w:rFonts w:asciiTheme="minorHAnsi" w:eastAsia="Batang" w:hAnsiTheme="minorHAnsi" w:cstheme="minorHAnsi"/>
          <w:kern w:val="2"/>
          <w:sz w:val="22"/>
          <w:szCs w:val="22"/>
          <w14:ligatures w14:val="standardContextual"/>
        </w:rPr>
        <w:t>1.</w:t>
      </w:r>
      <w:r w:rsidRPr="00986D12">
        <w:rPr>
          <w:rFonts w:asciiTheme="minorHAnsi" w:eastAsia="Batang" w:hAnsiTheme="minorHAnsi" w:cstheme="minorHAnsi"/>
          <w:kern w:val="2"/>
          <w:sz w:val="22"/>
          <w:szCs w:val="22"/>
          <w14:ligatures w14:val="standardContextual"/>
        </w:rPr>
        <w:tab/>
      </w:r>
      <w:r w:rsidR="00250529" w:rsidRPr="008C431B">
        <w:rPr>
          <w:rFonts w:asciiTheme="minorHAnsi" w:eastAsia="Batang" w:hAnsiTheme="minorHAnsi" w:cstheme="minorHAnsi"/>
          <w:lang w:eastAsia="ko-KR"/>
        </w:rPr>
        <w:t xml:space="preserve">Initial draft performance indicators for Strategic Plan 2028-2031: </w:t>
      </w:r>
      <w:hyperlink r:id="rId101">
        <w:r w:rsidR="00250529" w:rsidRPr="008C431B">
          <w:rPr>
            <w:rFonts w:asciiTheme="minorHAnsi" w:hAnsiTheme="minorHAnsi" w:cstheme="minorHAnsi"/>
            <w:color w:val="467886"/>
            <w:u w:val="single"/>
          </w:rPr>
          <w:t>CWG-SFP-3/7</w:t>
        </w:r>
      </w:hyperlink>
      <w:bookmarkEnd w:id="142"/>
      <w:r w:rsidR="00250529" w:rsidRPr="008C431B">
        <w:rPr>
          <w:rFonts w:asciiTheme="minorHAnsi" w:hAnsiTheme="minorHAnsi" w:cstheme="minorHAnsi"/>
        </w:rPr>
        <w:t>.</w:t>
      </w:r>
    </w:p>
    <w:p w14:paraId="421A7C14" w14:textId="77777777" w:rsidR="00250529" w:rsidRPr="00986D12" w:rsidRDefault="00250529" w:rsidP="005B5E68">
      <w:pPr>
        <w:pStyle w:val="KPItitle"/>
        <w:jc w:val="both"/>
        <w:rPr>
          <w:rFonts w:asciiTheme="minorHAnsi" w:hAnsiTheme="minorHAnsi" w:cstheme="minorHAnsi"/>
        </w:rPr>
      </w:pPr>
      <w:bookmarkStart w:id="143" w:name="_Toc224213065"/>
      <w:bookmarkStart w:id="144" w:name="_Toc224236496"/>
      <w:proofErr w:type="spellStart"/>
      <w:r w:rsidRPr="00986D12">
        <w:rPr>
          <w:rFonts w:asciiTheme="minorHAnsi" w:hAnsiTheme="minorHAnsi" w:cstheme="minorHAnsi"/>
        </w:rPr>
        <w:lastRenderedPageBreak/>
        <w:t>KPI</w:t>
      </w:r>
      <w:proofErr w:type="spellEnd"/>
      <w:r w:rsidRPr="00986D12">
        <w:rPr>
          <w:rFonts w:asciiTheme="minorHAnsi" w:hAnsiTheme="minorHAnsi" w:cstheme="minorHAnsi"/>
        </w:rPr>
        <w:t xml:space="preserve"> 21 — </w:t>
      </w:r>
      <w:proofErr w:type="spellStart"/>
      <w:r w:rsidRPr="00986D12">
        <w:rPr>
          <w:rFonts w:asciiTheme="minorHAnsi" w:hAnsiTheme="minorHAnsi" w:cstheme="minorHAnsi"/>
        </w:rPr>
        <w:t>LDC</w:t>
      </w:r>
      <w:proofErr w:type="spellEnd"/>
      <w:r w:rsidRPr="00986D12">
        <w:rPr>
          <w:rFonts w:asciiTheme="minorHAnsi" w:hAnsiTheme="minorHAnsi" w:cstheme="minorHAnsi"/>
        </w:rPr>
        <w:t xml:space="preserve"> per-country assessments and action plans</w:t>
      </w:r>
      <w:bookmarkEnd w:id="143"/>
      <w:bookmarkEnd w:id="144"/>
    </w:p>
    <w:p w14:paraId="0D16D23A"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 xml:space="preserve">Membership Survey responses confirm support for </w:t>
      </w:r>
      <w:proofErr w:type="spellStart"/>
      <w:r w:rsidRPr="00986D12">
        <w:rPr>
          <w:rFonts w:asciiTheme="minorHAnsi" w:hAnsiTheme="minorHAnsi" w:cstheme="minorHAnsi"/>
          <w:lang w:eastAsia="en-GB"/>
        </w:rPr>
        <w:t>LDC</w:t>
      </w:r>
      <w:proofErr w:type="spellEnd"/>
      <w:r w:rsidRPr="00986D12">
        <w:rPr>
          <w:rFonts w:asciiTheme="minorHAnsi" w:hAnsiTheme="minorHAnsi" w:cstheme="minorHAnsi"/>
          <w:lang w:eastAsia="en-GB"/>
        </w:rPr>
        <w:t xml:space="preserve"> per-country assessments and action plans. Fifty-five per cent of Member State respondents agree that per-country assessments and action plans for </w:t>
      </w:r>
      <w:proofErr w:type="spellStart"/>
      <w:r w:rsidRPr="00986D12">
        <w:rPr>
          <w:rFonts w:asciiTheme="minorHAnsi" w:hAnsiTheme="minorHAnsi" w:cstheme="minorHAnsi"/>
          <w:lang w:eastAsia="en-GB"/>
        </w:rPr>
        <w:t>LDCs</w:t>
      </w:r>
      <w:proofErr w:type="spellEnd"/>
      <w:r w:rsidRPr="00986D12">
        <w:rPr>
          <w:rFonts w:asciiTheme="minorHAnsi" w:hAnsiTheme="minorHAnsi" w:cstheme="minorHAnsi"/>
          <w:lang w:eastAsia="en-GB"/>
        </w:rPr>
        <w:t xml:space="preserve"> would strengthen the ability of Regional Offices to provide member support (MS </w:t>
      </w:r>
      <w:proofErr w:type="spellStart"/>
      <w:r w:rsidRPr="00986D12">
        <w:rPr>
          <w:rFonts w:asciiTheme="minorHAnsi" w:hAnsiTheme="minorHAnsi" w:cstheme="minorHAnsi"/>
          <w:lang w:eastAsia="en-GB"/>
        </w:rPr>
        <w:t>Q4</w:t>
      </w:r>
      <w:proofErr w:type="spellEnd"/>
      <w:r w:rsidRPr="00986D12">
        <w:rPr>
          <w:rFonts w:asciiTheme="minorHAnsi" w:hAnsiTheme="minorHAnsi" w:cstheme="minorHAnsi"/>
          <w:lang w:eastAsia="en-GB"/>
        </w:rPr>
        <w:t>).</w:t>
      </w:r>
    </w:p>
    <w:p w14:paraId="3F8BAF12"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 xml:space="preserve">Internal Assessment results indicate strong staff support for </w:t>
      </w:r>
      <w:proofErr w:type="spellStart"/>
      <w:r w:rsidRPr="00986D12">
        <w:rPr>
          <w:rFonts w:asciiTheme="minorHAnsi" w:hAnsiTheme="minorHAnsi" w:cstheme="minorHAnsi"/>
          <w:lang w:eastAsia="en-GB"/>
        </w:rPr>
        <w:t>LDC</w:t>
      </w:r>
      <w:proofErr w:type="spellEnd"/>
      <w:r w:rsidRPr="00986D12">
        <w:rPr>
          <w:rFonts w:asciiTheme="minorHAnsi" w:hAnsiTheme="minorHAnsi" w:cstheme="minorHAnsi"/>
          <w:lang w:eastAsia="en-GB"/>
        </w:rPr>
        <w:t xml:space="preserve"> per-country assessments. Seventy-two per cent</w:t>
      </w:r>
      <w:r w:rsidRPr="00986D12" w:rsidDel="00A12E96">
        <w:rPr>
          <w:rFonts w:asciiTheme="minorHAnsi" w:hAnsiTheme="minorHAnsi" w:cstheme="minorHAnsi"/>
          <w:lang w:eastAsia="en-GB"/>
        </w:rPr>
        <w:t xml:space="preserve"> </w:t>
      </w:r>
      <w:r w:rsidRPr="00986D12">
        <w:rPr>
          <w:rFonts w:asciiTheme="minorHAnsi" w:hAnsiTheme="minorHAnsi" w:cstheme="minorHAnsi"/>
          <w:lang w:eastAsia="en-GB"/>
        </w:rPr>
        <w:t xml:space="preserve">of staff respondents agree or strongly agree that, in the case of </w:t>
      </w:r>
      <w:proofErr w:type="spellStart"/>
      <w:r w:rsidRPr="00986D12">
        <w:rPr>
          <w:rFonts w:asciiTheme="minorHAnsi" w:hAnsiTheme="minorHAnsi" w:cstheme="minorHAnsi"/>
          <w:lang w:eastAsia="en-GB"/>
        </w:rPr>
        <w:t>LDCs</w:t>
      </w:r>
      <w:proofErr w:type="spellEnd"/>
      <w:r w:rsidRPr="00986D12">
        <w:rPr>
          <w:rFonts w:asciiTheme="minorHAnsi" w:hAnsiTheme="minorHAnsi" w:cstheme="minorHAnsi"/>
          <w:lang w:eastAsia="en-GB"/>
        </w:rPr>
        <w:t xml:space="preserve">, per-country assessments and action plans in telecommunication/ICT development would strengthen the ability of Regional Offices to provide adequate support (IA </w:t>
      </w:r>
      <w:proofErr w:type="spellStart"/>
      <w:r w:rsidRPr="00986D12">
        <w:rPr>
          <w:rFonts w:asciiTheme="minorHAnsi" w:hAnsiTheme="minorHAnsi" w:cstheme="minorHAnsi"/>
          <w:lang w:eastAsia="en-GB"/>
        </w:rPr>
        <w:t>Q9_j</w:t>
      </w:r>
      <w:proofErr w:type="spellEnd"/>
      <w:r w:rsidRPr="00986D12">
        <w:rPr>
          <w:rFonts w:asciiTheme="minorHAnsi" w:hAnsiTheme="minorHAnsi" w:cstheme="minorHAnsi"/>
          <w:lang w:eastAsia="en-GB"/>
        </w:rPr>
        <w:t>).</w:t>
      </w:r>
    </w:p>
    <w:p w14:paraId="6CC821A0" w14:textId="77777777" w:rsidR="00250529" w:rsidRPr="00986D12" w:rsidRDefault="00250529" w:rsidP="005B5E68">
      <w:pPr>
        <w:jc w:val="both"/>
        <w:rPr>
          <w:rFonts w:asciiTheme="minorHAnsi" w:hAnsiTheme="minorHAnsi" w:cstheme="minorHAnsi"/>
          <w:color w:val="000000"/>
          <w:lang w:eastAsia="en-GB"/>
        </w:rPr>
      </w:pPr>
      <w:r w:rsidRPr="00986D12">
        <w:rPr>
          <w:rFonts w:asciiTheme="minorHAnsi" w:hAnsiTheme="minorHAnsi" w:cstheme="minorHAnsi"/>
          <w:lang w:eastAsia="en-GB"/>
        </w:rPr>
        <w:t xml:space="preserve">Staff also express confidence in performance monitoring mechanisms. Sixty-three per cent agree that evaluation of progress on relevant </w:t>
      </w:r>
      <w:proofErr w:type="spellStart"/>
      <w:r w:rsidRPr="00986D12">
        <w:rPr>
          <w:rFonts w:asciiTheme="minorHAnsi" w:hAnsiTheme="minorHAnsi" w:cstheme="minorHAnsi"/>
          <w:lang w:eastAsia="en-GB"/>
        </w:rPr>
        <w:t>KPIs</w:t>
      </w:r>
      <w:proofErr w:type="spellEnd"/>
      <w:r w:rsidRPr="00986D12">
        <w:rPr>
          <w:rFonts w:asciiTheme="minorHAnsi" w:hAnsiTheme="minorHAnsi" w:cstheme="minorHAnsi"/>
          <w:lang w:eastAsia="en-GB"/>
        </w:rPr>
        <w:t xml:space="preserve"> and identification of implementation challenges enhance coordination and strategic feasibility (IA </w:t>
      </w:r>
      <w:proofErr w:type="spellStart"/>
      <w:r w:rsidRPr="00986D12">
        <w:rPr>
          <w:rFonts w:asciiTheme="minorHAnsi" w:hAnsiTheme="minorHAnsi" w:cstheme="minorHAnsi"/>
          <w:lang w:eastAsia="en-GB"/>
        </w:rPr>
        <w:t>Q26_d</w:t>
      </w:r>
      <w:proofErr w:type="spellEnd"/>
      <w:r w:rsidRPr="00986D12">
        <w:rPr>
          <w:rFonts w:asciiTheme="minorHAnsi" w:hAnsiTheme="minorHAnsi" w:cstheme="minorHAnsi"/>
          <w:lang w:eastAsia="en-GB"/>
        </w:rPr>
        <w:t>)</w:t>
      </w:r>
      <w:r w:rsidRPr="00986D12">
        <w:rPr>
          <w:rFonts w:asciiTheme="minorHAnsi" w:hAnsiTheme="minorHAnsi" w:cstheme="minorHAnsi"/>
          <w:color w:val="000000"/>
          <w:lang w:eastAsia="en-GB"/>
        </w:rPr>
        <w:t>.</w:t>
      </w:r>
    </w:p>
    <w:p w14:paraId="1CB93B00" w14:textId="5E5973D8"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38BF35C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Taken together, the evidence indicates majority support — particularly among staff — for </w:t>
      </w:r>
      <w:proofErr w:type="spellStart"/>
      <w:r w:rsidRPr="00986D12">
        <w:rPr>
          <w:rFonts w:asciiTheme="minorHAnsi" w:hAnsiTheme="minorHAnsi" w:cstheme="minorHAnsi"/>
        </w:rPr>
        <w:t>LDC</w:t>
      </w:r>
      <w:proofErr w:type="spellEnd"/>
      <w:r w:rsidRPr="00986D12">
        <w:rPr>
          <w:rFonts w:asciiTheme="minorHAnsi" w:hAnsiTheme="minorHAnsi" w:cstheme="minorHAnsi"/>
        </w:rPr>
        <w:t xml:space="preserve"> per-country assessments and action plans as instruments to strengthen regional support. While the operational value of country-specific planning in </w:t>
      </w:r>
      <w:proofErr w:type="spellStart"/>
      <w:r w:rsidRPr="00986D12">
        <w:rPr>
          <w:rFonts w:asciiTheme="minorHAnsi" w:hAnsiTheme="minorHAnsi" w:cstheme="minorHAnsi"/>
        </w:rPr>
        <w:t>LDC</w:t>
      </w:r>
      <w:proofErr w:type="spellEnd"/>
      <w:r w:rsidRPr="00986D12">
        <w:rPr>
          <w:rFonts w:asciiTheme="minorHAnsi" w:hAnsiTheme="minorHAnsi" w:cstheme="minorHAnsi"/>
        </w:rPr>
        <w:t xml:space="preserve"> contexts is supported by perception data, the financial implications remain undocumented within the available sources.</w:t>
      </w:r>
    </w:p>
    <w:p w14:paraId="1A7E0695" w14:textId="77777777" w:rsidR="00250529" w:rsidRPr="00986D12" w:rsidRDefault="00250529" w:rsidP="005B5E68">
      <w:pPr>
        <w:pStyle w:val="KPItitle"/>
        <w:jc w:val="both"/>
        <w:rPr>
          <w:rFonts w:asciiTheme="minorHAnsi" w:hAnsiTheme="minorHAnsi" w:cstheme="minorHAnsi"/>
        </w:rPr>
      </w:pPr>
      <w:bookmarkStart w:id="145" w:name="_Toc224213066"/>
      <w:bookmarkStart w:id="146" w:name="_Toc224236497"/>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22 — Details on fellowships awarded that demonstrate the extent to which fellowships are awarded in a fair and transparent manner (equitable geographical distribution, gender balance and the inclusion of delegates with disabilities)</w:t>
      </w:r>
      <w:bookmarkEnd w:id="145"/>
      <w:bookmarkEnd w:id="146"/>
    </w:p>
    <w:p w14:paraId="6FCF30F5"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Fellowship allocation follows established eligibility rules and allocation criteria designed to ensure equitable geographical distribution, gender balance and inclusion considerations.</w:t>
      </w:r>
      <w:r w:rsidRPr="00986D12">
        <w:rPr>
          <w:rFonts w:asciiTheme="minorHAnsi" w:hAnsiTheme="minorHAnsi" w:cstheme="minorHAnsi"/>
          <w:vertAlign w:val="superscript"/>
        </w:rPr>
        <w:footnoteReference w:id="20"/>
      </w:r>
      <w:r w:rsidRPr="00986D12">
        <w:rPr>
          <w:rFonts w:asciiTheme="minorHAnsi" w:hAnsiTheme="minorHAnsi" w:cstheme="minorHAnsi"/>
        </w:rPr>
        <w:t xml:space="preserve"> Allocation procedures operate within defined budget envelopes and are linked to participation in regional and global events.</w:t>
      </w:r>
    </w:p>
    <w:p w14:paraId="7A9614FF"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Regional distribution mechanisms provide for representation across regions and country groups, including developing countries and </w:t>
      </w:r>
      <w:proofErr w:type="spellStart"/>
      <w:r w:rsidRPr="00986D12">
        <w:rPr>
          <w:rFonts w:asciiTheme="minorHAnsi" w:hAnsiTheme="minorHAnsi" w:cstheme="minorHAnsi"/>
        </w:rPr>
        <w:t>LDCs</w:t>
      </w:r>
      <w:proofErr w:type="spellEnd"/>
      <w:r w:rsidRPr="00986D12">
        <w:rPr>
          <w:rFonts w:asciiTheme="minorHAnsi" w:hAnsiTheme="minorHAnsi" w:cstheme="minorHAnsi"/>
        </w:rPr>
        <w:t xml:space="preserve">. Detailed fellowship statistics for 2022–2025 </w:t>
      </w:r>
      <w:r w:rsidRPr="00986D12">
        <w:rPr>
          <w:rFonts w:asciiTheme="minorHAnsi" w:hAnsiTheme="minorHAnsi" w:cstheme="minorHAnsi"/>
          <w:lang w:eastAsia="ko-KR"/>
        </w:rPr>
        <w:t>highlight</w:t>
      </w:r>
      <w:r w:rsidRPr="00986D12">
        <w:rPr>
          <w:rFonts w:asciiTheme="minorHAnsi" w:hAnsiTheme="minorHAnsi" w:cstheme="minorHAnsi"/>
        </w:rPr>
        <w:t>:</w:t>
      </w:r>
    </w:p>
    <w:p w14:paraId="6AB06D5A" w14:textId="38A9F1F5"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Consistent allocation across all regions eligible for fellowships.</w:t>
      </w:r>
    </w:p>
    <w:p w14:paraId="0D5FF322" w14:textId="6CB20BDC"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Priority given to low- and middle-income developing countries, with eligibility lists reviewed annually and published.</w:t>
      </w:r>
    </w:p>
    <w:p w14:paraId="34FF263C" w14:textId="54AAB5A4"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Award rates across regions</w:t>
      </w:r>
      <w:r w:rsidR="00250529" w:rsidRPr="008C431B">
        <w:rPr>
          <w:rFonts w:asciiTheme="minorHAnsi" w:hAnsiTheme="minorHAnsi" w:cstheme="minorHAnsi"/>
          <w:lang w:eastAsia="ko-KR"/>
        </w:rPr>
        <w:t xml:space="preserve"> </w:t>
      </w:r>
      <w:r w:rsidR="00250529" w:rsidRPr="008C431B">
        <w:rPr>
          <w:rFonts w:asciiTheme="minorHAnsi" w:hAnsiTheme="minorHAnsi" w:cstheme="minorHAnsi"/>
        </w:rPr>
        <w:t>and years reached 67% on average under regular funds and</w:t>
      </w:r>
      <w:r w:rsidR="00250529" w:rsidRPr="008C431B">
        <w:rPr>
          <w:rFonts w:asciiTheme="minorHAnsi" w:hAnsiTheme="minorHAnsi" w:cstheme="minorHAnsi"/>
          <w:lang w:eastAsia="ko-KR"/>
        </w:rPr>
        <w:t xml:space="preserve"> </w:t>
      </w:r>
      <w:r w:rsidR="00250529" w:rsidRPr="008C431B">
        <w:rPr>
          <w:rFonts w:asciiTheme="minorHAnsi" w:hAnsiTheme="minorHAnsi" w:cstheme="minorHAnsi"/>
        </w:rPr>
        <w:t>91% under extrabudgetary funds.</w:t>
      </w:r>
      <w:r w:rsidR="00250529" w:rsidRPr="00986D12">
        <w:rPr>
          <w:vertAlign w:val="superscript"/>
        </w:rPr>
        <w:footnoteReference w:id="21"/>
      </w:r>
    </w:p>
    <w:p w14:paraId="3B6A9F3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Differentiation between regions is due to  factors, such as limits,</w:t>
      </w:r>
      <w:r w:rsidRPr="00986D12">
        <w:rPr>
          <w:rFonts w:asciiTheme="minorHAnsi" w:hAnsiTheme="minorHAnsi" w:cstheme="minorHAnsi"/>
          <w:lang w:eastAsia="ko-KR"/>
        </w:rPr>
        <w:t xml:space="preserve"> </w:t>
      </w:r>
      <w:r w:rsidRPr="00986D12">
        <w:rPr>
          <w:rFonts w:asciiTheme="minorHAnsi" w:hAnsiTheme="minorHAnsi" w:cstheme="minorHAnsi"/>
        </w:rPr>
        <w:t>per-country/per-individual</w:t>
      </w:r>
      <w:r w:rsidRPr="00986D12">
        <w:rPr>
          <w:rFonts w:asciiTheme="minorHAnsi" w:hAnsiTheme="minorHAnsi" w:cstheme="minorHAnsi"/>
          <w:lang w:eastAsia="ko-KR"/>
        </w:rPr>
        <w:t xml:space="preserve"> </w:t>
      </w:r>
      <w:r w:rsidRPr="00986D12">
        <w:rPr>
          <w:rFonts w:asciiTheme="minorHAnsi" w:hAnsiTheme="minorHAnsi" w:cstheme="minorHAnsi"/>
        </w:rPr>
        <w:t>in</w:t>
      </w:r>
      <w:r w:rsidRPr="00986D12">
        <w:rPr>
          <w:rFonts w:asciiTheme="minorHAnsi" w:hAnsiTheme="minorHAnsi" w:cstheme="minorHAnsi"/>
          <w:lang w:eastAsia="ko-KR"/>
        </w:rPr>
        <w:t xml:space="preserve"> </w:t>
      </w:r>
      <w:r w:rsidRPr="00986D12">
        <w:rPr>
          <w:rFonts w:asciiTheme="minorHAnsi" w:hAnsiTheme="minorHAnsi" w:cstheme="minorHAnsi"/>
        </w:rPr>
        <w:t>a financial year</w:t>
      </w:r>
      <w:r w:rsidRPr="00986D12">
        <w:rPr>
          <w:rFonts w:asciiTheme="minorHAnsi" w:hAnsiTheme="minorHAnsi" w:cstheme="minorHAnsi"/>
          <w:lang w:eastAsia="ko-KR"/>
        </w:rPr>
        <w:t xml:space="preserve"> in accordance with the policy for awarding fellowships, d</w:t>
      </w:r>
      <w:r w:rsidRPr="00986D12">
        <w:rPr>
          <w:rFonts w:asciiTheme="minorHAnsi" w:hAnsiTheme="minorHAnsi" w:cstheme="minorHAnsi"/>
        </w:rPr>
        <w:t>ifferences in the number of eligible countries per region</w:t>
      </w:r>
      <w:r w:rsidRPr="00986D12">
        <w:rPr>
          <w:rFonts w:asciiTheme="minorHAnsi" w:hAnsiTheme="minorHAnsi" w:cstheme="minorHAnsi"/>
          <w:lang w:eastAsia="ko-KR"/>
        </w:rPr>
        <w:t>, and v</w:t>
      </w:r>
      <w:r w:rsidRPr="00986D12">
        <w:rPr>
          <w:rFonts w:asciiTheme="minorHAnsi" w:hAnsiTheme="minorHAnsi" w:cstheme="minorHAnsi"/>
        </w:rPr>
        <w:t xml:space="preserve">ariations in application patterns (“fellowship </w:t>
      </w:r>
      <w:r w:rsidRPr="00986D12">
        <w:rPr>
          <w:rFonts w:asciiTheme="minorHAnsi" w:hAnsiTheme="minorHAnsi" w:cstheme="minorHAnsi"/>
        </w:rPr>
        <w:lastRenderedPageBreak/>
        <w:t>culture”), i.e.</w:t>
      </w:r>
      <w:r w:rsidRPr="00986D12">
        <w:rPr>
          <w:rFonts w:asciiTheme="minorHAnsi" w:hAnsiTheme="minorHAnsi" w:cstheme="minorHAnsi"/>
          <w:lang w:eastAsia="ko-KR"/>
        </w:rPr>
        <w:t xml:space="preserve"> </w:t>
      </w:r>
      <w:r w:rsidRPr="00986D12">
        <w:rPr>
          <w:rFonts w:asciiTheme="minorHAnsi" w:hAnsiTheme="minorHAnsi" w:cstheme="minorHAnsi"/>
        </w:rPr>
        <w:t>some regions are more proactive in requesting fellowships, while others rarely do.</w:t>
      </w:r>
    </w:p>
    <w:p w14:paraId="0469FB03" w14:textId="77777777" w:rsidR="00250529" w:rsidRPr="00986D12" w:rsidRDefault="00250529" w:rsidP="005B5E68">
      <w:pPr>
        <w:jc w:val="both"/>
        <w:rPr>
          <w:rFonts w:asciiTheme="minorHAnsi" w:hAnsiTheme="minorHAnsi" w:cstheme="minorHAnsi"/>
          <w:lang w:eastAsia="ko-KR"/>
        </w:rPr>
      </w:pPr>
      <w:r w:rsidRPr="00986D12">
        <w:rPr>
          <w:rFonts w:asciiTheme="minorHAnsi" w:hAnsiTheme="minorHAnsi" w:cstheme="minorHAnsi"/>
        </w:rPr>
        <w:t>Gender-disaggregated data are maintained within reporting frameworks, and participation of women is monitored as part of fellowship allocation processes.</w:t>
      </w:r>
      <w:r w:rsidRPr="00986D12">
        <w:rPr>
          <w:rFonts w:asciiTheme="minorHAnsi" w:hAnsiTheme="minorHAnsi" w:cstheme="minorHAnsi"/>
          <w:lang w:eastAsia="ko-KR"/>
        </w:rPr>
        <w:t xml:space="preserve"> Gender-disaggregated data for 2022–2025 show:</w:t>
      </w:r>
    </w:p>
    <w:p w14:paraId="70CF5E41" w14:textId="3E923EF3" w:rsidR="00250529" w:rsidRPr="008C431B" w:rsidRDefault="008C431B" w:rsidP="008C431B">
      <w:pPr>
        <w:tabs>
          <w:tab w:val="left" w:pos="720"/>
        </w:tabs>
        <w:spacing w:before="60" w:after="60"/>
        <w:ind w:left="720" w:hanging="360"/>
        <w:jc w:val="both"/>
        <w:rPr>
          <w:rFonts w:asciiTheme="minorHAnsi" w:hAnsiTheme="minorHAnsi" w:cstheme="minorHAnsi"/>
          <w:lang w:eastAsia="ko-KR"/>
        </w:rPr>
      </w:pPr>
      <w:r w:rsidRPr="00986D12">
        <w:rPr>
          <w:rFonts w:ascii="Symbol" w:eastAsia="Aptos" w:hAnsi="Symbol" w:cstheme="minorHAnsi"/>
          <w:kern w:val="2"/>
          <w:sz w:val="20"/>
          <w:szCs w:val="22"/>
          <w:lang w:eastAsia="ko-KR"/>
          <w14:ligatures w14:val="standardContextual"/>
        </w:rPr>
        <w:t></w:t>
      </w:r>
      <w:r w:rsidRPr="00986D12">
        <w:rPr>
          <w:rFonts w:ascii="Symbol" w:eastAsia="Aptos" w:hAnsi="Symbol" w:cstheme="minorHAnsi"/>
          <w:kern w:val="2"/>
          <w:sz w:val="20"/>
          <w:szCs w:val="22"/>
          <w:lang w:eastAsia="ko-KR"/>
          <w14:ligatures w14:val="standardContextual"/>
        </w:rPr>
        <w:tab/>
      </w:r>
      <w:r w:rsidR="00250529" w:rsidRPr="008C431B">
        <w:rPr>
          <w:rFonts w:asciiTheme="minorHAnsi" w:hAnsiTheme="minorHAnsi" w:cstheme="minorHAnsi"/>
          <w:lang w:eastAsia="ko-KR"/>
        </w:rPr>
        <w:t>Comparable award rates for women and men across both regular and extrabudgetary funding.</w:t>
      </w:r>
    </w:p>
    <w:p w14:paraId="5E5FDE58" w14:textId="7CC3BB9A" w:rsidR="00250529" w:rsidRPr="008C431B" w:rsidRDefault="008C431B" w:rsidP="008C431B">
      <w:pPr>
        <w:tabs>
          <w:tab w:val="left" w:pos="720"/>
        </w:tabs>
        <w:spacing w:before="60" w:after="60"/>
        <w:ind w:left="720" w:hanging="360"/>
        <w:jc w:val="both"/>
        <w:rPr>
          <w:rFonts w:asciiTheme="minorHAnsi" w:hAnsiTheme="minorHAnsi" w:cstheme="minorHAnsi"/>
          <w:lang w:eastAsia="ko-KR"/>
        </w:rPr>
      </w:pPr>
      <w:r w:rsidRPr="00986D12">
        <w:rPr>
          <w:rFonts w:ascii="Symbol" w:eastAsia="Aptos" w:hAnsi="Symbol" w:cstheme="minorHAnsi"/>
          <w:kern w:val="2"/>
          <w:sz w:val="20"/>
          <w:szCs w:val="22"/>
          <w:lang w:eastAsia="ko-KR"/>
          <w14:ligatures w14:val="standardContextual"/>
        </w:rPr>
        <w:t></w:t>
      </w:r>
      <w:r w:rsidRPr="00986D12">
        <w:rPr>
          <w:rFonts w:ascii="Symbol" w:eastAsia="Aptos" w:hAnsi="Symbol" w:cstheme="minorHAnsi"/>
          <w:kern w:val="2"/>
          <w:sz w:val="20"/>
          <w:szCs w:val="22"/>
          <w:lang w:eastAsia="ko-KR"/>
          <w14:ligatures w14:val="standardContextual"/>
        </w:rPr>
        <w:tab/>
      </w:r>
      <w:r w:rsidR="00250529" w:rsidRPr="008C431B">
        <w:rPr>
          <w:rFonts w:asciiTheme="minorHAnsi" w:hAnsiTheme="minorHAnsi" w:cstheme="minorHAnsi"/>
          <w:lang w:eastAsia="ko-KR"/>
        </w:rPr>
        <w:t>In several years, female award rates equal or exceed male award rates (e.g. 2023 and 2024 extrabudgetary fellowships).</w:t>
      </w:r>
      <w:r w:rsidR="00250529" w:rsidRPr="00986D12">
        <w:rPr>
          <w:vertAlign w:val="superscript"/>
          <w:lang w:eastAsia="ko-KR"/>
        </w:rPr>
        <w:footnoteReference w:id="22"/>
      </w:r>
      <w:r w:rsidR="00250529" w:rsidRPr="008C431B">
        <w:rPr>
          <w:rFonts w:asciiTheme="minorHAnsi" w:hAnsiTheme="minorHAnsi" w:cstheme="minorHAnsi"/>
          <w:lang w:eastAsia="ko-KR"/>
        </w:rPr>
        <w:t> </w:t>
      </w:r>
    </w:p>
    <w:p w14:paraId="1EE1C43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Reporting templates and financial tracking mechanisms support traceability of fellowship awards and enable oversight of distribution patterns across geographical and gender dimensions.</w:t>
      </w:r>
    </w:p>
    <w:p w14:paraId="563046B2"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Accessibility considerations for delegates with disabilities are referenced within </w:t>
      </w:r>
      <w:r w:rsidRPr="00986D12">
        <w:rPr>
          <w:rFonts w:asciiTheme="minorHAnsi" w:hAnsiTheme="minorHAnsi" w:cstheme="minorHAnsi"/>
          <w:lang w:eastAsia="ko-KR"/>
        </w:rPr>
        <w:t>the policy</w:t>
      </w:r>
      <w:r w:rsidRPr="00986D12">
        <w:rPr>
          <w:rFonts w:asciiTheme="minorHAnsi" w:hAnsiTheme="minorHAnsi" w:cstheme="minorHAnsi"/>
        </w:rPr>
        <w:t xml:space="preserve">. Quantitative reporting on disability inclusion is </w:t>
      </w:r>
      <w:r w:rsidRPr="00986D12">
        <w:rPr>
          <w:rFonts w:asciiTheme="minorHAnsi" w:hAnsiTheme="minorHAnsi" w:cstheme="minorHAnsi"/>
          <w:lang w:eastAsia="ko-KR"/>
        </w:rPr>
        <w:t>however more difficult</w:t>
      </w:r>
      <w:r w:rsidRPr="00986D12">
        <w:rPr>
          <w:rFonts w:asciiTheme="minorHAnsi" w:hAnsiTheme="minorHAnsi" w:cstheme="minorHAnsi"/>
        </w:rPr>
        <w:t xml:space="preserve"> compared to geographical and gender distribution metrics</w:t>
      </w:r>
      <w:r w:rsidRPr="00986D12">
        <w:rPr>
          <w:rFonts w:asciiTheme="minorHAnsi" w:hAnsiTheme="minorHAnsi" w:cstheme="minorHAnsi"/>
          <w:lang w:eastAsia="ko-KR"/>
        </w:rPr>
        <w:t>, because no requests for assistance have been recorded to date, suggesting that applicants either do not have such needs or do not wish to disclose them</w:t>
      </w:r>
      <w:r w:rsidRPr="00986D12">
        <w:rPr>
          <w:rFonts w:asciiTheme="minorHAnsi" w:hAnsiTheme="minorHAnsi" w:cstheme="minorHAnsi"/>
        </w:rPr>
        <w:t>.</w:t>
      </w:r>
    </w:p>
    <w:p w14:paraId="3DF9BA30" w14:textId="5E2ACA1D"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5EA199CB" w14:textId="27977275"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fellowship framework operates under defined procedural safeguards with structured allocation criteria, financial controls and reporting mechanisms designed to support fairness and transparency in award distribution.</w:t>
      </w:r>
    </w:p>
    <w:p w14:paraId="7895F40F" w14:textId="77777777" w:rsidR="00250529" w:rsidRPr="00986D12" w:rsidRDefault="00250529" w:rsidP="005B5E68">
      <w:pPr>
        <w:pStyle w:val="Subtitle0"/>
        <w:jc w:val="both"/>
        <w:rPr>
          <w:rFonts w:asciiTheme="minorHAnsi" w:hAnsiTheme="minorHAnsi" w:cstheme="minorHAnsi"/>
          <w:b w:val="0"/>
          <w:bCs w:val="0"/>
        </w:rPr>
      </w:pPr>
      <w:r w:rsidRPr="00986D12">
        <w:rPr>
          <w:rFonts w:asciiTheme="minorHAnsi" w:hAnsiTheme="minorHAnsi" w:cstheme="minorHAnsi"/>
        </w:rPr>
        <w:t>Data Sources</w:t>
      </w:r>
    </w:p>
    <w:p w14:paraId="2BC0D232" w14:textId="344AC243"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hyperlink r:id="rId102" w:history="1">
        <w:r w:rsidR="00250529" w:rsidRPr="008C431B">
          <w:rPr>
            <w:rFonts w:asciiTheme="minorHAnsi" w:hAnsiTheme="minorHAnsi" w:cstheme="minorHAnsi"/>
            <w:color w:val="467886"/>
            <w:u w:val="single"/>
            <w:lang w:eastAsia="ko-KR"/>
          </w:rPr>
          <w:t>Policy for awarding fellowships for events and activities funded through the ITU regular budget</w:t>
        </w:r>
      </w:hyperlink>
      <w:r w:rsidR="00250529" w:rsidRPr="008C431B">
        <w:rPr>
          <w:rFonts w:asciiTheme="minorHAnsi" w:hAnsiTheme="minorHAnsi" w:cstheme="minorHAnsi"/>
          <w:lang w:eastAsia="ko-KR"/>
        </w:rPr>
        <w:t>, Service Order No. 21/02.</w:t>
      </w:r>
    </w:p>
    <w:p w14:paraId="1F4C8DA0" w14:textId="07CDDC33" w:rsidR="00250529" w:rsidRPr="008C431B" w:rsidRDefault="008C431B" w:rsidP="008C431B">
      <w:pPr>
        <w:tabs>
          <w:tab w:val="left" w:pos="720"/>
        </w:tabs>
        <w:spacing w:before="60" w:after="60"/>
        <w:ind w:left="720" w:hanging="360"/>
        <w:jc w:val="both"/>
        <w:rPr>
          <w:rFonts w:asciiTheme="minorHAnsi" w:eastAsia="Batang" w:hAnsiTheme="minorHAnsi" w:cstheme="minorHAnsi"/>
        </w:rPr>
      </w:pPr>
      <w:r w:rsidRPr="00986D12">
        <w:rPr>
          <w:rFonts w:asciiTheme="minorHAnsi" w:eastAsia="Batang" w:hAnsiTheme="minorHAnsi" w:cstheme="minorHAnsi"/>
          <w:kern w:val="2"/>
          <w:sz w:val="22"/>
          <w:szCs w:val="22"/>
          <w14:ligatures w14:val="standardContextual"/>
        </w:rPr>
        <w:t>2.</w:t>
      </w:r>
      <w:r w:rsidRPr="00986D12">
        <w:rPr>
          <w:rFonts w:asciiTheme="minorHAnsi" w:eastAsia="Batang" w:hAnsiTheme="minorHAnsi" w:cstheme="minorHAnsi"/>
          <w:kern w:val="2"/>
          <w:sz w:val="22"/>
          <w:szCs w:val="22"/>
          <w14:ligatures w14:val="standardContextual"/>
        </w:rPr>
        <w:tab/>
      </w:r>
      <w:hyperlink r:id="rId103" w:tgtFrame="_blank" w:history="1">
        <w:r w:rsidR="00250529" w:rsidRPr="008C431B">
          <w:rPr>
            <w:rFonts w:asciiTheme="minorHAnsi" w:eastAsia="Batang" w:hAnsiTheme="minorHAnsi" w:cstheme="minorHAnsi"/>
            <w:color w:val="467886"/>
            <w:u w:val="single"/>
            <w:lang w:val="en-US" w:eastAsia="ko-KR"/>
          </w:rPr>
          <w:t>ITU Fellowships Portal</w:t>
        </w:r>
      </w:hyperlink>
      <w:r w:rsidR="00250529" w:rsidRPr="008C431B">
        <w:rPr>
          <w:rFonts w:asciiTheme="minorHAnsi" w:hAnsiTheme="minorHAnsi" w:cstheme="minorHAnsi"/>
        </w:rPr>
        <w:t>.</w:t>
      </w:r>
    </w:p>
    <w:p w14:paraId="56E1F536" w14:textId="77777777" w:rsidR="00250529" w:rsidRPr="00986D12" w:rsidRDefault="00250529" w:rsidP="005B5E68">
      <w:pPr>
        <w:pStyle w:val="KPItitle"/>
        <w:jc w:val="both"/>
        <w:rPr>
          <w:rFonts w:asciiTheme="minorHAnsi" w:hAnsiTheme="minorHAnsi" w:cstheme="minorHAnsi"/>
        </w:rPr>
      </w:pPr>
      <w:bookmarkStart w:id="147" w:name="_Toc224213067"/>
      <w:bookmarkStart w:id="148" w:name="_Toc224236498"/>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23 — Analysis of the fellowship application process, based on feedback from Member States, that recommends possible process and format improvements to address gaps</w:t>
      </w:r>
      <w:bookmarkEnd w:id="147"/>
      <w:bookmarkEnd w:id="148"/>
    </w:p>
    <w:p w14:paraId="3588FA6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Member State contributions highlight several areas for strengthening the fellowship application process. Requests include publication of data on the number of fellowship requests received compared to fellowships granted, disaggregation by region and gender, and inclusion of delegates with disabilities or specific needs. Member States also call for improved regional budget balance, noting that a significant share of fellowship resources is allocated to global initiatives, leaving limited funding for regional activities.</w:t>
      </w:r>
      <w:r w:rsidRPr="00986D12">
        <w:rPr>
          <w:rFonts w:asciiTheme="minorHAnsi" w:hAnsiTheme="minorHAnsi" w:cstheme="minorHAnsi"/>
          <w:vertAlign w:val="superscript"/>
        </w:rPr>
        <w:footnoteReference w:id="23"/>
      </w:r>
    </w:p>
    <w:p w14:paraId="62FAF67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Concerns regarding accessibility and usability of the fellowship application process are raised. Member States request that the Secretariat analyse whether the process is perceived as </w:t>
      </w:r>
      <w:r w:rsidRPr="00986D12">
        <w:rPr>
          <w:rFonts w:asciiTheme="minorHAnsi" w:hAnsiTheme="minorHAnsi" w:cstheme="minorHAnsi"/>
        </w:rPr>
        <w:lastRenderedPageBreak/>
        <w:t>difficult or inaccessible and, where necessary, introduce improvements to the established format and procedures.</w:t>
      </w:r>
      <w:r w:rsidRPr="00986D12">
        <w:rPr>
          <w:rFonts w:asciiTheme="minorHAnsi" w:hAnsiTheme="minorHAnsi" w:cstheme="minorHAnsi"/>
          <w:vertAlign w:val="superscript"/>
        </w:rPr>
        <w:footnoteReference w:id="24"/>
      </w:r>
    </w:p>
    <w:p w14:paraId="50CE242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In response, several procedural enhancements have been introduced. A standardized fellowship application form has been deployed, providing clearer guidance and more detailed eligibility criteria. Automation of the fellowship request process has been initiated to streamline submission and review procedures. A dashboard is under development to provide transparent statistics on fellowship awards by year, sector, region, gender and other relevant categories.</w:t>
      </w:r>
    </w:p>
    <w:p w14:paraId="0F4D9562"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These measures </w:t>
      </w:r>
      <w:r w:rsidRPr="00986D12">
        <w:rPr>
          <w:rFonts w:asciiTheme="minorHAnsi" w:hAnsiTheme="minorHAnsi" w:cstheme="minorHAnsi"/>
          <w:lang w:eastAsia="ko-KR"/>
        </w:rPr>
        <w:t xml:space="preserve">aim to </w:t>
      </w:r>
      <w:r w:rsidRPr="00986D12">
        <w:rPr>
          <w:rFonts w:asciiTheme="minorHAnsi" w:hAnsiTheme="minorHAnsi" w:cstheme="minorHAnsi"/>
        </w:rPr>
        <w:t xml:space="preserve">address key gaps identified by Member States, including transparency, clarity of criteria and accessibility of the process. The introduction of standardized forms and digital automation supports consistency and traceability. Enhanced statistical reporting </w:t>
      </w:r>
      <w:r w:rsidRPr="00986D12">
        <w:rPr>
          <w:rFonts w:asciiTheme="minorHAnsi" w:hAnsiTheme="minorHAnsi" w:cstheme="minorHAnsi"/>
          <w:lang w:eastAsia="ko-KR"/>
        </w:rPr>
        <w:t xml:space="preserve">will </w:t>
      </w:r>
      <w:r w:rsidRPr="00986D12">
        <w:rPr>
          <w:rFonts w:asciiTheme="minorHAnsi" w:hAnsiTheme="minorHAnsi" w:cstheme="minorHAnsi"/>
        </w:rPr>
        <w:t>respond to requests for greater transparency in allocation patterns.</w:t>
      </w:r>
    </w:p>
    <w:p w14:paraId="39878E64" w14:textId="537C52F8"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7A100B67" w14:textId="780EACCC"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mapped evidence </w:t>
      </w:r>
      <w:r w:rsidRPr="00986D12">
        <w:rPr>
          <w:rFonts w:asciiTheme="minorHAnsi" w:hAnsiTheme="minorHAnsi" w:cstheme="minorHAnsi"/>
          <w:lang w:eastAsia="ko-KR"/>
        </w:rPr>
        <w:t>shows</w:t>
      </w:r>
      <w:r w:rsidRPr="00986D12">
        <w:rPr>
          <w:rFonts w:asciiTheme="minorHAnsi" w:hAnsiTheme="minorHAnsi" w:cstheme="minorHAnsi"/>
        </w:rPr>
        <w:t xml:space="preserve"> that Member State feedback has resulted in concrete process and format improvements as well as ongoing improvement initiatives. Continued monitoring of accessibility, regional budget balance and inclusion metrics will determine whether further refinements are required.</w:t>
      </w:r>
    </w:p>
    <w:p w14:paraId="5492560B"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Data Sources</w:t>
      </w:r>
    </w:p>
    <w:p w14:paraId="0CFBC5EE" w14:textId="5491CBD6" w:rsidR="00250529" w:rsidRPr="008C431B" w:rsidRDefault="008C431B" w:rsidP="008C431B">
      <w:pPr>
        <w:tabs>
          <w:tab w:val="left" w:pos="720"/>
        </w:tabs>
        <w:spacing w:before="60" w:after="60"/>
        <w:ind w:left="720" w:hanging="360"/>
        <w:jc w:val="both"/>
        <w:rPr>
          <w:rFonts w:asciiTheme="minorHAnsi" w:hAnsiTheme="minorHAnsi" w:cstheme="minorHAnsi"/>
          <w:lang w:eastAsia="ko-KR"/>
        </w:rPr>
      </w:pPr>
      <w:r w:rsidRPr="00986D12">
        <w:rPr>
          <w:rFonts w:asciiTheme="minorHAnsi" w:eastAsia="Aptos" w:hAnsiTheme="minorHAnsi" w:cstheme="minorHAnsi"/>
          <w:kern w:val="2"/>
          <w:sz w:val="22"/>
          <w:szCs w:val="22"/>
          <w:lang w:eastAsia="ko-KR"/>
          <w14:ligatures w14:val="standardContextual"/>
        </w:rPr>
        <w:t>1.</w:t>
      </w:r>
      <w:r w:rsidRPr="00986D12">
        <w:rPr>
          <w:rFonts w:asciiTheme="minorHAnsi" w:eastAsia="Aptos" w:hAnsiTheme="minorHAnsi" w:cstheme="minorHAnsi"/>
          <w:kern w:val="2"/>
          <w:sz w:val="22"/>
          <w:szCs w:val="22"/>
          <w:lang w:eastAsia="ko-KR"/>
          <w14:ligatures w14:val="standardContextual"/>
        </w:rPr>
        <w:tab/>
      </w:r>
      <w:r w:rsidR="00250529" w:rsidRPr="008C431B">
        <w:rPr>
          <w:rFonts w:asciiTheme="minorHAnsi" w:hAnsiTheme="minorHAnsi" w:cstheme="minorHAnsi"/>
          <w:lang w:eastAsia="ko-KR"/>
        </w:rPr>
        <w:t xml:space="preserve">Multi-country contribution - </w:t>
      </w:r>
      <w:r w:rsidR="00250529" w:rsidRPr="008C431B">
        <w:rPr>
          <w:rFonts w:asciiTheme="minorHAnsi" w:hAnsiTheme="minorHAnsi" w:cstheme="minorHAnsi"/>
        </w:rPr>
        <w:t>Measures to improve, promote and strengthen ITU fellowships</w:t>
      </w:r>
      <w:r w:rsidR="00250529" w:rsidRPr="008C431B">
        <w:rPr>
          <w:rFonts w:asciiTheme="minorHAnsi" w:hAnsiTheme="minorHAnsi" w:cstheme="minorHAnsi"/>
          <w:lang w:eastAsia="ko-KR"/>
        </w:rPr>
        <w:t xml:space="preserve">: </w:t>
      </w:r>
      <w:hyperlink r:id="rId104" w:tgtFrame="_blank" w:history="1">
        <w:proofErr w:type="spellStart"/>
        <w:r w:rsidR="00250529" w:rsidRPr="008C431B">
          <w:rPr>
            <w:rFonts w:asciiTheme="minorHAnsi" w:hAnsiTheme="minorHAnsi" w:cstheme="minorHAnsi"/>
            <w:color w:val="467886"/>
            <w:u w:val="single"/>
          </w:rPr>
          <w:t>C24</w:t>
        </w:r>
        <w:proofErr w:type="spellEnd"/>
        <w:r w:rsidR="00250529" w:rsidRPr="008C431B">
          <w:rPr>
            <w:rFonts w:asciiTheme="minorHAnsi" w:hAnsiTheme="minorHAnsi" w:cstheme="minorHAnsi"/>
            <w:color w:val="467886"/>
            <w:u w:val="single"/>
          </w:rPr>
          <w:t>/100</w:t>
        </w:r>
      </w:hyperlink>
      <w:r w:rsidR="00250529" w:rsidRPr="008C431B">
        <w:rPr>
          <w:rFonts w:asciiTheme="minorHAnsi" w:hAnsiTheme="minorHAnsi" w:cstheme="minorHAnsi"/>
        </w:rPr>
        <w:t>.</w:t>
      </w:r>
    </w:p>
    <w:p w14:paraId="31E4FE73" w14:textId="77777777" w:rsidR="00250529" w:rsidRPr="00986D12" w:rsidRDefault="00250529" w:rsidP="005B5E68">
      <w:pPr>
        <w:pStyle w:val="KPItitle"/>
        <w:jc w:val="both"/>
        <w:rPr>
          <w:rFonts w:asciiTheme="minorHAnsi" w:hAnsiTheme="minorHAnsi" w:cstheme="minorHAnsi"/>
        </w:rPr>
      </w:pPr>
      <w:bookmarkStart w:id="149" w:name="_Toc224213068"/>
      <w:bookmarkStart w:id="150" w:name="_Toc224236499"/>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24 — Representation of all three Sectors in Regional and Area Offices when implementing the One-ITU approach:</w:t>
      </w:r>
      <w:bookmarkEnd w:id="149"/>
      <w:bookmarkEnd w:id="150"/>
    </w:p>
    <w:p w14:paraId="39024417" w14:textId="2291277B"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a.</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Availability/Number of Focal Points for T and R Sectors in all </w:t>
      </w:r>
      <w:proofErr w:type="spellStart"/>
      <w:r w:rsidR="00250529" w:rsidRPr="008C431B">
        <w:rPr>
          <w:rFonts w:asciiTheme="minorHAnsi" w:hAnsiTheme="minorHAnsi" w:cstheme="minorHAnsi"/>
          <w:lang w:eastAsia="en-GB"/>
        </w:rPr>
        <w:t>ROs</w:t>
      </w:r>
      <w:proofErr w:type="spellEnd"/>
      <w:r w:rsidR="00250529" w:rsidRPr="008C431B">
        <w:rPr>
          <w:rFonts w:asciiTheme="minorHAnsi" w:hAnsiTheme="minorHAnsi" w:cstheme="minorHAnsi"/>
          <w:lang w:eastAsia="en-GB"/>
        </w:rPr>
        <w:t>/AOs</w:t>
      </w:r>
    </w:p>
    <w:p w14:paraId="26FAF6AE" w14:textId="0134047D"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b.</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Means of provision with technical staff with knowledge and experience of the three Sectors of the Union to the Ros/AOs, particularly dedicated staff from the Standardization and Radiocommunication Sectors, </w:t>
      </w:r>
      <w:proofErr w:type="gramStart"/>
      <w:r w:rsidR="00250529" w:rsidRPr="008C431B">
        <w:rPr>
          <w:rFonts w:asciiTheme="minorHAnsi" w:hAnsiTheme="minorHAnsi" w:cstheme="minorHAnsi"/>
          <w:lang w:eastAsia="en-GB"/>
        </w:rPr>
        <w:t>in order to</w:t>
      </w:r>
      <w:proofErr w:type="gramEnd"/>
      <w:r w:rsidR="00250529" w:rsidRPr="008C431B">
        <w:rPr>
          <w:rFonts w:asciiTheme="minorHAnsi" w:hAnsiTheme="minorHAnsi" w:cstheme="minorHAnsi"/>
          <w:lang w:eastAsia="en-GB"/>
        </w:rPr>
        <w:t xml:space="preserve"> strengthen and assist Member States</w:t>
      </w:r>
    </w:p>
    <w:p w14:paraId="04D64044" w14:textId="32578EBB"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c.</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Participation of Regional and Area Offices in the activities of all three Sectors (ITU</w:t>
      </w:r>
      <w:r w:rsidR="00250529" w:rsidRPr="008C431B">
        <w:rPr>
          <w:rFonts w:ascii="Cambria Math" w:hAnsi="Cambria Math" w:cs="Cambria Math"/>
          <w:lang w:eastAsia="en-GB"/>
        </w:rPr>
        <w:t>‑</w:t>
      </w:r>
      <w:r w:rsidR="00250529" w:rsidRPr="008C431B">
        <w:rPr>
          <w:rFonts w:asciiTheme="minorHAnsi" w:hAnsiTheme="minorHAnsi" w:cstheme="minorHAnsi"/>
          <w:lang w:eastAsia="en-GB"/>
        </w:rPr>
        <w:t>T and ITU-R in particular)</w:t>
      </w:r>
    </w:p>
    <w:p w14:paraId="2A6C1605"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combined evidence demonstrates that the One-ITU approach is institutionally embedded in Regional and Area Offices, but perceptions indicate uneven operational depth and visibility across regions.</w:t>
      </w:r>
    </w:p>
    <w:p w14:paraId="0F9582D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Forty-nine per cent of staff respondents agree that existing levels of access to technical staff from the three Sectors are adequate (</w:t>
      </w:r>
      <w:r w:rsidRPr="00986D12">
        <w:rPr>
          <w:rFonts w:asciiTheme="minorHAnsi" w:eastAsia="Avenir Nxt2 W1G" w:hAnsiTheme="minorHAnsi" w:cstheme="minorHAnsi"/>
        </w:rPr>
        <w:t xml:space="preserve">IA </w:t>
      </w:r>
      <w:proofErr w:type="spellStart"/>
      <w:r w:rsidRPr="00986D12">
        <w:rPr>
          <w:rFonts w:asciiTheme="minorHAnsi" w:eastAsia="Avenir Nxt2 W1G" w:hAnsiTheme="minorHAnsi" w:cstheme="minorHAnsi"/>
        </w:rPr>
        <w:t>Q5_a</w:t>
      </w:r>
      <w:proofErr w:type="spellEnd"/>
      <w:r w:rsidRPr="00986D12">
        <w:rPr>
          <w:rFonts w:asciiTheme="minorHAnsi" w:hAnsiTheme="minorHAnsi" w:cstheme="minorHAnsi"/>
        </w:rPr>
        <w:t>), and 26% remain neutral (</w:t>
      </w:r>
      <w:r w:rsidRPr="00986D12">
        <w:rPr>
          <w:rFonts w:asciiTheme="minorHAnsi" w:eastAsia="Avenir Nxt2 W1G" w:hAnsiTheme="minorHAnsi" w:cstheme="minorHAnsi"/>
        </w:rPr>
        <w:t xml:space="preserve">IA </w:t>
      </w:r>
      <w:proofErr w:type="spellStart"/>
      <w:r w:rsidRPr="00986D12">
        <w:rPr>
          <w:rFonts w:asciiTheme="minorHAnsi" w:eastAsia="Avenir Nxt2 W1G" w:hAnsiTheme="minorHAnsi" w:cstheme="minorHAnsi"/>
        </w:rPr>
        <w:t>Q5_a</w:t>
      </w:r>
      <w:proofErr w:type="spellEnd"/>
      <w:r w:rsidRPr="00986D12">
        <w:rPr>
          <w:rFonts w:asciiTheme="minorHAnsi" w:hAnsiTheme="minorHAnsi" w:cstheme="minorHAnsi"/>
        </w:rPr>
        <w:t>). These results suggest that baseline representation mechanisms are in place, yet a substantial share of respondents do not fully endorse their sufficiency. The neutral share further indicates that access to cross-Sector expertise may not be uniformly experienced across offices.</w:t>
      </w:r>
    </w:p>
    <w:p w14:paraId="75C8BDA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lastRenderedPageBreak/>
        <w:t>At the same time, 69% agree that access to dedicated staff from the Standardization and Radiocommunication Sectors would be beneficial (</w:t>
      </w:r>
      <w:r w:rsidRPr="00986D12">
        <w:rPr>
          <w:rFonts w:asciiTheme="minorHAnsi" w:eastAsia="Avenir Nxt2 W1G" w:hAnsiTheme="minorHAnsi" w:cstheme="minorHAnsi"/>
        </w:rPr>
        <w:t xml:space="preserve">IA </w:t>
      </w:r>
      <w:proofErr w:type="spellStart"/>
      <w:r w:rsidRPr="00986D12">
        <w:rPr>
          <w:rFonts w:asciiTheme="minorHAnsi" w:hAnsiTheme="minorHAnsi" w:cstheme="minorHAnsi"/>
        </w:rPr>
        <w:t>Q5_b</w:t>
      </w:r>
      <w:proofErr w:type="spellEnd"/>
      <w:r w:rsidRPr="00986D12">
        <w:rPr>
          <w:rFonts w:asciiTheme="minorHAnsi" w:hAnsiTheme="minorHAnsi" w:cstheme="minorHAnsi"/>
        </w:rPr>
        <w:t>). This strong support for enhanced dedicated expertise signals a perceived gap between current arrangements and desired operational capacity. While representation structures exist, they are not widely viewed as optimal in terms of depth or continuity.</w:t>
      </w:r>
    </w:p>
    <w:p w14:paraId="3120AA2D" w14:textId="77777777" w:rsidR="00250529" w:rsidRPr="00986D12" w:rsidRDefault="00250529" w:rsidP="005B5E68">
      <w:pPr>
        <w:jc w:val="both"/>
        <w:rPr>
          <w:rFonts w:asciiTheme="minorHAnsi" w:hAnsiTheme="minorHAnsi" w:cstheme="minorHAnsi"/>
          <w:highlight w:val="yellow"/>
        </w:rPr>
      </w:pPr>
      <w:r w:rsidRPr="00986D12">
        <w:rPr>
          <w:rFonts w:asciiTheme="minorHAnsi" w:hAnsiTheme="minorHAnsi" w:cstheme="minorHAnsi"/>
        </w:rPr>
        <w:t>Fifty-three per cent of staff agree that Regional and Area Offices participate actively in all three Sectors (</w:t>
      </w:r>
      <w:r w:rsidRPr="00986D12">
        <w:rPr>
          <w:rFonts w:asciiTheme="minorHAnsi" w:eastAsia="Avenir Nxt2 W1G" w:hAnsiTheme="minorHAnsi" w:cstheme="minorHAnsi"/>
        </w:rPr>
        <w:t xml:space="preserve">IA </w:t>
      </w:r>
      <w:proofErr w:type="spellStart"/>
      <w:r w:rsidRPr="00986D12">
        <w:rPr>
          <w:rFonts w:asciiTheme="minorHAnsi" w:hAnsiTheme="minorHAnsi" w:cstheme="minorHAnsi"/>
        </w:rPr>
        <w:t>Q4</w:t>
      </w:r>
      <w:proofErr w:type="spellEnd"/>
      <w:r w:rsidRPr="00986D12">
        <w:rPr>
          <w:rFonts w:asciiTheme="minorHAnsi" w:hAnsiTheme="minorHAnsi" w:cstheme="minorHAnsi"/>
        </w:rPr>
        <w:t xml:space="preserve">), while 28% disagree and 17% remain neutral (IA </w:t>
      </w:r>
      <w:proofErr w:type="spellStart"/>
      <w:r w:rsidRPr="00986D12">
        <w:rPr>
          <w:rFonts w:asciiTheme="minorHAnsi" w:hAnsiTheme="minorHAnsi" w:cstheme="minorHAnsi"/>
        </w:rPr>
        <w:t>Q4</w:t>
      </w:r>
      <w:proofErr w:type="spellEnd"/>
      <w:r w:rsidRPr="00986D12">
        <w:rPr>
          <w:rFonts w:asciiTheme="minorHAnsi" w:hAnsiTheme="minorHAnsi" w:cstheme="minorHAnsi"/>
        </w:rPr>
        <w:t>). These results indicate that cross-Sector engagement is present but not consistently perceived as active or systematic across regions. The level of disagreement suggests variability in implementation of the One-ITU approach at operational level. Sixty-six per cent</w:t>
      </w:r>
      <w:r w:rsidRPr="00986D12" w:rsidDel="0012506C">
        <w:rPr>
          <w:rFonts w:asciiTheme="minorHAnsi" w:hAnsiTheme="minorHAnsi" w:cstheme="minorHAnsi"/>
        </w:rPr>
        <w:t xml:space="preserve"> </w:t>
      </w:r>
      <w:r w:rsidRPr="00986D12">
        <w:rPr>
          <w:rFonts w:asciiTheme="minorHAnsi" w:hAnsiTheme="minorHAnsi" w:cstheme="minorHAnsi"/>
        </w:rPr>
        <w:t>of staff agree that increased physical presence of ITU staff from all bureaux would strengthen regional presence (</w:t>
      </w:r>
      <w:r w:rsidRPr="00986D12">
        <w:rPr>
          <w:rFonts w:asciiTheme="minorHAnsi" w:eastAsia="Avenir Nxt2 W1G" w:hAnsiTheme="minorHAnsi" w:cstheme="minorHAnsi"/>
        </w:rPr>
        <w:t xml:space="preserve">IA </w:t>
      </w:r>
      <w:proofErr w:type="spellStart"/>
      <w:r w:rsidRPr="00986D12">
        <w:rPr>
          <w:rFonts w:asciiTheme="minorHAnsi" w:eastAsia="Avenir Nxt2 W1G" w:hAnsiTheme="minorHAnsi" w:cstheme="minorHAnsi"/>
        </w:rPr>
        <w:t>Q</w:t>
      </w:r>
      <w:r w:rsidRPr="00986D12">
        <w:rPr>
          <w:rFonts w:asciiTheme="minorHAnsi" w:eastAsia="Malgun Gothic" w:hAnsiTheme="minorHAnsi" w:cstheme="minorHAnsi"/>
          <w:lang w:eastAsia="ko-KR"/>
        </w:rPr>
        <w:t>9_a</w:t>
      </w:r>
      <w:proofErr w:type="spellEnd"/>
      <w:r w:rsidRPr="00986D12">
        <w:rPr>
          <w:rFonts w:asciiTheme="minorHAnsi" w:hAnsiTheme="minorHAnsi" w:cstheme="minorHAnsi"/>
        </w:rPr>
        <w:t>).</w:t>
      </w:r>
    </w:p>
    <w:p w14:paraId="4D2D5996"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Membership responses align with this assessment, with 61% agreeing that increased physical presence would strengthen regional activities (</w:t>
      </w:r>
      <w:r w:rsidRPr="00986D12">
        <w:rPr>
          <w:rFonts w:asciiTheme="minorHAnsi" w:eastAsia="Avenir Nxt2 W1G" w:hAnsiTheme="minorHAnsi" w:cstheme="minorHAnsi"/>
        </w:rPr>
        <w:t xml:space="preserve">MS </w:t>
      </w:r>
      <w:proofErr w:type="spellStart"/>
      <w:r w:rsidRPr="00986D12">
        <w:rPr>
          <w:rFonts w:asciiTheme="minorHAnsi" w:eastAsia="Avenir Nxt2 W1G" w:hAnsiTheme="minorHAnsi" w:cstheme="minorHAnsi"/>
        </w:rPr>
        <w:t>Q5</w:t>
      </w:r>
      <w:proofErr w:type="spellEnd"/>
      <w:r w:rsidRPr="00986D12">
        <w:rPr>
          <w:rFonts w:asciiTheme="minorHAnsi" w:eastAsia="Avenir Nxt2 W1G" w:hAnsiTheme="minorHAnsi" w:cstheme="minorHAnsi"/>
        </w:rPr>
        <w:t>)</w:t>
      </w:r>
      <w:r w:rsidRPr="00986D12">
        <w:rPr>
          <w:rFonts w:asciiTheme="minorHAnsi" w:hAnsiTheme="minorHAnsi" w:cstheme="minorHAnsi"/>
        </w:rPr>
        <w:t>. This convergence between internal and external perspectives underscores the perceived importance of visible and sustained cross-bureau representation.</w:t>
      </w:r>
    </w:p>
    <w:p w14:paraId="5FD2B62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Interviews with Regional and Area Office representatives provide additional operational insight into how the One-ITU approach is implemented in practice. RTO respondents emphasized the importance of sustained intersectoral coordination at regional level and highlighted the value of structured access to ITU-T and ITU-R expertise in supporting the implementation of activities.</w:t>
      </w:r>
    </w:p>
    <w:p w14:paraId="31A27D70"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Several interviewees noted that the level of engagement of technical sectors in regional initiatives can vary depending on resource availability and thematic priorities. These reflections underscore a shared institutional objective to further consolidate intersectoral participation in regional programmes, ensuring that development activities are systematically enriched by ITU-T and ITU-R expertise.</w:t>
      </w:r>
    </w:p>
    <w:p w14:paraId="41B2FCE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Document analysis confirms that focal point arrangements and coordination mechanisms between Regional Offices and ITU-T and ITU-R are formally established. Organizational frameworks reflect commitment to integrated cross-Sector delivery. However, perception data indicate that formal designation of focal points does not automatically translate into consistent operational integration or sustained Sector participation in regional activities.</w:t>
      </w:r>
    </w:p>
    <w:p w14:paraId="7E3C1CFC" w14:textId="33052772"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58019C31" w14:textId="58D89332" w:rsidR="00250529" w:rsidRPr="00986D12" w:rsidRDefault="00250529" w:rsidP="005B5E68">
      <w:pPr>
        <w:jc w:val="both"/>
        <w:rPr>
          <w:rFonts w:asciiTheme="minorHAnsi" w:hAnsiTheme="minorHAnsi" w:cstheme="minorHAnsi"/>
        </w:rPr>
      </w:pPr>
      <w:r w:rsidRPr="00986D12">
        <w:rPr>
          <w:rFonts w:asciiTheme="minorHAnsi" w:hAnsiTheme="minorHAnsi" w:cstheme="minorHAnsi"/>
        </w:rPr>
        <w:t>Overall, the evidence demonstrates that representation of the three Sectors at regional level is structurally in place and broadly functioning. At the same time, moderate endorsement levels, combined with strong support for enhanced dedicated expertise and increased physical presence, indicate that strengthening cross-Sector integration would likely reinforce confidence in the practical implementation of the One-ITU approach at regional level.</w:t>
      </w:r>
    </w:p>
    <w:p w14:paraId="50D1D5B2"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Data Sources</w:t>
      </w:r>
    </w:p>
    <w:p w14:paraId="1CFFFBF6" w14:textId="54C90CCC" w:rsidR="00250529" w:rsidRPr="008C431B" w:rsidRDefault="008C431B" w:rsidP="008C431B">
      <w:pPr>
        <w:tabs>
          <w:tab w:val="left" w:pos="720"/>
        </w:tabs>
        <w:spacing w:before="60" w:after="60"/>
        <w:ind w:left="720" w:hanging="360"/>
        <w:jc w:val="both"/>
        <w:rPr>
          <w:rFonts w:asciiTheme="minorHAnsi" w:hAnsiTheme="minorHAnsi" w:cstheme="minorHAnsi"/>
          <w:color w:val="000000"/>
        </w:rPr>
      </w:pPr>
      <w:r w:rsidRPr="00986D12">
        <w:rPr>
          <w:rFonts w:asciiTheme="minorHAnsi" w:eastAsia="Aptos" w:hAnsiTheme="minorHAnsi" w:cstheme="minorHAnsi"/>
          <w:color w:val="000000"/>
          <w:kern w:val="2"/>
          <w:sz w:val="22"/>
          <w:szCs w:val="22"/>
          <w14:ligatures w14:val="standardContextual"/>
        </w:rPr>
        <w:t>1.</w:t>
      </w:r>
      <w:r w:rsidRPr="00986D12">
        <w:rPr>
          <w:rFonts w:asciiTheme="minorHAnsi" w:eastAsia="Aptos" w:hAnsiTheme="minorHAnsi" w:cstheme="minorHAnsi"/>
          <w:color w:val="000000"/>
          <w:kern w:val="2"/>
          <w:sz w:val="22"/>
          <w:szCs w:val="22"/>
          <w14:ligatures w14:val="standardContextual"/>
        </w:rPr>
        <w:tab/>
      </w:r>
      <w:r w:rsidR="00250529" w:rsidRPr="008C431B">
        <w:rPr>
          <w:rFonts w:asciiTheme="minorHAnsi" w:hAnsiTheme="minorHAnsi" w:cstheme="minorHAnsi"/>
          <w:color w:val="000000"/>
        </w:rPr>
        <w:t xml:space="preserve">Annual Report on the implementation of the strategic plan and activities of the Union, 2024, </w:t>
      </w:r>
      <w:hyperlink r:id="rId105">
        <w:r w:rsidR="00250529" w:rsidRPr="008C431B">
          <w:rPr>
            <w:rFonts w:asciiTheme="minorHAnsi" w:hAnsiTheme="minorHAnsi" w:cstheme="minorHAnsi"/>
            <w:color w:val="467886"/>
            <w:u w:val="single"/>
          </w:rPr>
          <w:t xml:space="preserve">Document </w:t>
        </w:r>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/35</w:t>
        </w:r>
      </w:hyperlink>
      <w:r w:rsidR="00250529" w:rsidRPr="008C431B">
        <w:rPr>
          <w:rFonts w:asciiTheme="minorHAnsi" w:hAnsiTheme="minorHAnsi" w:cstheme="minorHAnsi"/>
        </w:rPr>
        <w:t>.</w:t>
      </w:r>
    </w:p>
    <w:p w14:paraId="2371CE3B" w14:textId="1EBD6AA6"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2.</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Report on the implementation of the Kigali Action Plan (KAP), </w:t>
      </w:r>
      <w:hyperlink r:id="rId106">
        <w:r w:rsidR="00250529" w:rsidRPr="008C431B">
          <w:rPr>
            <w:rFonts w:asciiTheme="minorHAnsi" w:hAnsiTheme="minorHAnsi" w:cstheme="minorHAnsi"/>
            <w:color w:val="467886"/>
            <w:u w:val="single"/>
          </w:rPr>
          <w:t>Document WTDC-25/2</w:t>
        </w:r>
      </w:hyperlink>
      <w:r w:rsidR="00250529" w:rsidRPr="008C431B">
        <w:rPr>
          <w:rFonts w:asciiTheme="minorHAnsi" w:hAnsiTheme="minorHAnsi" w:cstheme="minorHAnsi"/>
        </w:rPr>
        <w:t>.</w:t>
      </w:r>
    </w:p>
    <w:p w14:paraId="60017A4F" w14:textId="4FD03454"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Public information: Press releases, BDT weekly highlights, event websites.</w:t>
      </w:r>
    </w:p>
    <w:p w14:paraId="33BE107A" w14:textId="051B9C33" w:rsidR="00250529" w:rsidRPr="008C431B" w:rsidRDefault="008C431B" w:rsidP="008C431B">
      <w:pPr>
        <w:tabs>
          <w:tab w:val="left" w:pos="720"/>
        </w:tabs>
        <w:spacing w:before="60" w:after="60"/>
        <w:ind w:left="720" w:hanging="360"/>
        <w:jc w:val="both"/>
        <w:rPr>
          <w:rFonts w:asciiTheme="minorHAnsi" w:hAnsiTheme="minorHAnsi" w:cstheme="minorHAnsi"/>
          <w:color w:val="000000"/>
        </w:rPr>
      </w:pPr>
      <w:r w:rsidRPr="00986D12">
        <w:rPr>
          <w:rFonts w:asciiTheme="minorHAnsi" w:eastAsia="Aptos" w:hAnsiTheme="minorHAnsi" w:cstheme="minorHAnsi"/>
          <w:color w:val="000000"/>
          <w:kern w:val="2"/>
          <w:sz w:val="22"/>
          <w:szCs w:val="22"/>
          <w14:ligatures w14:val="standardContextual"/>
        </w:rPr>
        <w:t>4.</w:t>
      </w:r>
      <w:r w:rsidRPr="00986D12">
        <w:rPr>
          <w:rFonts w:asciiTheme="minorHAnsi" w:eastAsia="Aptos" w:hAnsiTheme="minorHAnsi" w:cstheme="minorHAnsi"/>
          <w:color w:val="000000"/>
          <w:kern w:val="2"/>
          <w:sz w:val="22"/>
          <w:szCs w:val="22"/>
          <w14:ligatures w14:val="standardContextual"/>
        </w:rPr>
        <w:tab/>
      </w:r>
      <w:r w:rsidR="00250529" w:rsidRPr="008C431B">
        <w:rPr>
          <w:rFonts w:asciiTheme="minorHAnsi" w:hAnsiTheme="minorHAnsi" w:cstheme="minorHAnsi"/>
          <w:color w:val="000000"/>
        </w:rPr>
        <w:t xml:space="preserve">Public documents Strengthening ITU Regional Presence, </w:t>
      </w:r>
      <w:hyperlink r:id="rId107">
        <w:r w:rsidR="00250529" w:rsidRPr="008C431B">
          <w:rPr>
            <w:rFonts w:asciiTheme="minorHAnsi" w:hAnsiTheme="minorHAnsi" w:cstheme="minorHAnsi"/>
            <w:color w:val="467886"/>
            <w:u w:val="single"/>
          </w:rPr>
          <w:t xml:space="preserve">Document </w:t>
        </w:r>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/25</w:t>
        </w:r>
      </w:hyperlink>
      <w:r w:rsidR="00250529" w:rsidRPr="008C431B">
        <w:rPr>
          <w:rFonts w:asciiTheme="minorHAnsi" w:hAnsiTheme="minorHAnsi" w:cstheme="minorHAnsi"/>
        </w:rPr>
        <w:t>.</w:t>
      </w:r>
    </w:p>
    <w:p w14:paraId="1D8AE1C1" w14:textId="4F576822"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lastRenderedPageBreak/>
        <w:t>5.</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Internal consultation with ITU Regional/Area Offices.</w:t>
      </w:r>
    </w:p>
    <w:p w14:paraId="74035CE3" w14:textId="3DF4D9A4"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6.</w:t>
      </w:r>
      <w:r w:rsidRPr="00986D12">
        <w:rPr>
          <w:rFonts w:asciiTheme="minorHAnsi" w:eastAsia="Aptos" w:hAnsiTheme="minorHAnsi" w:cstheme="minorHAnsi"/>
          <w:kern w:val="2"/>
          <w:sz w:val="22"/>
          <w:szCs w:val="22"/>
          <w14:ligatures w14:val="standardContextual"/>
        </w:rPr>
        <w:tab/>
      </w:r>
      <w:r w:rsidR="00250529" w:rsidRPr="008C431B">
        <w:rPr>
          <w:rFonts w:asciiTheme="minorHAnsi" w:hAnsiTheme="minorHAnsi" w:cstheme="minorHAnsi"/>
        </w:rPr>
        <w:t xml:space="preserve">[67-GEN] Contribution of the ITU Regional Offices to the ITU-T Operational Plan and Coordination activities with TSB (July 2024 - April 2025), </w:t>
      </w:r>
      <w:hyperlink r:id="rId108">
        <w:r w:rsidR="00250529" w:rsidRPr="008C431B">
          <w:rPr>
            <w:rFonts w:asciiTheme="minorHAnsi" w:hAnsiTheme="minorHAnsi" w:cstheme="minorHAnsi"/>
            <w:color w:val="467886"/>
            <w:u w:val="single"/>
          </w:rPr>
          <w:t>https://</w:t>
        </w:r>
        <w:proofErr w:type="spellStart"/>
        <w:r w:rsidR="00250529" w:rsidRPr="008C431B">
          <w:rPr>
            <w:rFonts w:asciiTheme="minorHAnsi" w:hAnsiTheme="minorHAnsi" w:cstheme="minorHAnsi"/>
            <w:color w:val="467886"/>
            <w:u w:val="single"/>
          </w:rPr>
          <w:t>www.itu.int</w:t>
        </w:r>
        <w:proofErr w:type="spellEnd"/>
        <w:r w:rsidR="00250529" w:rsidRPr="008C431B">
          <w:rPr>
            <w:rFonts w:asciiTheme="minorHAnsi" w:hAnsiTheme="minorHAnsi" w:cstheme="minorHAnsi"/>
            <w:color w:val="467886"/>
            <w:u w:val="single"/>
          </w:rPr>
          <w:t>/md/</w:t>
        </w:r>
        <w:proofErr w:type="spellStart"/>
        <w:r w:rsidR="00250529" w:rsidRPr="008C431B">
          <w:rPr>
            <w:rFonts w:asciiTheme="minorHAnsi" w:hAnsiTheme="minorHAnsi" w:cstheme="minorHAnsi"/>
            <w:color w:val="467886"/>
            <w:u w:val="single"/>
          </w:rPr>
          <w:t>T25</w:t>
        </w:r>
        <w:proofErr w:type="spellEnd"/>
        <w:r w:rsidR="00250529" w:rsidRPr="008C431B">
          <w:rPr>
            <w:rFonts w:asciiTheme="minorHAnsi" w:hAnsiTheme="minorHAnsi" w:cstheme="minorHAnsi"/>
            <w:color w:val="467886"/>
            <w:u w:val="single"/>
          </w:rPr>
          <w:t>-TSAG-250526-TD-GEN-0067/en</w:t>
        </w:r>
      </w:hyperlink>
      <w:r w:rsidR="00250529" w:rsidRPr="008C431B">
        <w:rPr>
          <w:rFonts w:asciiTheme="minorHAnsi" w:hAnsiTheme="minorHAnsi" w:cstheme="minorHAnsi"/>
        </w:rPr>
        <w:t>.</w:t>
      </w:r>
    </w:p>
    <w:p w14:paraId="400F5E03" w14:textId="77777777" w:rsidR="00250529" w:rsidRPr="00986D12" w:rsidRDefault="00250529" w:rsidP="005B5E68">
      <w:pPr>
        <w:pStyle w:val="KPItitle"/>
        <w:jc w:val="both"/>
        <w:rPr>
          <w:rFonts w:asciiTheme="minorHAnsi" w:hAnsiTheme="minorHAnsi" w:cstheme="minorHAnsi"/>
        </w:rPr>
      </w:pPr>
      <w:bookmarkStart w:id="151" w:name="_Toc224213069"/>
      <w:bookmarkStart w:id="152" w:name="_Toc224236500"/>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25 — Assess whether the regional presence provides adequate information in respect of the following, in annual/periodic reporting regarding the regional presence (each of the regional/area offices) to the Directors of the three Bureaus, Advisory Bodies and Council, as appropriate:</w:t>
      </w:r>
      <w:bookmarkEnd w:id="151"/>
      <w:bookmarkEnd w:id="152"/>
    </w:p>
    <w:p w14:paraId="28966226" w14:textId="5CF5E884"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a.</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Staffing of regional and area offices, including number of staff members, their category of employment and other factors in accordance with Resolution 48 (Rev. Bucharest, 2022)</w:t>
      </w:r>
    </w:p>
    <w:p w14:paraId="2C40031A" w14:textId="309AF04B"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b.</w:t>
      </w:r>
      <w:r w:rsidRPr="00986D12">
        <w:rPr>
          <w:rFonts w:asciiTheme="minorHAnsi" w:eastAsia="Aptos" w:hAnsiTheme="minorHAnsi" w:cstheme="minorHAnsi"/>
          <w:kern w:val="2"/>
          <w:sz w:val="22"/>
          <w:szCs w:val="22"/>
          <w:lang w:eastAsia="en-GB"/>
          <w14:ligatures w14:val="standardContextual"/>
        </w:rPr>
        <w:tab/>
      </w:r>
      <w:proofErr w:type="gramStart"/>
      <w:r w:rsidR="00250529" w:rsidRPr="008C431B">
        <w:rPr>
          <w:rFonts w:asciiTheme="minorHAnsi" w:hAnsiTheme="minorHAnsi" w:cstheme="minorHAnsi"/>
          <w:lang w:eastAsia="en-GB"/>
        </w:rPr>
        <w:t>Financial</w:t>
      </w:r>
      <w:proofErr w:type="gramEnd"/>
      <w:r w:rsidR="00250529" w:rsidRPr="008C431B">
        <w:rPr>
          <w:rFonts w:asciiTheme="minorHAnsi" w:hAnsiTheme="minorHAnsi" w:cstheme="minorHAnsi"/>
          <w:lang w:eastAsia="en-GB"/>
        </w:rPr>
        <w:t xml:space="preserve"> information, including budget allocated to the regional and area offices and expenses per thematic priority and planned output</w:t>
      </w:r>
    </w:p>
    <w:p w14:paraId="2EC3D83C" w14:textId="02E7263C"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c.</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The implementation of activities (including those related to the three Sectors and the General Secretariat)</w:t>
      </w:r>
    </w:p>
    <w:p w14:paraId="2A4B3CD5" w14:textId="77777777" w:rsidR="00250529" w:rsidRPr="00986D12" w:rsidRDefault="00250529" w:rsidP="005B5E68">
      <w:pPr>
        <w:jc w:val="both"/>
        <w:rPr>
          <w:rFonts w:asciiTheme="minorHAnsi" w:eastAsia="DengXian Light" w:hAnsiTheme="minorHAnsi" w:cstheme="minorHAnsi"/>
          <w:lang w:eastAsia="en-GB"/>
        </w:rPr>
      </w:pPr>
      <w:r w:rsidRPr="00986D12">
        <w:rPr>
          <w:rFonts w:asciiTheme="minorHAnsi" w:hAnsiTheme="minorHAnsi" w:cstheme="minorHAnsi"/>
        </w:rPr>
        <w:t>The combined evidence indicates that reporting on regional presence is institutionally established and generally perceived as adequate, though not without scope for strengthening.</w:t>
      </w:r>
    </w:p>
    <w:p w14:paraId="23697259"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Membership responses show majority agreement that reporting to governance bodies provides adequate information. Fifty-nine per cent agree regarding reporting to Council, 58% regarding </w:t>
      </w:r>
      <w:proofErr w:type="spellStart"/>
      <w:r w:rsidRPr="00986D12">
        <w:rPr>
          <w:rFonts w:asciiTheme="minorHAnsi" w:hAnsiTheme="minorHAnsi" w:cstheme="minorHAnsi"/>
        </w:rPr>
        <w:t>TDAG</w:t>
      </w:r>
      <w:proofErr w:type="spellEnd"/>
      <w:r w:rsidRPr="00986D12">
        <w:rPr>
          <w:rFonts w:asciiTheme="minorHAnsi" w:hAnsiTheme="minorHAnsi" w:cstheme="minorHAnsi"/>
        </w:rPr>
        <w:t>, 53% regarding TSAG and 51% regarding RAG. These results indicate that more than half of responding Members consider reporting adequate, although the level of endorsement is moderately high rather than strong.</w:t>
      </w:r>
    </w:p>
    <w:p w14:paraId="1F54984D"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Staff responses display a similar pattern, with somewhat higher agreement levels. Sixty-eight percent agree that reporting to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is adequate, 66% regarding Council, 58% regarding TSAG and 57% regarding RAG. This suggests that internal stakeholders view reporting mechanisms as functioning.</w:t>
      </w:r>
    </w:p>
    <w:p w14:paraId="0B637EE5"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Regarding governance oversight, 57% of Members agree that more oversight by Advisory Bodies and Council would strengthen regional presence. This result indicates that, while reporting structures are in place, Members perceive value in reinforced scrutiny or enhanced visibility of information.</w:t>
      </w:r>
    </w:p>
    <w:p w14:paraId="0307BE28"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Document analysis confirms that periodic reporting frameworks include structured information on staffing levels per Regional and Area Office, including employment categories; financial allocations and expenditures by thematic priority; and implementation of projects and initiatives linked to strategic and operational plans. Reporting cycles and templates are aligned with Strategic Plan requirements, the Kigali Action Plan and four-year rolling operational plans. The inclusion of staffing data, financial information and implementation updates demonstrates formal compliance with reporting obligations.</w:t>
      </w:r>
    </w:p>
    <w:p w14:paraId="5B16C964" w14:textId="77777777" w:rsidR="00250529" w:rsidRPr="00986D12" w:rsidRDefault="00250529" w:rsidP="005B5E68">
      <w:pPr>
        <w:jc w:val="both"/>
        <w:rPr>
          <w:rFonts w:asciiTheme="minorHAnsi" w:hAnsiTheme="minorHAnsi" w:cstheme="minorHAnsi"/>
          <w:color w:val="000000"/>
          <w:lang w:eastAsia="en-GB"/>
        </w:rPr>
      </w:pPr>
      <w:r w:rsidRPr="00986D12">
        <w:rPr>
          <w:rFonts w:asciiTheme="minorHAnsi" w:hAnsiTheme="minorHAnsi" w:cstheme="minorHAnsi"/>
        </w:rPr>
        <w:t>However, perception data suggest that adequacy is not uniformly or strongly endorsed across all governance bodies. Agreement levels cluster between 51% and 68%, indicating that reporting is generally considered sufficient but could be strengthened in terms of clarity, granularity or comparability across regions and sectors</w:t>
      </w:r>
      <w:r w:rsidRPr="00986D12">
        <w:rPr>
          <w:rFonts w:asciiTheme="minorHAnsi" w:hAnsiTheme="minorHAnsi" w:cstheme="minorHAnsi"/>
          <w:color w:val="000000"/>
          <w:lang w:eastAsia="en-GB"/>
        </w:rPr>
        <w:t>.</w:t>
      </w:r>
    </w:p>
    <w:p w14:paraId="236F5532" w14:textId="4A07DB8D"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lastRenderedPageBreak/>
        <w:t xml:space="preserve">Conclusion </w:t>
      </w:r>
    </w:p>
    <w:p w14:paraId="63D28E14" w14:textId="6607F416" w:rsidR="00250529" w:rsidRPr="00986D12" w:rsidRDefault="00250529" w:rsidP="005B5E68">
      <w:pPr>
        <w:jc w:val="both"/>
        <w:rPr>
          <w:rFonts w:asciiTheme="minorHAnsi" w:hAnsiTheme="minorHAnsi" w:cstheme="minorHAnsi"/>
        </w:rPr>
      </w:pPr>
      <w:r w:rsidRPr="00986D12">
        <w:rPr>
          <w:rFonts w:asciiTheme="minorHAnsi" w:hAnsiTheme="minorHAnsi" w:cstheme="minorHAnsi"/>
        </w:rPr>
        <w:t>Overall, the evidence demonstrates that annual and periodic reporting on staffing, financial information and implementation is operational and embedded within governance processes. At the same time, moderately high agreement levels and support for enhanced oversight indicate scope for improving transparency and strengthening confidence in the reporting framework.</w:t>
      </w:r>
    </w:p>
    <w:p w14:paraId="1FA18AFB" w14:textId="77777777" w:rsidR="00250529" w:rsidRPr="00986D12" w:rsidRDefault="00250529" w:rsidP="00507BF5">
      <w:pPr>
        <w:pStyle w:val="Subtitle0"/>
        <w:rPr>
          <w:rFonts w:asciiTheme="minorHAnsi" w:hAnsiTheme="minorHAnsi" w:cstheme="minorHAnsi"/>
        </w:rPr>
      </w:pPr>
      <w:r w:rsidRPr="00986D12">
        <w:rPr>
          <w:rFonts w:asciiTheme="minorHAnsi" w:hAnsiTheme="minorHAnsi" w:cstheme="minorHAnsi"/>
        </w:rPr>
        <w:t>Data Sources</w:t>
      </w:r>
    </w:p>
    <w:p w14:paraId="135D8060" w14:textId="0C7DB0CD" w:rsidR="00250529" w:rsidRPr="00986D12" w:rsidRDefault="008C431B" w:rsidP="008C431B">
      <w:pPr>
        <w:pStyle w:val="TitleKPI"/>
        <w:numPr>
          <w:ilvl w:val="0"/>
          <w:numId w:val="0"/>
        </w:numPr>
        <w:ind w:left="357" w:hanging="357"/>
        <w:jc w:val="both"/>
        <w:rPr>
          <w:rFonts w:asciiTheme="minorHAnsi" w:hAnsiTheme="minorHAnsi" w:cstheme="minorHAnsi"/>
        </w:rPr>
      </w:pPr>
      <w:r w:rsidRPr="00986D12">
        <w:rPr>
          <w:rFonts w:asciiTheme="minorHAnsi" w:hAnsiTheme="minorHAnsi" w:cstheme="minorHAnsi"/>
        </w:rPr>
        <w:t>1.</w:t>
      </w:r>
      <w:r w:rsidRPr="00986D12">
        <w:rPr>
          <w:rFonts w:asciiTheme="minorHAnsi" w:hAnsiTheme="minorHAnsi" w:cstheme="minorHAnsi"/>
        </w:rPr>
        <w:tab/>
      </w:r>
      <w:proofErr w:type="spellStart"/>
      <w:r w:rsidR="00250529" w:rsidRPr="00986D12">
        <w:rPr>
          <w:rFonts w:asciiTheme="minorHAnsi" w:hAnsiTheme="minorHAnsi" w:cstheme="minorHAnsi"/>
        </w:rPr>
        <w:t>KPI</w:t>
      </w:r>
      <w:proofErr w:type="spellEnd"/>
      <w:r w:rsidR="00250529" w:rsidRPr="00986D12">
        <w:rPr>
          <w:rFonts w:asciiTheme="minorHAnsi" w:hAnsiTheme="minorHAnsi" w:cstheme="minorHAnsi"/>
        </w:rPr>
        <w:t xml:space="preserve"> </w:t>
      </w:r>
      <w:proofErr w:type="spellStart"/>
      <w:r w:rsidR="00250529" w:rsidRPr="00986D12">
        <w:rPr>
          <w:rFonts w:asciiTheme="minorHAnsi" w:hAnsiTheme="minorHAnsi" w:cstheme="minorHAnsi"/>
        </w:rPr>
        <w:t>25_a</w:t>
      </w:r>
      <w:proofErr w:type="spellEnd"/>
      <w:r w:rsidR="00250529" w:rsidRPr="00986D12">
        <w:rPr>
          <w:rFonts w:asciiTheme="minorHAnsi" w:hAnsiTheme="minorHAnsi" w:cstheme="minorHAnsi"/>
        </w:rPr>
        <w:t>:</w:t>
      </w:r>
    </w:p>
    <w:p w14:paraId="05129767" w14:textId="7B3A73E9" w:rsidR="00250529" w:rsidRPr="008C431B" w:rsidRDefault="008C431B" w:rsidP="008C431B">
      <w:pPr>
        <w:spacing w:before="60" w:after="60"/>
        <w:ind w:left="717" w:hanging="360"/>
        <w:jc w:val="both"/>
        <w:rPr>
          <w:rFonts w:asciiTheme="minorHAnsi" w:hAnsiTheme="minorHAnsi" w:cstheme="minorHAnsi"/>
          <w:lang w:val="en-US"/>
        </w:rPr>
      </w:pPr>
      <w:r w:rsidRPr="00986D12">
        <w:rPr>
          <w:rFonts w:ascii="Symbol" w:eastAsia="Aptos" w:hAnsi="Symbol" w:cstheme="minorHAnsi"/>
          <w:kern w:val="2"/>
          <w:sz w:val="22"/>
          <w:szCs w:val="22"/>
          <w:lang w:val="en-US"/>
          <w14:ligatures w14:val="standardContextual"/>
        </w:rPr>
        <w:t></w:t>
      </w:r>
      <w:r w:rsidRPr="00986D12">
        <w:rPr>
          <w:rFonts w:ascii="Symbol" w:eastAsia="Aptos" w:hAnsi="Symbol" w:cstheme="minorHAnsi"/>
          <w:kern w:val="2"/>
          <w:sz w:val="22"/>
          <w:szCs w:val="22"/>
          <w:lang w:val="en-US"/>
          <w14:ligatures w14:val="standardContextual"/>
        </w:rPr>
        <w:tab/>
      </w:r>
      <w:r w:rsidR="00250529" w:rsidRPr="008C431B">
        <w:rPr>
          <w:rFonts w:asciiTheme="minorHAnsi" w:hAnsiTheme="minorHAnsi" w:cstheme="minorHAnsi"/>
        </w:rPr>
        <w:t xml:space="preserve">Annual Report on the implementation of the strategic plan and activities of the Union Document </w:t>
      </w:r>
      <w:hyperlink r:id="rId109" w:history="1">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/35</w:t>
        </w:r>
      </w:hyperlink>
      <w:r w:rsidR="00250529" w:rsidRPr="008C431B">
        <w:rPr>
          <w:rFonts w:asciiTheme="minorHAnsi" w:hAnsiTheme="minorHAnsi" w:cstheme="minorHAnsi"/>
          <w:lang w:val="en-US"/>
        </w:rPr>
        <w:t>.</w:t>
      </w:r>
    </w:p>
    <w:p w14:paraId="35470A8F" w14:textId="789CF06A" w:rsidR="00250529" w:rsidRPr="008C431B" w:rsidRDefault="008C431B" w:rsidP="008C431B">
      <w:pPr>
        <w:spacing w:before="60" w:after="60"/>
        <w:ind w:left="717" w:hanging="360"/>
        <w:jc w:val="both"/>
        <w:rPr>
          <w:rFonts w:asciiTheme="minorHAnsi" w:hAnsiTheme="minorHAnsi" w:cstheme="minorHAnsi"/>
          <w:lang w:val="en-US"/>
        </w:rPr>
      </w:pPr>
      <w:r w:rsidRPr="00986D12">
        <w:rPr>
          <w:rFonts w:ascii="Symbol" w:eastAsia="Aptos" w:hAnsi="Symbol" w:cstheme="minorHAnsi"/>
          <w:kern w:val="2"/>
          <w:sz w:val="22"/>
          <w:szCs w:val="22"/>
          <w:lang w:val="en-US"/>
          <w14:ligatures w14:val="standardContextual"/>
        </w:rPr>
        <w:t></w:t>
      </w:r>
      <w:r w:rsidRPr="00986D12">
        <w:rPr>
          <w:rFonts w:ascii="Symbol" w:eastAsia="Aptos" w:hAnsi="Symbol" w:cstheme="minorHAnsi"/>
          <w:kern w:val="2"/>
          <w:sz w:val="22"/>
          <w:szCs w:val="22"/>
          <w:lang w:val="en-US"/>
          <w14:ligatures w14:val="standardContextual"/>
        </w:rPr>
        <w:tab/>
      </w:r>
      <w:r w:rsidR="00250529" w:rsidRPr="008C431B">
        <w:rPr>
          <w:rFonts w:asciiTheme="minorHAnsi" w:hAnsiTheme="minorHAnsi" w:cstheme="minorHAnsi"/>
        </w:rPr>
        <w:t xml:space="preserve">Initial draft performance indicators for strategic plan, Document </w:t>
      </w:r>
      <w:hyperlink r:id="rId110" w:history="1">
        <w:r w:rsidR="00250529" w:rsidRPr="008C431B">
          <w:rPr>
            <w:rFonts w:asciiTheme="minorHAnsi" w:hAnsiTheme="minorHAnsi" w:cstheme="minorHAnsi"/>
            <w:color w:val="467886"/>
            <w:u w:val="single"/>
          </w:rPr>
          <w:t>CWG-SFP-3/7</w:t>
        </w:r>
      </w:hyperlink>
      <w:r w:rsidR="00250529" w:rsidRPr="008C431B">
        <w:rPr>
          <w:rFonts w:asciiTheme="minorHAnsi" w:hAnsiTheme="minorHAnsi" w:cstheme="minorHAnsi"/>
        </w:rPr>
        <w:t>.</w:t>
      </w:r>
    </w:p>
    <w:p w14:paraId="016CD603" w14:textId="66B0D8C8" w:rsidR="00250529" w:rsidRPr="008C431B" w:rsidRDefault="008C431B" w:rsidP="008C431B">
      <w:pPr>
        <w:spacing w:before="60" w:after="60"/>
        <w:ind w:left="717" w:hanging="360"/>
        <w:jc w:val="both"/>
        <w:rPr>
          <w:rFonts w:asciiTheme="minorHAnsi" w:hAnsiTheme="minorHAnsi" w:cstheme="minorHAnsi"/>
          <w:lang w:val="en-US"/>
        </w:rPr>
      </w:pPr>
      <w:r w:rsidRPr="00986D12">
        <w:rPr>
          <w:rFonts w:ascii="Symbol" w:eastAsia="Aptos" w:hAnsi="Symbol" w:cstheme="minorHAnsi"/>
          <w:kern w:val="2"/>
          <w:sz w:val="22"/>
          <w:szCs w:val="22"/>
          <w:lang w:val="en-US"/>
          <w14:ligatures w14:val="standardContextual"/>
        </w:rPr>
        <w:t></w:t>
      </w:r>
      <w:r w:rsidRPr="00986D12">
        <w:rPr>
          <w:rFonts w:ascii="Symbol" w:eastAsia="Aptos" w:hAnsi="Symbol" w:cstheme="minorHAnsi"/>
          <w:kern w:val="2"/>
          <w:sz w:val="22"/>
          <w:szCs w:val="22"/>
          <w:lang w:val="en-US"/>
          <w14:ligatures w14:val="standardContextual"/>
        </w:rPr>
        <w:tab/>
      </w:r>
      <w:r w:rsidR="00250529" w:rsidRPr="008C431B">
        <w:rPr>
          <w:rFonts w:asciiTheme="minorHAnsi" w:hAnsiTheme="minorHAnsi" w:cstheme="minorHAnsi"/>
        </w:rPr>
        <w:t xml:space="preserve">Progress report on the implementation of the Human Resources Transformation Plan and of Resolution 48, Document </w:t>
      </w:r>
      <w:hyperlink r:id="rId111" w:history="1">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/66</w:t>
        </w:r>
      </w:hyperlink>
      <w:r w:rsidR="00250529" w:rsidRPr="008C431B">
        <w:rPr>
          <w:rFonts w:asciiTheme="minorHAnsi" w:hAnsiTheme="minorHAnsi" w:cstheme="minorHAnsi"/>
        </w:rPr>
        <w:t>.</w:t>
      </w:r>
    </w:p>
    <w:p w14:paraId="475ADE32" w14:textId="19932559" w:rsidR="00250529" w:rsidRPr="008C431B" w:rsidRDefault="008C431B" w:rsidP="008C431B">
      <w:pPr>
        <w:spacing w:before="60" w:after="60"/>
        <w:ind w:left="717" w:hanging="360"/>
        <w:jc w:val="both"/>
        <w:rPr>
          <w:rFonts w:asciiTheme="minorHAnsi" w:hAnsiTheme="minorHAnsi" w:cstheme="minorHAnsi"/>
          <w:lang w:val="en-US"/>
        </w:rPr>
      </w:pPr>
      <w:r w:rsidRPr="00986D12">
        <w:rPr>
          <w:rFonts w:ascii="Symbol" w:eastAsia="Aptos" w:hAnsi="Symbol" w:cstheme="minorHAnsi"/>
          <w:kern w:val="2"/>
          <w:sz w:val="22"/>
          <w:szCs w:val="22"/>
          <w:lang w:val="en-US"/>
          <w14:ligatures w14:val="standardContextual"/>
        </w:rPr>
        <w:t></w:t>
      </w:r>
      <w:r w:rsidRPr="00986D12">
        <w:rPr>
          <w:rFonts w:ascii="Symbol" w:eastAsia="Aptos" w:hAnsi="Symbol" w:cstheme="minorHAnsi"/>
          <w:kern w:val="2"/>
          <w:sz w:val="22"/>
          <w:szCs w:val="22"/>
          <w:lang w:val="en-US"/>
          <w14:ligatures w14:val="standardContextual"/>
        </w:rPr>
        <w:tab/>
      </w:r>
      <w:r w:rsidR="00250529" w:rsidRPr="008C431B">
        <w:rPr>
          <w:rFonts w:asciiTheme="minorHAnsi" w:hAnsiTheme="minorHAnsi" w:cstheme="minorHAnsi"/>
        </w:rPr>
        <w:t xml:space="preserve">Strengthening ITU Regional Presence, Document </w:t>
      </w:r>
      <w:hyperlink r:id="rId112" w:history="1">
        <w:proofErr w:type="spellStart"/>
        <w:r w:rsidR="00250529" w:rsidRPr="008C431B">
          <w:rPr>
            <w:rFonts w:asciiTheme="minorHAnsi" w:hAnsiTheme="minorHAnsi" w:cstheme="minorHAnsi"/>
            <w:color w:val="467886"/>
            <w:u w:val="single"/>
          </w:rPr>
          <w:t>C25</w:t>
        </w:r>
        <w:proofErr w:type="spellEnd"/>
        <w:r w:rsidR="00250529" w:rsidRPr="008C431B">
          <w:rPr>
            <w:rFonts w:asciiTheme="minorHAnsi" w:hAnsiTheme="minorHAnsi" w:cstheme="minorHAnsi"/>
            <w:color w:val="467886"/>
            <w:u w:val="single"/>
          </w:rPr>
          <w:t>/25</w:t>
        </w:r>
      </w:hyperlink>
      <w:r w:rsidR="00250529" w:rsidRPr="008C431B">
        <w:rPr>
          <w:rFonts w:asciiTheme="minorHAnsi" w:hAnsiTheme="minorHAnsi" w:cstheme="minorHAnsi"/>
          <w:lang w:val="en-US"/>
        </w:rPr>
        <w:t>.</w:t>
      </w:r>
    </w:p>
    <w:p w14:paraId="040B0B58" w14:textId="3F47866E" w:rsidR="00250529" w:rsidRPr="00986D12" w:rsidRDefault="008C431B" w:rsidP="008C431B">
      <w:pPr>
        <w:pStyle w:val="TitleKPI"/>
        <w:numPr>
          <w:ilvl w:val="0"/>
          <w:numId w:val="0"/>
        </w:numPr>
        <w:ind w:left="357" w:hanging="357"/>
        <w:jc w:val="both"/>
        <w:rPr>
          <w:rFonts w:asciiTheme="minorHAnsi" w:hAnsiTheme="minorHAnsi" w:cstheme="minorHAnsi"/>
        </w:rPr>
      </w:pPr>
      <w:r w:rsidRPr="00986D12">
        <w:rPr>
          <w:rFonts w:asciiTheme="minorHAnsi" w:hAnsiTheme="minorHAnsi" w:cstheme="minorHAnsi"/>
        </w:rPr>
        <w:t>2.</w:t>
      </w:r>
      <w:r w:rsidRPr="00986D12">
        <w:rPr>
          <w:rFonts w:asciiTheme="minorHAnsi" w:hAnsiTheme="minorHAnsi" w:cstheme="minorHAnsi"/>
        </w:rPr>
        <w:tab/>
      </w:r>
      <w:proofErr w:type="spellStart"/>
      <w:r w:rsidR="00250529" w:rsidRPr="00986D12">
        <w:rPr>
          <w:rFonts w:asciiTheme="minorHAnsi" w:hAnsiTheme="minorHAnsi" w:cstheme="minorHAnsi"/>
        </w:rPr>
        <w:t>KPI</w:t>
      </w:r>
      <w:proofErr w:type="spellEnd"/>
      <w:r w:rsidR="00250529" w:rsidRPr="00986D12">
        <w:rPr>
          <w:rFonts w:asciiTheme="minorHAnsi" w:hAnsiTheme="minorHAnsi" w:cstheme="minorHAnsi"/>
        </w:rPr>
        <w:t xml:space="preserve"> </w:t>
      </w:r>
      <w:proofErr w:type="spellStart"/>
      <w:r w:rsidR="00250529" w:rsidRPr="00986D12">
        <w:rPr>
          <w:rFonts w:asciiTheme="minorHAnsi" w:hAnsiTheme="minorHAnsi" w:cstheme="minorHAnsi"/>
        </w:rPr>
        <w:t>25_b</w:t>
      </w:r>
      <w:proofErr w:type="spellEnd"/>
      <w:r w:rsidR="00250529" w:rsidRPr="00986D12">
        <w:rPr>
          <w:rFonts w:asciiTheme="minorHAnsi" w:hAnsiTheme="minorHAnsi" w:cstheme="minorHAnsi"/>
        </w:rPr>
        <w:t>:</w:t>
      </w:r>
    </w:p>
    <w:p w14:paraId="36BEF27B" w14:textId="2CBF3B02"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proofErr w:type="spellStart"/>
      <w:r w:rsidR="00250529" w:rsidRPr="00986D12">
        <w:rPr>
          <w:rFonts w:asciiTheme="minorHAnsi" w:hAnsiTheme="minorHAnsi" w:cstheme="minorHAnsi"/>
        </w:rPr>
        <w:t>Annex1</w:t>
      </w:r>
      <w:proofErr w:type="spellEnd"/>
      <w:r w:rsidR="00250529" w:rsidRPr="00986D12">
        <w:rPr>
          <w:rFonts w:asciiTheme="minorHAnsi" w:hAnsiTheme="minorHAnsi" w:cstheme="minorHAnsi"/>
        </w:rPr>
        <w:t xml:space="preserve"> to decision 5 (Rev. Bucharest, 2022).</w:t>
      </w:r>
    </w:p>
    <w:p w14:paraId="56692569" w14:textId="5BB43E19"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hyperlink r:id="rId113" w:tgtFrame="_blank" w:history="1">
        <w:r w:rsidR="00250529" w:rsidRPr="00986D12">
          <w:rPr>
            <w:rFonts w:asciiTheme="minorHAnsi" w:hAnsiTheme="minorHAnsi" w:cstheme="minorHAnsi"/>
            <w:color w:val="467886"/>
            <w:u w:val="single"/>
          </w:rPr>
          <w:t>Final Acts of the Plenipotentiary Conference - Decisions and resolutions (Bucharest, 2022)</w:t>
        </w:r>
      </w:hyperlink>
      <w:r w:rsidR="00250529" w:rsidRPr="00986D12">
        <w:rPr>
          <w:rFonts w:asciiTheme="minorHAnsi" w:hAnsiTheme="minorHAnsi" w:cstheme="minorHAnsi"/>
        </w:rPr>
        <w:t>.</w:t>
      </w:r>
    </w:p>
    <w:p w14:paraId="1ACD06FC" w14:textId="0198BDC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Draft four year rolling operational plan for the Union for 2024-2027, Document </w:t>
      </w:r>
      <w:hyperlink r:id="rId114" w:history="1">
        <w:proofErr w:type="spellStart"/>
        <w:r w:rsidR="00250529" w:rsidRPr="00986D12">
          <w:rPr>
            <w:rFonts w:asciiTheme="minorHAnsi" w:hAnsiTheme="minorHAnsi" w:cstheme="minorHAnsi"/>
            <w:color w:val="467886"/>
            <w:u w:val="single"/>
          </w:rPr>
          <w:t>TDAG</w:t>
        </w:r>
        <w:proofErr w:type="spellEnd"/>
        <w:r w:rsidR="00250529" w:rsidRPr="00986D12">
          <w:rPr>
            <w:rFonts w:asciiTheme="minorHAnsi" w:hAnsiTheme="minorHAnsi" w:cstheme="minorHAnsi"/>
            <w:color w:val="467886"/>
            <w:u w:val="single"/>
          </w:rPr>
          <w:t>-23/46</w:t>
        </w:r>
      </w:hyperlink>
      <w:r w:rsidR="00250529" w:rsidRPr="00986D12">
        <w:rPr>
          <w:rFonts w:asciiTheme="minorHAnsi" w:hAnsiTheme="minorHAnsi" w:cstheme="minorHAnsi"/>
        </w:rPr>
        <w:t>.</w:t>
      </w:r>
    </w:p>
    <w:p w14:paraId="4691C338" w14:textId="0056160E"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Biennial budget of the Union for 2024-2025 – Res. 1417, Council Document </w:t>
      </w:r>
      <w:hyperlink r:id="rId115" w:history="1">
        <w:proofErr w:type="spellStart"/>
        <w:r w:rsidR="00250529" w:rsidRPr="00986D12">
          <w:rPr>
            <w:rFonts w:asciiTheme="minorHAnsi" w:hAnsiTheme="minorHAnsi" w:cstheme="minorHAnsi"/>
            <w:color w:val="467886"/>
            <w:u w:val="single"/>
          </w:rPr>
          <w:t>C23</w:t>
        </w:r>
        <w:proofErr w:type="spellEnd"/>
        <w:r w:rsidR="00250529" w:rsidRPr="00986D12">
          <w:rPr>
            <w:rFonts w:asciiTheme="minorHAnsi" w:hAnsiTheme="minorHAnsi" w:cstheme="minorHAnsi"/>
            <w:color w:val="467886"/>
            <w:u w:val="single"/>
          </w:rPr>
          <w:t>/115</w:t>
        </w:r>
      </w:hyperlink>
      <w:r w:rsidR="00250529" w:rsidRPr="00986D12">
        <w:rPr>
          <w:rFonts w:asciiTheme="minorHAnsi" w:hAnsiTheme="minorHAnsi" w:cstheme="minorHAnsi"/>
        </w:rPr>
        <w:t>.</w:t>
      </w:r>
    </w:p>
    <w:p w14:paraId="60FB14BB" w14:textId="115EE3CE"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Biennial budget of the Union for 2022-2023 – Res 1405, Council Document </w:t>
      </w:r>
      <w:hyperlink r:id="rId116" w:history="1">
        <w:proofErr w:type="spellStart"/>
        <w:r w:rsidR="00250529" w:rsidRPr="00986D12">
          <w:rPr>
            <w:rFonts w:asciiTheme="minorHAnsi" w:hAnsiTheme="minorHAnsi" w:cstheme="minorHAnsi"/>
            <w:color w:val="467886"/>
            <w:u w:val="single"/>
          </w:rPr>
          <w:t>C21</w:t>
        </w:r>
        <w:proofErr w:type="spellEnd"/>
        <w:r w:rsidR="00250529" w:rsidRPr="00986D12">
          <w:rPr>
            <w:rFonts w:asciiTheme="minorHAnsi" w:hAnsiTheme="minorHAnsi" w:cstheme="minorHAnsi"/>
            <w:color w:val="467886"/>
            <w:u w:val="single"/>
          </w:rPr>
          <w:t>/97</w:t>
        </w:r>
      </w:hyperlink>
      <w:r w:rsidR="00250529" w:rsidRPr="00986D12">
        <w:rPr>
          <w:rFonts w:asciiTheme="minorHAnsi" w:hAnsiTheme="minorHAnsi" w:cstheme="minorHAnsi"/>
        </w:rPr>
        <w:t>.</w:t>
      </w:r>
    </w:p>
    <w:p w14:paraId="1B573E86" w14:textId="65087AE1" w:rsidR="00250529" w:rsidRPr="00986D12" w:rsidRDefault="008C431B" w:rsidP="008C431B">
      <w:pPr>
        <w:pStyle w:val="TitleKPI"/>
        <w:numPr>
          <w:ilvl w:val="0"/>
          <w:numId w:val="0"/>
        </w:numPr>
        <w:ind w:left="357" w:hanging="357"/>
        <w:jc w:val="both"/>
        <w:rPr>
          <w:rFonts w:asciiTheme="minorHAnsi" w:hAnsiTheme="minorHAnsi" w:cstheme="minorHAnsi"/>
        </w:rPr>
      </w:pPr>
      <w:r w:rsidRPr="00986D12">
        <w:rPr>
          <w:rFonts w:asciiTheme="minorHAnsi" w:hAnsiTheme="minorHAnsi" w:cstheme="minorHAnsi"/>
        </w:rPr>
        <w:t>3.</w:t>
      </w:r>
      <w:r w:rsidRPr="00986D12">
        <w:rPr>
          <w:rFonts w:asciiTheme="minorHAnsi" w:hAnsiTheme="minorHAnsi" w:cstheme="minorHAnsi"/>
        </w:rPr>
        <w:tab/>
      </w:r>
      <w:proofErr w:type="spellStart"/>
      <w:r w:rsidR="00250529" w:rsidRPr="00986D12">
        <w:rPr>
          <w:rFonts w:asciiTheme="minorHAnsi" w:hAnsiTheme="minorHAnsi" w:cstheme="minorHAnsi"/>
        </w:rPr>
        <w:t>KPI</w:t>
      </w:r>
      <w:proofErr w:type="spellEnd"/>
      <w:r w:rsidR="00250529" w:rsidRPr="00986D12">
        <w:rPr>
          <w:rFonts w:asciiTheme="minorHAnsi" w:hAnsiTheme="minorHAnsi" w:cstheme="minorHAnsi"/>
        </w:rPr>
        <w:t xml:space="preserve"> </w:t>
      </w:r>
      <w:proofErr w:type="spellStart"/>
      <w:r w:rsidR="00250529" w:rsidRPr="00986D12">
        <w:rPr>
          <w:rFonts w:asciiTheme="minorHAnsi" w:hAnsiTheme="minorHAnsi" w:cstheme="minorHAnsi"/>
        </w:rPr>
        <w:t>25_c</w:t>
      </w:r>
      <w:proofErr w:type="spellEnd"/>
      <w:r w:rsidR="00250529" w:rsidRPr="00986D12">
        <w:rPr>
          <w:rFonts w:asciiTheme="minorHAnsi" w:hAnsiTheme="minorHAnsi" w:cstheme="minorHAnsi"/>
        </w:rPr>
        <w:t>:</w:t>
      </w:r>
    </w:p>
    <w:p w14:paraId="7D06666E" w14:textId="31FA2920"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Annual Report on the implementation of the strategic plan and activities of the Union, Document </w:t>
      </w:r>
      <w:hyperlink r:id="rId117" w:history="1">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/35</w:t>
        </w:r>
      </w:hyperlink>
      <w:r w:rsidR="00250529" w:rsidRPr="00986D12">
        <w:rPr>
          <w:rFonts w:asciiTheme="minorHAnsi" w:hAnsiTheme="minorHAnsi" w:cstheme="minorHAnsi"/>
        </w:rPr>
        <w:t>.</w:t>
      </w:r>
    </w:p>
    <w:p w14:paraId="79947C4C" w14:textId="0F7FB973"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Initial draft performance indicators for strategic plan, Document </w:t>
      </w:r>
      <w:hyperlink r:id="rId118" w:history="1">
        <w:r w:rsidR="00250529" w:rsidRPr="00986D12">
          <w:rPr>
            <w:rFonts w:asciiTheme="minorHAnsi" w:hAnsiTheme="minorHAnsi" w:cstheme="minorHAnsi"/>
            <w:color w:val="467886"/>
            <w:u w:val="single"/>
          </w:rPr>
          <w:t>CWG-SFP-3/7</w:t>
        </w:r>
      </w:hyperlink>
      <w:r w:rsidR="00250529" w:rsidRPr="00986D12">
        <w:rPr>
          <w:rFonts w:asciiTheme="minorHAnsi" w:hAnsiTheme="minorHAnsi" w:cstheme="minorHAnsi"/>
        </w:rPr>
        <w:t>.</w:t>
      </w:r>
    </w:p>
    <w:p w14:paraId="50717701" w14:textId="4BB590C5"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Report on the implementation of the Kigali Action Plan (KAP), Document </w:t>
      </w:r>
      <w:hyperlink r:id="rId119" w:history="1">
        <w:r w:rsidR="00250529" w:rsidRPr="00986D12">
          <w:rPr>
            <w:rFonts w:asciiTheme="minorHAnsi" w:hAnsiTheme="minorHAnsi" w:cstheme="minorHAnsi"/>
            <w:color w:val="467886"/>
            <w:u w:val="single"/>
          </w:rPr>
          <w:t>WTDC-25/2</w:t>
        </w:r>
      </w:hyperlink>
      <w:r w:rsidR="00250529" w:rsidRPr="00986D12">
        <w:rPr>
          <w:rFonts w:asciiTheme="minorHAnsi" w:hAnsiTheme="minorHAnsi" w:cstheme="minorHAnsi"/>
        </w:rPr>
        <w:t>.</w:t>
      </w:r>
    </w:p>
    <w:p w14:paraId="2BEF43E5" w14:textId="09603A9F"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Progress report on the implementation of the Human Resources Transformation Plan and of Resolution 48, Document </w:t>
      </w:r>
      <w:hyperlink r:id="rId120" w:history="1">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/66</w:t>
        </w:r>
      </w:hyperlink>
      <w:r w:rsidR="00250529" w:rsidRPr="00986D12">
        <w:rPr>
          <w:rFonts w:asciiTheme="minorHAnsi" w:hAnsiTheme="minorHAnsi" w:cstheme="minorHAnsi"/>
        </w:rPr>
        <w:t>.</w:t>
      </w:r>
    </w:p>
    <w:p w14:paraId="150C7C90" w14:textId="1796A5B8" w:rsidR="00250529" w:rsidRPr="00986D12" w:rsidDel="0047777C" w:rsidRDefault="008C431B" w:rsidP="008C431B">
      <w:pPr>
        <w:pStyle w:val="Bulletlist"/>
        <w:numPr>
          <w:ilvl w:val="0"/>
          <w:numId w:val="0"/>
        </w:numPr>
        <w:ind w:left="720" w:hanging="360"/>
        <w:jc w:val="both"/>
        <w:rPr>
          <w:rFonts w:asciiTheme="minorHAnsi" w:hAnsiTheme="minorHAnsi" w:cstheme="minorHAnsi"/>
        </w:rPr>
      </w:pPr>
      <w:r w:rsidRPr="00986D12" w:rsidDel="0047777C">
        <w:rPr>
          <w:rFonts w:ascii="Symbol" w:hAnsi="Symbol" w:cstheme="minorHAnsi"/>
        </w:rPr>
        <w:t></w:t>
      </w:r>
      <w:r w:rsidRPr="00986D12" w:rsidDel="0047777C">
        <w:rPr>
          <w:rFonts w:ascii="Symbol" w:hAnsi="Symbol" w:cstheme="minorHAnsi"/>
        </w:rPr>
        <w:tab/>
      </w:r>
      <w:r w:rsidR="00250529" w:rsidRPr="00986D12">
        <w:rPr>
          <w:rFonts w:asciiTheme="minorHAnsi" w:hAnsiTheme="minorHAnsi" w:cstheme="minorHAnsi"/>
        </w:rPr>
        <w:t xml:space="preserve">Strengthening ITU Regional Presence, Document </w:t>
      </w:r>
      <w:hyperlink r:id="rId121" w:history="1">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/25</w:t>
        </w:r>
      </w:hyperlink>
      <w:r w:rsidR="00250529" w:rsidRPr="00986D12">
        <w:rPr>
          <w:rFonts w:asciiTheme="minorHAnsi" w:hAnsiTheme="minorHAnsi" w:cstheme="minorHAnsi"/>
        </w:rPr>
        <w:t>.</w:t>
      </w:r>
    </w:p>
    <w:p w14:paraId="1B136805"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Supplementary notes: Summary of document analysis</w:t>
      </w:r>
    </w:p>
    <w:p w14:paraId="528A5B23" w14:textId="77777777" w:rsidR="00250529" w:rsidRPr="00986D12" w:rsidRDefault="00250529" w:rsidP="005B5E68">
      <w:pPr>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25_a</w:t>
      </w:r>
      <w:proofErr w:type="spellEnd"/>
      <w:r w:rsidRPr="00986D12">
        <w:rPr>
          <w:rFonts w:asciiTheme="minorHAnsi" w:eastAsia="Avenir Nxt2 W1G" w:hAnsiTheme="minorHAnsi" w:cstheme="minorHAnsi"/>
          <w:color w:val="00B0F0"/>
        </w:rPr>
        <w:t>: Assess whether the regional presence provides adequate information in respect of the following, in annual/periodic reporting regarding the regional presence (each of the regional/area offices) to the Directors of the three Bureaus, Advisory Bodies and Council, as appropriate: Staffing of regional and area offices, including number of staff members, their category of employment and other factors in accordance with Resolution 48 (Rev. Bucharest, 2022)</w:t>
      </w:r>
    </w:p>
    <w:p w14:paraId="20D726F5" w14:textId="77777777" w:rsidR="00250529" w:rsidRPr="00986D12" w:rsidRDefault="00250529" w:rsidP="005B5E68">
      <w:pPr>
        <w:pStyle w:val="Subtitleitalic"/>
        <w:jc w:val="both"/>
        <w:rPr>
          <w:rFonts w:asciiTheme="minorHAnsi" w:hAnsiTheme="minorHAnsi" w:cstheme="minorHAnsi"/>
        </w:rPr>
      </w:pPr>
      <w:r w:rsidRPr="00986D12">
        <w:rPr>
          <w:rFonts w:asciiTheme="minorHAnsi" w:hAnsiTheme="minorHAnsi" w:cstheme="minorHAnsi"/>
        </w:rPr>
        <w:lastRenderedPageBreak/>
        <w:t xml:space="preserve">Document analysis about current staffing reporting against Resolution 48 expectations </w:t>
      </w:r>
    </w:p>
    <w:p w14:paraId="78FE454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document analysis indicates that ITU has put in place a strong organization-wide mechanism for workforce reporting and transparency (including aspects relevant to Resolution 48 (Rev. Bucharest, 2022)). </w:t>
      </w:r>
    </w:p>
    <w:p w14:paraId="4DB5223D" w14:textId="77777777" w:rsidR="00250529" w:rsidRPr="00986D12" w:rsidRDefault="00250529" w:rsidP="005B5E68">
      <w:pPr>
        <w:pStyle w:val="Subtitleitalic"/>
        <w:jc w:val="both"/>
        <w:rPr>
          <w:rFonts w:asciiTheme="minorHAnsi" w:hAnsiTheme="minorHAnsi" w:cstheme="minorHAnsi"/>
        </w:rPr>
      </w:pPr>
      <w:r w:rsidRPr="00986D12">
        <w:rPr>
          <w:rFonts w:asciiTheme="minorHAnsi" w:hAnsiTheme="minorHAnsi" w:cstheme="minorHAnsi"/>
        </w:rPr>
        <w:t xml:space="preserve">Workforce Analytics Dashboard (primary staffing transparency mechanism) </w:t>
      </w:r>
    </w:p>
    <w:p w14:paraId="38EF6FD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analysis notes that a </w:t>
      </w:r>
      <w:hyperlink r:id="rId122" w:tgtFrame="_blank" w:history="1">
        <w:r w:rsidRPr="00986D12">
          <w:rPr>
            <w:rFonts w:asciiTheme="minorHAnsi" w:hAnsiTheme="minorHAnsi" w:cstheme="minorHAnsi"/>
            <w:u w:val="single"/>
          </w:rPr>
          <w:t>Workforce Analytics Dashboard</w:t>
        </w:r>
      </w:hyperlink>
      <w:r w:rsidRPr="00986D12">
        <w:rPr>
          <w:rFonts w:asciiTheme="minorHAnsi" w:hAnsiTheme="minorHAnsi" w:cstheme="minorHAnsi"/>
        </w:rPr>
        <w:t xml:space="preserve"> is available (via Council resources under “Human resources information”), powered by Power BI with a continuous data feed from SAP HR data warehouse. It tracks key workforce metrics such as geographical distribution and gender parity, with enhancements such as integration with SAP SuccessFactors and grade information in retirement projections. This dashboard is explicitly presented as a mechanism fulfilling reporting requirements related to Resolution 48 (Rev. Bucharest, 2022).</w:t>
      </w:r>
    </w:p>
    <w:p w14:paraId="54A1E08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document analysis also provides examples of workforce-level staffing metrics, such as gender distribution by occupational group (e.g., women at 43.9% in Professional and Higher categories; women at 67.4% in General Service; women occupying 60% of </w:t>
      </w:r>
      <w:proofErr w:type="spellStart"/>
      <w:r w:rsidRPr="00986D12">
        <w:rPr>
          <w:rFonts w:asciiTheme="minorHAnsi" w:hAnsiTheme="minorHAnsi" w:cstheme="minorHAnsi"/>
        </w:rPr>
        <w:t>D2</w:t>
      </w:r>
      <w:proofErr w:type="spellEnd"/>
      <w:r w:rsidRPr="00986D12">
        <w:rPr>
          <w:rFonts w:asciiTheme="minorHAnsi" w:hAnsiTheme="minorHAnsi" w:cstheme="minorHAnsi"/>
        </w:rPr>
        <w:t xml:space="preserve"> posts as of May 2025).</w:t>
      </w:r>
    </w:p>
    <w:p w14:paraId="61302E1A" w14:textId="12A0BF93" w:rsidR="00250529" w:rsidRPr="00986D12" w:rsidRDefault="00250529" w:rsidP="005B5E68">
      <w:pPr>
        <w:jc w:val="both"/>
        <w:rPr>
          <w:rFonts w:asciiTheme="minorHAnsi" w:hAnsiTheme="minorHAnsi" w:cstheme="minorBidi"/>
        </w:rPr>
      </w:pPr>
      <w:r w:rsidRPr="3ABAAE00">
        <w:rPr>
          <w:rFonts w:asciiTheme="minorHAnsi" w:hAnsiTheme="minorHAnsi" w:cstheme="minorBidi"/>
        </w:rPr>
        <w:t xml:space="preserve">At the same time, the analysis flags a scope boundary: the dashboard is protected by TIES accounts and “mainly provides information about regular staff (Permanent/Continuing/ Fixed-term contract holders) only.” This matters for </w:t>
      </w:r>
      <w:proofErr w:type="spellStart"/>
      <w:r w:rsidRPr="3ABAAE00">
        <w:rPr>
          <w:rFonts w:asciiTheme="minorHAnsi" w:hAnsiTheme="minorHAnsi" w:cstheme="minorBidi"/>
        </w:rPr>
        <w:t>KPI</w:t>
      </w:r>
      <w:proofErr w:type="spellEnd"/>
      <w:r w:rsidRPr="3ABAAE00">
        <w:rPr>
          <w:rFonts w:asciiTheme="minorHAnsi" w:hAnsiTheme="minorHAnsi" w:cstheme="minorBidi"/>
        </w:rPr>
        <w:t xml:space="preserve"> </w:t>
      </w:r>
      <w:proofErr w:type="spellStart"/>
      <w:r w:rsidRPr="3ABAAE00">
        <w:rPr>
          <w:rFonts w:asciiTheme="minorHAnsi" w:hAnsiTheme="minorHAnsi" w:cstheme="minorBidi"/>
        </w:rPr>
        <w:t>25a</w:t>
      </w:r>
      <w:proofErr w:type="spellEnd"/>
      <w:r w:rsidRPr="3ABAAE00">
        <w:rPr>
          <w:rFonts w:asciiTheme="minorHAnsi" w:hAnsiTheme="minorHAnsi" w:cstheme="minorBidi"/>
        </w:rPr>
        <w:t xml:space="preserve"> because regional presence staffing often includes multiple modalities (e.g., regular posts, project-funded posts, secondments, and other arrangements), and Members may expect a complete staffing view for each office. </w:t>
      </w:r>
    </w:p>
    <w:p w14:paraId="10659415" w14:textId="77777777" w:rsidR="00250529" w:rsidRPr="00986D12" w:rsidRDefault="00250529" w:rsidP="005B5E68">
      <w:pPr>
        <w:pStyle w:val="Subtitleitalic"/>
        <w:jc w:val="both"/>
        <w:rPr>
          <w:rFonts w:asciiTheme="minorHAnsi" w:hAnsiTheme="minorHAnsi" w:cstheme="minorHAnsi"/>
        </w:rPr>
      </w:pPr>
      <w:r w:rsidRPr="00986D12">
        <w:rPr>
          <w:rFonts w:asciiTheme="minorHAnsi" w:hAnsiTheme="minorHAnsi" w:cstheme="minorHAnsi"/>
        </w:rPr>
        <w:t xml:space="preserve">Regional presence reporting (staffing specifics within narrative reports) </w:t>
      </w:r>
    </w:p>
    <w:p w14:paraId="23EEAE0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review of the “Report by the Secretary-General on Strengthening ITU’s Regional Presence” finds that it focuses heavily on activities, initiatives and implementation, and contains limited explicit staffing details for specific offices — e.g., secondments from TSB (three to RO-Africa; one to RO-Asia-Pacific).</w:t>
      </w:r>
    </w:p>
    <w:p w14:paraId="16978941" w14:textId="77777777" w:rsidR="00250529" w:rsidRPr="00986D12" w:rsidRDefault="00250529" w:rsidP="005B5E68">
      <w:pPr>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25_b</w:t>
      </w:r>
      <w:proofErr w:type="spellEnd"/>
      <w:r w:rsidRPr="00986D12">
        <w:rPr>
          <w:rFonts w:asciiTheme="minorHAnsi" w:eastAsia="Avenir Nxt2 W1G" w:hAnsiTheme="minorHAnsi" w:cstheme="minorHAnsi"/>
          <w:color w:val="00B0F0"/>
        </w:rPr>
        <w:t>: Assess whether the regional presence provides adequate information in respect of the following, in annual/periodic reporting regarding the regional presence (each of the regional/area offices) to the Directors of the three Bureaus, Advisory Bodies and Council, as appropriate: b) Financial information, including budget allocated to the regional and area offices and expenses per thematic priority and planned output</w:t>
      </w:r>
    </w:p>
    <w:p w14:paraId="4E79515D" w14:textId="77777777" w:rsidR="00250529" w:rsidRPr="00986D12" w:rsidRDefault="00250529" w:rsidP="005B5E68">
      <w:pPr>
        <w:jc w:val="both"/>
        <w:rPr>
          <w:rFonts w:asciiTheme="minorHAnsi" w:eastAsia="DengXian Light" w:hAnsiTheme="minorHAnsi" w:cstheme="minorHAnsi"/>
        </w:rPr>
      </w:pPr>
      <w:r w:rsidRPr="00986D12">
        <w:rPr>
          <w:rFonts w:asciiTheme="minorHAnsi" w:eastAsia="DengXian Light" w:hAnsiTheme="minorHAnsi" w:cstheme="minorHAnsi"/>
        </w:rPr>
        <w:t xml:space="preserve">The document analysis demonstrates that the draft four-year rolling operational plan for 2024–2027 (Document </w:t>
      </w:r>
      <w:hyperlink r:id="rId123" w:history="1">
        <w:proofErr w:type="spellStart"/>
        <w:r w:rsidRPr="00986D12">
          <w:rPr>
            <w:rFonts w:asciiTheme="minorHAnsi" w:eastAsia="DengXian Light" w:hAnsiTheme="minorHAnsi" w:cstheme="minorHAnsi"/>
            <w:color w:val="467886"/>
            <w:u w:val="single"/>
          </w:rPr>
          <w:t>TDAG</w:t>
        </w:r>
        <w:proofErr w:type="spellEnd"/>
        <w:r w:rsidRPr="00986D12">
          <w:rPr>
            <w:rFonts w:asciiTheme="minorHAnsi" w:eastAsia="DengXian Light" w:hAnsiTheme="minorHAnsi" w:cstheme="minorHAnsi"/>
            <w:color w:val="467886"/>
            <w:u w:val="single"/>
          </w:rPr>
          <w:t>-23/46</w:t>
        </w:r>
      </w:hyperlink>
      <w:r w:rsidRPr="00986D12">
        <w:rPr>
          <w:rFonts w:asciiTheme="minorHAnsi" w:eastAsia="DengXian Light" w:hAnsiTheme="minorHAnsi" w:cstheme="minorHAnsi"/>
        </w:rPr>
        <w:t>) provides financial reporting on regional presence includes structured and output-based allocations.</w:t>
      </w:r>
    </w:p>
    <w:p w14:paraId="1F3332F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2024 breakdown of financial resources allocated to Regional Offices per thematic priority provides a direct linkage between: </w:t>
      </w:r>
    </w:p>
    <w:p w14:paraId="0A369023" w14:textId="78D17C33"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Budget allocations.</w:t>
      </w:r>
    </w:p>
    <w:p w14:paraId="6A444BDB" w14:textId="3112870F"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Thematic priorities.</w:t>
      </w:r>
    </w:p>
    <w:p w14:paraId="591EF2CA" w14:textId="220B3264"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Planned outputs.</w:t>
      </w:r>
    </w:p>
    <w:p w14:paraId="13550E3F" w14:textId="4A859D59"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Actual expenditures.</w:t>
      </w:r>
    </w:p>
    <w:p w14:paraId="411038B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This demonstrates alignment with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25b</w:t>
      </w:r>
      <w:proofErr w:type="spellEnd"/>
      <w:r w:rsidRPr="00986D12">
        <w:rPr>
          <w:rFonts w:asciiTheme="minorHAnsi" w:hAnsiTheme="minorHAnsi" w:cstheme="minorHAnsi"/>
        </w:rPr>
        <w:t xml:space="preserve"> requirements, particularly in terms of: </w:t>
      </w:r>
    </w:p>
    <w:p w14:paraId="265C964E" w14:textId="4CC6D63C"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lastRenderedPageBreak/>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Disaggregation of financial information by output and thematic priority.</w:t>
      </w:r>
    </w:p>
    <w:p w14:paraId="48FEEF4C" w14:textId="74EA3A61"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Methodological transparency (time survey-based allocation).</w:t>
      </w:r>
    </w:p>
    <w:p w14:paraId="772F22F4" w14:textId="6DD5C4EF"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rPr>
        <w:t>Application of the breakdown to both budgeted and actual expenditures.</w:t>
      </w:r>
    </w:p>
    <w:p w14:paraId="665CDD8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inclusion of financial information in biennial budgets (Res. 1405 and Res. 1417) and rolling operational plans further anchors regional financial reporting within the Union-wide budgetary framework.</w:t>
      </w:r>
    </w:p>
    <w:p w14:paraId="13AA893D" w14:textId="77777777" w:rsidR="00250529" w:rsidRPr="00986D12" w:rsidRDefault="00250529" w:rsidP="005B5E68">
      <w:pPr>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25_c</w:t>
      </w:r>
      <w:proofErr w:type="spellEnd"/>
      <w:r w:rsidRPr="00986D12">
        <w:rPr>
          <w:rFonts w:asciiTheme="minorHAnsi" w:eastAsia="Avenir Nxt2 W1G" w:hAnsiTheme="minorHAnsi" w:cstheme="minorHAnsi"/>
          <w:color w:val="00B0F0"/>
        </w:rPr>
        <w:t>: Assess whether the regional presence provides adequate information in respect of the following, in annual/periodic reporting regarding the regional presence (each of the regional/area offices) to the Directors of the three Bureaus, Advisory Bodies and Council, as appropriate: the implementation of activities (including those related to the three Sectors and the General Secretariat)</w:t>
      </w:r>
    </w:p>
    <w:p w14:paraId="105FA7C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Desk review of official ITU documents confirms and contextualizes the survey findings.</w:t>
      </w:r>
    </w:p>
    <w:p w14:paraId="40B5379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Annual Report on the Implementation of the Strategic Plan and the Report on Strengthening ITU Regional Presence demonstrate that regional and area offices are systematically presented as the implementation arm of ITU across all three Sectors and the General Secretariat, with structured reporting on activities aligned to the Strategic Plan and the Kigali Action Plan:</w:t>
      </w:r>
    </w:p>
    <w:p w14:paraId="03238191" w14:textId="32CAE404"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i/>
        </w:rPr>
        <w:t>ITU-D/BDT:</w:t>
      </w:r>
      <w:r w:rsidR="00250529" w:rsidRPr="008C431B">
        <w:rPr>
          <w:rFonts w:asciiTheme="minorHAnsi" w:hAnsiTheme="minorHAnsi" w:cstheme="minorHAnsi"/>
        </w:rPr>
        <w:t xml:space="preserve"> Reporting provides detailed accounts of project implementation, regional initiatives, and operational planning, with explicit links to </w:t>
      </w:r>
      <w:proofErr w:type="spellStart"/>
      <w:r w:rsidR="00250529" w:rsidRPr="008C431B">
        <w:rPr>
          <w:rFonts w:asciiTheme="minorHAnsi" w:hAnsiTheme="minorHAnsi" w:cstheme="minorHAnsi"/>
        </w:rPr>
        <w:t>KPIs</w:t>
      </w:r>
      <w:proofErr w:type="spellEnd"/>
      <w:r w:rsidR="00250529" w:rsidRPr="008C431B">
        <w:rPr>
          <w:rFonts w:asciiTheme="minorHAnsi" w:hAnsiTheme="minorHAnsi" w:cstheme="minorHAnsi"/>
        </w:rPr>
        <w:t xml:space="preserve"> adopted by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Regional offices are consistently described as leading implementation on the ground, supported by measurable outputs and examples across all six regions.</w:t>
      </w:r>
    </w:p>
    <w:p w14:paraId="042E5100" w14:textId="0B995041"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i/>
        </w:rPr>
        <w:t>ITU-R/BR:</w:t>
      </w:r>
      <w:r w:rsidR="00250529" w:rsidRPr="008C431B">
        <w:rPr>
          <w:rFonts w:asciiTheme="minorHAnsi" w:hAnsiTheme="minorHAnsi" w:cstheme="minorHAnsi"/>
        </w:rPr>
        <w:t xml:space="preserve"> Reports document implementation through regional seminars, workshops, and technical assistance activities, illustrating how regional presence enables delivery of spectrum management and radiocommunication capacity-building activities.</w:t>
      </w:r>
    </w:p>
    <w:p w14:paraId="7FE61EC0" w14:textId="7E91B3C2"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i/>
        </w:rPr>
        <w:t>ITU-T/TSB:</w:t>
      </w:r>
      <w:r w:rsidR="00250529" w:rsidRPr="008C431B">
        <w:rPr>
          <w:rFonts w:asciiTheme="minorHAnsi" w:hAnsiTheme="minorHAnsi" w:cstheme="minorHAnsi"/>
        </w:rPr>
        <w:t xml:space="preserve"> Documentation highlights regional capacity-building, preparatory meetings, and targeted projects addressing the standardization gap, demonstrating how implementation information is integrated into sectoral reporting.</w:t>
      </w:r>
    </w:p>
    <w:p w14:paraId="3A36B3F6" w14:textId="12313E11" w:rsidR="00250529" w:rsidRPr="008C431B" w:rsidRDefault="008C431B" w:rsidP="008C431B">
      <w:pPr>
        <w:tabs>
          <w:tab w:val="left" w:pos="720"/>
        </w:tabs>
        <w:spacing w:before="60" w:after="60"/>
        <w:ind w:left="720" w:hanging="360"/>
        <w:jc w:val="both"/>
        <w:rPr>
          <w:rFonts w:asciiTheme="minorHAnsi" w:hAnsiTheme="minorHAnsi" w:cstheme="minorHAnsi"/>
        </w:rPr>
      </w:pPr>
      <w:r w:rsidRPr="00986D12">
        <w:rPr>
          <w:rFonts w:ascii="Symbol" w:eastAsia="Aptos" w:hAnsi="Symbol" w:cstheme="minorHAnsi"/>
          <w:kern w:val="2"/>
          <w:sz w:val="20"/>
          <w:szCs w:val="22"/>
          <w14:ligatures w14:val="standardContextual"/>
        </w:rPr>
        <w:t></w:t>
      </w:r>
      <w:r w:rsidRPr="00986D12">
        <w:rPr>
          <w:rFonts w:ascii="Symbol" w:eastAsia="Aptos" w:hAnsi="Symbol" w:cstheme="minorHAnsi"/>
          <w:kern w:val="2"/>
          <w:sz w:val="20"/>
          <w:szCs w:val="22"/>
          <w14:ligatures w14:val="standardContextual"/>
        </w:rPr>
        <w:tab/>
      </w:r>
      <w:r w:rsidR="00250529" w:rsidRPr="008C431B">
        <w:rPr>
          <w:rFonts w:asciiTheme="minorHAnsi" w:hAnsiTheme="minorHAnsi" w:cstheme="minorHAnsi"/>
          <w:i/>
        </w:rPr>
        <w:t>General Secretariat:</w:t>
      </w:r>
      <w:r w:rsidR="00250529" w:rsidRPr="008C431B">
        <w:rPr>
          <w:rFonts w:asciiTheme="minorHAnsi" w:hAnsiTheme="minorHAnsi" w:cstheme="minorHAnsi"/>
        </w:rPr>
        <w:t xml:space="preserve"> Implementation reporting focuses on cross-cutting institutional functions (HR transformation, UN system coordination, administrative modernization), with regional offices presented as facilitators and enablers of GS-led initiatives.</w:t>
      </w:r>
    </w:p>
    <w:p w14:paraId="5FA2B79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Across these documents, implementation information is generally presented by </w:t>
      </w:r>
      <w:r w:rsidRPr="00986D12">
        <w:rPr>
          <w:rFonts w:asciiTheme="minorHAnsi" w:hAnsiTheme="minorHAnsi" w:cstheme="minorHAnsi"/>
          <w:b/>
        </w:rPr>
        <w:t>sector and region</w:t>
      </w:r>
      <w:r w:rsidRPr="00986D12">
        <w:rPr>
          <w:rFonts w:asciiTheme="minorHAnsi" w:hAnsiTheme="minorHAnsi" w:cstheme="minorHAnsi"/>
        </w:rPr>
        <w:t xml:space="preserve">, with concrete examples, alignment to approved plans, and linkage to strategic objectives. This structure supports Council and Advisory Bodies in understanding how regional presence contributes to delivering ITU mandates. </w:t>
      </w:r>
    </w:p>
    <w:p w14:paraId="006AD450" w14:textId="77777777" w:rsidR="00250529" w:rsidRPr="00986D12" w:rsidRDefault="00250529" w:rsidP="005B5E68">
      <w:pPr>
        <w:pStyle w:val="KPItitle"/>
        <w:jc w:val="both"/>
        <w:rPr>
          <w:rFonts w:asciiTheme="minorHAnsi" w:hAnsiTheme="minorHAnsi" w:cstheme="minorHAnsi"/>
        </w:rPr>
      </w:pPr>
      <w:bookmarkStart w:id="153" w:name="_Toc224213070"/>
      <w:bookmarkStart w:id="154" w:name="_Toc224236501"/>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26 — Assess whether the regional presence, in its reports to the Directors of the three Bureaus, Advisory Bodies and Council, provides adequate information on: Document Analysis plus Survey:</w:t>
      </w:r>
      <w:bookmarkEnd w:id="153"/>
      <w:bookmarkEnd w:id="154"/>
    </w:p>
    <w:p w14:paraId="1D5F9F1C" w14:textId="64CC0FB9"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a.</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Any challenges faced in collecting the above data/ data requested</w:t>
      </w:r>
    </w:p>
    <w:p w14:paraId="7867C8CA" w14:textId="03CDF808"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b.</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Any </w:t>
      </w:r>
      <w:r w:rsidR="00250529" w:rsidRPr="008C431B" w:rsidDel="001F2A97">
        <w:rPr>
          <w:rFonts w:asciiTheme="minorHAnsi" w:hAnsiTheme="minorHAnsi" w:cstheme="minorHAnsi"/>
          <w:lang w:eastAsia="en-GB"/>
        </w:rPr>
        <w:t>recommendations</w:t>
      </w:r>
      <w:r w:rsidR="00250529" w:rsidRPr="008C431B">
        <w:rPr>
          <w:rFonts w:asciiTheme="minorHAnsi" w:hAnsiTheme="minorHAnsi" w:cstheme="minorHAnsi"/>
          <w:lang w:eastAsia="en-GB"/>
        </w:rPr>
        <w:t xml:space="preserve"> on how regular reporting may help strengthen the activities of the regional presence</w:t>
      </w:r>
    </w:p>
    <w:p w14:paraId="408EEDFF" w14:textId="6EB9D488"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Theme="minorHAnsi" w:eastAsia="Aptos" w:hAnsiTheme="minorHAnsi" w:cstheme="minorHAnsi"/>
          <w:kern w:val="2"/>
          <w:sz w:val="22"/>
          <w:szCs w:val="22"/>
          <w:lang w:eastAsia="en-GB"/>
          <w14:ligatures w14:val="standardContextual"/>
        </w:rPr>
        <w:t>c.</w:t>
      </w:r>
      <w:r w:rsidRPr="00986D12">
        <w:rPr>
          <w:rFonts w:asciiTheme="minorHAnsi" w:eastAsia="Aptos" w:hAnsiTheme="minorHAnsi"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Any </w:t>
      </w:r>
      <w:r w:rsidR="00250529" w:rsidRPr="008C431B" w:rsidDel="001F2A97">
        <w:rPr>
          <w:rFonts w:asciiTheme="minorHAnsi" w:hAnsiTheme="minorHAnsi" w:cstheme="minorHAnsi"/>
          <w:lang w:eastAsia="en-GB"/>
        </w:rPr>
        <w:t>recommendations</w:t>
      </w:r>
      <w:r w:rsidR="00250529" w:rsidRPr="008C431B">
        <w:rPr>
          <w:rFonts w:asciiTheme="minorHAnsi" w:hAnsiTheme="minorHAnsi" w:cstheme="minorHAnsi"/>
          <w:lang w:eastAsia="en-GB"/>
        </w:rPr>
        <w:t xml:space="preserve"> on how oversight by Advisory Bodies and Council may help strengthen the activities of the regional presence</w:t>
      </w:r>
    </w:p>
    <w:p w14:paraId="464D3491" w14:textId="419A8974" w:rsidR="00250529" w:rsidRPr="00986D12" w:rsidRDefault="00250529" w:rsidP="005B5E68">
      <w:pPr>
        <w:jc w:val="both"/>
        <w:rPr>
          <w:rFonts w:asciiTheme="minorHAnsi" w:hAnsiTheme="minorHAnsi" w:cstheme="minorHAnsi"/>
        </w:rPr>
      </w:pPr>
      <w:r w:rsidRPr="00986D12">
        <w:rPr>
          <w:rFonts w:asciiTheme="minorHAnsi" w:hAnsiTheme="minorHAnsi" w:cstheme="minorHAnsi"/>
        </w:rPr>
        <w:lastRenderedPageBreak/>
        <w:t xml:space="preserve">The available evidence indicates that reporting on the regional presence to the Directors of the three Bureaus, Council and Advisory Bodies is generally perceived as positive and adequate, with variations across reporting fora. Because the same structured reporting questions are mapped across the three dimensions of this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the evidence base for challenges, </w:t>
      </w:r>
      <w:r w:rsidRPr="00986D12" w:rsidDel="001F2A97">
        <w:rPr>
          <w:rFonts w:asciiTheme="minorHAnsi" w:hAnsiTheme="minorHAnsi" w:cstheme="minorHAnsi"/>
        </w:rPr>
        <w:t>recommendations</w:t>
      </w:r>
      <w:r w:rsidRPr="00986D12">
        <w:rPr>
          <w:rFonts w:asciiTheme="minorHAnsi" w:hAnsiTheme="minorHAnsi" w:cstheme="minorHAnsi"/>
        </w:rPr>
        <w:t xml:space="preserve"> and oversight is closely interconnected.</w:t>
      </w:r>
    </w:p>
    <w:p w14:paraId="1AE66BD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From the Internal Assessment, 68% agree that reporting to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provides adequate information (</w:t>
      </w:r>
      <w:proofErr w:type="spellStart"/>
      <w:r w:rsidRPr="00986D12">
        <w:rPr>
          <w:rFonts w:asciiTheme="minorHAnsi" w:hAnsiTheme="minorHAnsi" w:cstheme="minorHAnsi"/>
        </w:rPr>
        <w:t>Q16_a</w:t>
      </w:r>
      <w:proofErr w:type="spellEnd"/>
      <w:r w:rsidRPr="00986D12">
        <w:rPr>
          <w:rFonts w:asciiTheme="minorHAnsi" w:hAnsiTheme="minorHAnsi" w:cstheme="minorHAnsi"/>
        </w:rPr>
        <w:t>). Support is lower for TSAG and RAG, where 58% and 57% respectively agree (</w:t>
      </w:r>
      <w:proofErr w:type="spellStart"/>
      <w:r w:rsidRPr="00986D12">
        <w:rPr>
          <w:rFonts w:asciiTheme="minorHAnsi" w:hAnsiTheme="minorHAnsi" w:cstheme="minorHAnsi"/>
        </w:rPr>
        <w:t>Q16_b</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Q16_c</w:t>
      </w:r>
      <w:proofErr w:type="spellEnd"/>
      <w:r w:rsidRPr="00986D12">
        <w:rPr>
          <w:rFonts w:asciiTheme="minorHAnsi" w:hAnsiTheme="minorHAnsi" w:cstheme="minorHAnsi"/>
        </w:rPr>
        <w:t>). For Council reporting, 66% agree that information is adequate (</w:t>
      </w:r>
      <w:proofErr w:type="spellStart"/>
      <w:r w:rsidRPr="00986D12">
        <w:rPr>
          <w:rFonts w:asciiTheme="minorHAnsi" w:hAnsiTheme="minorHAnsi" w:cstheme="minorHAnsi"/>
        </w:rPr>
        <w:t>Q16_d</w:t>
      </w:r>
      <w:proofErr w:type="spellEnd"/>
      <w:r w:rsidRPr="00986D12">
        <w:rPr>
          <w:rFonts w:asciiTheme="minorHAnsi" w:hAnsiTheme="minorHAnsi" w:cstheme="minorHAnsi"/>
        </w:rPr>
        <w:t xml:space="preserve">). Neutral responses range from 25% to 30% across the four reporting bodies, while disagreement remains limited, between 6% and 9%. These results indicate that staff generally consider reporting arrangements to be functioning reasonably well, particularly for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and Council, but with weaker confidence regarding reporting to TSAG and RAG.</w:t>
      </w:r>
    </w:p>
    <w:p w14:paraId="14C4677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Membership Survey responses follow a similar pattern, though at slightly lower levels. Fifty-nine per cent agree that reporting to Council provides adequate information (</w:t>
      </w:r>
      <w:proofErr w:type="spellStart"/>
      <w:r w:rsidRPr="00986D12">
        <w:rPr>
          <w:rFonts w:asciiTheme="minorHAnsi" w:hAnsiTheme="minorHAnsi" w:cstheme="minorHAnsi"/>
        </w:rPr>
        <w:t>Q21_a</w:t>
      </w:r>
      <w:proofErr w:type="spellEnd"/>
      <w:r w:rsidRPr="00986D12">
        <w:rPr>
          <w:rFonts w:asciiTheme="minorHAnsi" w:hAnsiTheme="minorHAnsi" w:cstheme="minorHAnsi"/>
        </w:rPr>
        <w:t xml:space="preserve">). Agreement reaches 58% for </w:t>
      </w:r>
      <w:proofErr w:type="spellStart"/>
      <w:r w:rsidRPr="00986D12">
        <w:rPr>
          <w:rFonts w:asciiTheme="minorHAnsi" w:hAnsiTheme="minorHAnsi" w:cstheme="minorHAnsi"/>
        </w:rPr>
        <w:t>TDAG</w:t>
      </w:r>
      <w:proofErr w:type="spellEnd"/>
      <w:r w:rsidRPr="00986D12">
        <w:rPr>
          <w:rFonts w:asciiTheme="minorHAnsi" w:hAnsiTheme="minorHAnsi" w:cstheme="minorHAnsi"/>
        </w:rPr>
        <w:t>, 53% for TSAG and 51% for RAG (</w:t>
      </w:r>
      <w:proofErr w:type="spellStart"/>
      <w:r w:rsidRPr="00986D12">
        <w:rPr>
          <w:rFonts w:asciiTheme="minorHAnsi" w:hAnsiTheme="minorHAnsi" w:cstheme="minorHAnsi"/>
        </w:rPr>
        <w:t>Q21_b</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Q21_c</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Q21_d</w:t>
      </w:r>
      <w:proofErr w:type="spellEnd"/>
      <w:r w:rsidRPr="00986D12">
        <w:rPr>
          <w:rFonts w:asciiTheme="minorHAnsi" w:hAnsiTheme="minorHAnsi" w:cstheme="minorHAnsi"/>
        </w:rPr>
        <w:t>). Neutral responses range from 21% to 24%, and disagreement remains relatively limited. This suggests moderately high confidence among Membership in the adequacy of reporting, while also indicating that reporting may not yet convey the same level of clarity or usefulness across all advisory/ governance bodies.</w:t>
      </w:r>
    </w:p>
    <w:p w14:paraId="4DC2B8FE"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question on strengthened oversight provides further insight across the three dimensions of the </w:t>
      </w:r>
      <w:proofErr w:type="spellStart"/>
      <w:r w:rsidRPr="00986D12">
        <w:rPr>
          <w:rFonts w:asciiTheme="minorHAnsi" w:hAnsiTheme="minorHAnsi" w:cstheme="minorHAnsi"/>
        </w:rPr>
        <w:t>KPI</w:t>
      </w:r>
      <w:proofErr w:type="spellEnd"/>
      <w:r w:rsidRPr="00986D12">
        <w:rPr>
          <w:rFonts w:asciiTheme="minorHAnsi" w:hAnsiTheme="minorHAnsi" w:cstheme="minorHAnsi"/>
        </w:rPr>
        <w:t>. Fifty-seven per cent of Membership Survey respondents agree that more oversight by Advisory Bodies and Council would strengthen regional activities, while 30% remain neutral and 3% disagree (</w:t>
      </w:r>
      <w:proofErr w:type="spellStart"/>
      <w:r w:rsidRPr="00986D12">
        <w:rPr>
          <w:rFonts w:asciiTheme="minorHAnsi" w:hAnsiTheme="minorHAnsi" w:cstheme="minorHAnsi"/>
        </w:rPr>
        <w:t>Q5_b</w:t>
      </w:r>
      <w:proofErr w:type="spellEnd"/>
      <w:r w:rsidRPr="00986D12">
        <w:rPr>
          <w:rFonts w:asciiTheme="minorHAnsi" w:hAnsiTheme="minorHAnsi" w:cstheme="minorHAnsi"/>
        </w:rPr>
        <w:t>). This suggests that stronger oversight is generally perceived as constructive rather than burdensome, and that improved reporting is seen as one of the channels through which oversight could add value.</w:t>
      </w:r>
    </w:p>
    <w:p w14:paraId="423FC3E9" w14:textId="77777777" w:rsidR="00250529" w:rsidRPr="00986D12" w:rsidRDefault="00250529" w:rsidP="005B5E68">
      <w:pPr>
        <w:jc w:val="both"/>
        <w:rPr>
          <w:rFonts w:asciiTheme="minorHAnsi" w:hAnsiTheme="minorHAnsi" w:cstheme="minorHAnsi"/>
          <w:color w:val="000000"/>
          <w:lang w:eastAsia="en-GB"/>
        </w:rPr>
      </w:pPr>
      <w:r w:rsidRPr="00986D12">
        <w:rPr>
          <w:rFonts w:asciiTheme="minorHAnsi" w:hAnsiTheme="minorHAnsi" w:cstheme="minorHAnsi"/>
          <w:lang w:eastAsia="en-GB"/>
        </w:rPr>
        <w:t>Responses to the Internal Assessment open-ended question on how oversight by Advisory Bodies and Council may help strengthen the activities of the regional presence help clarify what respondents expect from stronger oversight (</w:t>
      </w:r>
      <w:proofErr w:type="spellStart"/>
      <w:r w:rsidRPr="00986D12">
        <w:rPr>
          <w:rFonts w:asciiTheme="minorHAnsi" w:hAnsiTheme="minorHAnsi" w:cstheme="minorHAnsi"/>
          <w:lang w:eastAsia="en-GB"/>
        </w:rPr>
        <w:t>Q32</w:t>
      </w:r>
      <w:proofErr w:type="spellEnd"/>
      <w:r w:rsidRPr="00986D12">
        <w:rPr>
          <w:rFonts w:asciiTheme="minorHAnsi" w:hAnsiTheme="minorHAnsi" w:cstheme="minorHAnsi"/>
          <w:lang w:eastAsia="en-GB"/>
        </w:rPr>
        <w:t>). The dominant pattern is a preference for more focused and action-oriented oversight, including clearer guidance on priorities, more systematic review of implementation progress, and stronger follow up on identified bottlenecks. Another recurring pattern is the expectation that reports should present more explicit analysis of implementation challenges, lessons learned and corrective actions, rather than mainly describing activities undertaken. Respondents also point to the need for oversight mechanisms that sharpen accountability while remaining practical and supportive of delivery</w:t>
      </w:r>
      <w:r w:rsidRPr="00986D12">
        <w:rPr>
          <w:rFonts w:asciiTheme="minorHAnsi" w:hAnsiTheme="minorHAnsi" w:cstheme="minorHAnsi"/>
          <w:color w:val="000000"/>
          <w:lang w:eastAsia="en-GB"/>
        </w:rPr>
        <w:t>.</w:t>
      </w:r>
    </w:p>
    <w:p w14:paraId="31AD384B" w14:textId="537D794E" w:rsidR="00997EBB" w:rsidRPr="00986D12" w:rsidRDefault="00250529" w:rsidP="00997EBB">
      <w:pPr>
        <w:pStyle w:val="Subtitle0"/>
        <w:rPr>
          <w:rFonts w:asciiTheme="minorHAnsi" w:hAnsiTheme="minorHAnsi" w:cstheme="minorHAnsi"/>
        </w:rPr>
      </w:pPr>
      <w:r w:rsidRPr="00986D12">
        <w:rPr>
          <w:rFonts w:asciiTheme="minorHAnsi" w:hAnsiTheme="minorHAnsi" w:cstheme="minorHAnsi"/>
        </w:rPr>
        <w:t xml:space="preserve">Conclusion </w:t>
      </w:r>
    </w:p>
    <w:p w14:paraId="27704C05" w14:textId="46DB7E41"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Taken together, these findings indicate that current reporting arrangements are viewed as broadly adequate, particularly with respect to </w:t>
      </w:r>
      <w:proofErr w:type="spellStart"/>
      <w:r w:rsidRPr="00986D12">
        <w:rPr>
          <w:rFonts w:asciiTheme="minorHAnsi" w:hAnsiTheme="minorHAnsi" w:cstheme="minorHAnsi"/>
        </w:rPr>
        <w:t>TDAG</w:t>
      </w:r>
      <w:proofErr w:type="spellEnd"/>
      <w:r w:rsidRPr="00986D12">
        <w:rPr>
          <w:rFonts w:asciiTheme="minorHAnsi" w:hAnsiTheme="minorHAnsi" w:cstheme="minorHAnsi"/>
        </w:rPr>
        <w:t xml:space="preserve"> and Council, and that this broad adequacy extends to reporting on implementation challenges, </w:t>
      </w:r>
      <w:r w:rsidRPr="00986D12" w:rsidDel="001F2A97">
        <w:rPr>
          <w:rFonts w:asciiTheme="minorHAnsi" w:hAnsiTheme="minorHAnsi" w:cstheme="minorHAnsi"/>
        </w:rPr>
        <w:t>recommendations</w:t>
      </w:r>
      <w:r w:rsidRPr="00986D12">
        <w:rPr>
          <w:rFonts w:asciiTheme="minorHAnsi" w:hAnsiTheme="minorHAnsi" w:cstheme="minorHAnsi"/>
        </w:rPr>
        <w:t xml:space="preserve"> and oversight-related matters. At the same time, the combination of moderate agreement levels, sizeable neutral shares and clear support for stronger oversight suggests that reporting could do more to distinguish clearly between activities delivered, challenges encountered, </w:t>
      </w:r>
      <w:r w:rsidRPr="00986D12" w:rsidDel="001F2A97">
        <w:rPr>
          <w:rFonts w:asciiTheme="minorHAnsi" w:hAnsiTheme="minorHAnsi" w:cstheme="minorHAnsi"/>
        </w:rPr>
        <w:t>recommendations</w:t>
      </w:r>
      <w:r w:rsidRPr="00986D12">
        <w:rPr>
          <w:rFonts w:asciiTheme="minorHAnsi" w:hAnsiTheme="minorHAnsi" w:cstheme="minorHAnsi"/>
        </w:rPr>
        <w:t xml:space="preserve"> emerging from implementation, and actions required from governance bodies.</w:t>
      </w:r>
    </w:p>
    <w:p w14:paraId="1A213309" w14:textId="39553139"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Overall, the evidence shows that reporting on the regional presence provides a well-regarded and functioning basis for communication and advice as regards Council and Advisory Bodies, </w:t>
      </w:r>
      <w:r w:rsidRPr="00986D12">
        <w:rPr>
          <w:rFonts w:asciiTheme="minorHAnsi" w:hAnsiTheme="minorHAnsi" w:cstheme="minorHAnsi"/>
        </w:rPr>
        <w:lastRenderedPageBreak/>
        <w:t xml:space="preserve">but that there remains scope to strengthen its analytical value. </w:t>
      </w:r>
      <w:r w:rsidR="000B0205">
        <w:rPr>
          <w:rFonts w:asciiTheme="minorHAnsi" w:hAnsiTheme="minorHAnsi" w:cstheme="minorHAnsi"/>
        </w:rPr>
        <w:t>Taken together evidence suggests that m</w:t>
      </w:r>
      <w:r w:rsidRPr="00986D12">
        <w:rPr>
          <w:rFonts w:asciiTheme="minorHAnsi" w:hAnsiTheme="minorHAnsi" w:cstheme="minorHAnsi"/>
        </w:rPr>
        <w:t xml:space="preserve">ore explicit treatment of implementation challenges, clearer forward-looking </w:t>
      </w:r>
      <w:r w:rsidR="00955AF1" w:rsidRPr="001226FF">
        <w:rPr>
          <w:rFonts w:asciiTheme="minorHAnsi" w:hAnsiTheme="minorHAnsi" w:cstheme="minorHAnsi"/>
        </w:rPr>
        <w:t>recommendations</w:t>
      </w:r>
      <w:r w:rsidRPr="00922E2E">
        <w:rPr>
          <w:rFonts w:asciiTheme="minorHAnsi" w:hAnsiTheme="minorHAnsi" w:cstheme="minorHAnsi"/>
        </w:rPr>
        <w:t>,</w:t>
      </w:r>
      <w:r w:rsidRPr="00986D12">
        <w:rPr>
          <w:rFonts w:asciiTheme="minorHAnsi" w:hAnsiTheme="minorHAnsi" w:cstheme="minorHAnsi"/>
        </w:rPr>
        <w:t xml:space="preserve"> and more structured reporting that supports practical oversight would likely improve the usefulness of reporting across all three dimensions of </w:t>
      </w:r>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26.</w:t>
      </w:r>
    </w:p>
    <w:p w14:paraId="06AFA43C" w14:textId="77777777" w:rsidR="00250529" w:rsidRPr="00986D12" w:rsidRDefault="00250529" w:rsidP="005B5E68">
      <w:pPr>
        <w:pStyle w:val="KPItitle"/>
        <w:jc w:val="both"/>
        <w:rPr>
          <w:rFonts w:asciiTheme="minorHAnsi" w:hAnsiTheme="minorHAnsi" w:cstheme="minorHAnsi"/>
        </w:rPr>
      </w:pPr>
      <w:bookmarkStart w:id="155" w:name="_Toc224213071"/>
      <w:bookmarkStart w:id="156" w:name="_Toc224236502"/>
      <w:proofErr w:type="spellStart"/>
      <w:r w:rsidRPr="00986D12">
        <w:rPr>
          <w:rFonts w:asciiTheme="minorHAnsi" w:hAnsiTheme="minorHAnsi" w:cstheme="minorHAnsi"/>
        </w:rPr>
        <w:t>KPI</w:t>
      </w:r>
      <w:proofErr w:type="spellEnd"/>
      <w:r w:rsidRPr="00986D12">
        <w:rPr>
          <w:rFonts w:asciiTheme="minorHAnsi" w:hAnsiTheme="minorHAnsi" w:cstheme="minorHAnsi"/>
        </w:rPr>
        <w:t xml:space="preserve"> 27 — Indicate the extent to which:</w:t>
      </w:r>
      <w:bookmarkEnd w:id="155"/>
      <w:bookmarkEnd w:id="156"/>
    </w:p>
    <w:p w14:paraId="1B3C3B9C" w14:textId="035057B9" w:rsidR="00250529" w:rsidRPr="008C431B" w:rsidRDefault="008C431B" w:rsidP="008C431B">
      <w:pPr>
        <w:spacing w:before="60" w:after="60"/>
        <w:ind w:left="720" w:hanging="360"/>
        <w:jc w:val="both"/>
        <w:rPr>
          <w:rFonts w:asciiTheme="minorHAnsi" w:eastAsiaTheme="majorEastAsia" w:hAnsiTheme="minorHAnsi" w:cstheme="minorHAnsi"/>
          <w:b/>
          <w:bCs/>
          <w:color w:val="00B0F0"/>
          <w:lang w:eastAsia="en-GB"/>
        </w:rPr>
      </w:pPr>
      <w:r w:rsidRPr="001226FF">
        <w:rPr>
          <w:rFonts w:asciiTheme="minorHAnsi" w:eastAsiaTheme="majorEastAsia" w:hAnsiTheme="minorHAnsi" w:cstheme="minorHAnsi"/>
          <w:b/>
          <w:bCs/>
          <w:color w:val="00B0F0"/>
          <w:kern w:val="2"/>
          <w:sz w:val="22"/>
          <w:szCs w:val="22"/>
          <w:lang w:eastAsia="en-GB"/>
          <w14:ligatures w14:val="standardContextual"/>
        </w:rPr>
        <w:t>a.</w:t>
      </w:r>
      <w:r w:rsidRPr="001226FF">
        <w:rPr>
          <w:rFonts w:asciiTheme="minorHAnsi" w:eastAsiaTheme="majorEastAsia" w:hAnsiTheme="minorHAnsi" w:cstheme="minorHAnsi"/>
          <w:b/>
          <w:bCs/>
          <w:color w:val="00B0F0"/>
          <w:kern w:val="2"/>
          <w:sz w:val="22"/>
          <w:szCs w:val="22"/>
          <w:lang w:eastAsia="en-GB"/>
          <w14:ligatures w14:val="standardContextual"/>
        </w:rPr>
        <w:tab/>
      </w:r>
      <w:r w:rsidR="00250529" w:rsidRPr="008C431B">
        <w:rPr>
          <w:rFonts w:asciiTheme="minorHAnsi" w:eastAsiaTheme="majorEastAsia" w:hAnsiTheme="minorHAnsi" w:cstheme="minorHAnsi"/>
          <w:b/>
          <w:bCs/>
          <w:color w:val="00B0F0"/>
          <w:lang w:eastAsia="en-GB"/>
        </w:rPr>
        <w:t xml:space="preserve">The relevant internal audit, external audit, Independent Management Advisory Committee and Joint Inspection Unit </w:t>
      </w:r>
      <w:r w:rsidR="00997EBB" w:rsidRPr="008C431B">
        <w:rPr>
          <w:rFonts w:asciiTheme="minorHAnsi" w:eastAsiaTheme="majorEastAsia" w:hAnsiTheme="minorHAnsi" w:cstheme="minorHAnsi"/>
          <w:b/>
          <w:bCs/>
          <w:color w:val="00B0F0"/>
          <w:lang w:eastAsia="en-GB"/>
        </w:rPr>
        <w:t xml:space="preserve">recommendations </w:t>
      </w:r>
      <w:r w:rsidR="00250529" w:rsidRPr="008C431B">
        <w:rPr>
          <w:rFonts w:asciiTheme="minorHAnsi" w:eastAsiaTheme="majorEastAsia" w:hAnsiTheme="minorHAnsi" w:cstheme="minorHAnsi"/>
          <w:b/>
          <w:bCs/>
          <w:color w:val="00B0F0"/>
          <w:lang w:eastAsia="en-GB"/>
        </w:rPr>
        <w:t>have been implemented related to the regional presence</w:t>
      </w:r>
    </w:p>
    <w:p w14:paraId="70C790C8" w14:textId="65335E5E" w:rsidR="00250529" w:rsidRPr="008C431B" w:rsidRDefault="008C431B" w:rsidP="008C431B">
      <w:pPr>
        <w:spacing w:before="60" w:after="60"/>
        <w:ind w:left="720" w:hanging="360"/>
        <w:jc w:val="both"/>
        <w:rPr>
          <w:rFonts w:asciiTheme="minorHAnsi" w:eastAsiaTheme="majorEastAsia" w:hAnsiTheme="minorHAnsi" w:cstheme="minorHAnsi"/>
          <w:b/>
          <w:bCs/>
          <w:color w:val="00B0F0"/>
          <w:lang w:eastAsia="en-GB"/>
        </w:rPr>
      </w:pPr>
      <w:r w:rsidRPr="001226FF">
        <w:rPr>
          <w:rFonts w:asciiTheme="minorHAnsi" w:eastAsiaTheme="majorEastAsia" w:hAnsiTheme="minorHAnsi" w:cstheme="minorHAnsi"/>
          <w:b/>
          <w:bCs/>
          <w:color w:val="00B0F0"/>
          <w:kern w:val="2"/>
          <w:sz w:val="22"/>
          <w:szCs w:val="22"/>
          <w:lang w:eastAsia="en-GB"/>
          <w14:ligatures w14:val="standardContextual"/>
        </w:rPr>
        <w:t>b.</w:t>
      </w:r>
      <w:r w:rsidRPr="001226FF">
        <w:rPr>
          <w:rFonts w:asciiTheme="minorHAnsi" w:eastAsiaTheme="majorEastAsia" w:hAnsiTheme="minorHAnsi" w:cstheme="minorHAnsi"/>
          <w:b/>
          <w:bCs/>
          <w:color w:val="00B0F0"/>
          <w:kern w:val="2"/>
          <w:sz w:val="22"/>
          <w:szCs w:val="22"/>
          <w:lang w:eastAsia="en-GB"/>
          <w14:ligatures w14:val="standardContextual"/>
        </w:rPr>
        <w:tab/>
      </w:r>
      <w:r w:rsidR="00250529" w:rsidRPr="008C431B">
        <w:rPr>
          <w:rFonts w:asciiTheme="minorHAnsi" w:eastAsiaTheme="majorEastAsia" w:hAnsiTheme="minorHAnsi" w:cstheme="minorHAnsi"/>
          <w:b/>
          <w:bCs/>
          <w:color w:val="00B0F0"/>
          <w:lang w:eastAsia="en-GB"/>
        </w:rPr>
        <w:t xml:space="preserve">The components of the ITU Accountability Framework have been implemented in the regional offices and area offices. This should include an indication of how </w:t>
      </w:r>
      <w:proofErr w:type="spellStart"/>
      <w:r w:rsidR="00250529" w:rsidRPr="008C431B">
        <w:rPr>
          <w:rFonts w:asciiTheme="minorHAnsi" w:eastAsiaTheme="majorEastAsia" w:hAnsiTheme="minorHAnsi" w:cstheme="minorHAnsi"/>
          <w:b/>
          <w:bCs/>
          <w:color w:val="00B0F0"/>
          <w:lang w:eastAsia="en-GB"/>
        </w:rPr>
        <w:t>RBM</w:t>
      </w:r>
      <w:proofErr w:type="spellEnd"/>
      <w:r w:rsidR="00250529" w:rsidRPr="008C431B">
        <w:rPr>
          <w:rFonts w:asciiTheme="minorHAnsi" w:eastAsiaTheme="majorEastAsia" w:hAnsiTheme="minorHAnsi" w:cstheme="minorHAnsi"/>
          <w:b/>
          <w:bCs/>
          <w:color w:val="00B0F0"/>
          <w:lang w:eastAsia="en-GB"/>
        </w:rPr>
        <w:t>, results-based budgeting and the human resources strategic plan are implemented. It should also include an identification of any implementation gaps and progress on activities</w:t>
      </w:r>
    </w:p>
    <w:p w14:paraId="1A576E2B" w14:textId="2A642181" w:rsidR="00250529" w:rsidRPr="008C431B" w:rsidRDefault="008C431B" w:rsidP="008C431B">
      <w:pPr>
        <w:spacing w:before="60" w:after="60"/>
        <w:ind w:left="720" w:hanging="360"/>
        <w:jc w:val="both"/>
        <w:rPr>
          <w:rFonts w:asciiTheme="minorHAnsi" w:eastAsiaTheme="majorEastAsia" w:hAnsiTheme="minorHAnsi" w:cstheme="minorHAnsi"/>
          <w:b/>
          <w:bCs/>
          <w:color w:val="00B0F0"/>
          <w:lang w:eastAsia="en-GB"/>
        </w:rPr>
      </w:pPr>
      <w:r w:rsidRPr="00495B41">
        <w:rPr>
          <w:rFonts w:asciiTheme="minorHAnsi" w:eastAsiaTheme="majorEastAsia" w:hAnsiTheme="minorHAnsi" w:cstheme="minorHAnsi"/>
          <w:b/>
          <w:bCs/>
          <w:color w:val="00B0F0"/>
          <w:kern w:val="2"/>
          <w:sz w:val="22"/>
          <w:szCs w:val="22"/>
          <w:lang w:eastAsia="en-GB"/>
          <w14:ligatures w14:val="standardContextual"/>
        </w:rPr>
        <w:t>c.</w:t>
      </w:r>
      <w:r w:rsidRPr="00495B41">
        <w:rPr>
          <w:rFonts w:asciiTheme="minorHAnsi" w:eastAsiaTheme="majorEastAsia" w:hAnsiTheme="minorHAnsi" w:cstheme="minorHAnsi"/>
          <w:b/>
          <w:bCs/>
          <w:color w:val="00B0F0"/>
          <w:kern w:val="2"/>
          <w:sz w:val="22"/>
          <w:szCs w:val="22"/>
          <w:lang w:eastAsia="en-GB"/>
          <w14:ligatures w14:val="standardContextual"/>
        </w:rPr>
        <w:tab/>
      </w:r>
      <w:r w:rsidR="00250529" w:rsidRPr="008C431B">
        <w:rPr>
          <w:rFonts w:asciiTheme="minorHAnsi" w:eastAsiaTheme="majorEastAsia" w:hAnsiTheme="minorHAnsi" w:cstheme="minorHAnsi"/>
          <w:b/>
          <w:bCs/>
          <w:color w:val="00B0F0"/>
          <w:lang w:eastAsia="en-GB"/>
        </w:rPr>
        <w:t xml:space="preserve">Accountability measures have been undertaken when providing regional/area offices greater autonomy in decision making on the various activities, initiatives and projects they carry </w:t>
      </w:r>
      <w:proofErr w:type="spellStart"/>
      <w:r w:rsidR="00250529" w:rsidRPr="008C431B">
        <w:rPr>
          <w:rFonts w:asciiTheme="minorHAnsi" w:eastAsiaTheme="majorEastAsia" w:hAnsiTheme="minorHAnsi" w:cstheme="minorHAnsi"/>
          <w:b/>
          <w:bCs/>
          <w:color w:val="00B0F0"/>
          <w:lang w:eastAsia="en-GB"/>
        </w:rPr>
        <w:t>outcThe</w:t>
      </w:r>
      <w:proofErr w:type="spellEnd"/>
      <w:r w:rsidR="00250529" w:rsidRPr="008C431B">
        <w:rPr>
          <w:rFonts w:asciiTheme="minorHAnsi" w:eastAsiaTheme="majorEastAsia" w:hAnsiTheme="minorHAnsi" w:cstheme="minorHAnsi"/>
          <w:b/>
          <w:bCs/>
          <w:color w:val="00B0F0"/>
          <w:lang w:eastAsia="en-GB"/>
        </w:rPr>
        <w:t xml:space="preserve"> efficiency and effectiveness of the ethics, complaints and response mechanisms</w:t>
      </w:r>
    </w:p>
    <w:p w14:paraId="211B803F"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The available evidence indicates that governance and accountability mechanisms affecting the regional presence are structurally established and advancing, though perceptions vary across the four dimensions of this </w:t>
      </w:r>
      <w:proofErr w:type="spellStart"/>
      <w:r w:rsidRPr="00986D12">
        <w:rPr>
          <w:rFonts w:asciiTheme="minorHAnsi" w:hAnsiTheme="minorHAnsi" w:cstheme="minorHAnsi"/>
        </w:rPr>
        <w:t>KPI</w:t>
      </w:r>
      <w:proofErr w:type="spellEnd"/>
      <w:r w:rsidRPr="00986D12">
        <w:rPr>
          <w:rFonts w:asciiTheme="minorHAnsi" w:hAnsiTheme="minorHAnsi" w:cstheme="minorHAnsi"/>
        </w:rPr>
        <w:t>.</w:t>
      </w:r>
    </w:p>
    <w:p w14:paraId="3713C7E1" w14:textId="4E92C24E"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With respect to audit and oversight </w:t>
      </w:r>
      <w:r w:rsidRPr="00986D12" w:rsidDel="001F2A97">
        <w:rPr>
          <w:rFonts w:asciiTheme="minorHAnsi" w:hAnsiTheme="minorHAnsi" w:cstheme="minorHAnsi"/>
        </w:rPr>
        <w:t>recommendations</w:t>
      </w:r>
      <w:r w:rsidRPr="00986D12">
        <w:rPr>
          <w:rFonts w:asciiTheme="minorHAnsi" w:hAnsiTheme="minorHAnsi" w:cstheme="minorHAnsi"/>
        </w:rPr>
        <w:t xml:space="preserve">, document analysis shows that implementation is progressing. Operational </w:t>
      </w:r>
      <w:r w:rsidRPr="00986D12" w:rsidDel="001F2A97">
        <w:rPr>
          <w:rFonts w:asciiTheme="minorHAnsi" w:hAnsiTheme="minorHAnsi" w:cstheme="minorHAnsi"/>
        </w:rPr>
        <w:t>recommendations</w:t>
      </w:r>
      <w:r w:rsidRPr="00986D12">
        <w:rPr>
          <w:rFonts w:asciiTheme="minorHAnsi" w:hAnsiTheme="minorHAnsi" w:cstheme="minorHAnsi"/>
        </w:rPr>
        <w:t xml:space="preserve"> related to controls, asset management, security arrangements and process formalization have been implemented in several Regional and Area Offices, while broader strategic, risk management and system-level reforms remain in progress. Joint Inspection Unit guidance on mainstreaming the regional presence within the Strategic Plan is reflected in operational planning arrangements.</w:t>
      </w:r>
    </w:p>
    <w:p w14:paraId="0CE7D829" w14:textId="31BB325E"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Internal Assessment perceptions indicate moderately high confidence in the impact of these reforms. Fifty-two per cent agree that there has been improvement in strengthening the regional presence following implementation of relevant audit and IMAC </w:t>
      </w:r>
      <w:r w:rsidRPr="00986D12" w:rsidDel="001F2A97">
        <w:rPr>
          <w:rFonts w:asciiTheme="minorHAnsi" w:hAnsiTheme="minorHAnsi" w:cstheme="minorHAnsi"/>
        </w:rPr>
        <w:t>recommendations</w:t>
      </w:r>
      <w:r w:rsidRPr="00986D12">
        <w:rPr>
          <w:rFonts w:asciiTheme="minorHAnsi" w:hAnsiTheme="minorHAnsi" w:cstheme="minorHAnsi"/>
        </w:rPr>
        <w:t>, while 31% remain neutral and 15% disagree. This distribution suggests that reforms are recognized by a majority, although a sizeable share do not express a clear positive assessment.</w:t>
      </w:r>
    </w:p>
    <w:p w14:paraId="355C5312"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Regarding the Accountability Framework, document analysis confirms that Results-Based Management principles, operational planning aligned with strategic priorities and structured monitoring mechanisms are in place. Results-based budgeting practices are integrated into operational processes, and the Human Resources transformation has introduced strengthened performance management and workforce planning tools supporting accountability in Regional and Area Offices. The same perception profile applies, with </w:t>
      </w:r>
      <w:r w:rsidRPr="00986D12" w:rsidDel="001E11DB">
        <w:rPr>
          <w:rFonts w:asciiTheme="minorHAnsi" w:hAnsiTheme="minorHAnsi" w:cstheme="minorHAnsi"/>
        </w:rPr>
        <w:t>52</w:t>
      </w:r>
      <w:r w:rsidRPr="00986D12">
        <w:rPr>
          <w:rFonts w:asciiTheme="minorHAnsi" w:hAnsiTheme="minorHAnsi" w:cstheme="minorHAnsi"/>
        </w:rPr>
        <w:t>% agreement on overall strengthening following audit-related implementation.</w:t>
      </w:r>
    </w:p>
    <w:p w14:paraId="31EB9987" w14:textId="3BE2187C" w:rsidR="00250529" w:rsidRPr="00986D12" w:rsidRDefault="00250529" w:rsidP="005B5E68">
      <w:pPr>
        <w:jc w:val="both"/>
        <w:rPr>
          <w:rFonts w:asciiTheme="minorHAnsi" w:hAnsiTheme="minorHAnsi" w:cstheme="minorBidi"/>
        </w:rPr>
      </w:pPr>
      <w:r w:rsidRPr="3ABAAE00">
        <w:rPr>
          <w:rFonts w:asciiTheme="minorHAnsi" w:hAnsiTheme="minorHAnsi" w:cstheme="minorBidi"/>
        </w:rPr>
        <w:t xml:space="preserve">The perception profile differs significantly for accountability arrangements accompanying greater autonomy. Twenty-three percent agree that implementation has been adequate with respect to greater autonomy in decision making, while 21% remain neutral and 55% express disagreement, including 17% who strongly disagree. This suggests that, despite formal </w:t>
      </w:r>
      <w:r w:rsidRPr="3ABAAE00">
        <w:rPr>
          <w:rFonts w:asciiTheme="minorHAnsi" w:hAnsiTheme="minorHAnsi" w:cstheme="minorBidi"/>
        </w:rPr>
        <w:lastRenderedPageBreak/>
        <w:t>governance and monitoring mechanisms, staff confidence in the balance between decentralization and accountability remains limited.</w:t>
      </w:r>
    </w:p>
    <w:p w14:paraId="366DAE87" w14:textId="77777777" w:rsidR="00250529" w:rsidRPr="00986D12" w:rsidRDefault="00250529" w:rsidP="005B5E68">
      <w:pPr>
        <w:jc w:val="both"/>
        <w:rPr>
          <w:rFonts w:asciiTheme="minorHAnsi" w:hAnsiTheme="minorHAnsi" w:cstheme="minorHAnsi"/>
          <w:color w:val="000000"/>
          <w:lang w:eastAsia="en-GB"/>
        </w:rPr>
      </w:pPr>
      <w:r w:rsidRPr="00986D12">
        <w:rPr>
          <w:rFonts w:asciiTheme="minorHAnsi" w:hAnsiTheme="minorHAnsi" w:cstheme="minorHAnsi"/>
          <w:lang w:eastAsia="en-GB"/>
        </w:rPr>
        <w:t>With respect to ethics, complaints and response mechanisms, document analysis indicates that centralized reporting channels, standardized case-handling procedures and a strengthened tracking system are in place. Additional awareness and training activities reinforce preventive culture. Internal Assessment responses indicate that 54% agree that implementation has been adequate in this area, while 29% remain neutral and 16% disagree</w:t>
      </w:r>
      <w:r w:rsidRPr="00986D12">
        <w:rPr>
          <w:rFonts w:asciiTheme="minorHAnsi" w:hAnsiTheme="minorHAnsi" w:cstheme="minorHAnsi"/>
          <w:color w:val="000000"/>
          <w:lang w:eastAsia="en-GB"/>
        </w:rPr>
        <w:t>.</w:t>
      </w:r>
    </w:p>
    <w:p w14:paraId="51FC49F7" w14:textId="30C94A73" w:rsidR="00955AF1" w:rsidRPr="00986D12" w:rsidRDefault="00250529" w:rsidP="00955AF1">
      <w:pPr>
        <w:pStyle w:val="Subtitle0"/>
        <w:rPr>
          <w:rFonts w:asciiTheme="minorHAnsi" w:hAnsiTheme="minorHAnsi" w:cstheme="minorHAnsi"/>
        </w:rPr>
      </w:pPr>
      <w:r w:rsidRPr="00986D12">
        <w:rPr>
          <w:rFonts w:asciiTheme="minorHAnsi" w:hAnsiTheme="minorHAnsi" w:cstheme="minorHAnsi"/>
        </w:rPr>
        <w:t xml:space="preserve">Conclusion </w:t>
      </w:r>
    </w:p>
    <w:p w14:paraId="67066E8A" w14:textId="77777777" w:rsidR="00250529" w:rsidRPr="00986D12" w:rsidRDefault="00250529" w:rsidP="005B5E68">
      <w:pPr>
        <w:jc w:val="both"/>
        <w:rPr>
          <w:rFonts w:asciiTheme="minorHAnsi" w:hAnsiTheme="minorHAnsi" w:cstheme="minorHAnsi"/>
          <w:lang w:eastAsia="en-GB"/>
        </w:rPr>
      </w:pPr>
      <w:r w:rsidRPr="00986D12">
        <w:rPr>
          <w:rFonts w:asciiTheme="minorHAnsi" w:hAnsiTheme="minorHAnsi" w:cstheme="minorHAnsi"/>
          <w:lang w:eastAsia="en-GB"/>
        </w:rPr>
        <w:t>Taken together, the evidence demonstrates that institutional structures for audit follow up, accountability and ethics are operational and advancing. However, perception data indicate that confidence in accountability arrangements associated with greater autonomy is comparatively weak, suggesting scope for clearer articulation and reinforcement of safeguards accompanying decentralized decision making.</w:t>
      </w:r>
    </w:p>
    <w:p w14:paraId="7CCB8995"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Sources</w:t>
      </w:r>
    </w:p>
    <w:p w14:paraId="276A1716" w14:textId="4955993B" w:rsidR="00250529" w:rsidRPr="008C431B" w:rsidRDefault="008C431B" w:rsidP="008C431B">
      <w:pPr>
        <w:ind w:left="357" w:hanging="357"/>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1.</w:t>
      </w:r>
      <w:r w:rsidRPr="00986D12">
        <w:rPr>
          <w:rFonts w:asciiTheme="minorHAnsi" w:eastAsia="Aptos" w:hAnsiTheme="minorHAnsi" w:cstheme="minorHAnsi"/>
          <w:kern w:val="2"/>
          <w:sz w:val="22"/>
          <w:szCs w:val="22"/>
          <w14:ligatures w14:val="standardContextual"/>
        </w:rPr>
        <w:tab/>
      </w:r>
      <w:proofErr w:type="spellStart"/>
      <w:r w:rsidR="00250529" w:rsidRPr="008C431B">
        <w:rPr>
          <w:rFonts w:asciiTheme="minorHAnsi" w:hAnsiTheme="minorHAnsi" w:cstheme="minorHAnsi"/>
        </w:rPr>
        <w:t>KPI</w:t>
      </w:r>
      <w:proofErr w:type="spellEnd"/>
      <w:r w:rsidR="00250529" w:rsidRPr="008C431B">
        <w:rPr>
          <w:rFonts w:asciiTheme="minorHAnsi" w:hAnsiTheme="minorHAnsi" w:cstheme="minorHAnsi"/>
        </w:rPr>
        <w:t xml:space="preserve"> </w:t>
      </w:r>
      <w:proofErr w:type="spellStart"/>
      <w:r w:rsidR="00250529" w:rsidRPr="008C431B">
        <w:rPr>
          <w:rFonts w:asciiTheme="minorHAnsi" w:hAnsiTheme="minorHAnsi" w:cstheme="minorHAnsi"/>
        </w:rPr>
        <w:t>27_a</w:t>
      </w:r>
      <w:proofErr w:type="spellEnd"/>
      <w:r w:rsidR="00250529" w:rsidRPr="008C431B">
        <w:rPr>
          <w:rFonts w:asciiTheme="minorHAnsi" w:hAnsiTheme="minorHAnsi" w:cstheme="minorHAnsi"/>
        </w:rPr>
        <w:t xml:space="preserve">: </w:t>
      </w:r>
    </w:p>
    <w:p w14:paraId="2C046782" w14:textId="65E29100"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Summary table of Conte </w:t>
      </w:r>
      <w:proofErr w:type="spellStart"/>
      <w:r w:rsidR="00250529" w:rsidRPr="00986D12">
        <w:rPr>
          <w:rFonts w:asciiTheme="minorHAnsi" w:hAnsiTheme="minorHAnsi" w:cstheme="minorHAnsi"/>
        </w:rPr>
        <w:t>dei</w:t>
      </w:r>
      <w:proofErr w:type="spellEnd"/>
      <w:r w:rsidR="00250529" w:rsidRPr="00986D12">
        <w:rPr>
          <w:rFonts w:asciiTheme="minorHAnsi" w:hAnsiTheme="minorHAnsi" w:cstheme="minorHAnsi"/>
        </w:rPr>
        <w:t xml:space="preserve"> </w:t>
      </w:r>
      <w:proofErr w:type="spellStart"/>
      <w:r w:rsidR="00250529" w:rsidRPr="00986D12">
        <w:rPr>
          <w:rFonts w:asciiTheme="minorHAnsi" w:hAnsiTheme="minorHAnsi" w:cstheme="minorHAnsi"/>
        </w:rPr>
        <w:t>conti</w:t>
      </w:r>
      <w:proofErr w:type="spellEnd"/>
      <w:r w:rsidR="00250529" w:rsidRPr="00986D12">
        <w:rPr>
          <w:rFonts w:asciiTheme="minorHAnsi" w:hAnsiTheme="minorHAnsi" w:cstheme="minorHAnsi"/>
        </w:rPr>
        <w:t xml:space="preserve"> BDT </w:t>
      </w:r>
      <w:r w:rsidR="00986DE1">
        <w:rPr>
          <w:rFonts w:asciiTheme="minorHAnsi" w:hAnsiTheme="minorHAnsi" w:cstheme="minorHAnsi"/>
        </w:rPr>
        <w:t xml:space="preserve">recommendations </w:t>
      </w:r>
      <w:r w:rsidR="00250529" w:rsidRPr="00986D12">
        <w:rPr>
          <w:rFonts w:asciiTheme="minorHAnsi" w:hAnsiTheme="minorHAnsi" w:cstheme="minorHAnsi"/>
        </w:rPr>
        <w:t>092025 provided on 25 September 2025 by the Organizational Business Risk Manager (internal).</w:t>
      </w:r>
    </w:p>
    <w:p w14:paraId="4003A8C3" w14:textId="1608AD07" w:rsidR="00250529" w:rsidRPr="001226FF" w:rsidRDefault="008C431B" w:rsidP="008C431B">
      <w:pPr>
        <w:pStyle w:val="Bulletlist"/>
        <w:numPr>
          <w:ilvl w:val="0"/>
          <w:numId w:val="0"/>
        </w:numPr>
        <w:ind w:left="720" w:hanging="360"/>
        <w:jc w:val="both"/>
        <w:rPr>
          <w:rFonts w:asciiTheme="minorHAnsi" w:hAnsiTheme="minorHAnsi" w:cstheme="minorHAnsi"/>
        </w:rPr>
      </w:pPr>
      <w:r w:rsidRPr="001226FF">
        <w:rPr>
          <w:rFonts w:ascii="Symbol" w:hAnsi="Symbol" w:cstheme="minorHAnsi"/>
        </w:rPr>
        <w:t></w:t>
      </w:r>
      <w:r w:rsidRPr="001226FF">
        <w:rPr>
          <w:rFonts w:ascii="Symbol" w:hAnsi="Symbol" w:cstheme="minorHAnsi"/>
        </w:rPr>
        <w:tab/>
      </w:r>
      <w:r w:rsidR="00250529" w:rsidRPr="00111EA4">
        <w:rPr>
          <w:rFonts w:asciiTheme="minorHAnsi" w:hAnsiTheme="minorHAnsi" w:cstheme="minorBidi"/>
        </w:rPr>
        <w:t xml:space="preserve">BDT related audit </w:t>
      </w:r>
      <w:r w:rsidR="00986DE1" w:rsidRPr="00111EA4">
        <w:rPr>
          <w:rFonts w:asciiTheme="minorHAnsi" w:hAnsiTheme="minorHAnsi" w:cstheme="minorBidi"/>
        </w:rPr>
        <w:t xml:space="preserve">recommendations </w:t>
      </w:r>
      <w:r w:rsidR="00250529" w:rsidRPr="00111EA4">
        <w:rPr>
          <w:rFonts w:asciiTheme="minorHAnsi" w:hAnsiTheme="minorHAnsi" w:cstheme="minorBidi"/>
        </w:rPr>
        <w:t>(internal).</w:t>
      </w:r>
    </w:p>
    <w:p w14:paraId="676E2611" w14:textId="37F390D9"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United Nations Joint Inspection Unit (JIU), </w:t>
      </w:r>
      <w:hyperlink r:id="rId124" w:history="1">
        <w:r w:rsidR="00250529" w:rsidRPr="00986D12">
          <w:rPr>
            <w:rFonts w:asciiTheme="minorHAnsi" w:hAnsiTheme="minorHAnsi" w:cstheme="minorHAnsi"/>
            <w:i/>
            <w:color w:val="467886"/>
            <w:u w:val="single"/>
          </w:rPr>
          <w:t>Review of Management and Administration in the International Telecommunication Union (ITU)</w:t>
        </w:r>
      </w:hyperlink>
      <w:r w:rsidR="00250529" w:rsidRPr="00986D12">
        <w:rPr>
          <w:rFonts w:asciiTheme="minorHAnsi" w:hAnsiTheme="minorHAnsi" w:cstheme="minorHAnsi"/>
        </w:rPr>
        <w:t>, 2016, section IX, paras. 192–198 and recommendation 12.</w:t>
      </w:r>
    </w:p>
    <w:p w14:paraId="07B7433B" w14:textId="46CCC02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Compliance Tracker (internal use only).</w:t>
      </w:r>
    </w:p>
    <w:p w14:paraId="1C9AD4E0" w14:textId="1A54EB1F" w:rsidR="00250529" w:rsidRPr="008C431B" w:rsidRDefault="008C431B" w:rsidP="008C431B">
      <w:pPr>
        <w:ind w:left="357" w:hanging="357"/>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2.</w:t>
      </w:r>
      <w:r w:rsidRPr="00986D12">
        <w:rPr>
          <w:rFonts w:asciiTheme="minorHAnsi" w:eastAsia="Aptos" w:hAnsiTheme="minorHAnsi" w:cstheme="minorHAnsi"/>
          <w:kern w:val="2"/>
          <w:sz w:val="22"/>
          <w:szCs w:val="22"/>
          <w14:ligatures w14:val="standardContextual"/>
        </w:rPr>
        <w:tab/>
      </w:r>
      <w:proofErr w:type="spellStart"/>
      <w:r w:rsidR="00250529" w:rsidRPr="008C431B">
        <w:rPr>
          <w:rFonts w:asciiTheme="minorHAnsi" w:hAnsiTheme="minorHAnsi" w:cstheme="minorHAnsi"/>
        </w:rPr>
        <w:t>KPI</w:t>
      </w:r>
      <w:proofErr w:type="spellEnd"/>
      <w:r w:rsidR="00250529" w:rsidRPr="008C431B">
        <w:rPr>
          <w:rFonts w:asciiTheme="minorHAnsi" w:hAnsiTheme="minorHAnsi" w:cstheme="minorHAnsi"/>
        </w:rPr>
        <w:t xml:space="preserve"> </w:t>
      </w:r>
      <w:proofErr w:type="spellStart"/>
      <w:r w:rsidR="00250529" w:rsidRPr="008C431B">
        <w:rPr>
          <w:rFonts w:asciiTheme="minorHAnsi" w:hAnsiTheme="minorHAnsi" w:cstheme="minorHAnsi"/>
        </w:rPr>
        <w:t>27_b</w:t>
      </w:r>
      <w:proofErr w:type="spellEnd"/>
      <w:r w:rsidR="00250529" w:rsidRPr="008C431B">
        <w:rPr>
          <w:rFonts w:asciiTheme="minorHAnsi" w:hAnsiTheme="minorHAnsi" w:cstheme="minorHAnsi"/>
        </w:rPr>
        <w:t>:</w:t>
      </w:r>
    </w:p>
    <w:p w14:paraId="7AE54FD1" w14:textId="19BB7CA3"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Annual Report on the implementation of the Strategic Plan and activities of the Union </w:t>
      </w:r>
      <w:hyperlink r:id="rId125" w:history="1">
        <w:r w:rsidR="00250529" w:rsidRPr="00986D12">
          <w:rPr>
            <w:rFonts w:asciiTheme="minorHAnsi" w:hAnsiTheme="minorHAnsi" w:cstheme="minorHAnsi"/>
            <w:color w:val="467886"/>
            <w:u w:val="single"/>
          </w:rPr>
          <w:t xml:space="preserve">Document </w:t>
        </w:r>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/35</w:t>
        </w:r>
      </w:hyperlink>
      <w:r w:rsidR="00250529" w:rsidRPr="00986D12">
        <w:rPr>
          <w:rFonts w:asciiTheme="minorHAnsi" w:hAnsiTheme="minorHAnsi" w:cstheme="minorHAnsi"/>
        </w:rPr>
        <w:t>.</w:t>
      </w:r>
    </w:p>
    <w:p w14:paraId="4A33F8D7" w14:textId="3D7DAF5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Report on the implementation of the Kigali Action Plan (KAP), Document </w:t>
      </w:r>
      <w:hyperlink r:id="rId126" w:tgtFrame="_blank" w:history="1">
        <w:r w:rsidR="00250529" w:rsidRPr="00986D12">
          <w:rPr>
            <w:rFonts w:asciiTheme="minorHAnsi" w:hAnsiTheme="minorHAnsi" w:cstheme="minorHAnsi"/>
            <w:color w:val="467886"/>
            <w:u w:val="single"/>
          </w:rPr>
          <w:t>WTDC-25/2</w:t>
        </w:r>
      </w:hyperlink>
      <w:r w:rsidR="00250529" w:rsidRPr="00986D12">
        <w:rPr>
          <w:rFonts w:asciiTheme="minorHAnsi" w:hAnsiTheme="minorHAnsi" w:cstheme="minorHAnsi"/>
        </w:rPr>
        <w:t>.</w:t>
      </w:r>
    </w:p>
    <w:p w14:paraId="46DE29F2" w14:textId="086FA0EF"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Progress report on the implementation of the Human Resources Transformation Plan and of Resolution 48, </w:t>
      </w:r>
      <w:hyperlink r:id="rId127" w:history="1">
        <w:r w:rsidR="00250529" w:rsidRPr="00986D12">
          <w:rPr>
            <w:rFonts w:asciiTheme="minorHAnsi" w:hAnsiTheme="minorHAnsi" w:cstheme="minorHAnsi"/>
            <w:color w:val="467886"/>
            <w:u w:val="single"/>
          </w:rPr>
          <w:t xml:space="preserve">Document </w:t>
        </w:r>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/66</w:t>
        </w:r>
      </w:hyperlink>
      <w:r w:rsidR="00250529" w:rsidRPr="00986D12">
        <w:rPr>
          <w:rFonts w:asciiTheme="minorHAnsi" w:hAnsiTheme="minorHAnsi" w:cstheme="minorHAnsi"/>
        </w:rPr>
        <w:t>.</w:t>
      </w:r>
    </w:p>
    <w:p w14:paraId="53FBFA96" w14:textId="0F8F52FE"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Strengthening ITU Regional Presence, </w:t>
      </w:r>
      <w:hyperlink r:id="rId128" w:history="1">
        <w:r w:rsidR="00250529" w:rsidRPr="00986D12">
          <w:rPr>
            <w:rFonts w:asciiTheme="minorHAnsi" w:hAnsiTheme="minorHAnsi" w:cstheme="minorHAnsi"/>
            <w:color w:val="467886"/>
            <w:u w:val="single"/>
          </w:rPr>
          <w:t xml:space="preserve">Document </w:t>
        </w:r>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/25</w:t>
        </w:r>
      </w:hyperlink>
      <w:r w:rsidR="00250529" w:rsidRPr="00986D12">
        <w:rPr>
          <w:rFonts w:asciiTheme="minorHAnsi" w:hAnsiTheme="minorHAnsi" w:cstheme="minorHAnsi"/>
        </w:rPr>
        <w:t>.</w:t>
      </w:r>
    </w:p>
    <w:p w14:paraId="04C925E3" w14:textId="6F7C532A" w:rsidR="00250529" w:rsidRPr="008C431B" w:rsidRDefault="008C431B" w:rsidP="008C431B">
      <w:pPr>
        <w:ind w:left="357" w:hanging="357"/>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3.</w:t>
      </w:r>
      <w:r w:rsidRPr="00986D12">
        <w:rPr>
          <w:rFonts w:asciiTheme="minorHAnsi" w:eastAsia="Aptos" w:hAnsiTheme="minorHAnsi" w:cstheme="minorHAnsi"/>
          <w:kern w:val="2"/>
          <w:sz w:val="22"/>
          <w:szCs w:val="22"/>
          <w14:ligatures w14:val="standardContextual"/>
        </w:rPr>
        <w:tab/>
      </w:r>
      <w:proofErr w:type="spellStart"/>
      <w:r w:rsidR="00250529" w:rsidRPr="008C431B">
        <w:rPr>
          <w:rFonts w:asciiTheme="minorHAnsi" w:hAnsiTheme="minorHAnsi" w:cstheme="minorHAnsi"/>
        </w:rPr>
        <w:t>KPI</w:t>
      </w:r>
      <w:proofErr w:type="spellEnd"/>
      <w:r w:rsidR="00250529" w:rsidRPr="008C431B">
        <w:rPr>
          <w:rFonts w:asciiTheme="minorHAnsi" w:hAnsiTheme="minorHAnsi" w:cstheme="minorHAnsi"/>
        </w:rPr>
        <w:t xml:space="preserve"> </w:t>
      </w:r>
      <w:proofErr w:type="spellStart"/>
      <w:r w:rsidR="00250529" w:rsidRPr="008C431B">
        <w:rPr>
          <w:rFonts w:asciiTheme="minorHAnsi" w:hAnsiTheme="minorHAnsi" w:cstheme="minorHAnsi"/>
        </w:rPr>
        <w:t>27_c</w:t>
      </w:r>
      <w:proofErr w:type="spellEnd"/>
      <w:r w:rsidR="00250529" w:rsidRPr="008C431B">
        <w:rPr>
          <w:rFonts w:asciiTheme="minorHAnsi" w:hAnsiTheme="minorHAnsi" w:cstheme="minorHAnsi"/>
        </w:rPr>
        <w:t>:</w:t>
      </w:r>
    </w:p>
    <w:p w14:paraId="33BF1D54" w14:textId="1A0FEBF2" w:rsidR="00250529" w:rsidRPr="00986D12" w:rsidRDefault="008C431B" w:rsidP="008C431B">
      <w:pPr>
        <w:pStyle w:val="Bulletlist"/>
        <w:numPr>
          <w:ilvl w:val="0"/>
          <w:numId w:val="0"/>
        </w:numPr>
        <w:ind w:left="720" w:hanging="360"/>
        <w:jc w:val="both"/>
        <w:rPr>
          <w:rFonts w:asciiTheme="minorHAnsi" w:hAnsiTheme="minorHAnsi" w:cstheme="minorHAnsi"/>
          <w:lang w:val="en-US"/>
        </w:rPr>
      </w:pPr>
      <w:r w:rsidRPr="00986D12">
        <w:rPr>
          <w:rFonts w:ascii="Symbol" w:hAnsi="Symbol" w:cstheme="minorHAnsi"/>
          <w:lang w:val="en-US"/>
        </w:rPr>
        <w:t></w:t>
      </w:r>
      <w:r w:rsidRPr="00986D12">
        <w:rPr>
          <w:rFonts w:ascii="Symbol" w:hAnsi="Symbol" w:cstheme="minorHAnsi"/>
          <w:lang w:val="en-US"/>
        </w:rPr>
        <w:tab/>
      </w:r>
      <w:r w:rsidR="00250529" w:rsidRPr="00986D12">
        <w:rPr>
          <w:rFonts w:asciiTheme="minorHAnsi" w:hAnsiTheme="minorHAnsi" w:cstheme="minorHAnsi"/>
        </w:rPr>
        <w:t xml:space="preserve">Annual Report on the implementation of the strategic plan and activities of the Union </w:t>
      </w:r>
      <w:hyperlink r:id="rId129" w:tgtFrame="_blank" w:history="1">
        <w:r w:rsidR="00250529" w:rsidRPr="00986D12">
          <w:rPr>
            <w:rFonts w:asciiTheme="minorHAnsi" w:hAnsiTheme="minorHAnsi" w:cstheme="minorHAnsi"/>
            <w:color w:val="467886"/>
            <w:u w:val="single"/>
          </w:rPr>
          <w:t xml:space="preserve">Document </w:t>
        </w:r>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/35</w:t>
        </w:r>
      </w:hyperlink>
      <w:r w:rsidR="00250529" w:rsidRPr="00986D12">
        <w:rPr>
          <w:rFonts w:asciiTheme="minorHAnsi" w:hAnsiTheme="minorHAnsi" w:cstheme="minorHAnsi"/>
        </w:rPr>
        <w:t>.</w:t>
      </w:r>
    </w:p>
    <w:p w14:paraId="45D4EB45" w14:textId="465A8793" w:rsidR="00250529" w:rsidRPr="00986D12" w:rsidRDefault="008C431B" w:rsidP="008C431B">
      <w:pPr>
        <w:pStyle w:val="Bulletlist"/>
        <w:numPr>
          <w:ilvl w:val="0"/>
          <w:numId w:val="0"/>
        </w:numPr>
        <w:ind w:left="720" w:hanging="360"/>
        <w:jc w:val="both"/>
        <w:rPr>
          <w:rFonts w:asciiTheme="minorHAnsi" w:hAnsiTheme="minorHAnsi" w:cstheme="minorHAnsi"/>
          <w:lang w:val="en-US"/>
        </w:rPr>
      </w:pPr>
      <w:r w:rsidRPr="00986D12">
        <w:rPr>
          <w:rFonts w:ascii="Symbol" w:hAnsi="Symbol" w:cstheme="minorHAnsi"/>
          <w:lang w:val="en-US"/>
        </w:rPr>
        <w:t></w:t>
      </w:r>
      <w:r w:rsidRPr="00986D12">
        <w:rPr>
          <w:rFonts w:ascii="Symbol" w:hAnsi="Symbol" w:cstheme="minorHAnsi"/>
          <w:lang w:val="en-US"/>
        </w:rPr>
        <w:tab/>
      </w:r>
      <w:r w:rsidR="00250529" w:rsidRPr="00986D12">
        <w:rPr>
          <w:rFonts w:asciiTheme="minorHAnsi" w:hAnsiTheme="minorHAnsi" w:cstheme="minorHAnsi"/>
        </w:rPr>
        <w:t xml:space="preserve">Strengthening ITU Regional Presence, </w:t>
      </w:r>
      <w:hyperlink r:id="rId130" w:tgtFrame="_blank" w:history="1">
        <w:r w:rsidR="00250529" w:rsidRPr="00986D12">
          <w:rPr>
            <w:rFonts w:asciiTheme="minorHAnsi" w:hAnsiTheme="minorHAnsi" w:cstheme="minorHAnsi"/>
            <w:color w:val="467886"/>
            <w:u w:val="single"/>
          </w:rPr>
          <w:t xml:space="preserve">Document </w:t>
        </w:r>
        <w:proofErr w:type="spellStart"/>
        <w:r w:rsidR="00250529" w:rsidRPr="00986D12">
          <w:rPr>
            <w:rFonts w:asciiTheme="minorHAnsi" w:hAnsiTheme="minorHAnsi" w:cstheme="minorHAnsi"/>
            <w:color w:val="467886"/>
            <w:u w:val="single"/>
          </w:rPr>
          <w:t>C25</w:t>
        </w:r>
        <w:proofErr w:type="spellEnd"/>
        <w:r w:rsidR="00250529" w:rsidRPr="00986D12">
          <w:rPr>
            <w:rFonts w:asciiTheme="minorHAnsi" w:hAnsiTheme="minorHAnsi" w:cstheme="minorHAnsi"/>
            <w:color w:val="467886"/>
            <w:u w:val="single"/>
          </w:rPr>
          <w:t>/25</w:t>
        </w:r>
      </w:hyperlink>
      <w:r w:rsidR="00250529" w:rsidRPr="00986D12">
        <w:rPr>
          <w:rFonts w:asciiTheme="minorHAnsi" w:hAnsiTheme="minorHAnsi" w:cstheme="minorHAnsi"/>
        </w:rPr>
        <w:t>.</w:t>
      </w:r>
    </w:p>
    <w:p w14:paraId="1452820C" w14:textId="6F987201" w:rsidR="00250529" w:rsidRPr="00986D12" w:rsidRDefault="008C431B" w:rsidP="008C431B">
      <w:pPr>
        <w:pStyle w:val="Bulletlist"/>
        <w:numPr>
          <w:ilvl w:val="0"/>
          <w:numId w:val="0"/>
        </w:numPr>
        <w:ind w:left="720" w:hanging="360"/>
        <w:jc w:val="both"/>
        <w:rPr>
          <w:rFonts w:asciiTheme="minorHAnsi" w:hAnsiTheme="minorHAnsi" w:cstheme="minorHAnsi"/>
          <w:lang w:val="en-US"/>
        </w:rPr>
      </w:pPr>
      <w:r w:rsidRPr="00986D12">
        <w:rPr>
          <w:rFonts w:ascii="Symbol" w:hAnsi="Symbol" w:cstheme="minorHAnsi"/>
          <w:lang w:val="en-US"/>
        </w:rPr>
        <w:t></w:t>
      </w:r>
      <w:r w:rsidRPr="00986D12">
        <w:rPr>
          <w:rFonts w:ascii="Symbol" w:hAnsi="Symbol" w:cstheme="minorHAnsi"/>
          <w:lang w:val="en-US"/>
        </w:rPr>
        <w:tab/>
      </w:r>
      <w:r w:rsidR="00250529" w:rsidRPr="00986D12">
        <w:rPr>
          <w:rFonts w:asciiTheme="minorHAnsi" w:hAnsiTheme="minorHAnsi" w:cstheme="minorHAnsi"/>
        </w:rPr>
        <w:t xml:space="preserve">Report on the implementation of the Kigali Action Plan (KAP),Document </w:t>
      </w:r>
      <w:hyperlink r:id="rId131" w:tgtFrame="_blank" w:history="1">
        <w:r w:rsidR="00250529" w:rsidRPr="00986D12">
          <w:rPr>
            <w:rFonts w:asciiTheme="minorHAnsi" w:hAnsiTheme="minorHAnsi" w:cstheme="minorHAnsi"/>
            <w:color w:val="467886"/>
            <w:u w:val="single"/>
          </w:rPr>
          <w:t>WTDC-25/2</w:t>
        </w:r>
      </w:hyperlink>
      <w:r w:rsidR="00250529" w:rsidRPr="00986D12">
        <w:rPr>
          <w:rFonts w:asciiTheme="minorHAnsi" w:hAnsiTheme="minorHAnsi" w:cstheme="minorHAnsi"/>
        </w:rPr>
        <w:t>.</w:t>
      </w:r>
    </w:p>
    <w:p w14:paraId="3C53C0E1" w14:textId="74C974F3" w:rsidR="00250529" w:rsidRPr="008C431B" w:rsidRDefault="008C431B" w:rsidP="008C431B">
      <w:pPr>
        <w:keepNext/>
        <w:ind w:left="357" w:hanging="357"/>
        <w:jc w:val="both"/>
        <w:rPr>
          <w:rFonts w:asciiTheme="minorHAnsi" w:hAnsiTheme="minorHAnsi" w:cstheme="minorHAnsi"/>
        </w:rPr>
      </w:pPr>
      <w:r w:rsidRPr="00986D12">
        <w:rPr>
          <w:rFonts w:asciiTheme="minorHAnsi" w:eastAsia="Aptos" w:hAnsiTheme="minorHAnsi" w:cstheme="minorHAnsi"/>
          <w:kern w:val="2"/>
          <w:sz w:val="22"/>
          <w:szCs w:val="22"/>
          <w14:ligatures w14:val="standardContextual"/>
        </w:rPr>
        <w:t>4.</w:t>
      </w:r>
      <w:r w:rsidRPr="00986D12">
        <w:rPr>
          <w:rFonts w:asciiTheme="minorHAnsi" w:eastAsia="Aptos" w:hAnsiTheme="minorHAnsi" w:cstheme="minorHAnsi"/>
          <w:kern w:val="2"/>
          <w:sz w:val="22"/>
          <w:szCs w:val="22"/>
          <w14:ligatures w14:val="standardContextual"/>
        </w:rPr>
        <w:tab/>
      </w:r>
      <w:proofErr w:type="spellStart"/>
      <w:r w:rsidR="00250529" w:rsidRPr="008C431B">
        <w:rPr>
          <w:rFonts w:asciiTheme="minorHAnsi" w:hAnsiTheme="minorHAnsi" w:cstheme="minorHAnsi"/>
        </w:rPr>
        <w:t>KPI</w:t>
      </w:r>
      <w:proofErr w:type="spellEnd"/>
      <w:r w:rsidR="00250529" w:rsidRPr="008C431B">
        <w:rPr>
          <w:rFonts w:asciiTheme="minorHAnsi" w:hAnsiTheme="minorHAnsi" w:cstheme="minorHAnsi"/>
        </w:rPr>
        <w:t xml:space="preserve"> </w:t>
      </w:r>
      <w:proofErr w:type="spellStart"/>
      <w:r w:rsidR="00250529" w:rsidRPr="008C431B">
        <w:rPr>
          <w:rFonts w:asciiTheme="minorHAnsi" w:hAnsiTheme="minorHAnsi" w:cstheme="minorHAnsi"/>
        </w:rPr>
        <w:t>27_d</w:t>
      </w:r>
      <w:proofErr w:type="spellEnd"/>
      <w:r w:rsidR="00250529" w:rsidRPr="008C431B">
        <w:rPr>
          <w:rFonts w:asciiTheme="minorHAnsi" w:hAnsiTheme="minorHAnsi" w:cstheme="minorHAnsi"/>
        </w:rPr>
        <w:t>:</w:t>
      </w:r>
    </w:p>
    <w:p w14:paraId="741B4C41" w14:textId="78895CD4"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Information from the Ethics Officer (internal).</w:t>
      </w:r>
    </w:p>
    <w:p w14:paraId="5649559E" w14:textId="77777777" w:rsidR="00250529" w:rsidRPr="00986D12" w:rsidRDefault="00250529" w:rsidP="005B5E68">
      <w:pPr>
        <w:pStyle w:val="Subtitle0"/>
        <w:jc w:val="both"/>
        <w:rPr>
          <w:rFonts w:asciiTheme="minorHAnsi" w:hAnsiTheme="minorHAnsi" w:cstheme="minorHAnsi"/>
        </w:rPr>
      </w:pPr>
      <w:r w:rsidRPr="00986D12">
        <w:rPr>
          <w:rFonts w:asciiTheme="minorHAnsi" w:hAnsiTheme="minorHAnsi" w:cstheme="minorHAnsi"/>
        </w:rPr>
        <w:t xml:space="preserve">Supplementary notes: Summary of document analysis </w:t>
      </w:r>
    </w:p>
    <w:p w14:paraId="56667FEA" w14:textId="51628967" w:rsidR="00250529" w:rsidRPr="00986D12" w:rsidRDefault="00250529" w:rsidP="005B5E68">
      <w:pPr>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27_a</w:t>
      </w:r>
      <w:proofErr w:type="spellEnd"/>
      <w:r w:rsidRPr="00986D12">
        <w:rPr>
          <w:rFonts w:asciiTheme="minorHAnsi" w:eastAsia="Avenir Nxt2 W1G" w:hAnsiTheme="minorHAnsi" w:cstheme="minorHAnsi"/>
          <w:color w:val="00B0F0"/>
        </w:rPr>
        <w:t xml:space="preserve">: Indicate the extent to which: a) the relevant internal audit, external audit, Independent Management Advisory Committee and Joint Inspection Unit </w:t>
      </w:r>
      <w:r w:rsidRPr="00986D12" w:rsidDel="001F2A97">
        <w:rPr>
          <w:rFonts w:asciiTheme="minorHAnsi" w:eastAsia="Avenir Nxt2 W1G" w:hAnsiTheme="minorHAnsi" w:cstheme="minorHAnsi"/>
          <w:color w:val="00B0F0"/>
        </w:rPr>
        <w:t>recommendations</w:t>
      </w:r>
      <w:r w:rsidRPr="00986D12">
        <w:rPr>
          <w:rFonts w:asciiTheme="minorHAnsi" w:eastAsia="Avenir Nxt2 W1G" w:hAnsiTheme="minorHAnsi" w:cstheme="minorHAnsi"/>
          <w:color w:val="00B0F0"/>
        </w:rPr>
        <w:t xml:space="preserve"> have been implemented related to the regional presence</w:t>
      </w:r>
    </w:p>
    <w:p w14:paraId="354614F7" w14:textId="4CAEF204" w:rsidR="00250529" w:rsidRPr="00986D12" w:rsidRDefault="00250529" w:rsidP="005B5E68">
      <w:pPr>
        <w:jc w:val="both"/>
        <w:rPr>
          <w:rFonts w:asciiTheme="minorHAnsi" w:hAnsiTheme="minorHAnsi" w:cstheme="minorHAnsi"/>
        </w:rPr>
      </w:pPr>
      <w:r w:rsidRPr="00986D12">
        <w:rPr>
          <w:rFonts w:asciiTheme="minorHAnsi" w:hAnsiTheme="minorHAnsi" w:cstheme="minorHAnsi"/>
          <w:i/>
        </w:rPr>
        <w:lastRenderedPageBreak/>
        <w:t xml:space="preserve">Internal Audit </w:t>
      </w:r>
      <w:r w:rsidRPr="00986D12" w:rsidDel="001F2A97">
        <w:rPr>
          <w:rFonts w:asciiTheme="minorHAnsi" w:hAnsiTheme="minorHAnsi" w:cstheme="minorHAnsi"/>
          <w:i/>
        </w:rPr>
        <w:t>recommendations</w:t>
      </w:r>
      <w:r w:rsidRPr="00986D12">
        <w:rPr>
          <w:rFonts w:asciiTheme="minorHAnsi" w:hAnsiTheme="minorHAnsi" w:cstheme="minorHAnsi"/>
          <w:i/>
        </w:rPr>
        <w:t>:</w:t>
      </w:r>
      <w:r w:rsidRPr="00986D12">
        <w:rPr>
          <w:rFonts w:asciiTheme="minorHAnsi" w:hAnsiTheme="minorHAnsi" w:cstheme="minorHAnsi"/>
        </w:rPr>
        <w:t xml:space="preserve"> Document analysis shows substantial progress in implementing Internal Audit </w:t>
      </w:r>
      <w:r w:rsidRPr="00986D12" w:rsidDel="001F2A97">
        <w:rPr>
          <w:rFonts w:asciiTheme="minorHAnsi" w:hAnsiTheme="minorHAnsi" w:cstheme="minorHAnsi"/>
        </w:rPr>
        <w:t>recommendations</w:t>
      </w:r>
      <w:r w:rsidRPr="00986D12">
        <w:rPr>
          <w:rFonts w:asciiTheme="minorHAnsi" w:hAnsiTheme="minorHAnsi" w:cstheme="minorHAnsi"/>
        </w:rPr>
        <w:t>, particularly those related to Africa and Arab States Regional Offices.</w:t>
      </w:r>
    </w:p>
    <w:p w14:paraId="5C9F2337" w14:textId="0942FA53"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A significant number of </w:t>
      </w:r>
      <w:r w:rsidRPr="00986D12" w:rsidDel="001F2A97">
        <w:rPr>
          <w:rFonts w:asciiTheme="minorHAnsi" w:hAnsiTheme="minorHAnsi" w:cstheme="minorHAnsi"/>
        </w:rPr>
        <w:t>recommendations</w:t>
      </w:r>
      <w:r w:rsidRPr="00986D12">
        <w:rPr>
          <w:rFonts w:asciiTheme="minorHAnsi" w:hAnsiTheme="minorHAnsi" w:cstheme="minorHAnsi"/>
        </w:rPr>
        <w:t xml:space="preserve"> (e.g. asset management, security measures, handover processes, host country agreement provisions) are reported as implemented.</w:t>
      </w:r>
    </w:p>
    <w:p w14:paraId="6016ECDD" w14:textId="549174D5"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Several cross-cutting </w:t>
      </w:r>
      <w:r w:rsidRPr="00986D12" w:rsidDel="001F2A97">
        <w:rPr>
          <w:rFonts w:asciiTheme="minorHAnsi" w:hAnsiTheme="minorHAnsi" w:cstheme="minorHAnsi"/>
        </w:rPr>
        <w:t>recommendations</w:t>
      </w:r>
      <w:r w:rsidRPr="00986D12">
        <w:rPr>
          <w:rFonts w:asciiTheme="minorHAnsi" w:hAnsiTheme="minorHAnsi" w:cstheme="minorHAnsi"/>
        </w:rPr>
        <w:t>—such as HR delegation of authority, risk management harmonization, and mandatory training completion—are In Progress, reflecting structural reforms that require coordination beyond individual regional offices.</w:t>
      </w:r>
    </w:p>
    <w:p w14:paraId="6A89CC19"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A limited number of actions, mainly related to updating job descriptions and risk frameworks, are identified as Not Started, providing a clearly defined pipeline for further strengthening.</w:t>
      </w:r>
    </w:p>
    <w:p w14:paraId="4367D7EA" w14:textId="341BAA9D"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External Auditor (Corte </w:t>
      </w:r>
      <w:proofErr w:type="spellStart"/>
      <w:r w:rsidRPr="00986D12">
        <w:rPr>
          <w:rFonts w:asciiTheme="minorHAnsi" w:hAnsiTheme="minorHAnsi" w:cstheme="minorHAnsi"/>
        </w:rPr>
        <w:t>dei</w:t>
      </w:r>
      <w:proofErr w:type="spellEnd"/>
      <w:r w:rsidRPr="00986D12">
        <w:rPr>
          <w:rFonts w:asciiTheme="minorHAnsi" w:hAnsiTheme="minorHAnsi" w:cstheme="minorHAnsi"/>
        </w:rPr>
        <w:t xml:space="preserve"> </w:t>
      </w:r>
      <w:proofErr w:type="spellStart"/>
      <w:r w:rsidRPr="00986D12">
        <w:rPr>
          <w:rFonts w:asciiTheme="minorHAnsi" w:hAnsiTheme="minorHAnsi" w:cstheme="minorHAnsi"/>
        </w:rPr>
        <w:t>conti</w:t>
      </w:r>
      <w:proofErr w:type="spellEnd"/>
      <w:r w:rsidRPr="00986D12">
        <w:rPr>
          <w:rFonts w:asciiTheme="minorHAnsi" w:hAnsiTheme="minorHAnsi" w:cstheme="minorHAnsi"/>
        </w:rPr>
        <w:t xml:space="preserve"> / National Audit Office) </w:t>
      </w:r>
      <w:r w:rsidRPr="00986D12" w:rsidDel="001F2A97">
        <w:rPr>
          <w:rFonts w:asciiTheme="minorHAnsi" w:hAnsiTheme="minorHAnsi" w:cstheme="minorHAnsi"/>
        </w:rPr>
        <w:t>recommendations</w:t>
      </w:r>
      <w:r w:rsidRPr="00986D12">
        <w:rPr>
          <w:rFonts w:asciiTheme="minorHAnsi" w:hAnsiTheme="minorHAnsi" w:cstheme="minorHAnsi"/>
        </w:rPr>
        <w:t>:</w:t>
      </w:r>
      <w:r w:rsidRPr="00986D12">
        <w:rPr>
          <w:rFonts w:asciiTheme="minorHAnsi" w:hAnsiTheme="minorHAnsi" w:cstheme="minorHAnsi"/>
          <w:b/>
        </w:rPr>
        <w:t xml:space="preserve"> </w:t>
      </w:r>
      <w:r w:rsidRPr="00986D12">
        <w:rPr>
          <w:rFonts w:asciiTheme="minorHAnsi" w:hAnsiTheme="minorHAnsi" w:cstheme="minorHAnsi"/>
        </w:rPr>
        <w:t xml:space="preserve">External audit </w:t>
      </w:r>
      <w:r w:rsidRPr="00986D12" w:rsidDel="001F2A97">
        <w:rPr>
          <w:rFonts w:asciiTheme="minorHAnsi" w:hAnsiTheme="minorHAnsi" w:cstheme="minorHAnsi"/>
        </w:rPr>
        <w:t>recommendations</w:t>
      </w:r>
      <w:r w:rsidRPr="00986D12">
        <w:rPr>
          <w:rFonts w:asciiTheme="minorHAnsi" w:hAnsiTheme="minorHAnsi" w:cstheme="minorHAnsi"/>
        </w:rPr>
        <w:t xml:space="preserve"> related to regional presence are largely classified as In Progress, reflecting their strategic and organization-wide nature. Key themes include:</w:t>
      </w:r>
    </w:p>
    <w:p w14:paraId="01D2F704" w14:textId="0448D112"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Translating regional presence objectives into measurable </w:t>
      </w:r>
      <w:proofErr w:type="spellStart"/>
      <w:r w:rsidR="00250529" w:rsidRPr="00986D12">
        <w:rPr>
          <w:rFonts w:asciiTheme="minorHAnsi" w:hAnsiTheme="minorHAnsi" w:cstheme="minorHAnsi"/>
        </w:rPr>
        <w:t>KPIs</w:t>
      </w:r>
      <w:proofErr w:type="spellEnd"/>
      <w:r w:rsidR="00250529" w:rsidRPr="00986D12">
        <w:rPr>
          <w:rFonts w:asciiTheme="minorHAnsi" w:hAnsiTheme="minorHAnsi" w:cstheme="minorHAnsi"/>
        </w:rPr>
        <w:t xml:space="preserve"> and cascading them into operational plans;</w:t>
      </w:r>
    </w:p>
    <w:p w14:paraId="155B011D" w14:textId="0A1C8C8E"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Strengthening risk management and evaluation functions;</w:t>
      </w:r>
    </w:p>
    <w:p w14:paraId="5F4672E7" w14:textId="67037140" w:rsidR="00250529" w:rsidRPr="00986D12" w:rsidRDefault="008C431B" w:rsidP="008C431B">
      <w:pPr>
        <w:pStyle w:val="Bulletlist"/>
        <w:numPr>
          <w:ilvl w:val="0"/>
          <w:numId w:val="0"/>
        </w:numPr>
        <w:ind w:left="720" w:hanging="360"/>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Clarifying delegation of authority and internal controls, especially for financial and contractual matters.</w:t>
      </w:r>
    </w:p>
    <w:p w14:paraId="2CB2EFB2" w14:textId="77777777" w:rsidR="00250529" w:rsidRPr="00986D12" w:rsidRDefault="00250529" w:rsidP="005B5E68">
      <w:pPr>
        <w:jc w:val="both"/>
        <w:rPr>
          <w:rFonts w:asciiTheme="minorHAnsi" w:hAnsiTheme="minorHAnsi" w:cstheme="minorHAnsi"/>
          <w:b/>
        </w:rPr>
      </w:pPr>
      <w:r w:rsidRPr="00986D12">
        <w:rPr>
          <w:rFonts w:asciiTheme="minorHAnsi" w:hAnsiTheme="minorHAnsi" w:cstheme="minorHAnsi"/>
          <w:i/>
        </w:rPr>
        <w:t xml:space="preserve">Joint Inspection Unit (JIU) recommendation: </w:t>
      </w:r>
      <w:r w:rsidRPr="00986D12">
        <w:rPr>
          <w:rFonts w:asciiTheme="minorHAnsi" w:hAnsiTheme="minorHAnsi" w:cstheme="minorHAnsi"/>
        </w:rPr>
        <w:t>The JIU recommendation on mainstreaming the role of regional presence within a “One ITU” framework has been institutionally embedded in the Strategic Plan and operational planning processes, particularly within BDT. Evidence shows systematic cascading into operational plans, inter-sectoral coordination, and joint activities, indicating substantive implementation at policy and planning levels.</w:t>
      </w:r>
    </w:p>
    <w:p w14:paraId="67A24917" w14:textId="7FA14A9B" w:rsidR="00250529" w:rsidRPr="00986D12" w:rsidRDefault="00250529" w:rsidP="005B5E68">
      <w:pPr>
        <w:jc w:val="both"/>
        <w:rPr>
          <w:rFonts w:asciiTheme="minorHAnsi" w:hAnsiTheme="minorHAnsi" w:cstheme="minorHAnsi"/>
        </w:rPr>
      </w:pPr>
      <w:r w:rsidRPr="00986D12">
        <w:rPr>
          <w:rFonts w:asciiTheme="minorHAnsi" w:hAnsiTheme="minorHAnsi" w:cstheme="minorHAnsi"/>
          <w:i/>
        </w:rPr>
        <w:t>Independent Management Advisory Committee (IMAC):</w:t>
      </w:r>
      <w:r w:rsidRPr="00986D12">
        <w:rPr>
          <w:rFonts w:asciiTheme="minorHAnsi" w:hAnsiTheme="minorHAnsi" w:cstheme="minorHAnsi"/>
        </w:rPr>
        <w:t xml:space="preserve"> There are no outstanding IMAC </w:t>
      </w:r>
      <w:r w:rsidRPr="00986D12" w:rsidDel="001F2A97">
        <w:rPr>
          <w:rFonts w:asciiTheme="minorHAnsi" w:hAnsiTheme="minorHAnsi" w:cstheme="minorHAnsi"/>
        </w:rPr>
        <w:t>recommendations</w:t>
      </w:r>
      <w:r w:rsidRPr="00986D12">
        <w:rPr>
          <w:rFonts w:asciiTheme="minorHAnsi" w:hAnsiTheme="minorHAnsi" w:cstheme="minorHAnsi"/>
        </w:rPr>
        <w:t xml:space="preserve"> related to BDT or regional presence, suggesting that earlier issues raised have been satisfactorily addressed or absorbed into ongoing reform processes.</w:t>
      </w:r>
    </w:p>
    <w:p w14:paraId="57DAF7DB" w14:textId="77777777" w:rsidR="00250529" w:rsidRPr="00986D12" w:rsidRDefault="00250529" w:rsidP="005B5E68">
      <w:pPr>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27_b</w:t>
      </w:r>
      <w:proofErr w:type="spellEnd"/>
      <w:r w:rsidRPr="00986D12">
        <w:rPr>
          <w:rFonts w:asciiTheme="minorHAnsi" w:eastAsia="Avenir Nxt2 W1G" w:hAnsiTheme="minorHAnsi" w:cstheme="minorHAnsi"/>
          <w:color w:val="00B0F0"/>
        </w:rPr>
        <w:t xml:space="preserve">: Indicate the extent to which: b) the components of the ITU Accountability Framework have been implemented in the regional offices and area offices. This should include an indication of how </w:t>
      </w:r>
      <w:proofErr w:type="spellStart"/>
      <w:r w:rsidRPr="00986D12">
        <w:rPr>
          <w:rFonts w:asciiTheme="minorHAnsi" w:eastAsia="Avenir Nxt2 W1G" w:hAnsiTheme="minorHAnsi" w:cstheme="minorHAnsi"/>
          <w:color w:val="00B0F0"/>
        </w:rPr>
        <w:t>RBM</w:t>
      </w:r>
      <w:proofErr w:type="spellEnd"/>
      <w:r w:rsidRPr="00986D12">
        <w:rPr>
          <w:rFonts w:asciiTheme="minorHAnsi" w:eastAsia="Avenir Nxt2 W1G" w:hAnsiTheme="minorHAnsi" w:cstheme="minorHAnsi"/>
          <w:color w:val="00B0F0"/>
        </w:rPr>
        <w:t>, results-based budgeting and the human resources strategic plan are implemented. It should also include an identification of any implementation gaps and progress on activities</w:t>
      </w:r>
    </w:p>
    <w:p w14:paraId="06637A1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i/>
        </w:rPr>
        <w:t>Results-Based Management (</w:t>
      </w:r>
      <w:proofErr w:type="spellStart"/>
      <w:r w:rsidRPr="00986D12">
        <w:rPr>
          <w:rFonts w:asciiTheme="minorHAnsi" w:hAnsiTheme="minorHAnsi" w:cstheme="minorHAnsi"/>
          <w:i/>
        </w:rPr>
        <w:t>RBM</w:t>
      </w:r>
      <w:proofErr w:type="spellEnd"/>
      <w:r w:rsidRPr="00986D12">
        <w:rPr>
          <w:rFonts w:asciiTheme="minorHAnsi" w:hAnsiTheme="minorHAnsi" w:cstheme="minorHAnsi"/>
          <w:i/>
        </w:rPr>
        <w:t xml:space="preserve">): </w:t>
      </w:r>
      <w:r w:rsidRPr="00986D12">
        <w:rPr>
          <w:rFonts w:asciiTheme="minorHAnsi" w:hAnsiTheme="minorHAnsi" w:cstheme="minorHAnsi"/>
        </w:rPr>
        <w:t xml:space="preserve">The document analysis notes that </w:t>
      </w:r>
      <w:proofErr w:type="spellStart"/>
      <w:r w:rsidRPr="00986D12">
        <w:rPr>
          <w:rFonts w:asciiTheme="minorHAnsi" w:hAnsiTheme="minorHAnsi" w:cstheme="minorHAnsi"/>
        </w:rPr>
        <w:t>RBB</w:t>
      </w:r>
      <w:proofErr w:type="spellEnd"/>
      <w:r w:rsidRPr="00986D12">
        <w:rPr>
          <w:rFonts w:asciiTheme="minorHAnsi" w:hAnsiTheme="minorHAnsi" w:cstheme="minorHAnsi"/>
        </w:rPr>
        <w:t xml:space="preserve"> principles are established, supported by financial management systems and governance arrangements. At the same time: </w:t>
      </w:r>
    </w:p>
    <w:p w14:paraId="315026B7"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Region-specific visibility linking budget allocations (regular and extrabudgetary) to outputs and outcomes remains limited in external reporting.</w:t>
      </w:r>
    </w:p>
    <w:p w14:paraId="6AEA0A34"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significant share of extrabudgetary funding increases the importance of integrated budget-to-results views at regional and project level.</w:t>
      </w:r>
    </w:p>
    <w:p w14:paraId="2F9650EC"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These findings are consistent with staff survey results highlighting the need for more timely access to project-level financial data to support results-oriented management in the field (</w:t>
      </w:r>
      <w:proofErr w:type="spellStart"/>
      <w:r w:rsidRPr="00986D12">
        <w:rPr>
          <w:rFonts w:asciiTheme="minorHAnsi" w:hAnsiTheme="minorHAnsi" w:cstheme="minorHAnsi"/>
        </w:rPr>
        <w:t>Q06</w:t>
      </w:r>
      <w:proofErr w:type="spellEnd"/>
      <w:r w:rsidRPr="00986D12">
        <w:rPr>
          <w:rFonts w:asciiTheme="minorHAnsi" w:hAnsiTheme="minorHAnsi" w:cstheme="minorHAnsi"/>
        </w:rPr>
        <w:t xml:space="preserve"> The staff in the Regional and Area Offices have access to detailed financial situation of projects in a reasonable time: 35% agree/strongly agree.).</w:t>
      </w:r>
    </w:p>
    <w:p w14:paraId="34AB3418"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i/>
        </w:rPr>
        <w:lastRenderedPageBreak/>
        <w:t>Human Resources Strategic Plan / Transformation (</w:t>
      </w:r>
      <w:proofErr w:type="spellStart"/>
      <w:r w:rsidRPr="00986D12">
        <w:rPr>
          <w:rFonts w:asciiTheme="minorHAnsi" w:hAnsiTheme="minorHAnsi" w:cstheme="minorHAnsi"/>
          <w:i/>
        </w:rPr>
        <w:t>HRTP</w:t>
      </w:r>
      <w:proofErr w:type="spellEnd"/>
      <w:r w:rsidRPr="00986D12">
        <w:rPr>
          <w:rFonts w:asciiTheme="minorHAnsi" w:hAnsiTheme="minorHAnsi" w:cstheme="minorHAnsi"/>
          <w:i/>
        </w:rPr>
        <w:t xml:space="preserve">): </w:t>
      </w:r>
      <w:r w:rsidRPr="00986D12">
        <w:rPr>
          <w:rFonts w:asciiTheme="minorHAnsi" w:hAnsiTheme="minorHAnsi" w:cstheme="minorHAnsi"/>
        </w:rPr>
        <w:t xml:space="preserve">The document analysis shows tangible progress in using </w:t>
      </w:r>
      <w:proofErr w:type="spellStart"/>
      <w:r w:rsidRPr="00986D12">
        <w:rPr>
          <w:rFonts w:asciiTheme="minorHAnsi" w:hAnsiTheme="minorHAnsi" w:cstheme="minorHAnsi"/>
        </w:rPr>
        <w:t>HRTP</w:t>
      </w:r>
      <w:proofErr w:type="spellEnd"/>
      <w:r w:rsidRPr="00986D12">
        <w:rPr>
          <w:rFonts w:asciiTheme="minorHAnsi" w:hAnsiTheme="minorHAnsi" w:cstheme="minorHAnsi"/>
        </w:rPr>
        <w:t xml:space="preserve"> as an accountability enabler for regional delivery:</w:t>
      </w:r>
    </w:p>
    <w:p w14:paraId="26FA45B3" w14:textId="2D77C669"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Simplified </w:t>
      </w:r>
      <w:proofErr w:type="spellStart"/>
      <w:r w:rsidR="00250529" w:rsidRPr="00986D12">
        <w:rPr>
          <w:rFonts w:asciiTheme="minorHAnsi" w:hAnsiTheme="minorHAnsi" w:cstheme="minorHAnsi"/>
        </w:rPr>
        <w:t>ePMDS</w:t>
      </w:r>
      <w:proofErr w:type="spellEnd"/>
      <w:r w:rsidR="00250529" w:rsidRPr="00986D12">
        <w:rPr>
          <w:rFonts w:asciiTheme="minorHAnsi" w:hAnsiTheme="minorHAnsi" w:cstheme="minorHAnsi"/>
        </w:rPr>
        <w:t xml:space="preserve"> supports performance management aligned with organizational objectives.</w:t>
      </w:r>
    </w:p>
    <w:p w14:paraId="6A50BAB8" w14:textId="52C6BE1A"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Deployment of project managers, implementation support roles and targeted staffing adjustments strengthen delivery capacity in regions.</w:t>
      </w:r>
    </w:p>
    <w:p w14:paraId="361804C1" w14:textId="2F28FEE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HR analytics and digital HR services improve workforce visibility and management efficiency.</w:t>
      </w:r>
    </w:p>
    <w:p w14:paraId="527B26C5" w14:textId="77777777" w:rsidR="00250529" w:rsidRPr="00986D12" w:rsidRDefault="00250529" w:rsidP="005B5E68">
      <w:pPr>
        <w:keepNext/>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27_c</w:t>
      </w:r>
      <w:proofErr w:type="spellEnd"/>
      <w:r w:rsidRPr="00986D12">
        <w:rPr>
          <w:rFonts w:asciiTheme="minorHAnsi" w:eastAsia="Avenir Nxt2 W1G" w:hAnsiTheme="minorHAnsi" w:cstheme="minorHAnsi"/>
          <w:color w:val="00B0F0"/>
        </w:rPr>
        <w:t>: Indicate the extent to which: c) accountability measures have been undertaken when providing regional/area offices greater autonomy in decision making on the various activities, initiatives and projects they carry out</w:t>
      </w:r>
    </w:p>
    <w:p w14:paraId="598B386B" w14:textId="77777777" w:rsidR="00250529" w:rsidRPr="00986D12" w:rsidRDefault="00250529" w:rsidP="005B5E68">
      <w:pPr>
        <w:pStyle w:val="Subtitleitalic"/>
        <w:jc w:val="both"/>
        <w:rPr>
          <w:rFonts w:asciiTheme="minorHAnsi" w:eastAsia="Yu Gothic Light" w:hAnsiTheme="minorHAnsi" w:cstheme="minorHAnsi"/>
          <w:color w:val="0F4761"/>
        </w:rPr>
      </w:pPr>
      <w:r w:rsidRPr="00986D12">
        <w:rPr>
          <w:rFonts w:asciiTheme="minorHAnsi" w:hAnsiTheme="minorHAnsi" w:cstheme="minorHAnsi"/>
        </w:rPr>
        <w:t>Document analysis: institutional foundations for accountable autonomy</w:t>
      </w:r>
    </w:p>
    <w:p w14:paraId="4D004D71"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The document analysis confirms that formal accountability mechanisms are well established and designed to support increased autonomy at the regional level.</w:t>
      </w:r>
    </w:p>
    <w:p w14:paraId="1FA7C976" w14:textId="78B0BBFE"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proofErr w:type="spellStart"/>
      <w:r w:rsidR="00250529" w:rsidRPr="008C431B">
        <w:rPr>
          <w:rFonts w:asciiTheme="minorHAnsi" w:hAnsiTheme="minorHAnsi" w:cstheme="minorHAnsi"/>
          <w:i/>
        </w:rPr>
        <w:t>RBM</w:t>
      </w:r>
      <w:proofErr w:type="spellEnd"/>
      <w:r w:rsidR="00250529" w:rsidRPr="008C431B">
        <w:rPr>
          <w:rFonts w:asciiTheme="minorHAnsi" w:hAnsiTheme="minorHAnsi" w:cstheme="minorHAnsi"/>
          <w:i/>
        </w:rPr>
        <w:t xml:space="preserve"> framework: </w:t>
      </w:r>
      <w:r w:rsidR="00250529" w:rsidRPr="008C431B">
        <w:rPr>
          <w:rFonts w:asciiTheme="minorHAnsi" w:hAnsiTheme="minorHAnsi" w:cstheme="minorHAnsi"/>
        </w:rPr>
        <w:t xml:space="preserve">Regional and HQ operations are implemented through integrated operational planning, aligned with the Kigali (and Baku) Action Plan and </w:t>
      </w:r>
      <w:proofErr w:type="spellStart"/>
      <w:r w:rsidR="00250529" w:rsidRPr="008C431B">
        <w:rPr>
          <w:rFonts w:asciiTheme="minorHAnsi" w:hAnsiTheme="minorHAnsi" w:cstheme="minorHAnsi"/>
        </w:rPr>
        <w:t>KPI</w:t>
      </w:r>
      <w:proofErr w:type="spellEnd"/>
      <w:r w:rsidR="00250529" w:rsidRPr="008C431B">
        <w:rPr>
          <w:rFonts w:asciiTheme="minorHAnsi" w:hAnsiTheme="minorHAnsi" w:cstheme="minorHAnsi"/>
        </w:rPr>
        <w:t>-based monitoring, ensuring autonomy is exercised within a results framework.</w:t>
      </w:r>
    </w:p>
    <w:p w14:paraId="02E86C71" w14:textId="11A75BC8"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i/>
        </w:rPr>
        <w:t>Results-based budgeting and financial oversight:</w:t>
      </w:r>
      <w:r w:rsidR="00250529" w:rsidRPr="008C431B">
        <w:rPr>
          <w:rFonts w:asciiTheme="minorHAnsi" w:hAnsiTheme="minorHAnsi" w:cstheme="minorHAnsi"/>
        </w:rPr>
        <w:t xml:space="preserve"> Joint oversight of financial and HR decisions, supported by BDT dashboards, enables monitoring of expenditure and performance while allowing decentralized execution.</w:t>
      </w:r>
    </w:p>
    <w:p w14:paraId="2994E3D9" w14:textId="35DDF1DE"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i/>
        </w:rPr>
        <w:t xml:space="preserve">Project governance: </w:t>
      </w:r>
      <w:r w:rsidR="00250529" w:rsidRPr="008C431B">
        <w:rPr>
          <w:rFonts w:asciiTheme="minorHAnsi" w:hAnsiTheme="minorHAnsi" w:cstheme="minorHAnsi"/>
        </w:rPr>
        <w:t>Accountability is reinforced through structured project governance, including the BDT Projects Board, quarterly reporting, and independent monitoring and review mechanisms.</w:t>
      </w:r>
    </w:p>
    <w:p w14:paraId="4FF5C989" w14:textId="52865946"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i/>
        </w:rPr>
        <w:t xml:space="preserve">Human resources strategic plan and performance management: </w:t>
      </w:r>
      <w:r w:rsidR="00250529" w:rsidRPr="008C431B">
        <w:rPr>
          <w:rFonts w:asciiTheme="minorHAnsi" w:hAnsiTheme="minorHAnsi" w:cstheme="minorHAnsi"/>
        </w:rPr>
        <w:t>Reforms linked to the Transformation Process include strengthened performance management tools, clearer accountability for managers, and structural adjustments (e.g. enhanced project management support in regions).</w:t>
      </w:r>
    </w:p>
    <w:p w14:paraId="2341651D" w14:textId="708D481A" w:rsidR="00250529" w:rsidRPr="008C431B" w:rsidRDefault="008C431B" w:rsidP="008C431B">
      <w:pPr>
        <w:spacing w:before="60" w:after="60"/>
        <w:ind w:left="720" w:hanging="360"/>
        <w:jc w:val="both"/>
        <w:rPr>
          <w:rFonts w:asciiTheme="minorHAnsi" w:hAnsiTheme="minorHAnsi" w:cstheme="minorHAnsi"/>
        </w:rPr>
      </w:pPr>
      <w:r w:rsidRPr="00986D12">
        <w:rPr>
          <w:rFonts w:ascii="Symbol" w:eastAsia="Aptos" w:hAnsi="Symbol" w:cstheme="minorHAnsi"/>
          <w:kern w:val="2"/>
          <w:sz w:val="22"/>
          <w:szCs w:val="22"/>
          <w14:ligatures w14:val="standardContextual"/>
        </w:rPr>
        <w:t></w:t>
      </w:r>
      <w:r w:rsidRPr="00986D12">
        <w:rPr>
          <w:rFonts w:ascii="Symbol" w:eastAsia="Aptos" w:hAnsi="Symbol" w:cstheme="minorHAnsi"/>
          <w:kern w:val="2"/>
          <w:sz w:val="22"/>
          <w:szCs w:val="22"/>
          <w14:ligatures w14:val="standardContextual"/>
        </w:rPr>
        <w:tab/>
      </w:r>
      <w:r w:rsidR="00250529" w:rsidRPr="008C431B">
        <w:rPr>
          <w:rFonts w:asciiTheme="minorHAnsi" w:hAnsiTheme="minorHAnsi" w:cstheme="minorHAnsi"/>
          <w:i/>
        </w:rPr>
        <w:t xml:space="preserve">Transparency and reporting to Membership: </w:t>
      </w:r>
      <w:r w:rsidR="00250529" w:rsidRPr="008C431B">
        <w:rPr>
          <w:rFonts w:asciiTheme="minorHAnsi" w:hAnsiTheme="minorHAnsi" w:cstheme="minorHAnsi"/>
        </w:rPr>
        <w:t xml:space="preserve">Regular reporting through </w:t>
      </w:r>
      <w:proofErr w:type="spellStart"/>
      <w:r w:rsidR="00250529" w:rsidRPr="008C431B">
        <w:rPr>
          <w:rFonts w:asciiTheme="minorHAnsi" w:hAnsiTheme="minorHAnsi" w:cstheme="minorHAnsi"/>
        </w:rPr>
        <w:t>TDAG</w:t>
      </w:r>
      <w:proofErr w:type="spellEnd"/>
      <w:r w:rsidR="00250529" w:rsidRPr="008C431B">
        <w:rPr>
          <w:rFonts w:asciiTheme="minorHAnsi" w:hAnsiTheme="minorHAnsi" w:cstheme="minorHAnsi"/>
        </w:rPr>
        <w:t>, RDFs and Council processes, as well as publication of partnership agreements, supports transparency and accountability in decentralized operations.</w:t>
      </w:r>
    </w:p>
    <w:p w14:paraId="1ED0C2EF" w14:textId="77777777" w:rsidR="00250529" w:rsidRPr="00986D12" w:rsidRDefault="00250529" w:rsidP="005B5E68">
      <w:pPr>
        <w:jc w:val="both"/>
        <w:rPr>
          <w:rFonts w:asciiTheme="minorHAnsi" w:eastAsia="Avenir Nxt2 W1G" w:hAnsiTheme="minorHAnsi" w:cstheme="minorHAnsi"/>
          <w:color w:val="00B0F0"/>
        </w:rPr>
      </w:pPr>
      <w:proofErr w:type="spellStart"/>
      <w:r w:rsidRPr="00986D12">
        <w:rPr>
          <w:rFonts w:asciiTheme="minorHAnsi" w:eastAsia="Avenir Nxt2 W1G" w:hAnsiTheme="minorHAnsi" w:cstheme="minorHAnsi"/>
          <w:color w:val="00B0F0"/>
        </w:rPr>
        <w:t>KPI</w:t>
      </w:r>
      <w:proofErr w:type="spellEnd"/>
      <w:r w:rsidRPr="00986D12">
        <w:rPr>
          <w:rFonts w:asciiTheme="minorHAnsi" w:eastAsia="Avenir Nxt2 W1G" w:hAnsiTheme="minorHAnsi" w:cstheme="minorHAnsi"/>
          <w:color w:val="00B0F0"/>
        </w:rPr>
        <w:t xml:space="preserve"> </w:t>
      </w:r>
      <w:proofErr w:type="spellStart"/>
      <w:r w:rsidRPr="00986D12">
        <w:rPr>
          <w:rFonts w:asciiTheme="minorHAnsi" w:eastAsia="Avenir Nxt2 W1G" w:hAnsiTheme="minorHAnsi" w:cstheme="minorHAnsi"/>
          <w:color w:val="00B0F0"/>
        </w:rPr>
        <w:t>27_d</w:t>
      </w:r>
      <w:proofErr w:type="spellEnd"/>
      <w:r w:rsidRPr="00986D12">
        <w:rPr>
          <w:rFonts w:asciiTheme="minorHAnsi" w:eastAsia="Avenir Nxt2 W1G" w:hAnsiTheme="minorHAnsi" w:cstheme="minorHAnsi"/>
          <w:color w:val="00B0F0"/>
        </w:rPr>
        <w:t>: Indicate the extent to which: d) the efficiency and effectiveness of the ethics, complaints and response mechanisms</w:t>
      </w:r>
    </w:p>
    <w:p w14:paraId="49D3038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Document review confirms that ITU has:</w:t>
      </w:r>
    </w:p>
    <w:p w14:paraId="3F3BD898" w14:textId="19FAE56F"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A formal ethics framework and ethics function;</w:t>
      </w:r>
    </w:p>
    <w:p w14:paraId="75F104AD" w14:textId="023DDAAE"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Established complaints-handling and investigation mechanisms; and</w:t>
      </w:r>
    </w:p>
    <w:p w14:paraId="3A4D494C" w14:textId="597540A5"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Oversight by internal audit, external audit, IMAC, and JIU, which also address ethics-related matters. </w:t>
      </w:r>
    </w:p>
    <w:p w14:paraId="4201CA8A"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t xml:space="preserve">Mandatory available eLearning course informs all personnel about the available channels to contact the Ethics Office. In July 2025, the Ethics Office introduced a new tracker system to record all queries and concerns, including response times and case details. Before this, concerns were managed through an email inbox, which limited the ability to monitor cases by region. The filing system is currently under review, with plans to migrate historical cases into the new tracker and case management system. </w:t>
      </w:r>
    </w:p>
    <w:p w14:paraId="59C3F97B" w14:textId="77777777" w:rsidR="00250529" w:rsidRPr="00986D12" w:rsidRDefault="00250529" w:rsidP="005B5E68">
      <w:pPr>
        <w:jc w:val="both"/>
        <w:rPr>
          <w:rFonts w:asciiTheme="minorHAnsi" w:hAnsiTheme="minorHAnsi" w:cstheme="minorHAnsi"/>
        </w:rPr>
      </w:pPr>
      <w:r w:rsidRPr="00986D12">
        <w:rPr>
          <w:rFonts w:asciiTheme="minorHAnsi" w:hAnsiTheme="minorHAnsi" w:cstheme="minorHAnsi"/>
        </w:rPr>
        <w:lastRenderedPageBreak/>
        <w:t>A standardized process is applied to all concerns: an acknowledgment email is sent within hours, followed by direct engagement from the Ethics Officer to better understand the issue and document it securely in the tracker. To strengthen awareness and prevention, the Ethics Office conducted personnel engagement sessions in autumn 2025 and delivered online training in November and December 2025 on harassment prevention and conflict management. These actions form part of a refreshed ethics strategy aimed at further strengthening speak-up channels, awareness, and education.</w:t>
      </w:r>
    </w:p>
    <w:p w14:paraId="4E46CC5C" w14:textId="77777777" w:rsidR="00250529" w:rsidRPr="00986D12" w:rsidRDefault="00250529" w:rsidP="000E12EC">
      <w:pPr>
        <w:pStyle w:val="Heading2"/>
      </w:pPr>
      <w:bookmarkStart w:id="157" w:name="_Toc224213072"/>
      <w:bookmarkStart w:id="158" w:name="_Toc225163576"/>
      <w:bookmarkStart w:id="159" w:name="_Toc225261103"/>
      <w:bookmarkStart w:id="160" w:name="_Ref226633356"/>
      <w:bookmarkStart w:id="161" w:name="_Ref226633363"/>
      <w:bookmarkStart w:id="162" w:name="_Ref226633367"/>
      <w:r w:rsidRPr="00986D12">
        <w:t>Annex B. Membership Survey Results</w:t>
      </w:r>
      <w:bookmarkEnd w:id="157"/>
      <w:bookmarkEnd w:id="158"/>
      <w:bookmarkEnd w:id="159"/>
      <w:bookmarkEnd w:id="160"/>
      <w:bookmarkEnd w:id="161"/>
      <w:bookmarkEnd w:id="162"/>
    </w:p>
    <w:p w14:paraId="0D1AB5C0" w14:textId="77777777" w:rsidR="00250529" w:rsidRPr="00986D12" w:rsidRDefault="00250529" w:rsidP="005B5E68">
      <w:pPr>
        <w:jc w:val="both"/>
        <w:rPr>
          <w:rFonts w:asciiTheme="minorHAnsi" w:hAnsiTheme="minorHAnsi" w:cstheme="minorHAnsi"/>
          <w:lang w:val="en-US"/>
        </w:rPr>
      </w:pPr>
      <w:r w:rsidRPr="00986D12">
        <w:rPr>
          <w:rFonts w:asciiTheme="minorHAnsi" w:hAnsiTheme="minorHAnsi" w:cstheme="minorHAnsi"/>
          <w:lang w:val="en-US"/>
        </w:rPr>
        <w:t xml:space="preserve">Document </w:t>
      </w:r>
      <w:hyperlink r:id="rId132">
        <w:r w:rsidRPr="00986D12">
          <w:rPr>
            <w:rStyle w:val="Hyperlink"/>
            <w:rFonts w:asciiTheme="minorHAnsi" w:hAnsiTheme="minorHAnsi" w:cstheme="minorHAnsi"/>
            <w:lang w:val="en-US"/>
          </w:rPr>
          <w:t>CWG-FHR</w:t>
        </w:r>
        <w:bookmarkStart w:id="163" w:name="_Hlt224206363"/>
        <w:r w:rsidRPr="00986D12">
          <w:rPr>
            <w:rStyle w:val="Hyperlink"/>
            <w:rFonts w:asciiTheme="minorHAnsi" w:hAnsiTheme="minorHAnsi" w:cstheme="minorHAnsi"/>
            <w:lang w:val="en-US"/>
          </w:rPr>
          <w:t>-</w:t>
        </w:r>
        <w:bookmarkEnd w:id="163"/>
        <w:r w:rsidRPr="00986D12">
          <w:rPr>
            <w:rStyle w:val="Hyperlink"/>
            <w:rFonts w:asciiTheme="minorHAnsi" w:hAnsiTheme="minorHAnsi" w:cstheme="minorHAnsi"/>
            <w:lang w:val="en-US"/>
          </w:rPr>
          <w:t>22/4</w:t>
        </w:r>
      </w:hyperlink>
      <w:r w:rsidRPr="00986D12">
        <w:rPr>
          <w:rFonts w:asciiTheme="minorHAnsi" w:hAnsiTheme="minorHAnsi" w:cstheme="minorHAnsi"/>
        </w:rPr>
        <w:t xml:space="preserve"> </w:t>
      </w:r>
      <w:r w:rsidRPr="00986D12">
        <w:rPr>
          <w:rFonts w:asciiTheme="minorHAnsi" w:hAnsiTheme="minorHAnsi" w:cstheme="minorHAnsi"/>
          <w:i/>
          <w:iCs/>
        </w:rPr>
        <w:t>(Annex 1)</w:t>
      </w:r>
      <w:r w:rsidRPr="00986D12">
        <w:rPr>
          <w:rFonts w:asciiTheme="minorHAnsi" w:hAnsiTheme="minorHAnsi" w:cstheme="minorHAnsi"/>
        </w:rPr>
        <w:t xml:space="preserve"> </w:t>
      </w:r>
      <w:r w:rsidRPr="00986D12">
        <w:rPr>
          <w:rFonts w:asciiTheme="minorHAnsi" w:hAnsiTheme="minorHAnsi" w:cstheme="minorHAnsi"/>
          <w:lang w:val="en-US"/>
        </w:rPr>
        <w:t>contains the detailed analysis of the Membership Survey. An interactive dashboard presenting the detailed results will be made available prior to the Council session.</w:t>
      </w:r>
    </w:p>
    <w:p w14:paraId="54BB2F6F" w14:textId="77777777" w:rsidR="00250529" w:rsidRPr="00986D12" w:rsidRDefault="00250529" w:rsidP="000E12EC">
      <w:pPr>
        <w:pStyle w:val="Heading2"/>
      </w:pPr>
      <w:bookmarkStart w:id="164" w:name="_Toc224213073"/>
      <w:bookmarkStart w:id="165" w:name="_Toc225163577"/>
      <w:bookmarkStart w:id="166" w:name="_Toc225261104"/>
      <w:r w:rsidRPr="00986D12">
        <w:t xml:space="preserve">Annex C. </w:t>
      </w:r>
      <w:r w:rsidRPr="000E12EC">
        <w:t>Stakeholder</w:t>
      </w:r>
      <w:r w:rsidRPr="00986D12">
        <w:t xml:space="preserve"> Consultation</w:t>
      </w:r>
      <w:bookmarkEnd w:id="164"/>
      <w:bookmarkEnd w:id="165"/>
      <w:bookmarkEnd w:id="166"/>
    </w:p>
    <w:p w14:paraId="2C17A75E" w14:textId="5DBB23F5" w:rsidR="00250529" w:rsidRPr="00986D12" w:rsidRDefault="00250529" w:rsidP="00066623">
      <w:pPr>
        <w:pStyle w:val="Heading3"/>
      </w:pPr>
      <w:bookmarkStart w:id="167" w:name="_Toc224213074"/>
      <w:bookmarkStart w:id="168" w:name="_Toc225163578"/>
      <w:bookmarkStart w:id="169" w:name="_Toc225261105"/>
      <w:r w:rsidRPr="00986D12">
        <w:t xml:space="preserve">Annex </w:t>
      </w:r>
      <w:proofErr w:type="spellStart"/>
      <w:r w:rsidRPr="00986D12">
        <w:t>C1</w:t>
      </w:r>
      <w:proofErr w:type="spellEnd"/>
      <w:r w:rsidRPr="00986D12">
        <w:t>. Summary of the WTDC-25 Special Session on the ITU Regional Presence Review</w:t>
      </w:r>
      <w:bookmarkEnd w:id="167"/>
      <w:bookmarkEnd w:id="168"/>
      <w:bookmarkEnd w:id="169"/>
    </w:p>
    <w:p w14:paraId="227C8629" w14:textId="77EF8AEC" w:rsidR="00250529" w:rsidRPr="00986D12" w:rsidRDefault="00094D7C" w:rsidP="005B5E68">
      <w:pPr>
        <w:pStyle w:val="paragraph"/>
        <w:jc w:val="both"/>
        <w:rPr>
          <w:rFonts w:asciiTheme="minorHAnsi" w:hAnsiTheme="minorHAnsi" w:cstheme="minorHAnsi"/>
        </w:rPr>
      </w:pPr>
      <w:r>
        <w:rPr>
          <w:rFonts w:asciiTheme="minorHAnsi" w:eastAsiaTheme="majorEastAsia" w:hAnsiTheme="minorHAnsi" w:cstheme="minorHAnsi"/>
        </w:rPr>
        <w:t>During WTDC-25</w:t>
      </w:r>
      <w:r w:rsidR="006961D7">
        <w:rPr>
          <w:rFonts w:asciiTheme="minorHAnsi" w:eastAsiaTheme="majorEastAsia" w:hAnsiTheme="minorHAnsi" w:cstheme="minorHAnsi"/>
        </w:rPr>
        <w:t xml:space="preserve"> </w:t>
      </w:r>
      <w:r>
        <w:rPr>
          <w:rFonts w:asciiTheme="minorHAnsi" w:eastAsiaTheme="majorEastAsia" w:hAnsiTheme="minorHAnsi" w:cstheme="minorHAnsi"/>
        </w:rPr>
        <w:t xml:space="preserve">in Baku, </w:t>
      </w:r>
      <w:r w:rsidR="006E7C56">
        <w:rPr>
          <w:rFonts w:asciiTheme="minorHAnsi" w:eastAsiaTheme="majorEastAsia" w:hAnsiTheme="minorHAnsi" w:cstheme="minorHAnsi"/>
        </w:rPr>
        <w:t>a</w:t>
      </w:r>
      <w:r w:rsidR="00250529" w:rsidRPr="00986D12">
        <w:rPr>
          <w:rFonts w:asciiTheme="minorHAnsi" w:eastAsiaTheme="majorEastAsia" w:hAnsiTheme="minorHAnsi" w:cstheme="minorHAnsi"/>
        </w:rPr>
        <w:t xml:space="preserve"> Special Session on ITU’s Regional Presence Review </w:t>
      </w:r>
      <w:r>
        <w:rPr>
          <w:rFonts w:asciiTheme="minorHAnsi" w:eastAsiaTheme="majorEastAsia" w:hAnsiTheme="minorHAnsi" w:cstheme="minorHAnsi"/>
        </w:rPr>
        <w:t>was held on 24 November to</w:t>
      </w:r>
      <w:r w:rsidR="00250529" w:rsidRPr="00986D12">
        <w:rPr>
          <w:rFonts w:asciiTheme="minorHAnsi" w:eastAsiaTheme="majorEastAsia" w:hAnsiTheme="minorHAnsi" w:cstheme="minorHAnsi"/>
        </w:rPr>
        <w:t xml:space="preserve"> present initial findings of the membership survey and to gather Member States’ feedback ahead of the final report to Council-26. The session emphasized the strategic importance of the regional and area offices as the operational “bridge” between ITU and its membership, delivering context-relevant assistance, strengthening partnerships, and implementing development priorities. </w:t>
      </w:r>
    </w:p>
    <w:p w14:paraId="1E339189" w14:textId="77777777" w:rsidR="00250529" w:rsidRPr="00986D12" w:rsidRDefault="00250529" w:rsidP="005B5E68">
      <w:pPr>
        <w:pStyle w:val="paragraph"/>
        <w:jc w:val="both"/>
        <w:rPr>
          <w:rFonts w:asciiTheme="minorHAnsi" w:hAnsiTheme="minorHAnsi" w:cstheme="minorHAnsi"/>
        </w:rPr>
      </w:pPr>
      <w:r w:rsidRPr="00986D12">
        <w:rPr>
          <w:rFonts w:asciiTheme="minorHAnsi" w:eastAsiaTheme="majorEastAsia" w:hAnsiTheme="minorHAnsi" w:cstheme="minorHAnsi"/>
        </w:rPr>
        <w:t>Senior ITU leadership, including the Director of BDT and the Deputy Secretary-General, highlighted that the review —mandated by PP-22 Resolution 25 and guided by Council Documents </w:t>
      </w:r>
      <w:proofErr w:type="spellStart"/>
      <w:r>
        <w:fldChar w:fldCharType="begin"/>
      </w:r>
      <w:r>
        <w:instrText>HYPERLINK "https://www.itu.int/md/S25-CL-C-0105/en"</w:instrText>
      </w:r>
      <w:r>
        <w:fldChar w:fldCharType="separate"/>
      </w:r>
      <w:r w:rsidRPr="00986D12">
        <w:rPr>
          <w:rStyle w:val="Hyperlink"/>
          <w:rFonts w:asciiTheme="minorHAnsi" w:eastAsiaTheme="majorEastAsia" w:hAnsiTheme="minorHAnsi" w:cstheme="minorHAnsi"/>
          <w:color w:val="5F497A" w:themeColor="accent4" w:themeShade="BF"/>
        </w:rPr>
        <w:t>C25</w:t>
      </w:r>
      <w:proofErr w:type="spellEnd"/>
      <w:r w:rsidRPr="00986D12">
        <w:rPr>
          <w:rStyle w:val="Hyperlink"/>
          <w:rFonts w:asciiTheme="minorHAnsi" w:eastAsiaTheme="majorEastAsia" w:hAnsiTheme="minorHAnsi" w:cstheme="minorHAnsi"/>
          <w:color w:val="5F497A" w:themeColor="accent4" w:themeShade="BF"/>
        </w:rPr>
        <w:t>/105</w:t>
      </w:r>
      <w:r>
        <w:fldChar w:fldCharType="end"/>
      </w:r>
      <w:r w:rsidRPr="00986D12">
        <w:rPr>
          <w:rFonts w:asciiTheme="minorHAnsi" w:eastAsiaTheme="majorEastAsia" w:hAnsiTheme="minorHAnsi" w:cstheme="minorHAnsi"/>
        </w:rPr>
        <w:t> and </w:t>
      </w:r>
      <w:hyperlink r:id="rId133">
        <w:proofErr w:type="spellStart"/>
        <w:r w:rsidRPr="00986D12">
          <w:rPr>
            <w:rStyle w:val="Hyperlink"/>
            <w:rFonts w:asciiTheme="minorHAnsi" w:hAnsiTheme="minorHAnsi" w:cstheme="minorHAnsi"/>
            <w:color w:val="5F497A" w:themeColor="accent4" w:themeShade="BF"/>
            <w:lang w:val="en-US"/>
          </w:rPr>
          <w:t>C25</w:t>
        </w:r>
        <w:proofErr w:type="spellEnd"/>
        <w:r w:rsidRPr="00986D12">
          <w:rPr>
            <w:rStyle w:val="Hyperlink"/>
            <w:rFonts w:asciiTheme="minorHAnsi" w:hAnsiTheme="minorHAnsi" w:cstheme="minorHAnsi"/>
            <w:color w:val="5F497A" w:themeColor="accent4" w:themeShade="BF"/>
            <w:lang w:val="en-US"/>
          </w:rPr>
          <w:t>/69(</w:t>
        </w:r>
        <w:proofErr w:type="spellStart"/>
        <w:r w:rsidRPr="00986D12">
          <w:rPr>
            <w:rStyle w:val="Hyperlink"/>
            <w:rFonts w:asciiTheme="minorHAnsi" w:hAnsiTheme="minorHAnsi" w:cstheme="minorHAnsi"/>
            <w:color w:val="5F497A" w:themeColor="accent4" w:themeShade="BF"/>
            <w:lang w:val="en-US"/>
          </w:rPr>
          <w:t>Rev.1</w:t>
        </w:r>
        <w:proofErr w:type="spellEnd"/>
        <w:r w:rsidRPr="00986D12">
          <w:rPr>
            <w:rStyle w:val="Hyperlink"/>
            <w:rFonts w:asciiTheme="minorHAnsi" w:hAnsiTheme="minorHAnsi" w:cstheme="minorHAnsi"/>
            <w:color w:val="5F497A" w:themeColor="accent4" w:themeShade="BF"/>
            <w:lang w:val="en-US"/>
          </w:rPr>
          <w:t>)</w:t>
        </w:r>
      </w:hyperlink>
      <w:r w:rsidRPr="00986D12">
        <w:rPr>
          <w:rFonts w:asciiTheme="minorHAnsi" w:eastAsiaTheme="majorEastAsia" w:hAnsiTheme="minorHAnsi" w:cstheme="minorHAnsi"/>
        </w:rPr>
        <w:t xml:space="preserve"> —  is progressing through four phases, currently nearing completion of data collection. The review draws on </w:t>
      </w:r>
      <w:r w:rsidRPr="00986D12">
        <w:rPr>
          <w:rFonts w:asciiTheme="minorHAnsi" w:eastAsiaTheme="majorEastAsia" w:hAnsiTheme="minorHAnsi" w:cstheme="minorHAnsi"/>
          <w:b/>
        </w:rPr>
        <w:t xml:space="preserve">27 </w:t>
      </w:r>
      <w:proofErr w:type="spellStart"/>
      <w:r w:rsidRPr="00986D12">
        <w:rPr>
          <w:rFonts w:asciiTheme="minorHAnsi" w:eastAsiaTheme="majorEastAsia" w:hAnsiTheme="minorHAnsi" w:cstheme="minorHAnsi"/>
          <w:b/>
        </w:rPr>
        <w:t>KPIs</w:t>
      </w:r>
      <w:proofErr w:type="spellEnd"/>
      <w:r w:rsidRPr="00986D12">
        <w:rPr>
          <w:rFonts w:asciiTheme="minorHAnsi" w:eastAsiaTheme="majorEastAsia" w:hAnsiTheme="minorHAnsi" w:cstheme="minorHAnsi"/>
        </w:rPr>
        <w:t>, desk research, internal and external surveys, and coordinated inputs from multiple ITU units under an inter-sectoral task force. Members were informed that nearly </w:t>
      </w:r>
      <w:r w:rsidRPr="00986D12">
        <w:rPr>
          <w:rFonts w:asciiTheme="minorHAnsi" w:eastAsiaTheme="majorEastAsia" w:hAnsiTheme="minorHAnsi" w:cstheme="minorHAnsi"/>
          <w:b/>
        </w:rPr>
        <w:t>70 per cent of Member States</w:t>
      </w:r>
      <w:r w:rsidRPr="00986D12">
        <w:rPr>
          <w:rFonts w:asciiTheme="minorHAnsi" w:eastAsiaTheme="majorEastAsia" w:hAnsiTheme="minorHAnsi" w:cstheme="minorHAnsi"/>
        </w:rPr>
        <w:t> responded to the survey, showing strong engagement. </w:t>
      </w:r>
      <w:r w:rsidRPr="00986D12">
        <w:rPr>
          <w:rStyle w:val="eop"/>
          <w:rFonts w:asciiTheme="minorHAnsi" w:eastAsiaTheme="majorEastAsia" w:hAnsiTheme="minorHAnsi" w:cstheme="minorHAnsi"/>
        </w:rPr>
        <w:t> </w:t>
      </w:r>
    </w:p>
    <w:p w14:paraId="3B6308EA" w14:textId="77777777" w:rsidR="00250529" w:rsidRPr="00986D12" w:rsidRDefault="00250529" w:rsidP="00C9333F">
      <w:pPr>
        <w:pStyle w:val="paragraph"/>
        <w:jc w:val="both"/>
        <w:rPr>
          <w:rFonts w:asciiTheme="minorHAnsi" w:hAnsiTheme="minorHAnsi" w:cstheme="minorHAnsi"/>
        </w:rPr>
      </w:pPr>
      <w:r w:rsidRPr="00986D12">
        <w:rPr>
          <w:rFonts w:asciiTheme="minorHAnsi" w:eastAsiaTheme="majorEastAsia" w:hAnsiTheme="minorHAnsi" w:cstheme="minorHAnsi"/>
        </w:rPr>
        <w:t>The Secretariat presented preliminary survey results: </w:t>
      </w:r>
    </w:p>
    <w:p w14:paraId="6159D22C" w14:textId="787C73D9"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b/>
        </w:rPr>
        <w:t>High satisfaction</w:t>
      </w:r>
      <w:r w:rsidR="00250529" w:rsidRPr="00986D12">
        <w:rPr>
          <w:rFonts w:asciiTheme="minorHAnsi" w:hAnsiTheme="minorHAnsi" w:cstheme="minorHAnsi"/>
        </w:rPr>
        <w:t> with Regional and Area Offices’ support, information delivery, and willingness to collaborate. </w:t>
      </w:r>
    </w:p>
    <w:p w14:paraId="4DE0C1AB" w14:textId="6B06A1DC"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b/>
        </w:rPr>
        <w:t>Mixed results </w:t>
      </w:r>
      <w:r w:rsidR="00250529" w:rsidRPr="00986D12">
        <w:rPr>
          <w:rFonts w:asciiTheme="minorHAnsi" w:hAnsiTheme="minorHAnsi" w:cstheme="minorHAnsi"/>
        </w:rPr>
        <w:t>on adequacy of financial and human resources, with many respondents indicating insufficient staffing, limited resources, or lack of clarity on resource allocation. </w:t>
      </w:r>
    </w:p>
    <w:p w14:paraId="4272953D" w14:textId="0E1231A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Strong calls for</w:t>
      </w:r>
      <w:r w:rsidR="00250529" w:rsidRPr="00986D12">
        <w:rPr>
          <w:rFonts w:asciiTheme="minorHAnsi" w:hAnsiTheme="minorHAnsi" w:cstheme="minorHAnsi"/>
          <w:b/>
        </w:rPr>
        <w:t> better communication</w:t>
      </w:r>
      <w:r w:rsidR="00250529" w:rsidRPr="00986D12">
        <w:rPr>
          <w:rFonts w:asciiTheme="minorHAnsi" w:hAnsiTheme="minorHAnsi" w:cstheme="minorHAnsi"/>
        </w:rPr>
        <w:t>, clearer focal points, more multilingual content, and improved alignment with regional institutions. </w:t>
      </w:r>
    </w:p>
    <w:p w14:paraId="40D41004" w14:textId="22616952"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Recurrent </w:t>
      </w:r>
      <w:r w:rsidR="00250529" w:rsidRPr="00986D12" w:rsidDel="001F2A97">
        <w:rPr>
          <w:rFonts w:asciiTheme="minorHAnsi" w:hAnsiTheme="minorHAnsi" w:cstheme="minorHAnsi"/>
        </w:rPr>
        <w:t>recommendations</w:t>
      </w:r>
      <w:r w:rsidR="00250529" w:rsidRPr="00986D12">
        <w:rPr>
          <w:rFonts w:asciiTheme="minorHAnsi" w:hAnsiTheme="minorHAnsi" w:cstheme="minorHAnsi"/>
        </w:rPr>
        <w:t xml:space="preserve"> for</w:t>
      </w:r>
      <w:r w:rsidR="00250529" w:rsidRPr="00986D12">
        <w:rPr>
          <w:rFonts w:asciiTheme="minorHAnsi" w:hAnsiTheme="minorHAnsi" w:cstheme="minorHAnsi"/>
          <w:b/>
        </w:rPr>
        <w:t> greater regional autonomy</w:t>
      </w:r>
      <w:r w:rsidR="00250529" w:rsidRPr="00986D12">
        <w:rPr>
          <w:rFonts w:asciiTheme="minorHAnsi" w:hAnsiTheme="minorHAnsi" w:cstheme="minorHAnsi"/>
        </w:rPr>
        <w:t>, strengthened presence in underserved regions (especially the Pacific SIDS), and more systematic follow up, data transparency, and country-level engagement. </w:t>
      </w:r>
    </w:p>
    <w:p w14:paraId="22772E8A" w14:textId="77777777" w:rsidR="00250529" w:rsidRPr="00986D12" w:rsidRDefault="00250529" w:rsidP="00C9333F">
      <w:pPr>
        <w:pStyle w:val="paragraph"/>
        <w:jc w:val="both"/>
        <w:rPr>
          <w:rFonts w:asciiTheme="minorHAnsi" w:hAnsiTheme="minorHAnsi" w:cstheme="minorHAnsi"/>
        </w:rPr>
      </w:pPr>
      <w:r w:rsidRPr="00986D12">
        <w:rPr>
          <w:rFonts w:asciiTheme="minorHAnsi" w:eastAsiaTheme="majorEastAsia" w:hAnsiTheme="minorHAnsi" w:cstheme="minorHAnsi"/>
        </w:rPr>
        <w:t xml:space="preserve">During the open floor interventions, delegations —including Brazil, Kenya, Pacific SIDS, Algeria, Angola, China, Thailand, and Cuba— acknowledged the progress but stressed several priorities: more equitable distribution of support across countries; enhanced authority and flexibility for regional offices; transparency in resource and project allocation; physical presence in key underserved regions; and </w:t>
      </w:r>
      <w:r w:rsidRPr="00986D12">
        <w:rPr>
          <w:rFonts w:asciiTheme="minorHAnsi" w:eastAsiaTheme="majorEastAsia" w:hAnsiTheme="minorHAnsi" w:cstheme="minorHAnsi"/>
        </w:rPr>
        <w:lastRenderedPageBreak/>
        <w:t>integration of external auditor and ethics oversight into the review. Member States also urged that the review remain independent, evidence-based, and inclusive of all staff categories. </w:t>
      </w:r>
    </w:p>
    <w:p w14:paraId="514129BE" w14:textId="77777777" w:rsidR="00250529" w:rsidRPr="00986D12" w:rsidRDefault="00250529" w:rsidP="00C9333F">
      <w:pPr>
        <w:pStyle w:val="paragraph"/>
        <w:jc w:val="both"/>
        <w:rPr>
          <w:rFonts w:asciiTheme="minorHAnsi" w:hAnsiTheme="minorHAnsi" w:cstheme="minorHAnsi"/>
        </w:rPr>
      </w:pPr>
      <w:r w:rsidRPr="00986D12">
        <w:rPr>
          <w:rFonts w:asciiTheme="minorHAnsi" w:eastAsiaTheme="majorEastAsia" w:hAnsiTheme="minorHAnsi" w:cstheme="minorHAnsi"/>
        </w:rPr>
        <w:t>ITU leadership responded by affirming that the process is system-led, transparent, relies entirely on internal resources, and integrates feedback from IMAC and external auditors. They reiterated ongoing steps to strengthen project management, accountability, and alignment between headquarters and regional offices. </w:t>
      </w:r>
    </w:p>
    <w:p w14:paraId="4BEB2E0C" w14:textId="77777777" w:rsidR="00250529" w:rsidRPr="00986D12" w:rsidRDefault="00250529" w:rsidP="00C9333F">
      <w:pPr>
        <w:pStyle w:val="paragraph"/>
        <w:jc w:val="both"/>
        <w:rPr>
          <w:rFonts w:asciiTheme="minorHAnsi" w:eastAsiaTheme="majorEastAsia" w:hAnsiTheme="minorHAnsi" w:cstheme="minorHAnsi"/>
        </w:rPr>
      </w:pPr>
      <w:r w:rsidRPr="00986D12">
        <w:rPr>
          <w:rFonts w:asciiTheme="minorHAnsi" w:eastAsiaTheme="majorEastAsia" w:hAnsiTheme="minorHAnsi" w:cstheme="minorHAnsi"/>
        </w:rPr>
        <w:t>Overall, the session reaffirmed the critical role of the regional presence in delivering ITU’s mandate and signalled broad consensus for strengthening resources, autonomy, accountability, and inclusivity —while also underscoring the need for continued dialogue and consensus-building ahead of Council and WTDC-25. </w:t>
      </w:r>
    </w:p>
    <w:p w14:paraId="18525BE7" w14:textId="157C0017" w:rsidR="00250529" w:rsidRPr="00986D12" w:rsidRDefault="00250529" w:rsidP="000E12EC">
      <w:pPr>
        <w:pStyle w:val="Heading3"/>
      </w:pPr>
      <w:bookmarkStart w:id="170" w:name="_Toc224213075"/>
      <w:bookmarkStart w:id="171" w:name="_Toc225163579"/>
      <w:bookmarkStart w:id="172" w:name="_Toc225261106"/>
      <w:r w:rsidRPr="00986D12">
        <w:t xml:space="preserve">Annex </w:t>
      </w:r>
      <w:proofErr w:type="spellStart"/>
      <w:r w:rsidRPr="00986D12">
        <w:t>C2</w:t>
      </w:r>
      <w:proofErr w:type="spellEnd"/>
      <w:r w:rsidRPr="00986D12">
        <w:t>. Internal Assessment Survey</w:t>
      </w:r>
      <w:r w:rsidR="001958E3">
        <w:t>: Methodology and results</w:t>
      </w:r>
      <w:bookmarkEnd w:id="170"/>
      <w:bookmarkEnd w:id="171"/>
      <w:bookmarkEnd w:id="172"/>
    </w:p>
    <w:p w14:paraId="776CA688" w14:textId="77777777" w:rsidR="00757BE9" w:rsidRPr="00D03723" w:rsidRDefault="00757BE9" w:rsidP="00757BE9">
      <w:r>
        <w:t>A</w:t>
      </w:r>
      <w:r w:rsidRPr="00D03723">
        <w:t>n Internal Assessment Survey was conducted to collect feedback from ITU staff on issues related to ITU’s regional presence, internal coordination, processes and engagement with the Membership.</w:t>
      </w:r>
    </w:p>
    <w:p w14:paraId="1E3DAF03" w14:textId="77777777" w:rsidR="00757BE9" w:rsidRPr="00D03723" w:rsidRDefault="00757BE9" w:rsidP="00757BE9">
      <w:r w:rsidRPr="00D03723">
        <w:t xml:space="preserve">The questionnaire consisted of 34 questions, including 22 Likert-scale questions, several of which included multiple items under a common thematic statement. There were six open-ended questions designed to collect qualitative feedback. There was a “Yes/No” question relating to the duplication of work among bureaux and one multiple-choice question on the platforms used by membership to follow ITU. </w:t>
      </w:r>
    </w:p>
    <w:p w14:paraId="3F6FC674" w14:textId="77777777" w:rsidR="00757BE9" w:rsidRPr="00D03723" w:rsidRDefault="00757BE9" w:rsidP="00757BE9">
      <w:r w:rsidRPr="00D03723">
        <w:t xml:space="preserve">Initially, the target population of the staff survey included only staff at </w:t>
      </w:r>
      <w:proofErr w:type="spellStart"/>
      <w:r w:rsidRPr="00D03723">
        <w:t>P5</w:t>
      </w:r>
      <w:proofErr w:type="spellEnd"/>
      <w:r w:rsidRPr="00D03723">
        <w:t xml:space="preserve"> level and above at ITU headquarters as well as all P-level staff at ITU Regional and Area Offices. It was thought that other staff categories had limited visibility in field operations and therefore were not well positioned to provide sufficiently informed views.</w:t>
      </w:r>
    </w:p>
    <w:p w14:paraId="3E1D2B1B" w14:textId="77777777" w:rsidR="00757BE9" w:rsidRPr="00D03723" w:rsidRDefault="00757BE9" w:rsidP="00757BE9">
      <w:r w:rsidRPr="00D03723">
        <w:t xml:space="preserve">An email inviting participation was sent by the BDT Director on 3 October 2025 announcing the launch of the survey, and the survey was launched the same day. The initial deadline of 15 October 2025 was later extended to 7 November 2025 to increase participation. A total of 50 responses were received, representing a response rate of 42 per cent. </w:t>
      </w:r>
    </w:p>
    <w:p w14:paraId="000B71EB" w14:textId="77777777" w:rsidR="00757BE9" w:rsidRDefault="00757BE9" w:rsidP="00757BE9">
      <w:r w:rsidRPr="00D03723">
        <w:t xml:space="preserve">During the WTDC-25 special session, one Member State recommended broadening the survey’s scope to include all ITU staff. Based on this feedback, it was decided to expand the scope of the survey to include all ITU P and G staff. The new deadline for staff to complete the survey was 24 December 2025. </w:t>
      </w:r>
    </w:p>
    <w:p w14:paraId="521E064F" w14:textId="77777777" w:rsidR="00757BE9" w:rsidRPr="00D03723" w:rsidRDefault="00757BE9" w:rsidP="00757BE9">
      <w:r w:rsidRPr="00D03723">
        <w:t xml:space="preserve">In total, 806 staff were targeted and 92 responses were submitted, corresponding to a response rate of 11 per cent. </w:t>
      </w:r>
      <w:r>
        <w:t>The breakdown of responses by organizational units was as follows: 22 respondents from the General Secretariat (representing 6% of staff in that unit); 27 (24%) from the Telecommunication Development Bureau in headquarters (24%); 27 (42%) from the Telecommunication Development Bureau in Regional and Area Offices; 6 from the Bureau of Radiocommunication; and 10 from the Telecommunication Standardization Bureau.</w:t>
      </w:r>
    </w:p>
    <w:p w14:paraId="64E4D88B" w14:textId="77777777" w:rsidR="00757BE9" w:rsidRDefault="00757BE9" w:rsidP="00757BE9">
      <w:r w:rsidRPr="00D03723">
        <w:t xml:space="preserve">For several questions, a substantial share of respondents – more than 30 per cent in many cases and up to 42 per cent in one instance – indicated that they did not know how to respond. A high share of “don’t know” responses mechanically </w:t>
      </w:r>
      <w:proofErr w:type="gramStart"/>
      <w:r w:rsidRPr="00D03723">
        <w:t>reduces</w:t>
      </w:r>
      <w:proofErr w:type="gramEnd"/>
      <w:r w:rsidRPr="00D03723">
        <w:t xml:space="preserve"> the proportion of responses expressing an opinion. Considering this, a rebasing was carried out, with results </w:t>
      </w:r>
      <w:r w:rsidRPr="00D03723">
        <w:lastRenderedPageBreak/>
        <w:t>recalculated using only substantive responses (i.e. excluding “don’t know” responses from the denominator).</w:t>
      </w:r>
    </w:p>
    <w:p w14:paraId="3A543DCA" w14:textId="1129F25D" w:rsidR="00757BE9" w:rsidRPr="00D03723" w:rsidRDefault="00757BE9" w:rsidP="00757BE9">
      <w:pPr>
        <w:jc w:val="both"/>
      </w:pPr>
      <w:r>
        <w:t xml:space="preserve">The table below presents the results to the Likert-scale questions. </w:t>
      </w:r>
      <w:r w:rsidRPr="00986D12">
        <w:rPr>
          <w:rFonts w:asciiTheme="minorHAnsi" w:hAnsiTheme="minorHAnsi" w:cstheme="minorHAnsi"/>
          <w:lang w:eastAsia="en-GB"/>
        </w:rPr>
        <w:t xml:space="preserve">Document </w:t>
      </w:r>
      <w:hyperlink r:id="rId134" w:history="1">
        <w:r w:rsidRPr="00986D12">
          <w:rPr>
            <w:rStyle w:val="Hyperlink"/>
            <w:rFonts w:asciiTheme="minorHAnsi" w:hAnsiTheme="minorHAnsi" w:cstheme="minorHAnsi"/>
            <w:lang w:val="en-US"/>
          </w:rPr>
          <w:t>CWG-FHR-22/4</w:t>
        </w:r>
        <w:r w:rsidRPr="00986D12">
          <w:rPr>
            <w:rStyle w:val="Hyperlink"/>
            <w:rFonts w:asciiTheme="minorHAnsi" w:hAnsiTheme="minorHAnsi" w:cstheme="minorHAnsi"/>
          </w:rPr>
          <w:t>(</w:t>
        </w:r>
        <w:proofErr w:type="spellStart"/>
        <w:r w:rsidRPr="00986D12">
          <w:rPr>
            <w:rStyle w:val="Hyperlink"/>
            <w:rFonts w:asciiTheme="minorHAnsi" w:hAnsiTheme="minorHAnsi" w:cstheme="minorHAnsi"/>
          </w:rPr>
          <w:t>Rev.1</w:t>
        </w:r>
        <w:proofErr w:type="spellEnd"/>
        <w:r w:rsidRPr="00986D12">
          <w:rPr>
            <w:rStyle w:val="Hyperlink"/>
            <w:rFonts w:asciiTheme="minorHAnsi" w:hAnsiTheme="minorHAnsi" w:cstheme="minorHAnsi"/>
          </w:rPr>
          <w:t>)</w:t>
        </w:r>
      </w:hyperlink>
      <w:r w:rsidRPr="00986D12">
        <w:rPr>
          <w:rFonts w:asciiTheme="minorHAnsi" w:hAnsiTheme="minorHAnsi" w:cstheme="minorHAnsi"/>
          <w:lang w:eastAsia="en-GB"/>
        </w:rPr>
        <w:t xml:space="preserve"> </w:t>
      </w:r>
      <w:r w:rsidRPr="00986D12">
        <w:rPr>
          <w:rFonts w:asciiTheme="minorHAnsi" w:hAnsiTheme="minorHAnsi" w:cstheme="minorHAnsi"/>
          <w:i/>
          <w:iCs/>
          <w:lang w:eastAsia="en-GB"/>
        </w:rPr>
        <w:t>Annex 4</w:t>
      </w:r>
      <w:r w:rsidRPr="00986D12">
        <w:rPr>
          <w:rFonts w:asciiTheme="minorHAnsi" w:hAnsiTheme="minorHAnsi" w:cstheme="minorHAnsi"/>
          <w:lang w:eastAsia="en-GB"/>
        </w:rPr>
        <w:t xml:space="preserve"> contains </w:t>
      </w:r>
      <w:r>
        <w:rPr>
          <w:rFonts w:cstheme="minorHAnsi"/>
          <w:lang w:eastAsia="en-GB"/>
        </w:rPr>
        <w:t xml:space="preserve">additional information </w:t>
      </w:r>
      <w:r w:rsidRPr="00986D12">
        <w:rPr>
          <w:rFonts w:asciiTheme="minorHAnsi" w:hAnsiTheme="minorHAnsi" w:cstheme="minorHAnsi"/>
          <w:lang w:eastAsia="en-GB"/>
        </w:rPr>
        <w:t>of the Internal Assessment Survey.</w:t>
      </w:r>
      <w:r>
        <w:rPr>
          <w:rFonts w:cstheme="minorHAnsi"/>
          <w:lang w:eastAsia="en-GB"/>
        </w:rPr>
        <w:t xml:space="preserve"> </w:t>
      </w:r>
    </w:p>
    <w:p w14:paraId="4CD33A6F" w14:textId="77777777" w:rsidR="00757BE9" w:rsidRDefault="00757BE9" w:rsidP="0009624B">
      <w:pPr>
        <w:spacing w:after="240"/>
        <w:rPr>
          <w:b/>
          <w:bCs/>
        </w:rPr>
      </w:pPr>
      <w:r w:rsidRPr="00D03723">
        <w:rPr>
          <w:b/>
          <w:bCs/>
        </w:rPr>
        <w:t>Results</w:t>
      </w:r>
      <w:r>
        <w:rPr>
          <w:b/>
          <w:bCs/>
        </w:rPr>
        <w:t xml:space="preserve"> of the Internal Assessment Survey</w:t>
      </w:r>
    </w:p>
    <w:tbl>
      <w:tblPr>
        <w:tblW w:w="5000" w:type="pct"/>
        <w:tblLayout w:type="fixed"/>
        <w:tblCellMar>
          <w:left w:w="57" w:type="dxa"/>
          <w:right w:w="57" w:type="dxa"/>
        </w:tblCellMar>
        <w:tblLook w:val="0620" w:firstRow="1" w:lastRow="0" w:firstColumn="0" w:lastColumn="0" w:noHBand="1" w:noVBand="1"/>
      </w:tblPr>
      <w:tblGrid>
        <w:gridCol w:w="663"/>
        <w:gridCol w:w="4015"/>
        <w:gridCol w:w="626"/>
        <w:gridCol w:w="627"/>
        <w:gridCol w:w="627"/>
        <w:gridCol w:w="627"/>
        <w:gridCol w:w="627"/>
        <w:gridCol w:w="627"/>
        <w:gridCol w:w="627"/>
      </w:tblGrid>
      <w:tr w:rsidR="00130214" w:rsidRPr="00C444EA" w14:paraId="2EB109F0" w14:textId="77777777" w:rsidTr="001958E3">
        <w:trPr>
          <w:cantSplit/>
          <w:trHeight w:val="1914"/>
          <w:tblHeader/>
        </w:trPr>
        <w:tc>
          <w:tcPr>
            <w:tcW w:w="663" w:type="dxa"/>
            <w:tcBorders>
              <w:top w:val="nil"/>
              <w:left w:val="nil"/>
              <w:bottom w:val="single" w:sz="4" w:space="0" w:color="auto"/>
              <w:right w:val="nil"/>
            </w:tcBorders>
            <w:shd w:val="clear" w:color="auto" w:fill="E1EBF7" w:themeFill="text2" w:themeFillTint="1A"/>
            <w:noWrap/>
            <w:textDirection w:val="btLr"/>
            <w:vAlign w:val="bottom"/>
            <w:hideMark/>
          </w:tcPr>
          <w:p w14:paraId="5E759C2C" w14:textId="77777777" w:rsidR="00757BE9" w:rsidRPr="00C444EA" w:rsidRDefault="00757BE9" w:rsidP="0009624B">
            <w:pPr>
              <w:spacing w:before="0"/>
              <w:rPr>
                <w:rFonts w:ascii="Aptos Narrow" w:hAnsi="Aptos Narrow"/>
                <w:color w:val="000000"/>
                <w:sz w:val="20"/>
                <w:lang w:eastAsia="en-GB"/>
              </w:rPr>
            </w:pPr>
          </w:p>
        </w:tc>
        <w:tc>
          <w:tcPr>
            <w:tcW w:w="4015" w:type="dxa"/>
            <w:tcBorders>
              <w:top w:val="nil"/>
              <w:left w:val="nil"/>
              <w:bottom w:val="single" w:sz="4" w:space="0" w:color="auto"/>
              <w:right w:val="nil"/>
            </w:tcBorders>
            <w:shd w:val="clear" w:color="auto" w:fill="E1EBF7" w:themeFill="text2" w:themeFillTint="1A"/>
            <w:vAlign w:val="bottom"/>
            <w:hideMark/>
          </w:tcPr>
          <w:p w14:paraId="60F53ABE" w14:textId="77777777" w:rsidR="00757BE9" w:rsidRPr="00C444EA" w:rsidRDefault="00757BE9" w:rsidP="0009624B">
            <w:pPr>
              <w:spacing w:before="0"/>
              <w:rPr>
                <w:rFonts w:ascii="Aptos Narrow" w:hAnsi="Aptos Narrow"/>
                <w:color w:val="000000"/>
                <w:sz w:val="20"/>
                <w:lang w:eastAsia="en-GB"/>
              </w:rPr>
            </w:pPr>
            <w:r w:rsidRPr="00C444EA">
              <w:rPr>
                <w:rFonts w:ascii="Aptos Narrow" w:hAnsi="Aptos Narrow"/>
                <w:color w:val="000000"/>
                <w:sz w:val="20"/>
                <w:lang w:eastAsia="en-GB"/>
              </w:rPr>
              <w:t>Statement</w:t>
            </w:r>
          </w:p>
        </w:tc>
        <w:tc>
          <w:tcPr>
            <w:tcW w:w="626" w:type="dxa"/>
            <w:tcBorders>
              <w:top w:val="nil"/>
              <w:left w:val="single" w:sz="4" w:space="0" w:color="auto"/>
              <w:bottom w:val="single" w:sz="4" w:space="0" w:color="auto"/>
              <w:right w:val="single" w:sz="4" w:space="0" w:color="D9D9D9"/>
            </w:tcBorders>
            <w:shd w:val="clear" w:color="auto" w:fill="E1EBF7" w:themeFill="text2" w:themeFillTint="1A"/>
            <w:textDirection w:val="btLr"/>
            <w:vAlign w:val="center"/>
            <w:hideMark/>
          </w:tcPr>
          <w:p w14:paraId="3ADB8768" w14:textId="77777777" w:rsidR="00757BE9" w:rsidRPr="00C444EA" w:rsidRDefault="00757BE9" w:rsidP="0009624B">
            <w:pPr>
              <w:spacing w:before="0"/>
              <w:ind w:left="113" w:right="113"/>
              <w:rPr>
                <w:rFonts w:ascii="Aptos Narrow" w:hAnsi="Aptos Narrow"/>
                <w:color w:val="000000"/>
                <w:sz w:val="20"/>
                <w:lang w:eastAsia="en-GB"/>
              </w:rPr>
            </w:pPr>
            <w:r w:rsidRPr="00C444EA">
              <w:rPr>
                <w:rFonts w:ascii="Aptos Narrow" w:hAnsi="Aptos Narrow"/>
                <w:color w:val="000000"/>
                <w:sz w:val="20"/>
                <w:lang w:eastAsia="en-GB"/>
              </w:rPr>
              <w:t>Strongly agree</w:t>
            </w:r>
          </w:p>
        </w:tc>
        <w:tc>
          <w:tcPr>
            <w:tcW w:w="627" w:type="dxa"/>
            <w:tcBorders>
              <w:top w:val="nil"/>
              <w:left w:val="nil"/>
              <w:bottom w:val="single" w:sz="4" w:space="0" w:color="auto"/>
              <w:right w:val="single" w:sz="4" w:space="0" w:color="D9D9D9"/>
            </w:tcBorders>
            <w:shd w:val="clear" w:color="auto" w:fill="E1EBF7" w:themeFill="text2" w:themeFillTint="1A"/>
            <w:textDirection w:val="btLr"/>
            <w:vAlign w:val="center"/>
            <w:hideMark/>
          </w:tcPr>
          <w:p w14:paraId="12E66857" w14:textId="77777777" w:rsidR="00757BE9" w:rsidRPr="00C444EA" w:rsidRDefault="00757BE9" w:rsidP="0009624B">
            <w:pPr>
              <w:spacing w:before="0"/>
              <w:ind w:left="113" w:right="113"/>
              <w:rPr>
                <w:rFonts w:ascii="Aptos Narrow" w:hAnsi="Aptos Narrow"/>
                <w:color w:val="000000"/>
                <w:sz w:val="20"/>
                <w:lang w:eastAsia="en-GB"/>
              </w:rPr>
            </w:pPr>
            <w:r w:rsidRPr="00C444EA">
              <w:rPr>
                <w:rFonts w:ascii="Aptos Narrow" w:hAnsi="Aptos Narrow"/>
                <w:color w:val="000000"/>
                <w:sz w:val="20"/>
                <w:lang w:eastAsia="en-GB"/>
              </w:rPr>
              <w:t>Agree</w:t>
            </w:r>
          </w:p>
        </w:tc>
        <w:tc>
          <w:tcPr>
            <w:tcW w:w="627" w:type="dxa"/>
            <w:tcBorders>
              <w:top w:val="nil"/>
              <w:left w:val="nil"/>
              <w:bottom w:val="single" w:sz="4" w:space="0" w:color="auto"/>
              <w:right w:val="single" w:sz="4" w:space="0" w:color="D9D9D9"/>
            </w:tcBorders>
            <w:shd w:val="clear" w:color="auto" w:fill="E1EBF7" w:themeFill="text2" w:themeFillTint="1A"/>
            <w:textDirection w:val="btLr"/>
            <w:vAlign w:val="center"/>
            <w:hideMark/>
          </w:tcPr>
          <w:p w14:paraId="2C3D96FE" w14:textId="77777777" w:rsidR="00757BE9" w:rsidRPr="00C444EA" w:rsidRDefault="00757BE9" w:rsidP="0009624B">
            <w:pPr>
              <w:spacing w:before="0"/>
              <w:ind w:left="113" w:right="113"/>
              <w:rPr>
                <w:rFonts w:ascii="Aptos Narrow" w:hAnsi="Aptos Narrow"/>
                <w:color w:val="000000"/>
                <w:sz w:val="20"/>
                <w:lang w:eastAsia="en-GB"/>
              </w:rPr>
            </w:pPr>
            <w:r w:rsidRPr="00C444EA">
              <w:rPr>
                <w:rFonts w:ascii="Aptos Narrow" w:hAnsi="Aptos Narrow"/>
                <w:color w:val="000000"/>
                <w:sz w:val="20"/>
                <w:lang w:eastAsia="en-GB"/>
              </w:rPr>
              <w:t>Neutral</w:t>
            </w:r>
          </w:p>
        </w:tc>
        <w:tc>
          <w:tcPr>
            <w:tcW w:w="627" w:type="dxa"/>
            <w:tcBorders>
              <w:top w:val="nil"/>
              <w:left w:val="nil"/>
              <w:bottom w:val="single" w:sz="4" w:space="0" w:color="auto"/>
              <w:right w:val="single" w:sz="4" w:space="0" w:color="D9D9D9"/>
            </w:tcBorders>
            <w:shd w:val="clear" w:color="auto" w:fill="E1EBF7" w:themeFill="text2" w:themeFillTint="1A"/>
            <w:textDirection w:val="btLr"/>
            <w:vAlign w:val="center"/>
            <w:hideMark/>
          </w:tcPr>
          <w:p w14:paraId="51D64964" w14:textId="77777777" w:rsidR="00757BE9" w:rsidRPr="00C444EA" w:rsidRDefault="00757BE9" w:rsidP="0009624B">
            <w:pPr>
              <w:spacing w:before="0"/>
              <w:ind w:left="113" w:right="113"/>
              <w:rPr>
                <w:rFonts w:ascii="Aptos Narrow" w:hAnsi="Aptos Narrow"/>
                <w:color w:val="000000"/>
                <w:sz w:val="20"/>
                <w:lang w:eastAsia="en-GB"/>
              </w:rPr>
            </w:pPr>
            <w:r w:rsidRPr="00C444EA">
              <w:rPr>
                <w:rFonts w:ascii="Aptos Narrow" w:hAnsi="Aptos Narrow"/>
                <w:color w:val="000000"/>
                <w:sz w:val="20"/>
                <w:lang w:eastAsia="en-GB"/>
              </w:rPr>
              <w:t>Disagree</w:t>
            </w:r>
          </w:p>
        </w:tc>
        <w:tc>
          <w:tcPr>
            <w:tcW w:w="627" w:type="dxa"/>
            <w:tcBorders>
              <w:top w:val="nil"/>
              <w:left w:val="nil"/>
              <w:bottom w:val="single" w:sz="4" w:space="0" w:color="auto"/>
              <w:right w:val="single" w:sz="4" w:space="0" w:color="D9D9D9"/>
            </w:tcBorders>
            <w:shd w:val="clear" w:color="auto" w:fill="E1EBF7" w:themeFill="text2" w:themeFillTint="1A"/>
            <w:textDirection w:val="btLr"/>
            <w:vAlign w:val="center"/>
            <w:hideMark/>
          </w:tcPr>
          <w:p w14:paraId="24CA673C" w14:textId="77777777" w:rsidR="00757BE9" w:rsidRPr="00C444EA" w:rsidRDefault="00757BE9" w:rsidP="0009624B">
            <w:pPr>
              <w:spacing w:before="0"/>
              <w:ind w:left="113" w:right="113"/>
              <w:rPr>
                <w:rFonts w:ascii="Aptos Narrow" w:hAnsi="Aptos Narrow"/>
                <w:color w:val="000000"/>
                <w:sz w:val="20"/>
                <w:lang w:eastAsia="en-GB"/>
              </w:rPr>
            </w:pPr>
            <w:r w:rsidRPr="00C444EA">
              <w:rPr>
                <w:rFonts w:ascii="Aptos Narrow" w:hAnsi="Aptos Narrow"/>
                <w:color w:val="000000"/>
                <w:sz w:val="20"/>
                <w:lang w:eastAsia="en-GB"/>
              </w:rPr>
              <w:t>Strongly disagree</w:t>
            </w:r>
          </w:p>
        </w:tc>
        <w:tc>
          <w:tcPr>
            <w:tcW w:w="627" w:type="dxa"/>
            <w:tcBorders>
              <w:top w:val="nil"/>
              <w:left w:val="nil"/>
              <w:bottom w:val="single" w:sz="4" w:space="0" w:color="auto"/>
              <w:right w:val="single" w:sz="2" w:space="0" w:color="auto"/>
            </w:tcBorders>
            <w:shd w:val="clear" w:color="auto" w:fill="E1EBF7" w:themeFill="text2" w:themeFillTint="1A"/>
            <w:textDirection w:val="btLr"/>
            <w:vAlign w:val="center"/>
            <w:hideMark/>
          </w:tcPr>
          <w:p w14:paraId="03E71D7A" w14:textId="77777777" w:rsidR="00757BE9" w:rsidRPr="00C444EA" w:rsidRDefault="00757BE9" w:rsidP="0009624B">
            <w:pPr>
              <w:spacing w:before="0"/>
              <w:ind w:left="113" w:right="113"/>
              <w:rPr>
                <w:rFonts w:ascii="Aptos Narrow" w:hAnsi="Aptos Narrow"/>
                <w:color w:val="000000"/>
                <w:sz w:val="20"/>
                <w:lang w:eastAsia="en-GB"/>
              </w:rPr>
            </w:pPr>
            <w:r w:rsidRPr="00C444EA">
              <w:rPr>
                <w:rFonts w:ascii="Aptos Narrow" w:hAnsi="Aptos Narrow"/>
                <w:color w:val="000000"/>
                <w:sz w:val="20"/>
                <w:lang w:eastAsia="en-GB"/>
              </w:rPr>
              <w:t>Not applicable</w:t>
            </w:r>
          </w:p>
        </w:tc>
        <w:tc>
          <w:tcPr>
            <w:tcW w:w="627" w:type="dxa"/>
            <w:tcBorders>
              <w:top w:val="nil"/>
              <w:left w:val="single" w:sz="2" w:space="0" w:color="auto"/>
              <w:bottom w:val="single" w:sz="4" w:space="0" w:color="auto"/>
              <w:right w:val="single" w:sz="4" w:space="0" w:color="auto"/>
            </w:tcBorders>
            <w:shd w:val="clear" w:color="auto" w:fill="E1EBF7" w:themeFill="text2" w:themeFillTint="1A"/>
            <w:textDirection w:val="btLr"/>
            <w:vAlign w:val="center"/>
            <w:hideMark/>
          </w:tcPr>
          <w:p w14:paraId="54627908" w14:textId="1DBF8DA6" w:rsidR="00757BE9" w:rsidRPr="00C444EA" w:rsidRDefault="00EF1584" w:rsidP="0009624B">
            <w:pPr>
              <w:spacing w:before="0"/>
              <w:ind w:left="113" w:right="113"/>
              <w:rPr>
                <w:rFonts w:ascii="Aptos Narrow" w:hAnsi="Aptos Narrow"/>
                <w:color w:val="000000"/>
                <w:sz w:val="20"/>
                <w:lang w:eastAsia="en-GB"/>
              </w:rPr>
            </w:pPr>
            <w:r>
              <w:rPr>
                <w:rFonts w:ascii="Aptos Narrow" w:hAnsi="Aptos Narrow"/>
                <w:color w:val="000000"/>
                <w:sz w:val="20"/>
                <w:lang w:eastAsia="en-GB"/>
              </w:rPr>
              <w:t>S</w:t>
            </w:r>
            <w:r w:rsidR="00757BE9" w:rsidRPr="00C444EA">
              <w:rPr>
                <w:rFonts w:ascii="Aptos Narrow" w:hAnsi="Aptos Narrow"/>
                <w:color w:val="000000"/>
                <w:sz w:val="20"/>
                <w:lang w:eastAsia="en-GB"/>
              </w:rPr>
              <w:t>hare "strongly agree" and "agree"</w:t>
            </w:r>
          </w:p>
        </w:tc>
      </w:tr>
      <w:tr w:rsidR="0009624B" w:rsidRPr="00C444EA" w14:paraId="35EEC84A" w14:textId="77777777" w:rsidTr="0009624B">
        <w:tc>
          <w:tcPr>
            <w:tcW w:w="663" w:type="dxa"/>
            <w:tcBorders>
              <w:top w:val="nil"/>
              <w:left w:val="nil"/>
              <w:bottom w:val="single" w:sz="4" w:space="0" w:color="auto"/>
              <w:right w:val="nil"/>
            </w:tcBorders>
            <w:shd w:val="clear" w:color="000000" w:fill="FFFFFF"/>
            <w:hideMark/>
          </w:tcPr>
          <w:p w14:paraId="423E7C36"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w:t>
            </w:r>
            <w:proofErr w:type="spellEnd"/>
          </w:p>
        </w:tc>
        <w:tc>
          <w:tcPr>
            <w:tcW w:w="4015" w:type="dxa"/>
            <w:tcBorders>
              <w:top w:val="nil"/>
              <w:left w:val="nil"/>
              <w:bottom w:val="single" w:sz="4" w:space="0" w:color="auto"/>
              <w:right w:val="nil"/>
            </w:tcBorders>
            <w:hideMark/>
          </w:tcPr>
          <w:p w14:paraId="723003BF"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cooperation among the three Bureaux in serving the Membership through Regional and Area Offices is effective.</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370CB85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auto"/>
              <w:right w:val="single" w:sz="4" w:space="0" w:color="D9D9D9"/>
            </w:tcBorders>
            <w:shd w:val="clear" w:color="000000" w:fill="FFFFFF"/>
            <w:noWrap/>
            <w:hideMark/>
          </w:tcPr>
          <w:p w14:paraId="7E07ADB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37%</w:t>
            </w:r>
          </w:p>
        </w:tc>
        <w:tc>
          <w:tcPr>
            <w:tcW w:w="627" w:type="dxa"/>
            <w:tcBorders>
              <w:top w:val="nil"/>
              <w:left w:val="nil"/>
              <w:bottom w:val="single" w:sz="4" w:space="0" w:color="auto"/>
              <w:right w:val="single" w:sz="4" w:space="0" w:color="D9D9D9"/>
            </w:tcBorders>
            <w:shd w:val="clear" w:color="000000" w:fill="FFFFFF"/>
            <w:noWrap/>
            <w:hideMark/>
          </w:tcPr>
          <w:p w14:paraId="079FA7A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c>
          <w:tcPr>
            <w:tcW w:w="627" w:type="dxa"/>
            <w:tcBorders>
              <w:top w:val="nil"/>
              <w:left w:val="nil"/>
              <w:bottom w:val="single" w:sz="4" w:space="0" w:color="auto"/>
              <w:right w:val="single" w:sz="4" w:space="0" w:color="D9D9D9"/>
            </w:tcBorders>
            <w:shd w:val="clear" w:color="000000" w:fill="FFFFFF"/>
            <w:noWrap/>
            <w:hideMark/>
          </w:tcPr>
          <w:p w14:paraId="12EFCD2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auto"/>
              <w:right w:val="single" w:sz="4" w:space="0" w:color="D9D9D9"/>
            </w:tcBorders>
            <w:shd w:val="clear" w:color="000000" w:fill="FFFFFF"/>
            <w:noWrap/>
            <w:hideMark/>
          </w:tcPr>
          <w:p w14:paraId="149DDA9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nil"/>
              <w:bottom w:val="single" w:sz="4" w:space="0" w:color="auto"/>
              <w:right w:val="single" w:sz="2" w:space="0" w:color="auto"/>
            </w:tcBorders>
            <w:shd w:val="clear" w:color="000000" w:fill="FFFFFF"/>
            <w:noWrap/>
            <w:hideMark/>
          </w:tcPr>
          <w:p w14:paraId="06D8682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3720F6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r>
      <w:tr w:rsidR="0009624B" w:rsidRPr="00C444EA" w14:paraId="7BB25BE4" w14:textId="77777777" w:rsidTr="0009624B">
        <w:tc>
          <w:tcPr>
            <w:tcW w:w="663" w:type="dxa"/>
            <w:tcBorders>
              <w:top w:val="nil"/>
              <w:left w:val="nil"/>
              <w:bottom w:val="single" w:sz="4" w:space="0" w:color="auto"/>
              <w:right w:val="nil"/>
            </w:tcBorders>
            <w:shd w:val="clear" w:color="000000" w:fill="F2F2F2"/>
            <w:hideMark/>
          </w:tcPr>
          <w:p w14:paraId="61DC8666"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w:t>
            </w:r>
            <w:proofErr w:type="spellEnd"/>
          </w:p>
        </w:tc>
        <w:tc>
          <w:tcPr>
            <w:tcW w:w="4015" w:type="dxa"/>
            <w:tcBorders>
              <w:top w:val="nil"/>
              <w:left w:val="nil"/>
              <w:bottom w:val="single" w:sz="4" w:space="0" w:color="auto"/>
              <w:right w:val="nil"/>
            </w:tcBorders>
            <w:shd w:val="clear" w:color="000000" w:fill="F2F2F2"/>
            <w:hideMark/>
          </w:tcPr>
          <w:p w14:paraId="641CCF3E"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ITU Regional and Area Offices receive clear strategic guidance from the ITU headquarters on issues related to ITU working coherently as one.</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404775B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auto"/>
              <w:right w:val="single" w:sz="4" w:space="0" w:color="D9D9D9"/>
            </w:tcBorders>
            <w:shd w:val="clear" w:color="000000" w:fill="F2F2F2"/>
            <w:noWrap/>
            <w:hideMark/>
          </w:tcPr>
          <w:p w14:paraId="107B881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38%</w:t>
            </w:r>
          </w:p>
        </w:tc>
        <w:tc>
          <w:tcPr>
            <w:tcW w:w="627" w:type="dxa"/>
            <w:tcBorders>
              <w:top w:val="nil"/>
              <w:left w:val="nil"/>
              <w:bottom w:val="single" w:sz="4" w:space="0" w:color="auto"/>
              <w:right w:val="single" w:sz="4" w:space="0" w:color="D9D9D9"/>
            </w:tcBorders>
            <w:shd w:val="clear" w:color="000000" w:fill="F2F2F2"/>
            <w:noWrap/>
            <w:hideMark/>
          </w:tcPr>
          <w:p w14:paraId="6E20539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nil"/>
              <w:left w:val="nil"/>
              <w:bottom w:val="single" w:sz="4" w:space="0" w:color="auto"/>
              <w:right w:val="single" w:sz="4" w:space="0" w:color="D9D9D9"/>
            </w:tcBorders>
            <w:shd w:val="clear" w:color="000000" w:fill="F2F2F2"/>
            <w:noWrap/>
            <w:hideMark/>
          </w:tcPr>
          <w:p w14:paraId="69347A8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auto"/>
              <w:right w:val="single" w:sz="4" w:space="0" w:color="D9D9D9"/>
            </w:tcBorders>
            <w:shd w:val="clear" w:color="000000" w:fill="F2F2F2"/>
            <w:noWrap/>
            <w:hideMark/>
          </w:tcPr>
          <w:p w14:paraId="1D4DC52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auto"/>
              <w:right w:val="single" w:sz="2" w:space="0" w:color="auto"/>
            </w:tcBorders>
            <w:shd w:val="clear" w:color="000000" w:fill="F2F2F2"/>
            <w:noWrap/>
            <w:hideMark/>
          </w:tcPr>
          <w:p w14:paraId="4B90DB1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0F3188C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53%</w:t>
            </w:r>
          </w:p>
        </w:tc>
      </w:tr>
      <w:tr w:rsidR="0009624B" w:rsidRPr="00C444EA" w14:paraId="42B14349" w14:textId="77777777" w:rsidTr="0009624B">
        <w:tc>
          <w:tcPr>
            <w:tcW w:w="663" w:type="dxa"/>
            <w:tcBorders>
              <w:top w:val="nil"/>
              <w:left w:val="nil"/>
              <w:bottom w:val="nil"/>
              <w:right w:val="nil"/>
            </w:tcBorders>
            <w:shd w:val="clear" w:color="000000" w:fill="FFFFFF"/>
            <w:hideMark/>
          </w:tcPr>
          <w:p w14:paraId="408C9167"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Q3</w:t>
            </w:r>
            <w:proofErr w:type="spellEnd"/>
          </w:p>
        </w:tc>
        <w:tc>
          <w:tcPr>
            <w:tcW w:w="4015" w:type="dxa"/>
            <w:tcBorders>
              <w:top w:val="nil"/>
              <w:left w:val="nil"/>
              <w:bottom w:val="single" w:sz="4" w:space="0" w:color="D9D9D9"/>
              <w:right w:val="nil"/>
            </w:tcBorders>
            <w:shd w:val="clear" w:color="000000" w:fill="FFFFFF"/>
            <w:hideMark/>
          </w:tcPr>
          <w:p w14:paraId="6BB2F49B"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ITU should coordinate and collaborate with UN Country Teams to effectively participate in UN system activities. In this regard, please provide your views. </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4B5ED67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1057871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08E6B66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15F1667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68F4A82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2" w:space="0" w:color="auto"/>
            </w:tcBorders>
            <w:shd w:val="clear" w:color="000000" w:fill="FFFFFF"/>
            <w:noWrap/>
            <w:hideMark/>
          </w:tcPr>
          <w:p w14:paraId="0CE4314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2943E28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09624B" w:rsidRPr="00C444EA" w14:paraId="1FD4B5CB" w14:textId="77777777" w:rsidTr="0009624B">
        <w:tc>
          <w:tcPr>
            <w:tcW w:w="663" w:type="dxa"/>
            <w:tcBorders>
              <w:top w:val="nil"/>
              <w:left w:val="nil"/>
              <w:bottom w:val="nil"/>
              <w:right w:val="nil"/>
            </w:tcBorders>
            <w:shd w:val="clear" w:color="000000" w:fill="FFFFFF"/>
            <w:hideMark/>
          </w:tcPr>
          <w:p w14:paraId="6A2A307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Q3_a</w:t>
            </w:r>
            <w:proofErr w:type="spellEnd"/>
          </w:p>
        </w:tc>
        <w:tc>
          <w:tcPr>
            <w:tcW w:w="4015" w:type="dxa"/>
            <w:tcBorders>
              <w:top w:val="nil"/>
              <w:left w:val="nil"/>
              <w:bottom w:val="single" w:sz="4" w:space="0" w:color="D9D9D9"/>
              <w:right w:val="nil"/>
            </w:tcBorders>
            <w:shd w:val="clear" w:color="000000" w:fill="FFFFFF"/>
            <w:hideMark/>
          </w:tcPr>
          <w:p w14:paraId="6F914BC5"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The existing levels are adequate</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3414B3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D9D9D9"/>
              <w:right w:val="single" w:sz="4" w:space="0" w:color="D9D9D9"/>
            </w:tcBorders>
            <w:shd w:val="clear" w:color="000000" w:fill="FFFFFF"/>
            <w:noWrap/>
            <w:hideMark/>
          </w:tcPr>
          <w:p w14:paraId="1946C87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34%</w:t>
            </w:r>
          </w:p>
        </w:tc>
        <w:tc>
          <w:tcPr>
            <w:tcW w:w="627" w:type="dxa"/>
            <w:tcBorders>
              <w:top w:val="nil"/>
              <w:left w:val="nil"/>
              <w:bottom w:val="single" w:sz="4" w:space="0" w:color="D9D9D9"/>
              <w:right w:val="single" w:sz="4" w:space="0" w:color="D9D9D9"/>
            </w:tcBorders>
            <w:shd w:val="clear" w:color="000000" w:fill="FFFFFF"/>
            <w:noWrap/>
            <w:hideMark/>
          </w:tcPr>
          <w:p w14:paraId="4B862AE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30%</w:t>
            </w:r>
          </w:p>
        </w:tc>
        <w:tc>
          <w:tcPr>
            <w:tcW w:w="627" w:type="dxa"/>
            <w:tcBorders>
              <w:top w:val="nil"/>
              <w:left w:val="nil"/>
              <w:bottom w:val="single" w:sz="4" w:space="0" w:color="D9D9D9"/>
              <w:right w:val="single" w:sz="4" w:space="0" w:color="D9D9D9"/>
            </w:tcBorders>
            <w:shd w:val="clear" w:color="000000" w:fill="FFFFFF"/>
            <w:noWrap/>
            <w:hideMark/>
          </w:tcPr>
          <w:p w14:paraId="7528519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20%</w:t>
            </w:r>
          </w:p>
        </w:tc>
        <w:tc>
          <w:tcPr>
            <w:tcW w:w="627" w:type="dxa"/>
            <w:tcBorders>
              <w:top w:val="nil"/>
              <w:left w:val="nil"/>
              <w:bottom w:val="single" w:sz="4" w:space="0" w:color="D9D9D9"/>
              <w:right w:val="single" w:sz="4" w:space="0" w:color="D9D9D9"/>
            </w:tcBorders>
            <w:shd w:val="clear" w:color="000000" w:fill="FFFFFF"/>
            <w:noWrap/>
            <w:hideMark/>
          </w:tcPr>
          <w:p w14:paraId="26CF8CE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D9D9D9"/>
              <w:right w:val="single" w:sz="2" w:space="0" w:color="auto"/>
            </w:tcBorders>
            <w:shd w:val="clear" w:color="000000" w:fill="FFFFFF"/>
            <w:noWrap/>
            <w:hideMark/>
          </w:tcPr>
          <w:p w14:paraId="035DAC2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3BA2F28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41%</w:t>
            </w:r>
          </w:p>
        </w:tc>
      </w:tr>
      <w:tr w:rsidR="0009624B" w:rsidRPr="00C444EA" w14:paraId="07A9F232" w14:textId="77777777" w:rsidTr="0009624B">
        <w:tc>
          <w:tcPr>
            <w:tcW w:w="663" w:type="dxa"/>
            <w:tcBorders>
              <w:top w:val="nil"/>
              <w:left w:val="nil"/>
              <w:bottom w:val="nil"/>
              <w:right w:val="nil"/>
            </w:tcBorders>
            <w:shd w:val="clear" w:color="000000" w:fill="FFFFFF"/>
            <w:hideMark/>
          </w:tcPr>
          <w:p w14:paraId="25171DA8"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Q3_b</w:t>
            </w:r>
            <w:proofErr w:type="spellEnd"/>
          </w:p>
        </w:tc>
        <w:tc>
          <w:tcPr>
            <w:tcW w:w="4015" w:type="dxa"/>
            <w:tcBorders>
              <w:top w:val="nil"/>
              <w:left w:val="nil"/>
              <w:bottom w:val="single" w:sz="4" w:space="0" w:color="D9D9D9"/>
              <w:right w:val="nil"/>
            </w:tcBorders>
            <w:shd w:val="clear" w:color="000000" w:fill="FFFFFF"/>
            <w:hideMark/>
          </w:tcPr>
          <w:p w14:paraId="02D97580"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The level of coordination needs to be improved</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6B7D5D3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nil"/>
              <w:left w:val="nil"/>
              <w:bottom w:val="single" w:sz="4" w:space="0" w:color="D9D9D9"/>
              <w:right w:val="single" w:sz="4" w:space="0" w:color="D9D9D9"/>
            </w:tcBorders>
            <w:shd w:val="clear" w:color="000000" w:fill="FFFFFF"/>
            <w:noWrap/>
            <w:hideMark/>
          </w:tcPr>
          <w:p w14:paraId="436D8C7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45%</w:t>
            </w:r>
          </w:p>
        </w:tc>
        <w:tc>
          <w:tcPr>
            <w:tcW w:w="627" w:type="dxa"/>
            <w:tcBorders>
              <w:top w:val="nil"/>
              <w:left w:val="nil"/>
              <w:bottom w:val="single" w:sz="4" w:space="0" w:color="D9D9D9"/>
              <w:right w:val="single" w:sz="4" w:space="0" w:color="D9D9D9"/>
            </w:tcBorders>
            <w:shd w:val="clear" w:color="000000" w:fill="FFFFFF"/>
            <w:noWrap/>
            <w:hideMark/>
          </w:tcPr>
          <w:p w14:paraId="5CB2129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nil"/>
              <w:left w:val="nil"/>
              <w:bottom w:val="single" w:sz="4" w:space="0" w:color="D9D9D9"/>
              <w:right w:val="single" w:sz="4" w:space="0" w:color="D9D9D9"/>
            </w:tcBorders>
            <w:shd w:val="clear" w:color="000000" w:fill="FFFFFF"/>
            <w:noWrap/>
            <w:hideMark/>
          </w:tcPr>
          <w:p w14:paraId="367FD32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nil"/>
              <w:left w:val="nil"/>
              <w:bottom w:val="single" w:sz="4" w:space="0" w:color="D9D9D9"/>
              <w:right w:val="single" w:sz="4" w:space="0" w:color="D9D9D9"/>
            </w:tcBorders>
            <w:shd w:val="clear" w:color="000000" w:fill="FFFFFF"/>
            <w:noWrap/>
            <w:hideMark/>
          </w:tcPr>
          <w:p w14:paraId="60D4E7D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D9D9D9"/>
              <w:right w:val="single" w:sz="2" w:space="0" w:color="auto"/>
            </w:tcBorders>
            <w:shd w:val="clear" w:color="000000" w:fill="FFFFFF"/>
            <w:noWrap/>
            <w:hideMark/>
          </w:tcPr>
          <w:p w14:paraId="62CE3CE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1D034D0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65%</w:t>
            </w:r>
          </w:p>
        </w:tc>
      </w:tr>
      <w:tr w:rsidR="0009624B" w:rsidRPr="00C444EA" w14:paraId="3518F5EF" w14:textId="77777777" w:rsidTr="0009624B">
        <w:tc>
          <w:tcPr>
            <w:tcW w:w="663" w:type="dxa"/>
            <w:tcBorders>
              <w:top w:val="nil"/>
              <w:left w:val="nil"/>
              <w:bottom w:val="single" w:sz="4" w:space="0" w:color="auto"/>
              <w:right w:val="nil"/>
            </w:tcBorders>
            <w:shd w:val="clear" w:color="000000" w:fill="FFFFFF"/>
            <w:hideMark/>
          </w:tcPr>
          <w:p w14:paraId="484444A3"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Q3_c</w:t>
            </w:r>
            <w:proofErr w:type="spellEnd"/>
          </w:p>
        </w:tc>
        <w:tc>
          <w:tcPr>
            <w:tcW w:w="4015" w:type="dxa"/>
            <w:tcBorders>
              <w:top w:val="nil"/>
              <w:left w:val="nil"/>
              <w:bottom w:val="single" w:sz="4" w:space="0" w:color="auto"/>
              <w:right w:val="nil"/>
            </w:tcBorders>
            <w:shd w:val="clear" w:color="000000" w:fill="FFFFFF"/>
            <w:hideMark/>
          </w:tcPr>
          <w:p w14:paraId="7E09F787"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The level of coordination needs to be improved especially where Regional and Area Offices are not located</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5F69FFD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auto"/>
              <w:right w:val="single" w:sz="4" w:space="0" w:color="D9D9D9"/>
            </w:tcBorders>
            <w:shd w:val="clear" w:color="000000" w:fill="FFFFFF"/>
            <w:noWrap/>
            <w:hideMark/>
          </w:tcPr>
          <w:p w14:paraId="0088901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46%</w:t>
            </w:r>
          </w:p>
        </w:tc>
        <w:tc>
          <w:tcPr>
            <w:tcW w:w="627" w:type="dxa"/>
            <w:tcBorders>
              <w:top w:val="nil"/>
              <w:left w:val="nil"/>
              <w:bottom w:val="single" w:sz="4" w:space="0" w:color="auto"/>
              <w:right w:val="single" w:sz="4" w:space="0" w:color="D9D9D9"/>
            </w:tcBorders>
            <w:shd w:val="clear" w:color="000000" w:fill="FFFFFF"/>
            <w:noWrap/>
            <w:hideMark/>
          </w:tcPr>
          <w:p w14:paraId="120C393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18%</w:t>
            </w:r>
          </w:p>
        </w:tc>
        <w:tc>
          <w:tcPr>
            <w:tcW w:w="627" w:type="dxa"/>
            <w:tcBorders>
              <w:top w:val="nil"/>
              <w:left w:val="nil"/>
              <w:bottom w:val="single" w:sz="4" w:space="0" w:color="auto"/>
              <w:right w:val="single" w:sz="4" w:space="0" w:color="D9D9D9"/>
            </w:tcBorders>
            <w:shd w:val="clear" w:color="000000" w:fill="FFFFFF"/>
            <w:noWrap/>
            <w:hideMark/>
          </w:tcPr>
          <w:p w14:paraId="79FBC6A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nil"/>
              <w:bottom w:val="single" w:sz="4" w:space="0" w:color="auto"/>
              <w:right w:val="single" w:sz="4" w:space="0" w:color="D9D9D9"/>
            </w:tcBorders>
            <w:shd w:val="clear" w:color="000000" w:fill="FFFFFF"/>
            <w:noWrap/>
            <w:hideMark/>
          </w:tcPr>
          <w:p w14:paraId="4B01BC1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auto"/>
              <w:right w:val="single" w:sz="2" w:space="0" w:color="auto"/>
            </w:tcBorders>
            <w:shd w:val="clear" w:color="000000" w:fill="FFFFFF"/>
            <w:noWrap/>
            <w:hideMark/>
          </w:tcPr>
          <w:p w14:paraId="1C98B8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29FA893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73%</w:t>
            </w:r>
          </w:p>
        </w:tc>
      </w:tr>
      <w:tr w:rsidR="0009624B" w:rsidRPr="00C444EA" w14:paraId="6FC3351B" w14:textId="77777777" w:rsidTr="0009624B">
        <w:tc>
          <w:tcPr>
            <w:tcW w:w="663" w:type="dxa"/>
            <w:tcBorders>
              <w:top w:val="nil"/>
              <w:left w:val="nil"/>
              <w:bottom w:val="single" w:sz="4" w:space="0" w:color="auto"/>
              <w:right w:val="nil"/>
            </w:tcBorders>
            <w:shd w:val="clear" w:color="000000" w:fill="F2F2F2"/>
            <w:hideMark/>
          </w:tcPr>
          <w:p w14:paraId="48F4A85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Q04</w:t>
            </w:r>
            <w:proofErr w:type="spellEnd"/>
          </w:p>
        </w:tc>
        <w:tc>
          <w:tcPr>
            <w:tcW w:w="4015" w:type="dxa"/>
            <w:tcBorders>
              <w:top w:val="nil"/>
              <w:left w:val="nil"/>
              <w:bottom w:val="single" w:sz="4" w:space="0" w:color="auto"/>
              <w:right w:val="nil"/>
            </w:tcBorders>
            <w:shd w:val="clear" w:color="000000" w:fill="F2F2F2"/>
            <w:hideMark/>
          </w:tcPr>
          <w:p w14:paraId="6CEAA5E9"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Regional and Area Offices participate actively in the activities of all three Sectors (ITU-T and ITU-R in particular).</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00EBBE1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nil"/>
              <w:left w:val="nil"/>
              <w:bottom w:val="single" w:sz="4" w:space="0" w:color="auto"/>
              <w:right w:val="single" w:sz="4" w:space="0" w:color="D9D9D9"/>
            </w:tcBorders>
            <w:shd w:val="clear" w:color="000000" w:fill="F2F2F2"/>
            <w:noWrap/>
            <w:hideMark/>
          </w:tcPr>
          <w:p w14:paraId="6EE8B8F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c>
          <w:tcPr>
            <w:tcW w:w="627" w:type="dxa"/>
            <w:tcBorders>
              <w:top w:val="nil"/>
              <w:left w:val="nil"/>
              <w:bottom w:val="single" w:sz="4" w:space="0" w:color="auto"/>
              <w:right w:val="single" w:sz="4" w:space="0" w:color="D9D9D9"/>
            </w:tcBorders>
            <w:shd w:val="clear" w:color="000000" w:fill="F2F2F2"/>
            <w:noWrap/>
            <w:hideMark/>
          </w:tcPr>
          <w:p w14:paraId="710DE86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17%</w:t>
            </w:r>
          </w:p>
        </w:tc>
        <w:tc>
          <w:tcPr>
            <w:tcW w:w="627" w:type="dxa"/>
            <w:tcBorders>
              <w:top w:val="nil"/>
              <w:left w:val="nil"/>
              <w:bottom w:val="single" w:sz="4" w:space="0" w:color="auto"/>
              <w:right w:val="single" w:sz="4" w:space="0" w:color="D9D9D9"/>
            </w:tcBorders>
            <w:shd w:val="clear" w:color="000000" w:fill="F2F2F2"/>
            <w:noWrap/>
            <w:hideMark/>
          </w:tcPr>
          <w:p w14:paraId="3D998DA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24%</w:t>
            </w:r>
          </w:p>
        </w:tc>
        <w:tc>
          <w:tcPr>
            <w:tcW w:w="627" w:type="dxa"/>
            <w:tcBorders>
              <w:top w:val="nil"/>
              <w:left w:val="nil"/>
              <w:bottom w:val="single" w:sz="4" w:space="0" w:color="auto"/>
              <w:right w:val="single" w:sz="4" w:space="0" w:color="D9D9D9"/>
            </w:tcBorders>
            <w:shd w:val="clear" w:color="000000" w:fill="F2F2F2"/>
            <w:noWrap/>
            <w:hideMark/>
          </w:tcPr>
          <w:p w14:paraId="46DC68E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nil"/>
              <w:bottom w:val="single" w:sz="4" w:space="0" w:color="auto"/>
              <w:right w:val="single" w:sz="2" w:space="0" w:color="auto"/>
            </w:tcBorders>
            <w:shd w:val="clear" w:color="000000" w:fill="F2F2F2"/>
            <w:noWrap/>
            <w:hideMark/>
          </w:tcPr>
          <w:p w14:paraId="10B258D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2506020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53%</w:t>
            </w:r>
          </w:p>
        </w:tc>
      </w:tr>
      <w:tr w:rsidR="0009624B" w:rsidRPr="00C444EA" w14:paraId="765A37A0" w14:textId="77777777" w:rsidTr="0009624B">
        <w:tc>
          <w:tcPr>
            <w:tcW w:w="663" w:type="dxa"/>
            <w:tcBorders>
              <w:top w:val="nil"/>
              <w:left w:val="nil"/>
              <w:bottom w:val="nil"/>
              <w:right w:val="nil"/>
            </w:tcBorders>
            <w:shd w:val="clear" w:color="000000" w:fill="FFFFFF"/>
            <w:noWrap/>
            <w:hideMark/>
          </w:tcPr>
          <w:p w14:paraId="1B8432F8"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Q05</w:t>
            </w:r>
            <w:proofErr w:type="spellEnd"/>
          </w:p>
        </w:tc>
        <w:tc>
          <w:tcPr>
            <w:tcW w:w="4015" w:type="dxa"/>
            <w:tcBorders>
              <w:top w:val="nil"/>
              <w:left w:val="nil"/>
              <w:bottom w:val="single" w:sz="4" w:space="0" w:color="D9D9D9"/>
              <w:right w:val="nil"/>
            </w:tcBorders>
            <w:shd w:val="clear" w:color="000000" w:fill="FFFFFF"/>
            <w:hideMark/>
          </w:tcPr>
          <w:p w14:paraId="39A41342"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The Regional and Area Offices have access to technical staff with knowledge and experience of the three Sectors of the Union particularly dedicated staff from the Standardization and Radiocommunication Sectors </w:t>
            </w:r>
            <w:proofErr w:type="gramStart"/>
            <w:r w:rsidRPr="00C444EA">
              <w:rPr>
                <w:rFonts w:ascii="Aptos Narrow" w:hAnsi="Aptos Narrow"/>
                <w:color w:val="000000"/>
                <w:sz w:val="20"/>
                <w:lang w:eastAsia="en-GB"/>
              </w:rPr>
              <w:t>in order to</w:t>
            </w:r>
            <w:proofErr w:type="gramEnd"/>
            <w:r w:rsidRPr="00C444EA">
              <w:rPr>
                <w:rFonts w:ascii="Aptos Narrow" w:hAnsi="Aptos Narrow"/>
                <w:color w:val="000000"/>
                <w:sz w:val="20"/>
                <w:lang w:eastAsia="en-GB"/>
              </w:rPr>
              <w:t xml:space="preserve"> assist Member States.</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6683A98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640BCF7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3422511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238D787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0552F49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2" w:space="0" w:color="auto"/>
            </w:tcBorders>
            <w:shd w:val="clear" w:color="000000" w:fill="FFFFFF"/>
            <w:noWrap/>
            <w:hideMark/>
          </w:tcPr>
          <w:p w14:paraId="5A7D7D9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1B483A6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09624B" w:rsidRPr="00C444EA" w14:paraId="3F767298" w14:textId="77777777" w:rsidTr="0009624B">
        <w:tc>
          <w:tcPr>
            <w:tcW w:w="663" w:type="dxa"/>
            <w:tcBorders>
              <w:top w:val="nil"/>
              <w:left w:val="nil"/>
              <w:bottom w:val="nil"/>
              <w:right w:val="nil"/>
            </w:tcBorders>
            <w:shd w:val="clear" w:color="000000" w:fill="FFFFFF"/>
            <w:hideMark/>
          </w:tcPr>
          <w:p w14:paraId="146B5122"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Q5_a</w:t>
            </w:r>
            <w:proofErr w:type="spellEnd"/>
          </w:p>
        </w:tc>
        <w:tc>
          <w:tcPr>
            <w:tcW w:w="4015" w:type="dxa"/>
            <w:tcBorders>
              <w:top w:val="nil"/>
              <w:left w:val="nil"/>
              <w:bottom w:val="single" w:sz="4" w:space="0" w:color="D9D9D9"/>
              <w:right w:val="nil"/>
            </w:tcBorders>
            <w:shd w:val="clear" w:color="000000" w:fill="FFFFFF"/>
            <w:hideMark/>
          </w:tcPr>
          <w:p w14:paraId="741438AD"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The existing levels are adequate</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46CF2EF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nil"/>
              <w:left w:val="nil"/>
              <w:bottom w:val="single" w:sz="4" w:space="0" w:color="D9D9D9"/>
              <w:right w:val="single" w:sz="4" w:space="0" w:color="D9D9D9"/>
            </w:tcBorders>
            <w:shd w:val="clear" w:color="000000" w:fill="FFFFFF"/>
            <w:noWrap/>
            <w:hideMark/>
          </w:tcPr>
          <w:p w14:paraId="1548DB8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43%</w:t>
            </w:r>
          </w:p>
        </w:tc>
        <w:tc>
          <w:tcPr>
            <w:tcW w:w="627" w:type="dxa"/>
            <w:tcBorders>
              <w:top w:val="nil"/>
              <w:left w:val="nil"/>
              <w:bottom w:val="single" w:sz="4" w:space="0" w:color="D9D9D9"/>
              <w:right w:val="single" w:sz="4" w:space="0" w:color="D9D9D9"/>
            </w:tcBorders>
            <w:shd w:val="clear" w:color="000000" w:fill="FFFFFF"/>
            <w:noWrap/>
            <w:hideMark/>
          </w:tcPr>
          <w:p w14:paraId="271B575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nil"/>
              <w:left w:val="nil"/>
              <w:bottom w:val="single" w:sz="4" w:space="0" w:color="D9D9D9"/>
              <w:right w:val="single" w:sz="4" w:space="0" w:color="D9D9D9"/>
            </w:tcBorders>
            <w:shd w:val="clear" w:color="000000" w:fill="FFFFFF"/>
            <w:noWrap/>
            <w:hideMark/>
          </w:tcPr>
          <w:p w14:paraId="5EF2510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17%</w:t>
            </w:r>
          </w:p>
        </w:tc>
        <w:tc>
          <w:tcPr>
            <w:tcW w:w="627" w:type="dxa"/>
            <w:tcBorders>
              <w:top w:val="nil"/>
              <w:left w:val="nil"/>
              <w:bottom w:val="single" w:sz="4" w:space="0" w:color="D9D9D9"/>
              <w:right w:val="single" w:sz="4" w:space="0" w:color="D9D9D9"/>
            </w:tcBorders>
            <w:shd w:val="clear" w:color="000000" w:fill="FFFFFF"/>
            <w:noWrap/>
            <w:hideMark/>
          </w:tcPr>
          <w:p w14:paraId="111BBB7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nil"/>
              <w:left w:val="nil"/>
              <w:bottom w:val="single" w:sz="4" w:space="0" w:color="D9D9D9"/>
              <w:right w:val="single" w:sz="2" w:space="0" w:color="auto"/>
            </w:tcBorders>
            <w:shd w:val="clear" w:color="000000" w:fill="FFFFFF"/>
            <w:noWrap/>
            <w:hideMark/>
          </w:tcPr>
          <w:p w14:paraId="6FF354A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6502E8F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49%</w:t>
            </w:r>
          </w:p>
        </w:tc>
      </w:tr>
      <w:tr w:rsidR="0009624B" w:rsidRPr="00C444EA" w14:paraId="454E3237" w14:textId="77777777" w:rsidTr="0009624B">
        <w:tc>
          <w:tcPr>
            <w:tcW w:w="663" w:type="dxa"/>
            <w:tcBorders>
              <w:top w:val="nil"/>
              <w:left w:val="nil"/>
              <w:bottom w:val="nil"/>
              <w:right w:val="nil"/>
            </w:tcBorders>
            <w:shd w:val="clear" w:color="000000" w:fill="FFFFFF"/>
            <w:hideMark/>
          </w:tcPr>
          <w:p w14:paraId="5A261AFB"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Q5_b</w:t>
            </w:r>
            <w:proofErr w:type="spellEnd"/>
          </w:p>
        </w:tc>
        <w:tc>
          <w:tcPr>
            <w:tcW w:w="4015" w:type="dxa"/>
            <w:tcBorders>
              <w:top w:val="nil"/>
              <w:left w:val="nil"/>
              <w:bottom w:val="single" w:sz="4" w:space="0" w:color="D9D9D9"/>
              <w:right w:val="nil"/>
            </w:tcBorders>
            <w:shd w:val="clear" w:color="000000" w:fill="FFFFFF"/>
            <w:hideMark/>
          </w:tcPr>
          <w:p w14:paraId="02E5F790"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Access to dedicated staff from the Standardization and Radiocommunication Sectors would be beneficial</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4B5703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34%</w:t>
            </w:r>
          </w:p>
        </w:tc>
        <w:tc>
          <w:tcPr>
            <w:tcW w:w="627" w:type="dxa"/>
            <w:tcBorders>
              <w:top w:val="nil"/>
              <w:left w:val="nil"/>
              <w:bottom w:val="single" w:sz="4" w:space="0" w:color="D9D9D9"/>
              <w:right w:val="single" w:sz="4" w:space="0" w:color="D9D9D9"/>
            </w:tcBorders>
            <w:shd w:val="clear" w:color="000000" w:fill="FFFFFF"/>
            <w:noWrap/>
            <w:hideMark/>
          </w:tcPr>
          <w:p w14:paraId="64382F6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35%</w:t>
            </w:r>
          </w:p>
        </w:tc>
        <w:tc>
          <w:tcPr>
            <w:tcW w:w="627" w:type="dxa"/>
            <w:tcBorders>
              <w:top w:val="nil"/>
              <w:left w:val="nil"/>
              <w:bottom w:val="single" w:sz="4" w:space="0" w:color="D9D9D9"/>
              <w:right w:val="single" w:sz="4" w:space="0" w:color="D9D9D9"/>
            </w:tcBorders>
            <w:shd w:val="clear" w:color="000000" w:fill="FFFFFF"/>
            <w:noWrap/>
            <w:hideMark/>
          </w:tcPr>
          <w:p w14:paraId="5A7E570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24%</w:t>
            </w:r>
          </w:p>
        </w:tc>
        <w:tc>
          <w:tcPr>
            <w:tcW w:w="627" w:type="dxa"/>
            <w:tcBorders>
              <w:top w:val="nil"/>
              <w:left w:val="nil"/>
              <w:bottom w:val="single" w:sz="4" w:space="0" w:color="D9D9D9"/>
              <w:right w:val="single" w:sz="4" w:space="0" w:color="D9D9D9"/>
            </w:tcBorders>
            <w:shd w:val="clear" w:color="000000" w:fill="FFFFFF"/>
            <w:noWrap/>
            <w:hideMark/>
          </w:tcPr>
          <w:p w14:paraId="3BDEA47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D9D9D9"/>
              <w:right w:val="single" w:sz="4" w:space="0" w:color="D9D9D9"/>
            </w:tcBorders>
            <w:shd w:val="clear" w:color="000000" w:fill="FFFFFF"/>
            <w:noWrap/>
            <w:hideMark/>
          </w:tcPr>
          <w:p w14:paraId="6758C7D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D9D9D9"/>
              <w:right w:val="single" w:sz="2" w:space="0" w:color="auto"/>
            </w:tcBorders>
            <w:shd w:val="clear" w:color="000000" w:fill="FFFFFF"/>
            <w:noWrap/>
            <w:hideMark/>
          </w:tcPr>
          <w:p w14:paraId="53F7760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nil"/>
              <w:right w:val="single" w:sz="4" w:space="0" w:color="auto"/>
            </w:tcBorders>
            <w:shd w:val="clear" w:color="000000" w:fill="FFFFFF"/>
            <w:noWrap/>
            <w:hideMark/>
          </w:tcPr>
          <w:p w14:paraId="5778764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69%</w:t>
            </w:r>
          </w:p>
        </w:tc>
      </w:tr>
      <w:tr w:rsidR="0009624B" w:rsidRPr="00C444EA" w14:paraId="3F4940B7" w14:textId="77777777" w:rsidTr="0009624B">
        <w:tc>
          <w:tcPr>
            <w:tcW w:w="663" w:type="dxa"/>
            <w:tcBorders>
              <w:top w:val="single" w:sz="4" w:space="0" w:color="auto"/>
              <w:left w:val="nil"/>
              <w:bottom w:val="nil"/>
              <w:right w:val="nil"/>
            </w:tcBorders>
            <w:shd w:val="clear" w:color="000000" w:fill="F2F2F2"/>
            <w:hideMark/>
          </w:tcPr>
          <w:p w14:paraId="7EF21040"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Q6</w:t>
            </w:r>
            <w:proofErr w:type="spellEnd"/>
          </w:p>
        </w:tc>
        <w:tc>
          <w:tcPr>
            <w:tcW w:w="4015" w:type="dxa"/>
            <w:tcBorders>
              <w:top w:val="single" w:sz="4" w:space="0" w:color="auto"/>
              <w:left w:val="nil"/>
              <w:bottom w:val="single" w:sz="4" w:space="0" w:color="D9D9D9"/>
              <w:right w:val="nil"/>
            </w:tcBorders>
            <w:shd w:val="clear" w:color="000000" w:fill="F2F2F2"/>
            <w:hideMark/>
          </w:tcPr>
          <w:p w14:paraId="276662E2"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staff in the Regional and Area Offices have access to detailed financial situation of projects in a reasonable time.</w:t>
            </w:r>
          </w:p>
        </w:tc>
        <w:tc>
          <w:tcPr>
            <w:tcW w:w="626" w:type="dxa"/>
            <w:tcBorders>
              <w:top w:val="single" w:sz="4" w:space="0" w:color="auto"/>
              <w:left w:val="single" w:sz="4" w:space="0" w:color="auto"/>
              <w:bottom w:val="single" w:sz="4" w:space="0" w:color="D9D9D9"/>
              <w:right w:val="single" w:sz="4" w:space="0" w:color="D9D9D9"/>
            </w:tcBorders>
            <w:shd w:val="clear" w:color="000000" w:fill="F2F2F2"/>
            <w:noWrap/>
            <w:hideMark/>
          </w:tcPr>
          <w:p w14:paraId="1DEC46D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single" w:sz="4" w:space="0" w:color="auto"/>
              <w:left w:val="nil"/>
              <w:bottom w:val="single" w:sz="4" w:space="0" w:color="D9D9D9"/>
              <w:right w:val="single" w:sz="4" w:space="0" w:color="D9D9D9"/>
            </w:tcBorders>
            <w:shd w:val="clear" w:color="000000" w:fill="F2F2F2"/>
            <w:noWrap/>
            <w:hideMark/>
          </w:tcPr>
          <w:p w14:paraId="0C66EF5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28%</w:t>
            </w:r>
          </w:p>
        </w:tc>
        <w:tc>
          <w:tcPr>
            <w:tcW w:w="627" w:type="dxa"/>
            <w:tcBorders>
              <w:top w:val="single" w:sz="4" w:space="0" w:color="auto"/>
              <w:left w:val="nil"/>
              <w:bottom w:val="single" w:sz="4" w:space="0" w:color="D9D9D9"/>
              <w:right w:val="single" w:sz="4" w:space="0" w:color="D9D9D9"/>
            </w:tcBorders>
            <w:shd w:val="clear" w:color="000000" w:fill="F2F2F2"/>
            <w:noWrap/>
            <w:hideMark/>
          </w:tcPr>
          <w:p w14:paraId="63F9984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single" w:sz="4" w:space="0" w:color="auto"/>
              <w:left w:val="nil"/>
              <w:bottom w:val="single" w:sz="4" w:space="0" w:color="D9D9D9"/>
              <w:right w:val="single" w:sz="4" w:space="0" w:color="D9D9D9"/>
            </w:tcBorders>
            <w:shd w:val="clear" w:color="000000" w:fill="F2F2F2"/>
            <w:noWrap/>
            <w:hideMark/>
          </w:tcPr>
          <w:p w14:paraId="7953BF4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21%</w:t>
            </w:r>
          </w:p>
        </w:tc>
        <w:tc>
          <w:tcPr>
            <w:tcW w:w="627" w:type="dxa"/>
            <w:tcBorders>
              <w:top w:val="single" w:sz="4" w:space="0" w:color="auto"/>
              <w:left w:val="nil"/>
              <w:bottom w:val="single" w:sz="4" w:space="0" w:color="D9D9D9"/>
              <w:right w:val="single" w:sz="4" w:space="0" w:color="D9D9D9"/>
            </w:tcBorders>
            <w:shd w:val="clear" w:color="000000" w:fill="F2F2F2"/>
            <w:noWrap/>
            <w:hideMark/>
          </w:tcPr>
          <w:p w14:paraId="1CDEA8D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single" w:sz="4" w:space="0" w:color="auto"/>
              <w:left w:val="nil"/>
              <w:bottom w:val="single" w:sz="4" w:space="0" w:color="D9D9D9"/>
              <w:right w:val="single" w:sz="2" w:space="0" w:color="auto"/>
            </w:tcBorders>
            <w:shd w:val="clear" w:color="000000" w:fill="F2F2F2"/>
            <w:noWrap/>
            <w:hideMark/>
          </w:tcPr>
          <w:p w14:paraId="25001F0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single" w:sz="4" w:space="0" w:color="000000"/>
              <w:left w:val="single" w:sz="2" w:space="0" w:color="auto"/>
              <w:bottom w:val="single" w:sz="4" w:space="0" w:color="D9D9D9"/>
              <w:right w:val="single" w:sz="4" w:space="0" w:color="auto"/>
            </w:tcBorders>
            <w:shd w:val="clear" w:color="000000" w:fill="F2F2F2"/>
            <w:noWrap/>
            <w:hideMark/>
          </w:tcPr>
          <w:p w14:paraId="10B3A1C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35%</w:t>
            </w:r>
          </w:p>
        </w:tc>
      </w:tr>
      <w:tr w:rsidR="0009624B" w:rsidRPr="00C444EA" w14:paraId="4F833EA4" w14:textId="77777777" w:rsidTr="0009624B">
        <w:tc>
          <w:tcPr>
            <w:tcW w:w="663" w:type="dxa"/>
            <w:tcBorders>
              <w:top w:val="single" w:sz="4" w:space="0" w:color="auto"/>
              <w:left w:val="nil"/>
              <w:bottom w:val="nil"/>
              <w:right w:val="nil"/>
            </w:tcBorders>
            <w:shd w:val="clear" w:color="000000" w:fill="FFFFFF"/>
            <w:hideMark/>
          </w:tcPr>
          <w:p w14:paraId="3E2E1B1E"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Q7</w:t>
            </w:r>
            <w:proofErr w:type="spellEnd"/>
          </w:p>
        </w:tc>
        <w:tc>
          <w:tcPr>
            <w:tcW w:w="4015" w:type="dxa"/>
            <w:tcBorders>
              <w:top w:val="single" w:sz="4" w:space="0" w:color="auto"/>
              <w:left w:val="nil"/>
              <w:bottom w:val="single" w:sz="4" w:space="0" w:color="D9D9D9"/>
              <w:right w:val="nil"/>
            </w:tcBorders>
            <w:shd w:val="clear" w:color="000000" w:fill="FFFFFF"/>
            <w:hideMark/>
          </w:tcPr>
          <w:p w14:paraId="09D3105D"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The current Regional and Area Offices configuration (resources and location) is suitable </w:t>
            </w:r>
            <w:r w:rsidRPr="00C444EA">
              <w:rPr>
                <w:rFonts w:ascii="Aptos Narrow" w:hAnsi="Aptos Narrow"/>
                <w:color w:val="000000"/>
                <w:sz w:val="20"/>
                <w:lang w:eastAsia="en-GB"/>
              </w:rPr>
              <w:lastRenderedPageBreak/>
              <w:t>for meeting the specific needs of the Membership.</w:t>
            </w:r>
          </w:p>
        </w:tc>
        <w:tc>
          <w:tcPr>
            <w:tcW w:w="626" w:type="dxa"/>
            <w:tcBorders>
              <w:top w:val="single" w:sz="4" w:space="0" w:color="auto"/>
              <w:left w:val="single" w:sz="4" w:space="0" w:color="auto"/>
              <w:bottom w:val="single" w:sz="4" w:space="0" w:color="D9D9D9"/>
              <w:right w:val="single" w:sz="4" w:space="0" w:color="D9D9D9"/>
            </w:tcBorders>
            <w:shd w:val="clear" w:color="000000" w:fill="FFFFFF"/>
            <w:noWrap/>
            <w:hideMark/>
          </w:tcPr>
          <w:p w14:paraId="012777B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lastRenderedPageBreak/>
              <w:t>8%</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62273B6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161DEB0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20%</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14CE5B5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28%</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4B92CC6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16%</w:t>
            </w:r>
          </w:p>
        </w:tc>
        <w:tc>
          <w:tcPr>
            <w:tcW w:w="627" w:type="dxa"/>
            <w:tcBorders>
              <w:top w:val="single" w:sz="4" w:space="0" w:color="auto"/>
              <w:left w:val="nil"/>
              <w:bottom w:val="single" w:sz="4" w:space="0" w:color="D9D9D9"/>
              <w:right w:val="single" w:sz="2" w:space="0" w:color="auto"/>
            </w:tcBorders>
            <w:shd w:val="clear" w:color="000000" w:fill="FFFFFF"/>
            <w:noWrap/>
            <w:hideMark/>
          </w:tcPr>
          <w:p w14:paraId="59B792C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single" w:sz="4" w:space="0" w:color="000000"/>
              <w:left w:val="single" w:sz="2" w:space="0" w:color="auto"/>
              <w:bottom w:val="single" w:sz="4" w:space="0" w:color="D9D9D9"/>
              <w:right w:val="single" w:sz="4" w:space="0" w:color="auto"/>
            </w:tcBorders>
            <w:noWrap/>
            <w:hideMark/>
          </w:tcPr>
          <w:p w14:paraId="7286F1E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33%</w:t>
            </w:r>
          </w:p>
        </w:tc>
      </w:tr>
      <w:tr w:rsidR="0009624B" w:rsidRPr="00C444EA" w14:paraId="59BAD0ED" w14:textId="77777777" w:rsidTr="0009624B">
        <w:tc>
          <w:tcPr>
            <w:tcW w:w="663" w:type="dxa"/>
            <w:tcBorders>
              <w:top w:val="single" w:sz="4" w:space="0" w:color="auto"/>
              <w:left w:val="nil"/>
              <w:bottom w:val="single" w:sz="4" w:space="0" w:color="auto"/>
              <w:right w:val="nil"/>
            </w:tcBorders>
            <w:shd w:val="clear" w:color="000000" w:fill="F2F2F2"/>
            <w:hideMark/>
          </w:tcPr>
          <w:p w14:paraId="02ECBC53"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Q8</w:t>
            </w:r>
            <w:proofErr w:type="spellEnd"/>
          </w:p>
        </w:tc>
        <w:tc>
          <w:tcPr>
            <w:tcW w:w="4015" w:type="dxa"/>
            <w:tcBorders>
              <w:top w:val="single" w:sz="4" w:space="0" w:color="auto"/>
              <w:left w:val="nil"/>
              <w:bottom w:val="single" w:sz="4" w:space="0" w:color="auto"/>
              <w:right w:val="nil"/>
            </w:tcBorders>
            <w:shd w:val="clear" w:color="000000" w:fill="F2F2F2"/>
            <w:hideMark/>
          </w:tcPr>
          <w:p w14:paraId="4F015C12"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 Strengthened ITU Regional Presence will help to increase the participation of Membership in the work of the ITU at the regional and global level.</w:t>
            </w:r>
          </w:p>
        </w:tc>
        <w:tc>
          <w:tcPr>
            <w:tcW w:w="626" w:type="dxa"/>
            <w:tcBorders>
              <w:top w:val="single" w:sz="4" w:space="0" w:color="auto"/>
              <w:left w:val="single" w:sz="4" w:space="0" w:color="auto"/>
              <w:bottom w:val="single" w:sz="4" w:space="0" w:color="auto"/>
              <w:right w:val="single" w:sz="4" w:space="0" w:color="D9D9D9"/>
            </w:tcBorders>
            <w:shd w:val="clear" w:color="000000" w:fill="F2F2F2"/>
            <w:noWrap/>
            <w:hideMark/>
          </w:tcPr>
          <w:p w14:paraId="023606E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42%</w:t>
            </w:r>
          </w:p>
        </w:tc>
        <w:tc>
          <w:tcPr>
            <w:tcW w:w="627" w:type="dxa"/>
            <w:tcBorders>
              <w:top w:val="single" w:sz="4" w:space="0" w:color="auto"/>
              <w:left w:val="nil"/>
              <w:bottom w:val="single" w:sz="4" w:space="0" w:color="auto"/>
              <w:right w:val="single" w:sz="4" w:space="0" w:color="D9D9D9"/>
            </w:tcBorders>
            <w:shd w:val="clear" w:color="000000" w:fill="F2F2F2"/>
            <w:noWrap/>
            <w:hideMark/>
          </w:tcPr>
          <w:p w14:paraId="6DB430D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40%</w:t>
            </w:r>
          </w:p>
        </w:tc>
        <w:tc>
          <w:tcPr>
            <w:tcW w:w="627" w:type="dxa"/>
            <w:tcBorders>
              <w:top w:val="single" w:sz="4" w:space="0" w:color="auto"/>
              <w:left w:val="nil"/>
              <w:bottom w:val="single" w:sz="4" w:space="0" w:color="auto"/>
              <w:right w:val="single" w:sz="4" w:space="0" w:color="D9D9D9"/>
            </w:tcBorders>
            <w:shd w:val="clear" w:color="000000" w:fill="F2F2F2"/>
            <w:noWrap/>
            <w:hideMark/>
          </w:tcPr>
          <w:p w14:paraId="34C1E51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single" w:sz="4" w:space="0" w:color="auto"/>
              <w:left w:val="nil"/>
              <w:bottom w:val="single" w:sz="4" w:space="0" w:color="auto"/>
              <w:right w:val="single" w:sz="4" w:space="0" w:color="D9D9D9"/>
            </w:tcBorders>
            <w:shd w:val="clear" w:color="000000" w:fill="F2F2F2"/>
            <w:noWrap/>
            <w:hideMark/>
          </w:tcPr>
          <w:p w14:paraId="0D7FB85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single" w:sz="4" w:space="0" w:color="auto"/>
              <w:left w:val="nil"/>
              <w:bottom w:val="single" w:sz="4" w:space="0" w:color="auto"/>
              <w:right w:val="single" w:sz="4" w:space="0" w:color="D9D9D9"/>
            </w:tcBorders>
            <w:shd w:val="clear" w:color="000000" w:fill="F2F2F2"/>
            <w:noWrap/>
            <w:hideMark/>
          </w:tcPr>
          <w:p w14:paraId="77CFD8E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single" w:sz="4" w:space="0" w:color="auto"/>
              <w:left w:val="nil"/>
              <w:bottom w:val="single" w:sz="4" w:space="0" w:color="auto"/>
              <w:right w:val="single" w:sz="2" w:space="0" w:color="auto"/>
            </w:tcBorders>
            <w:shd w:val="clear" w:color="000000" w:fill="F2F2F2"/>
            <w:noWrap/>
            <w:hideMark/>
          </w:tcPr>
          <w:p w14:paraId="7BC0834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single" w:sz="4" w:space="0" w:color="auto"/>
              <w:left w:val="single" w:sz="2" w:space="0" w:color="auto"/>
              <w:bottom w:val="single" w:sz="4" w:space="0" w:color="auto"/>
              <w:right w:val="single" w:sz="4" w:space="0" w:color="auto"/>
            </w:tcBorders>
            <w:shd w:val="clear" w:color="000000" w:fill="F2F2F2"/>
            <w:noWrap/>
            <w:hideMark/>
          </w:tcPr>
          <w:p w14:paraId="2378727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82%</w:t>
            </w:r>
          </w:p>
        </w:tc>
      </w:tr>
      <w:tr w:rsidR="00EF1584" w:rsidRPr="00C444EA" w14:paraId="2F0B51FB" w14:textId="77777777" w:rsidTr="0009624B">
        <w:tc>
          <w:tcPr>
            <w:tcW w:w="663" w:type="dxa"/>
            <w:tcBorders>
              <w:top w:val="nil"/>
              <w:left w:val="nil"/>
              <w:bottom w:val="nil"/>
              <w:right w:val="nil"/>
            </w:tcBorders>
            <w:hideMark/>
          </w:tcPr>
          <w:p w14:paraId="77CB1E8B"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w:t>
            </w:r>
            <w:proofErr w:type="spellEnd"/>
          </w:p>
        </w:tc>
        <w:tc>
          <w:tcPr>
            <w:tcW w:w="4015" w:type="dxa"/>
            <w:tcBorders>
              <w:top w:val="nil"/>
              <w:left w:val="nil"/>
              <w:bottom w:val="nil"/>
              <w:right w:val="nil"/>
            </w:tcBorders>
            <w:hideMark/>
          </w:tcPr>
          <w:p w14:paraId="465FA5DE"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following are effective Strategies to enhance the ITU Regional Presence:</w:t>
            </w:r>
          </w:p>
        </w:tc>
        <w:tc>
          <w:tcPr>
            <w:tcW w:w="626" w:type="dxa"/>
            <w:tcBorders>
              <w:top w:val="single" w:sz="4" w:space="0" w:color="auto"/>
              <w:left w:val="single" w:sz="4" w:space="0" w:color="auto"/>
              <w:bottom w:val="single" w:sz="2" w:space="0" w:color="F2F2F2" w:themeColor="background1" w:themeShade="F2"/>
              <w:right w:val="single" w:sz="2" w:space="0" w:color="F2F2F2" w:themeColor="background1" w:themeShade="F2"/>
            </w:tcBorders>
            <w:noWrap/>
            <w:hideMark/>
          </w:tcPr>
          <w:p w14:paraId="5E6B1AB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4DED2CA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1ED80A9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611C2F7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1155701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F2F2F2" w:themeColor="background1" w:themeShade="F2"/>
              <w:bottom w:val="single" w:sz="2" w:space="0" w:color="F2F2F2" w:themeColor="background1" w:themeShade="F2"/>
              <w:right w:val="single" w:sz="2" w:space="0" w:color="auto"/>
            </w:tcBorders>
            <w:noWrap/>
            <w:hideMark/>
          </w:tcPr>
          <w:p w14:paraId="15BA4BB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auto"/>
              <w:bottom w:val="single" w:sz="2" w:space="0" w:color="F2F2F2" w:themeColor="background1" w:themeShade="F2"/>
              <w:right w:val="single" w:sz="4" w:space="0" w:color="auto"/>
            </w:tcBorders>
            <w:noWrap/>
            <w:hideMark/>
          </w:tcPr>
          <w:p w14:paraId="26F6B29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EF1584" w:rsidRPr="00C444EA" w14:paraId="638871A5" w14:textId="77777777" w:rsidTr="0009624B">
        <w:tc>
          <w:tcPr>
            <w:tcW w:w="663" w:type="dxa"/>
            <w:tcBorders>
              <w:top w:val="nil"/>
              <w:left w:val="nil"/>
              <w:bottom w:val="nil"/>
              <w:right w:val="nil"/>
            </w:tcBorders>
            <w:hideMark/>
          </w:tcPr>
          <w:p w14:paraId="70549FB6"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Q9_a</w:t>
            </w:r>
            <w:proofErr w:type="spellEnd"/>
          </w:p>
        </w:tc>
        <w:tc>
          <w:tcPr>
            <w:tcW w:w="4015" w:type="dxa"/>
            <w:tcBorders>
              <w:top w:val="nil"/>
              <w:left w:val="nil"/>
              <w:right w:val="nil"/>
            </w:tcBorders>
            <w:hideMark/>
          </w:tcPr>
          <w:p w14:paraId="797FEC05"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Increased physical presence of ITU staff from all bureaux in the region</w:t>
            </w:r>
          </w:p>
        </w:tc>
        <w:tc>
          <w:tcPr>
            <w:tcW w:w="626" w:type="dxa"/>
            <w:tcBorders>
              <w:top w:val="single" w:sz="2" w:space="0" w:color="F2F2F2" w:themeColor="background1" w:themeShade="F2"/>
              <w:left w:val="single" w:sz="4" w:space="0" w:color="auto"/>
              <w:bottom w:val="single" w:sz="2" w:space="0" w:color="F2F2F2" w:themeColor="background1" w:themeShade="F2"/>
              <w:right w:val="single" w:sz="2" w:space="0" w:color="F2F2F2" w:themeColor="background1" w:themeShade="F2"/>
            </w:tcBorders>
            <w:noWrap/>
            <w:hideMark/>
          </w:tcPr>
          <w:p w14:paraId="3B8E730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62DFAD1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40%</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39FFDAC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20%</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2779614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7694EDB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auto"/>
            </w:tcBorders>
            <w:noWrap/>
            <w:hideMark/>
          </w:tcPr>
          <w:p w14:paraId="4A6FEC3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single" w:sz="2" w:space="0" w:color="F2F2F2" w:themeColor="background1" w:themeShade="F2"/>
              <w:left w:val="single" w:sz="2" w:space="0" w:color="auto"/>
              <w:bottom w:val="single" w:sz="2" w:space="0" w:color="F2F2F2" w:themeColor="background1" w:themeShade="F2"/>
              <w:right w:val="single" w:sz="4" w:space="0" w:color="auto"/>
            </w:tcBorders>
            <w:noWrap/>
            <w:hideMark/>
          </w:tcPr>
          <w:p w14:paraId="42C6652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66%</w:t>
            </w:r>
          </w:p>
        </w:tc>
      </w:tr>
      <w:tr w:rsidR="00EF1584" w:rsidRPr="00C444EA" w14:paraId="4A73F191" w14:textId="77777777" w:rsidTr="0009624B">
        <w:tc>
          <w:tcPr>
            <w:tcW w:w="663" w:type="dxa"/>
            <w:tcBorders>
              <w:top w:val="nil"/>
              <w:left w:val="nil"/>
              <w:bottom w:val="nil"/>
              <w:right w:val="nil"/>
            </w:tcBorders>
            <w:hideMark/>
          </w:tcPr>
          <w:p w14:paraId="21D25AA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Q9_b</w:t>
            </w:r>
            <w:proofErr w:type="spellEnd"/>
          </w:p>
        </w:tc>
        <w:tc>
          <w:tcPr>
            <w:tcW w:w="4015" w:type="dxa"/>
            <w:tcBorders>
              <w:top w:val="nil"/>
              <w:left w:val="nil"/>
              <w:bottom w:val="single" w:sz="2" w:space="0" w:color="D9D9D9" w:themeColor="background1" w:themeShade="D9"/>
              <w:right w:val="single" w:sz="4" w:space="0" w:color="000000"/>
            </w:tcBorders>
            <w:hideMark/>
          </w:tcPr>
          <w:p w14:paraId="1DEC3812"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 xml:space="preserve">Opening of new Area Offices where gaps are significant, aligned with the criteria set by the ITU Council and </w:t>
            </w:r>
            <w:proofErr w:type="spellStart"/>
            <w:r w:rsidRPr="00C444EA">
              <w:rPr>
                <w:rFonts w:ascii="Aptos Narrow" w:hAnsi="Aptos Narrow"/>
                <w:color w:val="000000"/>
                <w:sz w:val="20"/>
                <w:lang w:eastAsia="en-GB"/>
              </w:rPr>
              <w:t>TDAG</w:t>
            </w:r>
            <w:proofErr w:type="spellEnd"/>
          </w:p>
        </w:tc>
        <w:tc>
          <w:tcPr>
            <w:tcW w:w="626" w:type="dxa"/>
            <w:tcBorders>
              <w:top w:val="single" w:sz="2" w:space="0" w:color="F2F2F2" w:themeColor="background1" w:themeShade="F2"/>
              <w:left w:val="nil"/>
              <w:bottom w:val="single" w:sz="2" w:space="0" w:color="F2F2F2" w:themeColor="background1" w:themeShade="F2"/>
              <w:right w:val="single" w:sz="2" w:space="0" w:color="F2F2F2" w:themeColor="background1" w:themeShade="F2"/>
            </w:tcBorders>
            <w:noWrap/>
            <w:hideMark/>
          </w:tcPr>
          <w:p w14:paraId="0A2FD30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16%</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67BE4C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36%</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0A99836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29%</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3E52CA7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092D9B4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auto"/>
            </w:tcBorders>
            <w:noWrap/>
            <w:hideMark/>
          </w:tcPr>
          <w:p w14:paraId="35AAFC8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F2F2F2" w:themeColor="background1" w:themeShade="F2"/>
              <w:left w:val="single" w:sz="2" w:space="0" w:color="auto"/>
              <w:bottom w:val="single" w:sz="2" w:space="0" w:color="F2F2F2" w:themeColor="background1" w:themeShade="F2"/>
              <w:right w:val="single" w:sz="4" w:space="0" w:color="auto"/>
            </w:tcBorders>
            <w:noWrap/>
            <w:hideMark/>
          </w:tcPr>
          <w:p w14:paraId="7BA601E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52%</w:t>
            </w:r>
          </w:p>
        </w:tc>
      </w:tr>
      <w:tr w:rsidR="00EF1584" w:rsidRPr="00C444EA" w14:paraId="3E49B98A" w14:textId="77777777" w:rsidTr="0009624B">
        <w:tc>
          <w:tcPr>
            <w:tcW w:w="663" w:type="dxa"/>
            <w:tcBorders>
              <w:top w:val="nil"/>
              <w:left w:val="nil"/>
              <w:bottom w:val="nil"/>
              <w:right w:val="nil"/>
            </w:tcBorders>
            <w:hideMark/>
          </w:tcPr>
          <w:p w14:paraId="4F63FC5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Q9_c</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49D421BE"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Increased projects and activities in countries that do not have ITU Offices, without staff physically assigned to the countries on long term</w:t>
            </w:r>
          </w:p>
        </w:tc>
        <w:tc>
          <w:tcPr>
            <w:tcW w:w="626" w:type="dxa"/>
            <w:tcBorders>
              <w:top w:val="single" w:sz="2" w:space="0" w:color="F2F2F2" w:themeColor="background1" w:themeShade="F2"/>
              <w:left w:val="single" w:sz="4" w:space="0" w:color="auto"/>
              <w:bottom w:val="single" w:sz="2" w:space="0" w:color="F2F2F2" w:themeColor="background1" w:themeShade="F2"/>
              <w:right w:val="single" w:sz="2" w:space="0" w:color="F2F2F2" w:themeColor="background1" w:themeShade="F2"/>
            </w:tcBorders>
            <w:noWrap/>
            <w:hideMark/>
          </w:tcPr>
          <w:p w14:paraId="6A1F603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50BA46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40%</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1539969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5D51BF1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241DD39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auto"/>
            </w:tcBorders>
            <w:noWrap/>
            <w:hideMark/>
          </w:tcPr>
          <w:p w14:paraId="274A2A3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F2F2F2" w:themeColor="background1" w:themeShade="F2"/>
              <w:left w:val="single" w:sz="2" w:space="0" w:color="auto"/>
              <w:bottom w:val="single" w:sz="2" w:space="0" w:color="F2F2F2" w:themeColor="background1" w:themeShade="F2"/>
              <w:right w:val="single" w:sz="4" w:space="0" w:color="auto"/>
            </w:tcBorders>
            <w:noWrap/>
            <w:hideMark/>
          </w:tcPr>
          <w:p w14:paraId="6342067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65%</w:t>
            </w:r>
          </w:p>
        </w:tc>
      </w:tr>
      <w:tr w:rsidR="00EF1584" w:rsidRPr="00C444EA" w14:paraId="76456136" w14:textId="77777777" w:rsidTr="0009624B">
        <w:tc>
          <w:tcPr>
            <w:tcW w:w="663" w:type="dxa"/>
            <w:tcBorders>
              <w:top w:val="nil"/>
              <w:left w:val="nil"/>
              <w:bottom w:val="nil"/>
              <w:right w:val="nil"/>
            </w:tcBorders>
            <w:hideMark/>
          </w:tcPr>
          <w:p w14:paraId="5D0F2656"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Q9_d</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293EAB4D"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Increased projects and activities through resource mobilization</w:t>
            </w:r>
          </w:p>
        </w:tc>
        <w:tc>
          <w:tcPr>
            <w:tcW w:w="626" w:type="dxa"/>
            <w:tcBorders>
              <w:top w:val="single" w:sz="2" w:space="0" w:color="F2F2F2" w:themeColor="background1" w:themeShade="F2"/>
              <w:left w:val="single" w:sz="4" w:space="0" w:color="auto"/>
              <w:bottom w:val="single" w:sz="2" w:space="0" w:color="F2F2F2" w:themeColor="background1" w:themeShade="F2"/>
              <w:right w:val="single" w:sz="2" w:space="0" w:color="F2F2F2" w:themeColor="background1" w:themeShade="F2"/>
            </w:tcBorders>
            <w:noWrap/>
            <w:hideMark/>
          </w:tcPr>
          <w:p w14:paraId="643E7EB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36%</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4C8F1E5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39%</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298C123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22%</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7DA30E8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noWrap/>
            <w:hideMark/>
          </w:tcPr>
          <w:p w14:paraId="7370853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auto"/>
            </w:tcBorders>
            <w:noWrap/>
            <w:hideMark/>
          </w:tcPr>
          <w:p w14:paraId="3EB36FB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F2F2F2" w:themeColor="background1" w:themeShade="F2"/>
              <w:left w:val="single" w:sz="2" w:space="0" w:color="auto"/>
              <w:bottom w:val="single" w:sz="2" w:space="0" w:color="F2F2F2" w:themeColor="background1" w:themeShade="F2"/>
              <w:right w:val="single" w:sz="4" w:space="0" w:color="auto"/>
            </w:tcBorders>
            <w:noWrap/>
            <w:hideMark/>
          </w:tcPr>
          <w:p w14:paraId="04D1862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75%</w:t>
            </w:r>
          </w:p>
        </w:tc>
      </w:tr>
      <w:tr w:rsidR="00EF1584" w:rsidRPr="00C444EA" w14:paraId="74984157" w14:textId="77777777" w:rsidTr="0009624B">
        <w:tc>
          <w:tcPr>
            <w:tcW w:w="663" w:type="dxa"/>
            <w:tcBorders>
              <w:top w:val="nil"/>
              <w:left w:val="nil"/>
              <w:bottom w:val="nil"/>
              <w:right w:val="nil"/>
            </w:tcBorders>
            <w:hideMark/>
          </w:tcPr>
          <w:p w14:paraId="145B9440"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Q9_e</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1853165F"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Greater exploitation of remote participation and online tools to deliver services to Membership</w:t>
            </w:r>
          </w:p>
        </w:tc>
        <w:tc>
          <w:tcPr>
            <w:tcW w:w="626" w:type="dxa"/>
            <w:tcBorders>
              <w:top w:val="single" w:sz="2" w:space="0" w:color="F2F2F2" w:themeColor="background1" w:themeShade="F2"/>
              <w:left w:val="single" w:sz="4" w:space="0" w:color="auto"/>
              <w:bottom w:val="single" w:sz="2" w:space="0" w:color="D9D9D9" w:themeColor="background1" w:themeShade="D9"/>
              <w:right w:val="single" w:sz="2" w:space="0" w:color="F2F2F2" w:themeColor="background1" w:themeShade="F2"/>
            </w:tcBorders>
            <w:noWrap/>
            <w:hideMark/>
          </w:tcPr>
          <w:p w14:paraId="468DFA0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28%</w:t>
            </w:r>
          </w:p>
        </w:tc>
        <w:tc>
          <w:tcPr>
            <w:tcW w:w="627" w:type="dxa"/>
            <w:tcBorders>
              <w:top w:val="single" w:sz="2" w:space="0" w:color="F2F2F2" w:themeColor="background1" w:themeShade="F2"/>
              <w:left w:val="single" w:sz="2" w:space="0" w:color="F2F2F2" w:themeColor="background1" w:themeShade="F2"/>
              <w:bottom w:val="single" w:sz="2" w:space="0" w:color="D9D9D9" w:themeColor="background1" w:themeShade="D9"/>
              <w:right w:val="single" w:sz="2" w:space="0" w:color="F2F2F2" w:themeColor="background1" w:themeShade="F2"/>
            </w:tcBorders>
            <w:noWrap/>
            <w:hideMark/>
          </w:tcPr>
          <w:p w14:paraId="4FBE9F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c>
          <w:tcPr>
            <w:tcW w:w="627" w:type="dxa"/>
            <w:tcBorders>
              <w:top w:val="single" w:sz="2" w:space="0" w:color="F2F2F2" w:themeColor="background1" w:themeShade="F2"/>
              <w:left w:val="single" w:sz="2" w:space="0" w:color="F2F2F2" w:themeColor="background1" w:themeShade="F2"/>
              <w:bottom w:val="single" w:sz="2" w:space="0" w:color="D9D9D9" w:themeColor="background1" w:themeShade="D9"/>
              <w:right w:val="single" w:sz="2" w:space="0" w:color="F2F2F2" w:themeColor="background1" w:themeShade="F2"/>
            </w:tcBorders>
            <w:noWrap/>
            <w:hideMark/>
          </w:tcPr>
          <w:p w14:paraId="5F03C9E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13%</w:t>
            </w:r>
          </w:p>
        </w:tc>
        <w:tc>
          <w:tcPr>
            <w:tcW w:w="627" w:type="dxa"/>
            <w:tcBorders>
              <w:top w:val="single" w:sz="2" w:space="0" w:color="F2F2F2" w:themeColor="background1" w:themeShade="F2"/>
              <w:left w:val="single" w:sz="2" w:space="0" w:color="F2F2F2" w:themeColor="background1" w:themeShade="F2"/>
              <w:bottom w:val="single" w:sz="2" w:space="0" w:color="D9D9D9" w:themeColor="background1" w:themeShade="D9"/>
              <w:right w:val="single" w:sz="2" w:space="0" w:color="F2F2F2" w:themeColor="background1" w:themeShade="F2"/>
            </w:tcBorders>
            <w:noWrap/>
            <w:hideMark/>
          </w:tcPr>
          <w:p w14:paraId="2F65FA3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w:t>
            </w:r>
          </w:p>
        </w:tc>
        <w:tc>
          <w:tcPr>
            <w:tcW w:w="627" w:type="dxa"/>
            <w:tcBorders>
              <w:top w:val="single" w:sz="2" w:space="0" w:color="F2F2F2" w:themeColor="background1" w:themeShade="F2"/>
              <w:left w:val="single" w:sz="2" w:space="0" w:color="F2F2F2" w:themeColor="background1" w:themeShade="F2"/>
              <w:bottom w:val="single" w:sz="2" w:space="0" w:color="D9D9D9" w:themeColor="background1" w:themeShade="D9"/>
              <w:right w:val="single" w:sz="2" w:space="0" w:color="F2F2F2" w:themeColor="background1" w:themeShade="F2"/>
            </w:tcBorders>
            <w:noWrap/>
            <w:hideMark/>
          </w:tcPr>
          <w:p w14:paraId="763BD7A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single" w:sz="2" w:space="0" w:color="F2F2F2" w:themeColor="background1" w:themeShade="F2"/>
              <w:left w:val="single" w:sz="2" w:space="0" w:color="F2F2F2" w:themeColor="background1" w:themeShade="F2"/>
              <w:bottom w:val="single" w:sz="2" w:space="0" w:color="D9D9D9" w:themeColor="background1" w:themeShade="D9"/>
              <w:right w:val="single" w:sz="2" w:space="0" w:color="auto"/>
            </w:tcBorders>
            <w:noWrap/>
            <w:hideMark/>
          </w:tcPr>
          <w:p w14:paraId="70CD282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F2F2F2" w:themeColor="background1" w:themeShade="F2"/>
              <w:left w:val="single" w:sz="2" w:space="0" w:color="auto"/>
              <w:bottom w:val="nil"/>
              <w:right w:val="single" w:sz="4" w:space="0" w:color="auto"/>
            </w:tcBorders>
            <w:noWrap/>
            <w:hideMark/>
          </w:tcPr>
          <w:p w14:paraId="098AAEE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73%</w:t>
            </w:r>
          </w:p>
        </w:tc>
      </w:tr>
      <w:tr w:rsidR="00EF1584" w:rsidRPr="00C444EA" w14:paraId="1F7AD5AE" w14:textId="77777777" w:rsidTr="0009624B">
        <w:tc>
          <w:tcPr>
            <w:tcW w:w="663" w:type="dxa"/>
            <w:tcBorders>
              <w:top w:val="nil"/>
              <w:left w:val="nil"/>
              <w:bottom w:val="nil"/>
              <w:right w:val="nil"/>
            </w:tcBorders>
            <w:hideMark/>
          </w:tcPr>
          <w:p w14:paraId="2EC5B7C0"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Q9_f</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722713D8"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Allocation of more human resources to Regional and Area Offices</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6031302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35%</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5A11AE4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33%</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7357864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20%</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7FC80D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38C4F14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7669A30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single" w:sz="2" w:space="0" w:color="auto"/>
              <w:bottom w:val="single" w:sz="2" w:space="0" w:color="D9D9D9" w:themeColor="background1" w:themeShade="D9"/>
              <w:right w:val="single" w:sz="4" w:space="0" w:color="auto"/>
            </w:tcBorders>
            <w:noWrap/>
            <w:hideMark/>
          </w:tcPr>
          <w:p w14:paraId="4DA0737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68%</w:t>
            </w:r>
          </w:p>
        </w:tc>
      </w:tr>
      <w:tr w:rsidR="00EF1584" w:rsidRPr="00C444EA" w14:paraId="6090720E" w14:textId="77777777" w:rsidTr="0009624B">
        <w:tc>
          <w:tcPr>
            <w:tcW w:w="663" w:type="dxa"/>
            <w:tcBorders>
              <w:top w:val="nil"/>
              <w:left w:val="nil"/>
              <w:bottom w:val="nil"/>
              <w:right w:val="nil"/>
            </w:tcBorders>
            <w:hideMark/>
          </w:tcPr>
          <w:p w14:paraId="46643D3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Q9_g</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0E8C577F"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Allocation of more financial resources to Regional and Area Offices</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39055CA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35%</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1DC16C3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31%</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2061F84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697EF51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468D54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36F99BC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auto"/>
              <w:bottom w:val="single" w:sz="2" w:space="0" w:color="D9D9D9" w:themeColor="background1" w:themeShade="D9"/>
              <w:right w:val="single" w:sz="4" w:space="0" w:color="auto"/>
            </w:tcBorders>
            <w:noWrap/>
            <w:hideMark/>
          </w:tcPr>
          <w:p w14:paraId="20D9DA1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65%</w:t>
            </w:r>
          </w:p>
        </w:tc>
      </w:tr>
      <w:tr w:rsidR="00EF1584" w:rsidRPr="00C444EA" w14:paraId="7CE51037" w14:textId="77777777" w:rsidTr="0009624B">
        <w:tc>
          <w:tcPr>
            <w:tcW w:w="663" w:type="dxa"/>
            <w:tcBorders>
              <w:top w:val="nil"/>
              <w:left w:val="nil"/>
              <w:bottom w:val="nil"/>
              <w:right w:val="nil"/>
            </w:tcBorders>
            <w:hideMark/>
          </w:tcPr>
          <w:p w14:paraId="20746ACA"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Q9_h</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2D3189D8"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Reallocation of human resources to the Regional and Area Offices</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608201B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768929B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07132A7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0550621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13%</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77D087F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15FCE6A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auto"/>
              <w:bottom w:val="single" w:sz="2" w:space="0" w:color="D9D9D9" w:themeColor="background1" w:themeShade="D9"/>
              <w:right w:val="single" w:sz="4" w:space="0" w:color="auto"/>
            </w:tcBorders>
            <w:noWrap/>
            <w:hideMark/>
          </w:tcPr>
          <w:p w14:paraId="22283E2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52%</w:t>
            </w:r>
          </w:p>
        </w:tc>
      </w:tr>
      <w:tr w:rsidR="00EF1584" w:rsidRPr="00C444EA" w14:paraId="6DEC1E1D" w14:textId="77777777" w:rsidTr="0009624B">
        <w:tc>
          <w:tcPr>
            <w:tcW w:w="663" w:type="dxa"/>
            <w:tcBorders>
              <w:top w:val="nil"/>
              <w:left w:val="nil"/>
              <w:bottom w:val="nil"/>
              <w:right w:val="nil"/>
            </w:tcBorders>
            <w:hideMark/>
          </w:tcPr>
          <w:p w14:paraId="7AAC1B1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Q9_i</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37975C94"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Reallocation of financial resources to the Regional and Area Offices</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44C767E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24%</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30EA672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30%</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2B8439A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28%</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0AA3B60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4589CFA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52F10A1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auto"/>
              <w:bottom w:val="single" w:sz="2" w:space="0" w:color="D9D9D9" w:themeColor="background1" w:themeShade="D9"/>
              <w:right w:val="single" w:sz="4" w:space="0" w:color="auto"/>
            </w:tcBorders>
            <w:noWrap/>
            <w:hideMark/>
          </w:tcPr>
          <w:p w14:paraId="041D2A4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54%</w:t>
            </w:r>
          </w:p>
        </w:tc>
      </w:tr>
      <w:tr w:rsidR="00EF1584" w:rsidRPr="00C444EA" w14:paraId="481C3FBB" w14:textId="77777777" w:rsidTr="0009624B">
        <w:tc>
          <w:tcPr>
            <w:tcW w:w="663" w:type="dxa"/>
            <w:tcBorders>
              <w:top w:val="nil"/>
              <w:left w:val="nil"/>
              <w:bottom w:val="nil"/>
              <w:right w:val="nil"/>
            </w:tcBorders>
            <w:hideMark/>
          </w:tcPr>
          <w:p w14:paraId="164C3872"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Q9_j</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051E3546"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 xml:space="preserve">In the case of </w:t>
            </w:r>
            <w:proofErr w:type="spellStart"/>
            <w:r w:rsidRPr="00C444EA">
              <w:rPr>
                <w:rFonts w:ascii="Aptos Narrow" w:hAnsi="Aptos Narrow"/>
                <w:color w:val="000000"/>
                <w:sz w:val="20"/>
                <w:lang w:eastAsia="en-GB"/>
              </w:rPr>
              <w:t>LDCs</w:t>
            </w:r>
            <w:proofErr w:type="spellEnd"/>
            <w:r w:rsidRPr="00C444EA">
              <w:rPr>
                <w:rFonts w:ascii="Aptos Narrow" w:hAnsi="Aptos Narrow"/>
                <w:color w:val="000000"/>
                <w:sz w:val="20"/>
                <w:lang w:eastAsia="en-GB"/>
              </w:rPr>
              <w:t>, per-country assessments and action plans in terms of telecommunications/ICT development will strengthen the ability of Regional Offices to provide Membership the adequate support</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72EE795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29%</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41B1362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43%</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4677374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6690991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544D588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3649F8B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single" w:sz="2" w:space="0" w:color="D9D9D9" w:themeColor="background1" w:themeShade="D9"/>
              <w:left w:val="single" w:sz="2" w:space="0" w:color="auto"/>
              <w:bottom w:val="single" w:sz="2" w:space="0" w:color="D9D9D9" w:themeColor="background1" w:themeShade="D9"/>
              <w:right w:val="single" w:sz="4" w:space="0" w:color="auto"/>
            </w:tcBorders>
            <w:noWrap/>
            <w:hideMark/>
          </w:tcPr>
          <w:p w14:paraId="4ED7CE9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72%</w:t>
            </w:r>
          </w:p>
        </w:tc>
      </w:tr>
      <w:tr w:rsidR="00EF1584" w:rsidRPr="00C444EA" w14:paraId="2A5E1A65" w14:textId="77777777" w:rsidTr="0009624B">
        <w:tc>
          <w:tcPr>
            <w:tcW w:w="663" w:type="dxa"/>
            <w:tcBorders>
              <w:top w:val="nil"/>
              <w:left w:val="nil"/>
              <w:bottom w:val="nil"/>
              <w:right w:val="nil"/>
            </w:tcBorders>
            <w:hideMark/>
          </w:tcPr>
          <w:p w14:paraId="7EC5C577"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Q9_k</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043572F3"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Improved communication between Regional Offices and the three bureaux and the GS</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11878C8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39%</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1827C08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40%</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4811196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5308B75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106EA1E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7F4518B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auto"/>
              <w:bottom w:val="single" w:sz="2" w:space="0" w:color="D9D9D9" w:themeColor="background1" w:themeShade="D9"/>
              <w:right w:val="single" w:sz="4" w:space="0" w:color="auto"/>
            </w:tcBorders>
            <w:noWrap/>
            <w:hideMark/>
          </w:tcPr>
          <w:p w14:paraId="18D123F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79%</w:t>
            </w:r>
          </w:p>
        </w:tc>
      </w:tr>
      <w:tr w:rsidR="00EF1584" w:rsidRPr="00C444EA" w14:paraId="6D06729C" w14:textId="77777777" w:rsidTr="0009624B">
        <w:tc>
          <w:tcPr>
            <w:tcW w:w="663" w:type="dxa"/>
            <w:tcBorders>
              <w:top w:val="nil"/>
              <w:left w:val="nil"/>
              <w:bottom w:val="nil"/>
              <w:right w:val="nil"/>
            </w:tcBorders>
            <w:hideMark/>
          </w:tcPr>
          <w:p w14:paraId="77274FBB"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Q9_l</w:t>
            </w:r>
            <w:proofErr w:type="spellEnd"/>
          </w:p>
        </w:tc>
        <w:tc>
          <w:tcPr>
            <w:tcW w:w="4015" w:type="dxa"/>
            <w:tcBorders>
              <w:top w:val="single" w:sz="2" w:space="0" w:color="D9D9D9" w:themeColor="background1" w:themeShade="D9"/>
              <w:left w:val="nil"/>
              <w:bottom w:val="single" w:sz="2" w:space="0" w:color="D9D9D9" w:themeColor="background1" w:themeShade="D9"/>
              <w:right w:val="nil"/>
            </w:tcBorders>
            <w:hideMark/>
          </w:tcPr>
          <w:p w14:paraId="3A2ABE3B"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Access to ICT systems, tools, and knowledge resources for staff in Regional Offices</w:t>
            </w:r>
          </w:p>
        </w:tc>
        <w:tc>
          <w:tcPr>
            <w:tcW w:w="626" w:type="dxa"/>
            <w:tcBorders>
              <w:top w:val="single" w:sz="2" w:space="0" w:color="D9D9D9" w:themeColor="background1" w:themeShade="D9"/>
              <w:left w:val="single" w:sz="4" w:space="0" w:color="auto"/>
              <w:bottom w:val="single" w:sz="2" w:space="0" w:color="D9D9D9" w:themeColor="background1" w:themeShade="D9"/>
              <w:right w:val="single" w:sz="2" w:space="0" w:color="D9D9D9" w:themeColor="background1" w:themeShade="D9"/>
            </w:tcBorders>
            <w:noWrap/>
            <w:hideMark/>
          </w:tcPr>
          <w:p w14:paraId="14D0BCA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36%</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26E2C0C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37%</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640AE8F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11980E9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1173AB6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noWrap/>
            <w:hideMark/>
          </w:tcPr>
          <w:p w14:paraId="1D83DA1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auto"/>
              <w:bottom w:val="single" w:sz="2" w:space="0" w:color="D9D9D9" w:themeColor="background1" w:themeShade="D9"/>
              <w:right w:val="single" w:sz="4" w:space="0" w:color="auto"/>
            </w:tcBorders>
            <w:noWrap/>
            <w:hideMark/>
          </w:tcPr>
          <w:p w14:paraId="6651D93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73%</w:t>
            </w:r>
          </w:p>
        </w:tc>
      </w:tr>
      <w:tr w:rsidR="00EF1584" w:rsidRPr="00C444EA" w14:paraId="3D7AE7F4" w14:textId="77777777" w:rsidTr="0009624B">
        <w:tc>
          <w:tcPr>
            <w:tcW w:w="663" w:type="dxa"/>
            <w:tcBorders>
              <w:top w:val="nil"/>
              <w:left w:val="nil"/>
              <w:bottom w:val="nil"/>
              <w:right w:val="nil"/>
            </w:tcBorders>
            <w:hideMark/>
          </w:tcPr>
          <w:p w14:paraId="2B67B8E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Q9_m</w:t>
            </w:r>
            <w:proofErr w:type="spellEnd"/>
          </w:p>
        </w:tc>
        <w:tc>
          <w:tcPr>
            <w:tcW w:w="4015" w:type="dxa"/>
            <w:tcBorders>
              <w:top w:val="single" w:sz="2" w:space="0" w:color="D9D9D9" w:themeColor="background1" w:themeShade="D9"/>
              <w:left w:val="nil"/>
              <w:bottom w:val="single" w:sz="4" w:space="0" w:color="000000"/>
              <w:right w:val="nil"/>
            </w:tcBorders>
            <w:hideMark/>
          </w:tcPr>
          <w:p w14:paraId="452CE429"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Additional training and capacity building for Regional Office Staff</w:t>
            </w:r>
          </w:p>
        </w:tc>
        <w:tc>
          <w:tcPr>
            <w:tcW w:w="626" w:type="dxa"/>
            <w:tcBorders>
              <w:top w:val="single" w:sz="2" w:space="0" w:color="D9D9D9" w:themeColor="background1" w:themeShade="D9"/>
              <w:left w:val="single" w:sz="4" w:space="0" w:color="auto"/>
              <w:bottom w:val="single" w:sz="4" w:space="0" w:color="000000"/>
              <w:right w:val="single" w:sz="2" w:space="0" w:color="D9D9D9" w:themeColor="background1" w:themeShade="D9"/>
            </w:tcBorders>
            <w:noWrap/>
            <w:hideMark/>
          </w:tcPr>
          <w:p w14:paraId="6639D0D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40%</w:t>
            </w:r>
          </w:p>
        </w:tc>
        <w:tc>
          <w:tcPr>
            <w:tcW w:w="627" w:type="dxa"/>
            <w:tcBorders>
              <w:top w:val="single" w:sz="2" w:space="0" w:color="D9D9D9" w:themeColor="background1" w:themeShade="D9"/>
              <w:left w:val="single" w:sz="2" w:space="0" w:color="D9D9D9" w:themeColor="background1" w:themeShade="D9"/>
              <w:bottom w:val="single" w:sz="4" w:space="0" w:color="000000"/>
              <w:right w:val="single" w:sz="2" w:space="0" w:color="D9D9D9" w:themeColor="background1" w:themeShade="D9"/>
            </w:tcBorders>
            <w:noWrap/>
            <w:hideMark/>
          </w:tcPr>
          <w:p w14:paraId="530E6B3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47%</w:t>
            </w:r>
          </w:p>
        </w:tc>
        <w:tc>
          <w:tcPr>
            <w:tcW w:w="627" w:type="dxa"/>
            <w:tcBorders>
              <w:top w:val="single" w:sz="2" w:space="0" w:color="D9D9D9" w:themeColor="background1" w:themeShade="D9"/>
              <w:left w:val="single" w:sz="2" w:space="0" w:color="D9D9D9" w:themeColor="background1" w:themeShade="D9"/>
              <w:bottom w:val="single" w:sz="4" w:space="0" w:color="000000"/>
              <w:right w:val="single" w:sz="2" w:space="0" w:color="D9D9D9" w:themeColor="background1" w:themeShade="D9"/>
            </w:tcBorders>
            <w:noWrap/>
            <w:hideMark/>
          </w:tcPr>
          <w:p w14:paraId="6B33773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single" w:sz="2" w:space="0" w:color="D9D9D9" w:themeColor="background1" w:themeShade="D9"/>
              <w:left w:val="single" w:sz="2" w:space="0" w:color="D9D9D9" w:themeColor="background1" w:themeShade="D9"/>
              <w:bottom w:val="single" w:sz="4" w:space="0" w:color="000000"/>
              <w:right w:val="single" w:sz="2" w:space="0" w:color="D9D9D9" w:themeColor="background1" w:themeShade="D9"/>
            </w:tcBorders>
            <w:noWrap/>
            <w:hideMark/>
          </w:tcPr>
          <w:p w14:paraId="3071643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single" w:sz="2" w:space="0" w:color="D9D9D9" w:themeColor="background1" w:themeShade="D9"/>
              <w:left w:val="single" w:sz="2" w:space="0" w:color="D9D9D9" w:themeColor="background1" w:themeShade="D9"/>
              <w:bottom w:val="single" w:sz="4" w:space="0" w:color="000000"/>
              <w:right w:val="single" w:sz="2" w:space="0" w:color="D9D9D9" w:themeColor="background1" w:themeShade="D9"/>
            </w:tcBorders>
            <w:noWrap/>
            <w:hideMark/>
          </w:tcPr>
          <w:p w14:paraId="091DF60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D9D9D9" w:themeColor="background1" w:themeShade="D9"/>
              <w:bottom w:val="single" w:sz="4" w:space="0" w:color="000000"/>
              <w:right w:val="single" w:sz="2" w:space="0" w:color="auto"/>
            </w:tcBorders>
            <w:noWrap/>
            <w:hideMark/>
          </w:tcPr>
          <w:p w14:paraId="5D74744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single" w:sz="2" w:space="0" w:color="D9D9D9" w:themeColor="background1" w:themeShade="D9"/>
              <w:left w:val="single" w:sz="2" w:space="0" w:color="auto"/>
              <w:bottom w:val="single" w:sz="4" w:space="0" w:color="000000"/>
              <w:right w:val="single" w:sz="4" w:space="0" w:color="auto"/>
            </w:tcBorders>
            <w:noWrap/>
            <w:hideMark/>
          </w:tcPr>
          <w:p w14:paraId="579D02A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87%</w:t>
            </w:r>
          </w:p>
        </w:tc>
      </w:tr>
      <w:tr w:rsidR="0009624B" w:rsidRPr="00C444EA" w14:paraId="2C358A86" w14:textId="77777777" w:rsidTr="0009624B">
        <w:tc>
          <w:tcPr>
            <w:tcW w:w="663" w:type="dxa"/>
            <w:tcBorders>
              <w:top w:val="single" w:sz="4" w:space="0" w:color="000000"/>
              <w:left w:val="nil"/>
              <w:bottom w:val="nil"/>
              <w:right w:val="nil"/>
            </w:tcBorders>
            <w:shd w:val="clear" w:color="000000" w:fill="F2F2F2"/>
            <w:hideMark/>
          </w:tcPr>
          <w:p w14:paraId="2F21531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lastRenderedPageBreak/>
              <w:t>Q10</w:t>
            </w:r>
            <w:proofErr w:type="spellEnd"/>
          </w:p>
        </w:tc>
        <w:tc>
          <w:tcPr>
            <w:tcW w:w="4015" w:type="dxa"/>
            <w:tcBorders>
              <w:top w:val="single" w:sz="4" w:space="0" w:color="000000"/>
              <w:left w:val="nil"/>
              <w:bottom w:val="single" w:sz="4" w:space="0" w:color="D9D9D9"/>
              <w:right w:val="nil"/>
            </w:tcBorders>
            <w:shd w:val="clear" w:color="000000" w:fill="F2F2F2"/>
            <w:hideMark/>
          </w:tcPr>
          <w:p w14:paraId="2C7D257F"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existing internal approval processes are adequate to serve the needs of the Membership.</w:t>
            </w:r>
          </w:p>
        </w:tc>
        <w:tc>
          <w:tcPr>
            <w:tcW w:w="626" w:type="dxa"/>
            <w:tcBorders>
              <w:top w:val="single" w:sz="4" w:space="0" w:color="000000"/>
              <w:left w:val="single" w:sz="4" w:space="0" w:color="auto"/>
              <w:bottom w:val="single" w:sz="4" w:space="0" w:color="D9D9D9"/>
              <w:right w:val="single" w:sz="4" w:space="0" w:color="D9D9D9"/>
            </w:tcBorders>
            <w:shd w:val="clear" w:color="000000" w:fill="F2F2F2"/>
            <w:noWrap/>
            <w:hideMark/>
          </w:tcPr>
          <w:p w14:paraId="58143CF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w:t>
            </w:r>
          </w:p>
        </w:tc>
        <w:tc>
          <w:tcPr>
            <w:tcW w:w="627" w:type="dxa"/>
            <w:tcBorders>
              <w:top w:val="single" w:sz="4" w:space="0" w:color="000000"/>
              <w:left w:val="nil"/>
              <w:bottom w:val="single" w:sz="4" w:space="0" w:color="D9D9D9"/>
              <w:right w:val="single" w:sz="4" w:space="0" w:color="D9D9D9"/>
            </w:tcBorders>
            <w:shd w:val="clear" w:color="000000" w:fill="F2F2F2"/>
            <w:noWrap/>
            <w:hideMark/>
          </w:tcPr>
          <w:p w14:paraId="1B72F88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22%</w:t>
            </w:r>
          </w:p>
        </w:tc>
        <w:tc>
          <w:tcPr>
            <w:tcW w:w="627" w:type="dxa"/>
            <w:tcBorders>
              <w:top w:val="single" w:sz="4" w:space="0" w:color="000000"/>
              <w:left w:val="nil"/>
              <w:bottom w:val="single" w:sz="4" w:space="0" w:color="D9D9D9"/>
              <w:right w:val="single" w:sz="4" w:space="0" w:color="D9D9D9"/>
            </w:tcBorders>
            <w:shd w:val="clear" w:color="000000" w:fill="F2F2F2"/>
            <w:noWrap/>
            <w:hideMark/>
          </w:tcPr>
          <w:p w14:paraId="24B4A94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20%</w:t>
            </w:r>
          </w:p>
        </w:tc>
        <w:tc>
          <w:tcPr>
            <w:tcW w:w="627" w:type="dxa"/>
            <w:tcBorders>
              <w:top w:val="single" w:sz="4" w:space="0" w:color="000000"/>
              <w:left w:val="nil"/>
              <w:bottom w:val="single" w:sz="4" w:space="0" w:color="D9D9D9"/>
              <w:right w:val="single" w:sz="4" w:space="0" w:color="D9D9D9"/>
            </w:tcBorders>
            <w:shd w:val="clear" w:color="000000" w:fill="F2F2F2"/>
            <w:noWrap/>
            <w:hideMark/>
          </w:tcPr>
          <w:p w14:paraId="41D00ED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32%</w:t>
            </w:r>
          </w:p>
        </w:tc>
        <w:tc>
          <w:tcPr>
            <w:tcW w:w="627" w:type="dxa"/>
            <w:tcBorders>
              <w:top w:val="single" w:sz="4" w:space="0" w:color="000000"/>
              <w:left w:val="nil"/>
              <w:bottom w:val="single" w:sz="4" w:space="0" w:color="D9D9D9"/>
              <w:right w:val="single" w:sz="4" w:space="0" w:color="D9D9D9"/>
            </w:tcBorders>
            <w:shd w:val="clear" w:color="000000" w:fill="F2F2F2"/>
            <w:noWrap/>
            <w:hideMark/>
          </w:tcPr>
          <w:p w14:paraId="65D74C5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single" w:sz="4" w:space="0" w:color="000000"/>
              <w:left w:val="nil"/>
              <w:bottom w:val="single" w:sz="4" w:space="0" w:color="D9D9D9"/>
              <w:right w:val="single" w:sz="2" w:space="0" w:color="auto"/>
            </w:tcBorders>
            <w:shd w:val="clear" w:color="000000" w:fill="F2F2F2"/>
            <w:noWrap/>
            <w:hideMark/>
          </w:tcPr>
          <w:p w14:paraId="0F9787F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single" w:sz="4" w:space="0" w:color="000000"/>
              <w:left w:val="single" w:sz="2" w:space="0" w:color="auto"/>
              <w:bottom w:val="single" w:sz="4" w:space="0" w:color="D9D9D9"/>
              <w:right w:val="single" w:sz="4" w:space="0" w:color="auto"/>
            </w:tcBorders>
            <w:shd w:val="clear" w:color="000000" w:fill="F2F2F2"/>
            <w:noWrap/>
            <w:hideMark/>
          </w:tcPr>
          <w:p w14:paraId="4347954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r>
      <w:tr w:rsidR="0009624B" w:rsidRPr="00C444EA" w14:paraId="0FADEDA7" w14:textId="77777777" w:rsidTr="0009624B">
        <w:tc>
          <w:tcPr>
            <w:tcW w:w="663" w:type="dxa"/>
            <w:tcBorders>
              <w:top w:val="single" w:sz="4" w:space="0" w:color="auto"/>
              <w:left w:val="nil"/>
              <w:bottom w:val="nil"/>
              <w:right w:val="nil"/>
            </w:tcBorders>
            <w:shd w:val="clear" w:color="000000" w:fill="FFFFFF"/>
            <w:hideMark/>
          </w:tcPr>
          <w:p w14:paraId="1D0FFB17"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Q11</w:t>
            </w:r>
            <w:proofErr w:type="spellEnd"/>
          </w:p>
        </w:tc>
        <w:tc>
          <w:tcPr>
            <w:tcW w:w="4015" w:type="dxa"/>
            <w:tcBorders>
              <w:top w:val="single" w:sz="4" w:space="0" w:color="auto"/>
              <w:left w:val="nil"/>
              <w:bottom w:val="single" w:sz="4" w:space="0" w:color="D9D9D9"/>
              <w:right w:val="nil"/>
            </w:tcBorders>
            <w:shd w:val="clear" w:color="000000" w:fill="FFFFFF"/>
            <w:hideMark/>
          </w:tcPr>
          <w:p w14:paraId="092074FB"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internal approval process and accountability framework have been implemented adequately in:</w:t>
            </w:r>
          </w:p>
        </w:tc>
        <w:tc>
          <w:tcPr>
            <w:tcW w:w="626" w:type="dxa"/>
            <w:tcBorders>
              <w:top w:val="single" w:sz="4" w:space="0" w:color="auto"/>
              <w:left w:val="single" w:sz="4" w:space="0" w:color="auto"/>
              <w:bottom w:val="single" w:sz="4" w:space="0" w:color="D9D9D9"/>
              <w:right w:val="single" w:sz="4" w:space="0" w:color="D9D9D9"/>
            </w:tcBorders>
            <w:shd w:val="clear" w:color="000000" w:fill="FFFFFF"/>
            <w:noWrap/>
            <w:hideMark/>
          </w:tcPr>
          <w:p w14:paraId="3D34699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1EC2DC3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3486B2C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2E842CE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nil"/>
              <w:bottom w:val="single" w:sz="4" w:space="0" w:color="D9D9D9"/>
              <w:right w:val="single" w:sz="4" w:space="0" w:color="D9D9D9"/>
            </w:tcBorders>
            <w:shd w:val="clear" w:color="000000" w:fill="FFFFFF"/>
            <w:noWrap/>
            <w:hideMark/>
          </w:tcPr>
          <w:p w14:paraId="1FBB091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nil"/>
              <w:bottom w:val="single" w:sz="4" w:space="0" w:color="D9D9D9"/>
              <w:right w:val="single" w:sz="2" w:space="0" w:color="auto"/>
            </w:tcBorders>
            <w:shd w:val="clear" w:color="000000" w:fill="FFFFFF"/>
            <w:noWrap/>
            <w:hideMark/>
          </w:tcPr>
          <w:p w14:paraId="6557634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single" w:sz="4" w:space="0" w:color="auto"/>
              <w:left w:val="single" w:sz="2" w:space="0" w:color="auto"/>
              <w:bottom w:val="single" w:sz="4" w:space="0" w:color="D9D9D9"/>
              <w:right w:val="single" w:sz="4" w:space="0" w:color="auto"/>
            </w:tcBorders>
            <w:shd w:val="clear" w:color="000000" w:fill="FFFFFF"/>
            <w:noWrap/>
            <w:hideMark/>
          </w:tcPr>
          <w:p w14:paraId="6489A5E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09624B" w:rsidRPr="00C444EA" w14:paraId="11869536" w14:textId="77777777" w:rsidTr="0009624B">
        <w:tc>
          <w:tcPr>
            <w:tcW w:w="663" w:type="dxa"/>
            <w:tcBorders>
              <w:top w:val="nil"/>
              <w:left w:val="nil"/>
              <w:bottom w:val="nil"/>
              <w:right w:val="nil"/>
            </w:tcBorders>
            <w:shd w:val="clear" w:color="000000" w:fill="FFFFFF"/>
            <w:hideMark/>
          </w:tcPr>
          <w:p w14:paraId="1E82E0A2"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Q11_a</w:t>
            </w:r>
            <w:proofErr w:type="spellEnd"/>
          </w:p>
        </w:tc>
        <w:tc>
          <w:tcPr>
            <w:tcW w:w="4015" w:type="dxa"/>
            <w:tcBorders>
              <w:top w:val="nil"/>
              <w:left w:val="nil"/>
              <w:bottom w:val="single" w:sz="4" w:space="0" w:color="D9D9D9"/>
              <w:right w:val="nil"/>
            </w:tcBorders>
            <w:shd w:val="clear" w:color="000000" w:fill="FFFFFF"/>
            <w:hideMark/>
          </w:tcPr>
          <w:p w14:paraId="1DF06CD6"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Internal approval processes</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2B8C1A3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nil"/>
              <w:bottom w:val="single" w:sz="4" w:space="0" w:color="D9D9D9"/>
              <w:right w:val="single" w:sz="4" w:space="0" w:color="D9D9D9"/>
            </w:tcBorders>
            <w:shd w:val="clear" w:color="000000" w:fill="FFFFFF"/>
            <w:noWrap/>
            <w:hideMark/>
          </w:tcPr>
          <w:p w14:paraId="38D7A7D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28%</w:t>
            </w:r>
          </w:p>
        </w:tc>
        <w:tc>
          <w:tcPr>
            <w:tcW w:w="627" w:type="dxa"/>
            <w:tcBorders>
              <w:top w:val="nil"/>
              <w:left w:val="nil"/>
              <w:bottom w:val="single" w:sz="4" w:space="0" w:color="D9D9D9"/>
              <w:right w:val="single" w:sz="4" w:space="0" w:color="D9D9D9"/>
            </w:tcBorders>
            <w:shd w:val="clear" w:color="000000" w:fill="FFFFFF"/>
            <w:noWrap/>
            <w:hideMark/>
          </w:tcPr>
          <w:p w14:paraId="444E015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24%</w:t>
            </w:r>
          </w:p>
        </w:tc>
        <w:tc>
          <w:tcPr>
            <w:tcW w:w="627" w:type="dxa"/>
            <w:tcBorders>
              <w:top w:val="nil"/>
              <w:left w:val="nil"/>
              <w:bottom w:val="single" w:sz="4" w:space="0" w:color="D9D9D9"/>
              <w:right w:val="single" w:sz="4" w:space="0" w:color="D9D9D9"/>
            </w:tcBorders>
            <w:shd w:val="clear" w:color="000000" w:fill="FFFFFF"/>
            <w:noWrap/>
            <w:hideMark/>
          </w:tcPr>
          <w:p w14:paraId="7F95A56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32%</w:t>
            </w:r>
          </w:p>
        </w:tc>
        <w:tc>
          <w:tcPr>
            <w:tcW w:w="627" w:type="dxa"/>
            <w:tcBorders>
              <w:top w:val="nil"/>
              <w:left w:val="nil"/>
              <w:bottom w:val="single" w:sz="4" w:space="0" w:color="D9D9D9"/>
              <w:right w:val="single" w:sz="4" w:space="0" w:color="D9D9D9"/>
            </w:tcBorders>
            <w:shd w:val="clear" w:color="000000" w:fill="FFFFFF"/>
            <w:noWrap/>
            <w:hideMark/>
          </w:tcPr>
          <w:p w14:paraId="2AF7D2A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10%</w:t>
            </w:r>
          </w:p>
        </w:tc>
        <w:tc>
          <w:tcPr>
            <w:tcW w:w="627" w:type="dxa"/>
            <w:tcBorders>
              <w:top w:val="nil"/>
              <w:left w:val="nil"/>
              <w:bottom w:val="single" w:sz="4" w:space="0" w:color="D9D9D9"/>
              <w:right w:val="single" w:sz="2" w:space="0" w:color="auto"/>
            </w:tcBorders>
            <w:shd w:val="clear" w:color="000000" w:fill="FFFFFF"/>
            <w:noWrap/>
            <w:hideMark/>
          </w:tcPr>
          <w:p w14:paraId="005980A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04AA3A2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32%</w:t>
            </w:r>
          </w:p>
        </w:tc>
      </w:tr>
      <w:tr w:rsidR="0009624B" w:rsidRPr="00C444EA" w14:paraId="6D845336" w14:textId="77777777" w:rsidTr="0009624B">
        <w:tc>
          <w:tcPr>
            <w:tcW w:w="663" w:type="dxa"/>
            <w:tcBorders>
              <w:top w:val="nil"/>
              <w:left w:val="nil"/>
              <w:bottom w:val="nil"/>
              <w:right w:val="nil"/>
            </w:tcBorders>
            <w:shd w:val="clear" w:color="000000" w:fill="FFFFFF"/>
            <w:hideMark/>
          </w:tcPr>
          <w:p w14:paraId="7316F7B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Q11_b</w:t>
            </w:r>
            <w:proofErr w:type="spellEnd"/>
          </w:p>
        </w:tc>
        <w:tc>
          <w:tcPr>
            <w:tcW w:w="4015" w:type="dxa"/>
            <w:tcBorders>
              <w:top w:val="nil"/>
              <w:left w:val="nil"/>
              <w:bottom w:val="single" w:sz="4" w:space="0" w:color="D9D9D9"/>
              <w:right w:val="nil"/>
            </w:tcBorders>
            <w:shd w:val="clear" w:color="000000" w:fill="FFFFFF"/>
            <w:hideMark/>
          </w:tcPr>
          <w:p w14:paraId="5329285D"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Accountability framework</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6CFE5EF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13%</w:t>
            </w:r>
          </w:p>
        </w:tc>
        <w:tc>
          <w:tcPr>
            <w:tcW w:w="627" w:type="dxa"/>
            <w:tcBorders>
              <w:top w:val="nil"/>
              <w:left w:val="nil"/>
              <w:bottom w:val="single" w:sz="4" w:space="0" w:color="D9D9D9"/>
              <w:right w:val="single" w:sz="4" w:space="0" w:color="D9D9D9"/>
            </w:tcBorders>
            <w:shd w:val="clear" w:color="000000" w:fill="FFFFFF"/>
            <w:noWrap/>
            <w:hideMark/>
          </w:tcPr>
          <w:p w14:paraId="758DE1C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31%</w:t>
            </w:r>
          </w:p>
        </w:tc>
        <w:tc>
          <w:tcPr>
            <w:tcW w:w="627" w:type="dxa"/>
            <w:tcBorders>
              <w:top w:val="nil"/>
              <w:left w:val="nil"/>
              <w:bottom w:val="single" w:sz="4" w:space="0" w:color="D9D9D9"/>
              <w:right w:val="single" w:sz="4" w:space="0" w:color="D9D9D9"/>
            </w:tcBorders>
            <w:shd w:val="clear" w:color="000000" w:fill="FFFFFF"/>
            <w:noWrap/>
            <w:hideMark/>
          </w:tcPr>
          <w:p w14:paraId="5F1B640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c>
          <w:tcPr>
            <w:tcW w:w="627" w:type="dxa"/>
            <w:tcBorders>
              <w:top w:val="nil"/>
              <w:left w:val="nil"/>
              <w:bottom w:val="single" w:sz="4" w:space="0" w:color="D9D9D9"/>
              <w:right w:val="single" w:sz="4" w:space="0" w:color="D9D9D9"/>
            </w:tcBorders>
            <w:shd w:val="clear" w:color="000000" w:fill="FFFFFF"/>
            <w:noWrap/>
            <w:hideMark/>
          </w:tcPr>
          <w:p w14:paraId="38D997E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D9D9D9"/>
              <w:right w:val="single" w:sz="4" w:space="0" w:color="D9D9D9"/>
            </w:tcBorders>
            <w:shd w:val="clear" w:color="000000" w:fill="FFFFFF"/>
            <w:noWrap/>
            <w:hideMark/>
          </w:tcPr>
          <w:p w14:paraId="0EA4F1E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w:t>
            </w:r>
          </w:p>
        </w:tc>
        <w:tc>
          <w:tcPr>
            <w:tcW w:w="627" w:type="dxa"/>
            <w:tcBorders>
              <w:top w:val="nil"/>
              <w:left w:val="nil"/>
              <w:bottom w:val="single" w:sz="4" w:space="0" w:color="D9D9D9"/>
              <w:right w:val="single" w:sz="2" w:space="0" w:color="auto"/>
            </w:tcBorders>
            <w:shd w:val="clear" w:color="000000" w:fill="FFFFFF"/>
            <w:noWrap/>
            <w:hideMark/>
          </w:tcPr>
          <w:p w14:paraId="68DFF55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72D4EC9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r>
      <w:tr w:rsidR="0009624B" w:rsidRPr="00C444EA" w14:paraId="4D994BC5" w14:textId="77777777" w:rsidTr="0009624B">
        <w:tc>
          <w:tcPr>
            <w:tcW w:w="663" w:type="dxa"/>
            <w:tcBorders>
              <w:top w:val="nil"/>
              <w:left w:val="nil"/>
              <w:bottom w:val="nil"/>
              <w:right w:val="nil"/>
            </w:tcBorders>
            <w:shd w:val="clear" w:color="000000" w:fill="FFFFFF"/>
            <w:hideMark/>
          </w:tcPr>
          <w:p w14:paraId="0879250C"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Q11_c</w:t>
            </w:r>
            <w:proofErr w:type="spellEnd"/>
          </w:p>
        </w:tc>
        <w:tc>
          <w:tcPr>
            <w:tcW w:w="4015" w:type="dxa"/>
            <w:tcBorders>
              <w:top w:val="nil"/>
              <w:left w:val="nil"/>
              <w:bottom w:val="single" w:sz="4" w:space="0" w:color="D9D9D9"/>
              <w:right w:val="nil"/>
            </w:tcBorders>
            <w:shd w:val="clear" w:color="000000" w:fill="FFFFFF"/>
            <w:hideMark/>
          </w:tcPr>
          <w:p w14:paraId="2A8EFC87"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Greater autonomy in decision making</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4A7A7F3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w:t>
            </w:r>
          </w:p>
        </w:tc>
        <w:tc>
          <w:tcPr>
            <w:tcW w:w="627" w:type="dxa"/>
            <w:tcBorders>
              <w:top w:val="nil"/>
              <w:left w:val="nil"/>
              <w:bottom w:val="single" w:sz="4" w:space="0" w:color="D9D9D9"/>
              <w:right w:val="single" w:sz="4" w:space="0" w:color="D9D9D9"/>
            </w:tcBorders>
            <w:shd w:val="clear" w:color="000000" w:fill="FFFFFF"/>
            <w:noWrap/>
            <w:hideMark/>
          </w:tcPr>
          <w:p w14:paraId="587029D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18%</w:t>
            </w:r>
          </w:p>
        </w:tc>
        <w:tc>
          <w:tcPr>
            <w:tcW w:w="627" w:type="dxa"/>
            <w:tcBorders>
              <w:top w:val="nil"/>
              <w:left w:val="nil"/>
              <w:bottom w:val="single" w:sz="4" w:space="0" w:color="D9D9D9"/>
              <w:right w:val="single" w:sz="4" w:space="0" w:color="D9D9D9"/>
            </w:tcBorders>
            <w:shd w:val="clear" w:color="000000" w:fill="FFFFFF"/>
            <w:noWrap/>
            <w:hideMark/>
          </w:tcPr>
          <w:p w14:paraId="6201FF6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21%</w:t>
            </w:r>
          </w:p>
        </w:tc>
        <w:tc>
          <w:tcPr>
            <w:tcW w:w="627" w:type="dxa"/>
            <w:tcBorders>
              <w:top w:val="nil"/>
              <w:left w:val="nil"/>
              <w:bottom w:val="single" w:sz="4" w:space="0" w:color="D9D9D9"/>
              <w:right w:val="single" w:sz="4" w:space="0" w:color="D9D9D9"/>
            </w:tcBorders>
            <w:shd w:val="clear" w:color="000000" w:fill="FFFFFF"/>
            <w:noWrap/>
            <w:hideMark/>
          </w:tcPr>
          <w:p w14:paraId="01B044F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38%</w:t>
            </w:r>
          </w:p>
        </w:tc>
        <w:tc>
          <w:tcPr>
            <w:tcW w:w="627" w:type="dxa"/>
            <w:tcBorders>
              <w:top w:val="nil"/>
              <w:left w:val="nil"/>
              <w:bottom w:val="single" w:sz="4" w:space="0" w:color="D9D9D9"/>
              <w:right w:val="single" w:sz="4" w:space="0" w:color="D9D9D9"/>
            </w:tcBorders>
            <w:shd w:val="clear" w:color="000000" w:fill="FFFFFF"/>
            <w:noWrap/>
            <w:hideMark/>
          </w:tcPr>
          <w:p w14:paraId="6252D88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17%</w:t>
            </w:r>
          </w:p>
        </w:tc>
        <w:tc>
          <w:tcPr>
            <w:tcW w:w="627" w:type="dxa"/>
            <w:tcBorders>
              <w:top w:val="nil"/>
              <w:left w:val="nil"/>
              <w:bottom w:val="single" w:sz="4" w:space="0" w:color="D9D9D9"/>
              <w:right w:val="single" w:sz="2" w:space="0" w:color="auto"/>
            </w:tcBorders>
            <w:shd w:val="clear" w:color="000000" w:fill="FFFFFF"/>
            <w:noWrap/>
            <w:hideMark/>
          </w:tcPr>
          <w:p w14:paraId="1F49853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62896FF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r>
      <w:tr w:rsidR="0009624B" w:rsidRPr="00C444EA" w14:paraId="641201F2" w14:textId="77777777" w:rsidTr="0009624B">
        <w:tc>
          <w:tcPr>
            <w:tcW w:w="663" w:type="dxa"/>
            <w:tcBorders>
              <w:top w:val="nil"/>
              <w:left w:val="nil"/>
              <w:bottom w:val="single" w:sz="4" w:space="0" w:color="auto"/>
              <w:right w:val="nil"/>
            </w:tcBorders>
            <w:shd w:val="clear" w:color="000000" w:fill="FFFFFF"/>
            <w:hideMark/>
          </w:tcPr>
          <w:p w14:paraId="0CFC93C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Q11_d</w:t>
            </w:r>
            <w:proofErr w:type="spellEnd"/>
          </w:p>
        </w:tc>
        <w:tc>
          <w:tcPr>
            <w:tcW w:w="4015" w:type="dxa"/>
            <w:tcBorders>
              <w:top w:val="nil"/>
              <w:left w:val="nil"/>
              <w:bottom w:val="single" w:sz="4" w:space="0" w:color="auto"/>
              <w:right w:val="nil"/>
            </w:tcBorders>
            <w:shd w:val="clear" w:color="000000" w:fill="FFFFFF"/>
            <w:hideMark/>
          </w:tcPr>
          <w:p w14:paraId="50BD9FD1"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Ethics, complaints and response mechanisms</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15A8F80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16%</w:t>
            </w:r>
          </w:p>
        </w:tc>
        <w:tc>
          <w:tcPr>
            <w:tcW w:w="627" w:type="dxa"/>
            <w:tcBorders>
              <w:top w:val="nil"/>
              <w:left w:val="nil"/>
              <w:bottom w:val="single" w:sz="4" w:space="0" w:color="auto"/>
              <w:right w:val="single" w:sz="4" w:space="0" w:color="D9D9D9"/>
            </w:tcBorders>
            <w:shd w:val="clear" w:color="000000" w:fill="FFFFFF"/>
            <w:noWrap/>
            <w:hideMark/>
          </w:tcPr>
          <w:p w14:paraId="0E4116D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38%</w:t>
            </w:r>
          </w:p>
        </w:tc>
        <w:tc>
          <w:tcPr>
            <w:tcW w:w="627" w:type="dxa"/>
            <w:tcBorders>
              <w:top w:val="nil"/>
              <w:left w:val="nil"/>
              <w:bottom w:val="single" w:sz="4" w:space="0" w:color="auto"/>
              <w:right w:val="single" w:sz="4" w:space="0" w:color="D9D9D9"/>
            </w:tcBorders>
            <w:shd w:val="clear" w:color="000000" w:fill="FFFFFF"/>
            <w:noWrap/>
            <w:hideMark/>
          </w:tcPr>
          <w:p w14:paraId="7216033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29%</w:t>
            </w:r>
          </w:p>
        </w:tc>
        <w:tc>
          <w:tcPr>
            <w:tcW w:w="627" w:type="dxa"/>
            <w:tcBorders>
              <w:top w:val="nil"/>
              <w:left w:val="nil"/>
              <w:bottom w:val="single" w:sz="4" w:space="0" w:color="auto"/>
              <w:right w:val="single" w:sz="4" w:space="0" w:color="D9D9D9"/>
            </w:tcBorders>
            <w:shd w:val="clear" w:color="000000" w:fill="FFFFFF"/>
            <w:noWrap/>
            <w:hideMark/>
          </w:tcPr>
          <w:p w14:paraId="5185DE9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14%</w:t>
            </w:r>
          </w:p>
        </w:tc>
        <w:tc>
          <w:tcPr>
            <w:tcW w:w="627" w:type="dxa"/>
            <w:tcBorders>
              <w:top w:val="nil"/>
              <w:left w:val="nil"/>
              <w:bottom w:val="single" w:sz="4" w:space="0" w:color="auto"/>
              <w:right w:val="single" w:sz="4" w:space="0" w:color="D9D9D9"/>
            </w:tcBorders>
            <w:shd w:val="clear" w:color="000000" w:fill="FFFFFF"/>
            <w:noWrap/>
            <w:hideMark/>
          </w:tcPr>
          <w:p w14:paraId="17B86A7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nil"/>
              <w:bottom w:val="single" w:sz="4" w:space="0" w:color="auto"/>
              <w:right w:val="single" w:sz="2" w:space="0" w:color="auto"/>
            </w:tcBorders>
            <w:shd w:val="clear" w:color="000000" w:fill="FFFFFF"/>
            <w:noWrap/>
            <w:hideMark/>
          </w:tcPr>
          <w:p w14:paraId="18D958D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6532AC8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54%</w:t>
            </w:r>
          </w:p>
        </w:tc>
      </w:tr>
      <w:tr w:rsidR="0009624B" w:rsidRPr="00C444EA" w14:paraId="3A39E3CD" w14:textId="77777777" w:rsidTr="0009624B">
        <w:tc>
          <w:tcPr>
            <w:tcW w:w="663" w:type="dxa"/>
            <w:tcBorders>
              <w:top w:val="nil"/>
              <w:left w:val="nil"/>
              <w:bottom w:val="single" w:sz="4" w:space="0" w:color="auto"/>
              <w:right w:val="nil"/>
            </w:tcBorders>
            <w:shd w:val="clear" w:color="000000" w:fill="F2F2F2"/>
            <w:hideMark/>
          </w:tcPr>
          <w:p w14:paraId="21E19C9F"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Q12</w:t>
            </w:r>
            <w:proofErr w:type="spellEnd"/>
          </w:p>
        </w:tc>
        <w:tc>
          <w:tcPr>
            <w:tcW w:w="4015" w:type="dxa"/>
            <w:tcBorders>
              <w:top w:val="nil"/>
              <w:left w:val="nil"/>
              <w:bottom w:val="single" w:sz="4" w:space="0" w:color="auto"/>
              <w:right w:val="nil"/>
            </w:tcBorders>
            <w:shd w:val="clear" w:color="000000" w:fill="F2F2F2"/>
            <w:hideMark/>
          </w:tcPr>
          <w:p w14:paraId="67425554"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Regional and Area Offices enjoy sufficient delegated authority to respond adequately to Membership needs and priorities.</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76D061F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auto"/>
              <w:right w:val="single" w:sz="4" w:space="0" w:color="D9D9D9"/>
            </w:tcBorders>
            <w:shd w:val="clear" w:color="000000" w:fill="F2F2F2"/>
            <w:noWrap/>
            <w:hideMark/>
          </w:tcPr>
          <w:p w14:paraId="334C050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nil"/>
              <w:left w:val="nil"/>
              <w:bottom w:val="single" w:sz="4" w:space="0" w:color="auto"/>
              <w:right w:val="single" w:sz="4" w:space="0" w:color="D9D9D9"/>
            </w:tcBorders>
            <w:shd w:val="clear" w:color="000000" w:fill="F2F2F2"/>
            <w:noWrap/>
            <w:hideMark/>
          </w:tcPr>
          <w:p w14:paraId="0669700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34%</w:t>
            </w:r>
          </w:p>
        </w:tc>
        <w:tc>
          <w:tcPr>
            <w:tcW w:w="627" w:type="dxa"/>
            <w:tcBorders>
              <w:top w:val="nil"/>
              <w:left w:val="nil"/>
              <w:bottom w:val="single" w:sz="4" w:space="0" w:color="auto"/>
              <w:right w:val="single" w:sz="4" w:space="0" w:color="D9D9D9"/>
            </w:tcBorders>
            <w:shd w:val="clear" w:color="000000" w:fill="F2F2F2"/>
            <w:noWrap/>
            <w:hideMark/>
          </w:tcPr>
          <w:p w14:paraId="15FC776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auto"/>
              <w:right w:val="single" w:sz="4" w:space="0" w:color="D9D9D9"/>
            </w:tcBorders>
            <w:shd w:val="clear" w:color="000000" w:fill="F2F2F2"/>
            <w:noWrap/>
            <w:hideMark/>
          </w:tcPr>
          <w:p w14:paraId="117D1A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nil"/>
              <w:left w:val="nil"/>
              <w:bottom w:val="single" w:sz="4" w:space="0" w:color="auto"/>
              <w:right w:val="single" w:sz="2" w:space="0" w:color="auto"/>
            </w:tcBorders>
            <w:shd w:val="clear" w:color="000000" w:fill="F2F2F2"/>
            <w:noWrap/>
            <w:hideMark/>
          </w:tcPr>
          <w:p w14:paraId="077E1F7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0C8A8C6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r>
      <w:tr w:rsidR="0009624B" w:rsidRPr="00C444EA" w14:paraId="6C22A1E6" w14:textId="77777777" w:rsidTr="0009624B">
        <w:tc>
          <w:tcPr>
            <w:tcW w:w="663" w:type="dxa"/>
            <w:tcBorders>
              <w:top w:val="nil"/>
              <w:left w:val="nil"/>
              <w:bottom w:val="single" w:sz="4" w:space="0" w:color="auto"/>
              <w:right w:val="nil"/>
            </w:tcBorders>
            <w:shd w:val="clear" w:color="000000" w:fill="FFFFFF"/>
            <w:hideMark/>
          </w:tcPr>
          <w:p w14:paraId="59E4FDC5"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Q13</w:t>
            </w:r>
            <w:proofErr w:type="spellEnd"/>
          </w:p>
        </w:tc>
        <w:tc>
          <w:tcPr>
            <w:tcW w:w="4015" w:type="dxa"/>
            <w:tcBorders>
              <w:top w:val="nil"/>
              <w:left w:val="nil"/>
              <w:bottom w:val="single" w:sz="4" w:space="0" w:color="auto"/>
              <w:right w:val="nil"/>
            </w:tcBorders>
            <w:shd w:val="clear" w:color="000000" w:fill="FFFFFF"/>
            <w:hideMark/>
          </w:tcPr>
          <w:p w14:paraId="40E867A7"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Implementation of staff mobility policy will impact the ITU Regional Presence positively.</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2EDD398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auto"/>
              <w:right w:val="single" w:sz="4" w:space="0" w:color="D9D9D9"/>
            </w:tcBorders>
            <w:shd w:val="clear" w:color="000000" w:fill="FFFFFF"/>
            <w:noWrap/>
            <w:hideMark/>
          </w:tcPr>
          <w:p w14:paraId="77F4AAE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51%</w:t>
            </w:r>
          </w:p>
        </w:tc>
        <w:tc>
          <w:tcPr>
            <w:tcW w:w="627" w:type="dxa"/>
            <w:tcBorders>
              <w:top w:val="nil"/>
              <w:left w:val="nil"/>
              <w:bottom w:val="single" w:sz="4" w:space="0" w:color="auto"/>
              <w:right w:val="single" w:sz="4" w:space="0" w:color="D9D9D9"/>
            </w:tcBorders>
            <w:shd w:val="clear" w:color="000000" w:fill="FFFFFF"/>
            <w:noWrap/>
            <w:hideMark/>
          </w:tcPr>
          <w:p w14:paraId="004E8A3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18%</w:t>
            </w:r>
          </w:p>
        </w:tc>
        <w:tc>
          <w:tcPr>
            <w:tcW w:w="627" w:type="dxa"/>
            <w:tcBorders>
              <w:top w:val="nil"/>
              <w:left w:val="nil"/>
              <w:bottom w:val="single" w:sz="4" w:space="0" w:color="auto"/>
              <w:right w:val="single" w:sz="4" w:space="0" w:color="D9D9D9"/>
            </w:tcBorders>
            <w:shd w:val="clear" w:color="000000" w:fill="FFFFFF"/>
            <w:noWrap/>
            <w:hideMark/>
          </w:tcPr>
          <w:p w14:paraId="6018148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nil"/>
              <w:left w:val="nil"/>
              <w:bottom w:val="single" w:sz="4" w:space="0" w:color="auto"/>
              <w:right w:val="single" w:sz="4" w:space="0" w:color="D9D9D9"/>
            </w:tcBorders>
            <w:shd w:val="clear" w:color="000000" w:fill="FFFFFF"/>
            <w:noWrap/>
            <w:hideMark/>
          </w:tcPr>
          <w:p w14:paraId="16D9392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w:t>
            </w:r>
          </w:p>
        </w:tc>
        <w:tc>
          <w:tcPr>
            <w:tcW w:w="627" w:type="dxa"/>
            <w:tcBorders>
              <w:top w:val="nil"/>
              <w:left w:val="nil"/>
              <w:bottom w:val="single" w:sz="4" w:space="0" w:color="auto"/>
              <w:right w:val="single" w:sz="2" w:space="0" w:color="auto"/>
            </w:tcBorders>
            <w:shd w:val="clear" w:color="000000" w:fill="FFFFFF"/>
            <w:noWrap/>
            <w:hideMark/>
          </w:tcPr>
          <w:p w14:paraId="2672131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01531A3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66%</w:t>
            </w:r>
          </w:p>
        </w:tc>
      </w:tr>
      <w:tr w:rsidR="0009624B" w:rsidRPr="00C444EA" w14:paraId="0A8B05CC" w14:textId="77777777" w:rsidTr="0009624B">
        <w:tc>
          <w:tcPr>
            <w:tcW w:w="663" w:type="dxa"/>
            <w:tcBorders>
              <w:top w:val="nil"/>
              <w:left w:val="nil"/>
              <w:bottom w:val="nil"/>
              <w:right w:val="nil"/>
            </w:tcBorders>
            <w:shd w:val="clear" w:color="000000" w:fill="F2F2F2"/>
            <w:hideMark/>
          </w:tcPr>
          <w:p w14:paraId="07A9EB8C"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Q16</w:t>
            </w:r>
            <w:proofErr w:type="spellEnd"/>
          </w:p>
        </w:tc>
        <w:tc>
          <w:tcPr>
            <w:tcW w:w="4015" w:type="dxa"/>
            <w:tcBorders>
              <w:top w:val="nil"/>
              <w:left w:val="nil"/>
              <w:bottom w:val="single" w:sz="4" w:space="0" w:color="D9D9D9"/>
              <w:right w:val="nil"/>
            </w:tcBorders>
            <w:shd w:val="clear" w:color="000000" w:fill="F2F2F2"/>
            <w:hideMark/>
          </w:tcPr>
          <w:p w14:paraId="1CBE0399"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reporting to the ITU Council and Advisory Groups (</w:t>
            </w:r>
            <w:proofErr w:type="spellStart"/>
            <w:r w:rsidRPr="00C444EA">
              <w:rPr>
                <w:rFonts w:ascii="Aptos Narrow" w:hAnsi="Aptos Narrow"/>
                <w:color w:val="000000"/>
                <w:sz w:val="20"/>
                <w:lang w:eastAsia="en-GB"/>
              </w:rPr>
              <w:t>TDAG</w:t>
            </w:r>
            <w:proofErr w:type="spellEnd"/>
            <w:r w:rsidRPr="00C444EA">
              <w:rPr>
                <w:rFonts w:ascii="Aptos Narrow" w:hAnsi="Aptos Narrow"/>
                <w:color w:val="000000"/>
                <w:sz w:val="20"/>
                <w:lang w:eastAsia="en-GB"/>
              </w:rPr>
              <w:t>, TSAG and RAG) on the ITU Regional Presence provides adequate information regarding its activities to meet ITU's Strategic Plan, Kigali Action Plan, Regional Initiatives, annual four-year rolling operational plans of the General Secretariat and the three Sectors and addressing Member States' requests for assistance.</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409CBEB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584DBD9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396FF3E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16ED6DF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2D9F7BC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2" w:space="0" w:color="auto"/>
            </w:tcBorders>
            <w:shd w:val="clear" w:color="000000" w:fill="F2F2F2"/>
            <w:noWrap/>
            <w:hideMark/>
          </w:tcPr>
          <w:p w14:paraId="5A5CA19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2EAEFF7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09624B" w:rsidRPr="00C444EA" w14:paraId="01BBEDE7" w14:textId="77777777" w:rsidTr="0009624B">
        <w:tc>
          <w:tcPr>
            <w:tcW w:w="663" w:type="dxa"/>
            <w:tcBorders>
              <w:top w:val="nil"/>
              <w:left w:val="nil"/>
              <w:bottom w:val="nil"/>
              <w:right w:val="nil"/>
            </w:tcBorders>
            <w:shd w:val="clear" w:color="000000" w:fill="F2F2F2"/>
            <w:hideMark/>
          </w:tcPr>
          <w:p w14:paraId="126A11DE"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Q16_a</w:t>
            </w:r>
            <w:proofErr w:type="spellEnd"/>
          </w:p>
        </w:tc>
        <w:tc>
          <w:tcPr>
            <w:tcW w:w="4015" w:type="dxa"/>
            <w:tcBorders>
              <w:top w:val="nil"/>
              <w:left w:val="nil"/>
              <w:bottom w:val="single" w:sz="4" w:space="0" w:color="D9D9D9"/>
              <w:right w:val="nil"/>
            </w:tcBorders>
            <w:shd w:val="clear" w:color="000000" w:fill="F2F2F2"/>
            <w:hideMark/>
          </w:tcPr>
          <w:p w14:paraId="0A3C3251" w14:textId="77777777" w:rsidR="00757BE9" w:rsidRPr="00C444EA" w:rsidRDefault="00757BE9">
            <w:pPr>
              <w:ind w:firstLineChars="100" w:firstLine="200"/>
              <w:rPr>
                <w:rFonts w:ascii="Aptos Narrow" w:hAnsi="Aptos Narrow"/>
                <w:color w:val="000000"/>
                <w:sz w:val="20"/>
                <w:lang w:eastAsia="en-GB"/>
              </w:rPr>
            </w:pPr>
            <w:proofErr w:type="spellStart"/>
            <w:r w:rsidRPr="00C444EA">
              <w:rPr>
                <w:rFonts w:ascii="Aptos Narrow" w:hAnsi="Aptos Narrow"/>
                <w:color w:val="000000"/>
                <w:sz w:val="20"/>
                <w:lang w:eastAsia="en-GB"/>
              </w:rPr>
              <w:t>TDAG</w:t>
            </w:r>
            <w:proofErr w:type="spellEnd"/>
          </w:p>
        </w:tc>
        <w:tc>
          <w:tcPr>
            <w:tcW w:w="626" w:type="dxa"/>
            <w:tcBorders>
              <w:top w:val="nil"/>
              <w:left w:val="single" w:sz="4" w:space="0" w:color="auto"/>
              <w:bottom w:val="single" w:sz="4" w:space="0" w:color="D9D9D9"/>
              <w:right w:val="single" w:sz="4" w:space="0" w:color="D9D9D9"/>
            </w:tcBorders>
            <w:shd w:val="clear" w:color="000000" w:fill="F2F2F2"/>
            <w:noWrap/>
            <w:hideMark/>
          </w:tcPr>
          <w:p w14:paraId="4262F78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nil"/>
              <w:left w:val="nil"/>
              <w:bottom w:val="single" w:sz="4" w:space="0" w:color="D9D9D9"/>
              <w:right w:val="single" w:sz="4" w:space="0" w:color="D9D9D9"/>
            </w:tcBorders>
            <w:shd w:val="clear" w:color="000000" w:fill="F2F2F2"/>
            <w:noWrap/>
            <w:hideMark/>
          </w:tcPr>
          <w:p w14:paraId="69BF1FC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42%</w:t>
            </w:r>
          </w:p>
        </w:tc>
        <w:tc>
          <w:tcPr>
            <w:tcW w:w="627" w:type="dxa"/>
            <w:tcBorders>
              <w:top w:val="nil"/>
              <w:left w:val="nil"/>
              <w:bottom w:val="single" w:sz="4" w:space="0" w:color="D9D9D9"/>
              <w:right w:val="single" w:sz="4" w:space="0" w:color="D9D9D9"/>
            </w:tcBorders>
            <w:shd w:val="clear" w:color="000000" w:fill="F2F2F2"/>
            <w:noWrap/>
            <w:hideMark/>
          </w:tcPr>
          <w:p w14:paraId="643218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nil"/>
              <w:left w:val="nil"/>
              <w:bottom w:val="single" w:sz="4" w:space="0" w:color="D9D9D9"/>
              <w:right w:val="single" w:sz="4" w:space="0" w:color="D9D9D9"/>
            </w:tcBorders>
            <w:shd w:val="clear" w:color="000000" w:fill="F2F2F2"/>
            <w:noWrap/>
            <w:hideMark/>
          </w:tcPr>
          <w:p w14:paraId="70F28EC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nil"/>
              <w:left w:val="nil"/>
              <w:bottom w:val="single" w:sz="4" w:space="0" w:color="D9D9D9"/>
              <w:right w:val="single" w:sz="4" w:space="0" w:color="D9D9D9"/>
            </w:tcBorders>
            <w:shd w:val="clear" w:color="000000" w:fill="F2F2F2"/>
            <w:noWrap/>
            <w:hideMark/>
          </w:tcPr>
          <w:p w14:paraId="245BD32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2F2F2"/>
            <w:noWrap/>
            <w:hideMark/>
          </w:tcPr>
          <w:p w14:paraId="71C0C3B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0B20BB3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68%</w:t>
            </w:r>
          </w:p>
        </w:tc>
      </w:tr>
      <w:tr w:rsidR="0009624B" w:rsidRPr="00C444EA" w14:paraId="01FAAB68" w14:textId="77777777" w:rsidTr="0009624B">
        <w:tc>
          <w:tcPr>
            <w:tcW w:w="663" w:type="dxa"/>
            <w:tcBorders>
              <w:top w:val="nil"/>
              <w:left w:val="nil"/>
              <w:bottom w:val="nil"/>
              <w:right w:val="nil"/>
            </w:tcBorders>
            <w:shd w:val="clear" w:color="000000" w:fill="F2F2F2"/>
            <w:hideMark/>
          </w:tcPr>
          <w:p w14:paraId="21A2691F"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Q16_b</w:t>
            </w:r>
            <w:proofErr w:type="spellEnd"/>
          </w:p>
        </w:tc>
        <w:tc>
          <w:tcPr>
            <w:tcW w:w="4015" w:type="dxa"/>
            <w:tcBorders>
              <w:top w:val="nil"/>
              <w:left w:val="nil"/>
              <w:bottom w:val="single" w:sz="4" w:space="0" w:color="D9D9D9"/>
              <w:right w:val="nil"/>
            </w:tcBorders>
            <w:shd w:val="clear" w:color="000000" w:fill="F2F2F2"/>
            <w:hideMark/>
          </w:tcPr>
          <w:p w14:paraId="6EA79890"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TSAG</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2E94B60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16%</w:t>
            </w:r>
          </w:p>
        </w:tc>
        <w:tc>
          <w:tcPr>
            <w:tcW w:w="627" w:type="dxa"/>
            <w:tcBorders>
              <w:top w:val="nil"/>
              <w:left w:val="nil"/>
              <w:bottom w:val="single" w:sz="4" w:space="0" w:color="D9D9D9"/>
              <w:right w:val="single" w:sz="4" w:space="0" w:color="D9D9D9"/>
            </w:tcBorders>
            <w:shd w:val="clear" w:color="000000" w:fill="F2F2F2"/>
            <w:noWrap/>
            <w:hideMark/>
          </w:tcPr>
          <w:p w14:paraId="1A185C8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42%</w:t>
            </w:r>
          </w:p>
        </w:tc>
        <w:tc>
          <w:tcPr>
            <w:tcW w:w="627" w:type="dxa"/>
            <w:tcBorders>
              <w:top w:val="nil"/>
              <w:left w:val="nil"/>
              <w:bottom w:val="single" w:sz="4" w:space="0" w:color="D9D9D9"/>
              <w:right w:val="single" w:sz="4" w:space="0" w:color="D9D9D9"/>
            </w:tcBorders>
            <w:shd w:val="clear" w:color="000000" w:fill="F2F2F2"/>
            <w:noWrap/>
            <w:hideMark/>
          </w:tcPr>
          <w:p w14:paraId="33A15D3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30%</w:t>
            </w:r>
          </w:p>
        </w:tc>
        <w:tc>
          <w:tcPr>
            <w:tcW w:w="627" w:type="dxa"/>
            <w:tcBorders>
              <w:top w:val="nil"/>
              <w:left w:val="nil"/>
              <w:bottom w:val="single" w:sz="4" w:space="0" w:color="D9D9D9"/>
              <w:right w:val="single" w:sz="4" w:space="0" w:color="D9D9D9"/>
            </w:tcBorders>
            <w:shd w:val="clear" w:color="000000" w:fill="F2F2F2"/>
            <w:noWrap/>
            <w:hideMark/>
          </w:tcPr>
          <w:p w14:paraId="5080C73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D9D9D9"/>
              <w:right w:val="single" w:sz="4" w:space="0" w:color="D9D9D9"/>
            </w:tcBorders>
            <w:shd w:val="clear" w:color="000000" w:fill="F2F2F2"/>
            <w:noWrap/>
            <w:hideMark/>
          </w:tcPr>
          <w:p w14:paraId="77684FF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nil"/>
              <w:bottom w:val="single" w:sz="4" w:space="0" w:color="D9D9D9"/>
              <w:right w:val="single" w:sz="2" w:space="0" w:color="auto"/>
            </w:tcBorders>
            <w:shd w:val="clear" w:color="000000" w:fill="F2F2F2"/>
            <w:noWrap/>
            <w:hideMark/>
          </w:tcPr>
          <w:p w14:paraId="77D0AAA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1B2F55C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58%</w:t>
            </w:r>
          </w:p>
        </w:tc>
      </w:tr>
      <w:tr w:rsidR="0009624B" w:rsidRPr="00C444EA" w14:paraId="1A7D433A" w14:textId="77777777" w:rsidTr="0009624B">
        <w:tc>
          <w:tcPr>
            <w:tcW w:w="663" w:type="dxa"/>
            <w:tcBorders>
              <w:top w:val="nil"/>
              <w:left w:val="nil"/>
              <w:bottom w:val="nil"/>
              <w:right w:val="nil"/>
            </w:tcBorders>
            <w:shd w:val="clear" w:color="000000" w:fill="F2F2F2"/>
            <w:hideMark/>
          </w:tcPr>
          <w:p w14:paraId="088E6EC8"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Q16_c</w:t>
            </w:r>
            <w:proofErr w:type="spellEnd"/>
          </w:p>
        </w:tc>
        <w:tc>
          <w:tcPr>
            <w:tcW w:w="4015" w:type="dxa"/>
            <w:tcBorders>
              <w:top w:val="nil"/>
              <w:left w:val="nil"/>
              <w:bottom w:val="single" w:sz="4" w:space="0" w:color="D9D9D9"/>
              <w:right w:val="nil"/>
            </w:tcBorders>
            <w:shd w:val="clear" w:color="000000" w:fill="F2F2F2"/>
            <w:hideMark/>
          </w:tcPr>
          <w:p w14:paraId="5B3C9266"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RAG</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3DC9362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D9D9D9"/>
              <w:right w:val="single" w:sz="4" w:space="0" w:color="D9D9D9"/>
            </w:tcBorders>
            <w:shd w:val="clear" w:color="000000" w:fill="F2F2F2"/>
            <w:noWrap/>
            <w:hideMark/>
          </w:tcPr>
          <w:p w14:paraId="6B3032D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42%</w:t>
            </w:r>
          </w:p>
        </w:tc>
        <w:tc>
          <w:tcPr>
            <w:tcW w:w="627" w:type="dxa"/>
            <w:tcBorders>
              <w:top w:val="nil"/>
              <w:left w:val="nil"/>
              <w:bottom w:val="single" w:sz="4" w:space="0" w:color="D9D9D9"/>
              <w:right w:val="single" w:sz="4" w:space="0" w:color="D9D9D9"/>
            </w:tcBorders>
            <w:shd w:val="clear" w:color="000000" w:fill="F2F2F2"/>
            <w:noWrap/>
            <w:hideMark/>
          </w:tcPr>
          <w:p w14:paraId="331A46E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30%</w:t>
            </w:r>
          </w:p>
        </w:tc>
        <w:tc>
          <w:tcPr>
            <w:tcW w:w="627" w:type="dxa"/>
            <w:tcBorders>
              <w:top w:val="nil"/>
              <w:left w:val="nil"/>
              <w:bottom w:val="single" w:sz="4" w:space="0" w:color="D9D9D9"/>
              <w:right w:val="single" w:sz="4" w:space="0" w:color="D9D9D9"/>
            </w:tcBorders>
            <w:shd w:val="clear" w:color="000000" w:fill="F2F2F2"/>
            <w:noWrap/>
            <w:hideMark/>
          </w:tcPr>
          <w:p w14:paraId="121FEB8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nil"/>
              <w:left w:val="nil"/>
              <w:bottom w:val="single" w:sz="4" w:space="0" w:color="D9D9D9"/>
              <w:right w:val="single" w:sz="4" w:space="0" w:color="D9D9D9"/>
            </w:tcBorders>
            <w:shd w:val="clear" w:color="000000" w:fill="F2F2F2"/>
            <w:noWrap/>
            <w:hideMark/>
          </w:tcPr>
          <w:p w14:paraId="6D9C914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2F2F2"/>
            <w:noWrap/>
            <w:hideMark/>
          </w:tcPr>
          <w:p w14:paraId="2A7E6A2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4EBBECE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57%</w:t>
            </w:r>
          </w:p>
        </w:tc>
      </w:tr>
      <w:tr w:rsidR="0009624B" w:rsidRPr="00C444EA" w14:paraId="4F9650A8" w14:textId="77777777" w:rsidTr="0009624B">
        <w:tc>
          <w:tcPr>
            <w:tcW w:w="663" w:type="dxa"/>
            <w:tcBorders>
              <w:top w:val="nil"/>
              <w:left w:val="nil"/>
              <w:bottom w:val="single" w:sz="4" w:space="0" w:color="auto"/>
              <w:right w:val="nil"/>
            </w:tcBorders>
            <w:shd w:val="clear" w:color="000000" w:fill="F2F2F2"/>
            <w:hideMark/>
          </w:tcPr>
          <w:p w14:paraId="5288B69A"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Q16_d</w:t>
            </w:r>
            <w:proofErr w:type="spellEnd"/>
          </w:p>
        </w:tc>
        <w:tc>
          <w:tcPr>
            <w:tcW w:w="4015" w:type="dxa"/>
            <w:tcBorders>
              <w:top w:val="nil"/>
              <w:left w:val="nil"/>
              <w:bottom w:val="single" w:sz="4" w:space="0" w:color="auto"/>
              <w:right w:val="nil"/>
            </w:tcBorders>
            <w:shd w:val="clear" w:color="000000" w:fill="F2F2F2"/>
            <w:hideMark/>
          </w:tcPr>
          <w:p w14:paraId="61D20411"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Council</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50F2DD0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nil"/>
              <w:left w:val="nil"/>
              <w:bottom w:val="single" w:sz="4" w:space="0" w:color="auto"/>
              <w:right w:val="single" w:sz="4" w:space="0" w:color="D9D9D9"/>
            </w:tcBorders>
            <w:shd w:val="clear" w:color="000000" w:fill="F2F2F2"/>
            <w:noWrap/>
            <w:hideMark/>
          </w:tcPr>
          <w:p w14:paraId="101597F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41%</w:t>
            </w:r>
          </w:p>
        </w:tc>
        <w:tc>
          <w:tcPr>
            <w:tcW w:w="627" w:type="dxa"/>
            <w:tcBorders>
              <w:top w:val="nil"/>
              <w:left w:val="nil"/>
              <w:bottom w:val="single" w:sz="4" w:space="0" w:color="auto"/>
              <w:right w:val="single" w:sz="4" w:space="0" w:color="D9D9D9"/>
            </w:tcBorders>
            <w:shd w:val="clear" w:color="000000" w:fill="F2F2F2"/>
            <w:noWrap/>
            <w:hideMark/>
          </w:tcPr>
          <w:p w14:paraId="277339A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nil"/>
              <w:left w:val="nil"/>
              <w:bottom w:val="single" w:sz="4" w:space="0" w:color="auto"/>
              <w:right w:val="single" w:sz="4" w:space="0" w:color="D9D9D9"/>
            </w:tcBorders>
            <w:shd w:val="clear" w:color="000000" w:fill="F2F2F2"/>
            <w:noWrap/>
            <w:hideMark/>
          </w:tcPr>
          <w:p w14:paraId="0A7725C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auto"/>
              <w:right w:val="single" w:sz="4" w:space="0" w:color="D9D9D9"/>
            </w:tcBorders>
            <w:shd w:val="clear" w:color="000000" w:fill="F2F2F2"/>
            <w:noWrap/>
            <w:hideMark/>
          </w:tcPr>
          <w:p w14:paraId="17F18EB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nil"/>
              <w:bottom w:val="single" w:sz="4" w:space="0" w:color="auto"/>
              <w:right w:val="single" w:sz="2" w:space="0" w:color="auto"/>
            </w:tcBorders>
            <w:shd w:val="clear" w:color="000000" w:fill="F2F2F2"/>
            <w:noWrap/>
            <w:hideMark/>
          </w:tcPr>
          <w:p w14:paraId="28FD2EF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13FF98D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65%</w:t>
            </w:r>
          </w:p>
        </w:tc>
      </w:tr>
      <w:tr w:rsidR="0009624B" w:rsidRPr="00C444EA" w14:paraId="14D83A12" w14:textId="77777777" w:rsidTr="0009624B">
        <w:tc>
          <w:tcPr>
            <w:tcW w:w="663" w:type="dxa"/>
            <w:tcBorders>
              <w:top w:val="nil"/>
              <w:left w:val="nil"/>
              <w:bottom w:val="single" w:sz="4" w:space="0" w:color="auto"/>
              <w:right w:val="nil"/>
            </w:tcBorders>
            <w:shd w:val="clear" w:color="000000" w:fill="FFFFFF"/>
            <w:hideMark/>
          </w:tcPr>
          <w:p w14:paraId="54A128DA"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Q17</w:t>
            </w:r>
            <w:proofErr w:type="spellEnd"/>
          </w:p>
        </w:tc>
        <w:tc>
          <w:tcPr>
            <w:tcW w:w="4015" w:type="dxa"/>
            <w:tcBorders>
              <w:top w:val="nil"/>
              <w:left w:val="nil"/>
              <w:bottom w:val="single" w:sz="4" w:space="0" w:color="auto"/>
              <w:right w:val="nil"/>
            </w:tcBorders>
            <w:shd w:val="clear" w:color="000000" w:fill="FFFFFF"/>
            <w:hideMark/>
          </w:tcPr>
          <w:p w14:paraId="45A91BA5"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 ITU receives contributions from partners for specific programmes and projects in addition to their regular budget. In general, such additional co</w:t>
            </w:r>
            <w:r w:rsidRPr="00C444EA">
              <w:rPr>
                <w:rFonts w:ascii="Aptos Narrow" w:hAnsi="Aptos Narrow"/>
                <w:color w:val="000000"/>
                <w:sz w:val="20"/>
                <w:lang w:eastAsia="en-GB"/>
              </w:rPr>
              <w:softHyphen/>
              <w:t>financed / extra budgetary funded activities are adequate to serve the country’s needs and priorities?</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03966AB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auto"/>
              <w:right w:val="single" w:sz="4" w:space="0" w:color="D9D9D9"/>
            </w:tcBorders>
            <w:shd w:val="clear" w:color="000000" w:fill="FFFFFF"/>
            <w:noWrap/>
            <w:hideMark/>
          </w:tcPr>
          <w:p w14:paraId="3C89169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auto"/>
              <w:right w:val="single" w:sz="4" w:space="0" w:color="D9D9D9"/>
            </w:tcBorders>
            <w:shd w:val="clear" w:color="000000" w:fill="FFFFFF"/>
            <w:noWrap/>
            <w:hideMark/>
          </w:tcPr>
          <w:p w14:paraId="72359C5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nil"/>
              <w:left w:val="nil"/>
              <w:bottom w:val="single" w:sz="4" w:space="0" w:color="auto"/>
              <w:right w:val="single" w:sz="4" w:space="0" w:color="D9D9D9"/>
            </w:tcBorders>
            <w:shd w:val="clear" w:color="000000" w:fill="FFFFFF"/>
            <w:noWrap/>
            <w:hideMark/>
          </w:tcPr>
          <w:p w14:paraId="0DBA9F0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auto"/>
              <w:right w:val="single" w:sz="4" w:space="0" w:color="D9D9D9"/>
            </w:tcBorders>
            <w:shd w:val="clear" w:color="000000" w:fill="FFFFFF"/>
            <w:noWrap/>
            <w:hideMark/>
          </w:tcPr>
          <w:p w14:paraId="4B72993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nil"/>
              <w:bottom w:val="single" w:sz="4" w:space="0" w:color="auto"/>
              <w:right w:val="single" w:sz="2" w:space="0" w:color="auto"/>
            </w:tcBorders>
            <w:shd w:val="clear" w:color="000000" w:fill="FFFFFF"/>
            <w:noWrap/>
            <w:hideMark/>
          </w:tcPr>
          <w:p w14:paraId="066DBBF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3AD191E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42%</w:t>
            </w:r>
          </w:p>
        </w:tc>
      </w:tr>
      <w:tr w:rsidR="0009624B" w:rsidRPr="00C444EA" w14:paraId="5660084A" w14:textId="77777777" w:rsidTr="0009624B">
        <w:tc>
          <w:tcPr>
            <w:tcW w:w="663" w:type="dxa"/>
            <w:tcBorders>
              <w:top w:val="nil"/>
              <w:left w:val="nil"/>
              <w:bottom w:val="single" w:sz="4" w:space="0" w:color="auto"/>
              <w:right w:val="nil"/>
            </w:tcBorders>
            <w:shd w:val="clear" w:color="000000" w:fill="F2F2F2"/>
            <w:hideMark/>
          </w:tcPr>
          <w:p w14:paraId="46387983"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Q21</w:t>
            </w:r>
            <w:proofErr w:type="spellEnd"/>
          </w:p>
        </w:tc>
        <w:tc>
          <w:tcPr>
            <w:tcW w:w="4015" w:type="dxa"/>
            <w:tcBorders>
              <w:top w:val="nil"/>
              <w:left w:val="nil"/>
              <w:bottom w:val="single" w:sz="4" w:space="0" w:color="auto"/>
              <w:right w:val="nil"/>
            </w:tcBorders>
            <w:shd w:val="clear" w:color="000000" w:fill="F2F2F2"/>
            <w:hideMark/>
          </w:tcPr>
          <w:p w14:paraId="7F9A8089"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Regional and/or Area Offices regularly consult/engage with the Member States.</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654201D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33%</w:t>
            </w:r>
          </w:p>
        </w:tc>
        <w:tc>
          <w:tcPr>
            <w:tcW w:w="627" w:type="dxa"/>
            <w:tcBorders>
              <w:top w:val="nil"/>
              <w:left w:val="nil"/>
              <w:bottom w:val="single" w:sz="4" w:space="0" w:color="auto"/>
              <w:right w:val="single" w:sz="4" w:space="0" w:color="D9D9D9"/>
            </w:tcBorders>
            <w:shd w:val="clear" w:color="000000" w:fill="F2F2F2"/>
            <w:noWrap/>
            <w:hideMark/>
          </w:tcPr>
          <w:p w14:paraId="304CF7C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c>
          <w:tcPr>
            <w:tcW w:w="627" w:type="dxa"/>
            <w:tcBorders>
              <w:top w:val="nil"/>
              <w:left w:val="nil"/>
              <w:bottom w:val="single" w:sz="4" w:space="0" w:color="auto"/>
              <w:right w:val="single" w:sz="4" w:space="0" w:color="D9D9D9"/>
            </w:tcBorders>
            <w:shd w:val="clear" w:color="000000" w:fill="F2F2F2"/>
            <w:noWrap/>
            <w:hideMark/>
          </w:tcPr>
          <w:p w14:paraId="13CB993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18%</w:t>
            </w:r>
          </w:p>
        </w:tc>
        <w:tc>
          <w:tcPr>
            <w:tcW w:w="627" w:type="dxa"/>
            <w:tcBorders>
              <w:top w:val="nil"/>
              <w:left w:val="nil"/>
              <w:bottom w:val="single" w:sz="4" w:space="0" w:color="auto"/>
              <w:right w:val="single" w:sz="4" w:space="0" w:color="D9D9D9"/>
            </w:tcBorders>
            <w:shd w:val="clear" w:color="000000" w:fill="F2F2F2"/>
            <w:noWrap/>
            <w:hideMark/>
          </w:tcPr>
          <w:p w14:paraId="04C1A4B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auto"/>
              <w:right w:val="single" w:sz="4" w:space="0" w:color="D9D9D9"/>
            </w:tcBorders>
            <w:shd w:val="clear" w:color="000000" w:fill="F2F2F2"/>
            <w:noWrap/>
            <w:hideMark/>
          </w:tcPr>
          <w:p w14:paraId="13D953E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auto"/>
              <w:right w:val="single" w:sz="2" w:space="0" w:color="auto"/>
            </w:tcBorders>
            <w:shd w:val="clear" w:color="000000" w:fill="F2F2F2"/>
            <w:noWrap/>
            <w:hideMark/>
          </w:tcPr>
          <w:p w14:paraId="13759B9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21DDD5C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77%</w:t>
            </w:r>
          </w:p>
        </w:tc>
      </w:tr>
      <w:tr w:rsidR="0009624B" w:rsidRPr="00C444EA" w14:paraId="659C605E" w14:textId="77777777" w:rsidTr="0009624B">
        <w:tc>
          <w:tcPr>
            <w:tcW w:w="663" w:type="dxa"/>
            <w:tcBorders>
              <w:top w:val="nil"/>
              <w:left w:val="nil"/>
              <w:bottom w:val="single" w:sz="4" w:space="0" w:color="auto"/>
              <w:right w:val="nil"/>
            </w:tcBorders>
            <w:shd w:val="clear" w:color="000000" w:fill="FFFFFF"/>
            <w:hideMark/>
          </w:tcPr>
          <w:p w14:paraId="3D2AF186"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Q23</w:t>
            </w:r>
            <w:proofErr w:type="spellEnd"/>
          </w:p>
        </w:tc>
        <w:tc>
          <w:tcPr>
            <w:tcW w:w="4015" w:type="dxa"/>
            <w:tcBorders>
              <w:top w:val="nil"/>
              <w:left w:val="nil"/>
              <w:bottom w:val="single" w:sz="4" w:space="0" w:color="auto"/>
              <w:right w:val="nil"/>
            </w:tcBorders>
            <w:shd w:val="clear" w:color="000000" w:fill="FFFFFF"/>
            <w:hideMark/>
          </w:tcPr>
          <w:p w14:paraId="33807813"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Regional and/or Area Offices consult/engage with the Membership other than the Member States e.g. Sector Members, Academia, Associate Members? Are these engagements effective?</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628B34E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21%</w:t>
            </w:r>
          </w:p>
        </w:tc>
        <w:tc>
          <w:tcPr>
            <w:tcW w:w="627" w:type="dxa"/>
            <w:tcBorders>
              <w:top w:val="nil"/>
              <w:left w:val="nil"/>
              <w:bottom w:val="single" w:sz="4" w:space="0" w:color="auto"/>
              <w:right w:val="single" w:sz="4" w:space="0" w:color="D9D9D9"/>
            </w:tcBorders>
            <w:shd w:val="clear" w:color="000000" w:fill="FFFFFF"/>
            <w:noWrap/>
            <w:hideMark/>
          </w:tcPr>
          <w:p w14:paraId="117AB25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37%</w:t>
            </w:r>
          </w:p>
        </w:tc>
        <w:tc>
          <w:tcPr>
            <w:tcW w:w="627" w:type="dxa"/>
            <w:tcBorders>
              <w:top w:val="nil"/>
              <w:left w:val="nil"/>
              <w:bottom w:val="single" w:sz="4" w:space="0" w:color="auto"/>
              <w:right w:val="single" w:sz="4" w:space="0" w:color="D9D9D9"/>
            </w:tcBorders>
            <w:shd w:val="clear" w:color="000000" w:fill="FFFFFF"/>
            <w:noWrap/>
            <w:hideMark/>
          </w:tcPr>
          <w:p w14:paraId="2B1823D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nil"/>
              <w:left w:val="nil"/>
              <w:bottom w:val="single" w:sz="4" w:space="0" w:color="auto"/>
              <w:right w:val="single" w:sz="4" w:space="0" w:color="D9D9D9"/>
            </w:tcBorders>
            <w:shd w:val="clear" w:color="000000" w:fill="FFFFFF"/>
            <w:noWrap/>
            <w:hideMark/>
          </w:tcPr>
          <w:p w14:paraId="5824F64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auto"/>
              <w:right w:val="single" w:sz="4" w:space="0" w:color="D9D9D9"/>
            </w:tcBorders>
            <w:shd w:val="clear" w:color="000000" w:fill="FFFFFF"/>
            <w:noWrap/>
            <w:hideMark/>
          </w:tcPr>
          <w:p w14:paraId="1D09F57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auto"/>
              <w:right w:val="single" w:sz="2" w:space="0" w:color="auto"/>
            </w:tcBorders>
            <w:shd w:val="clear" w:color="000000" w:fill="FFFFFF"/>
            <w:noWrap/>
            <w:hideMark/>
          </w:tcPr>
          <w:p w14:paraId="2219A12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4C4747D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58%</w:t>
            </w:r>
          </w:p>
        </w:tc>
      </w:tr>
      <w:tr w:rsidR="0009624B" w:rsidRPr="00C444EA" w14:paraId="3FCA74DE" w14:textId="77777777" w:rsidTr="0009624B">
        <w:tc>
          <w:tcPr>
            <w:tcW w:w="663" w:type="dxa"/>
            <w:tcBorders>
              <w:top w:val="nil"/>
              <w:left w:val="nil"/>
              <w:bottom w:val="single" w:sz="4" w:space="0" w:color="auto"/>
              <w:right w:val="nil"/>
            </w:tcBorders>
            <w:shd w:val="clear" w:color="000000" w:fill="F2F2F2"/>
            <w:hideMark/>
          </w:tcPr>
          <w:p w14:paraId="3B29DEC0"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lastRenderedPageBreak/>
              <w:t>Q24</w:t>
            </w:r>
            <w:proofErr w:type="spellEnd"/>
          </w:p>
        </w:tc>
        <w:tc>
          <w:tcPr>
            <w:tcW w:w="4015" w:type="dxa"/>
            <w:tcBorders>
              <w:top w:val="nil"/>
              <w:left w:val="nil"/>
              <w:bottom w:val="single" w:sz="4" w:space="0" w:color="auto"/>
              <w:right w:val="nil"/>
            </w:tcBorders>
            <w:shd w:val="clear" w:color="000000" w:fill="F2F2F2"/>
            <w:hideMark/>
          </w:tcPr>
          <w:p w14:paraId="5053351B"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 There has been an improvement on strengthening the ITU Regional Presence following the implementation of relevant recommendations of the Internal Auditor, the External Auditor and the ITU Independent Management Advisory Committee (IMAC).</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23291FF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nil"/>
              <w:left w:val="nil"/>
              <w:bottom w:val="single" w:sz="4" w:space="0" w:color="auto"/>
              <w:right w:val="single" w:sz="4" w:space="0" w:color="D9D9D9"/>
            </w:tcBorders>
            <w:shd w:val="clear" w:color="000000" w:fill="F2F2F2"/>
            <w:noWrap/>
            <w:hideMark/>
          </w:tcPr>
          <w:p w14:paraId="7BBCAB7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46%</w:t>
            </w:r>
          </w:p>
        </w:tc>
        <w:tc>
          <w:tcPr>
            <w:tcW w:w="627" w:type="dxa"/>
            <w:tcBorders>
              <w:top w:val="nil"/>
              <w:left w:val="nil"/>
              <w:bottom w:val="single" w:sz="4" w:space="0" w:color="auto"/>
              <w:right w:val="single" w:sz="4" w:space="0" w:color="D9D9D9"/>
            </w:tcBorders>
            <w:shd w:val="clear" w:color="000000" w:fill="F2F2F2"/>
            <w:noWrap/>
            <w:hideMark/>
          </w:tcPr>
          <w:p w14:paraId="100BA2F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31%</w:t>
            </w:r>
          </w:p>
        </w:tc>
        <w:tc>
          <w:tcPr>
            <w:tcW w:w="627" w:type="dxa"/>
            <w:tcBorders>
              <w:top w:val="nil"/>
              <w:left w:val="nil"/>
              <w:bottom w:val="single" w:sz="4" w:space="0" w:color="auto"/>
              <w:right w:val="single" w:sz="4" w:space="0" w:color="D9D9D9"/>
            </w:tcBorders>
            <w:shd w:val="clear" w:color="000000" w:fill="F2F2F2"/>
            <w:noWrap/>
            <w:hideMark/>
          </w:tcPr>
          <w:p w14:paraId="2976CAC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15%</w:t>
            </w:r>
          </w:p>
        </w:tc>
        <w:tc>
          <w:tcPr>
            <w:tcW w:w="627" w:type="dxa"/>
            <w:tcBorders>
              <w:top w:val="nil"/>
              <w:left w:val="nil"/>
              <w:bottom w:val="single" w:sz="4" w:space="0" w:color="auto"/>
              <w:right w:val="single" w:sz="4" w:space="0" w:color="D9D9D9"/>
            </w:tcBorders>
            <w:shd w:val="clear" w:color="000000" w:fill="F2F2F2"/>
            <w:noWrap/>
            <w:hideMark/>
          </w:tcPr>
          <w:p w14:paraId="4D4EC66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auto"/>
              <w:right w:val="single" w:sz="2" w:space="0" w:color="auto"/>
            </w:tcBorders>
            <w:shd w:val="clear" w:color="000000" w:fill="F2F2F2"/>
            <w:noWrap/>
            <w:hideMark/>
          </w:tcPr>
          <w:p w14:paraId="621D620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1C45E0B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52%</w:t>
            </w:r>
          </w:p>
        </w:tc>
      </w:tr>
      <w:tr w:rsidR="0009624B" w:rsidRPr="00C444EA" w14:paraId="22829A83" w14:textId="77777777" w:rsidTr="0009624B">
        <w:tc>
          <w:tcPr>
            <w:tcW w:w="663" w:type="dxa"/>
            <w:tcBorders>
              <w:top w:val="nil"/>
              <w:left w:val="nil"/>
              <w:bottom w:val="single" w:sz="4" w:space="0" w:color="auto"/>
              <w:right w:val="nil"/>
            </w:tcBorders>
            <w:shd w:val="clear" w:color="000000" w:fill="FFFFFF"/>
            <w:hideMark/>
          </w:tcPr>
          <w:p w14:paraId="54F23ED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Q25</w:t>
            </w:r>
            <w:proofErr w:type="spellEnd"/>
          </w:p>
        </w:tc>
        <w:tc>
          <w:tcPr>
            <w:tcW w:w="4015" w:type="dxa"/>
            <w:tcBorders>
              <w:top w:val="nil"/>
              <w:left w:val="nil"/>
              <w:bottom w:val="single" w:sz="4" w:space="0" w:color="auto"/>
              <w:right w:val="nil"/>
            </w:tcBorders>
            <w:shd w:val="clear" w:color="000000" w:fill="FFFFFF"/>
            <w:hideMark/>
          </w:tcPr>
          <w:p w14:paraId="6C60AD6B"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current level of activities of the Regional and Area Offices in serving the needs of the Membership is satisfactory.</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53E9C56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nil"/>
              <w:left w:val="nil"/>
              <w:bottom w:val="single" w:sz="4" w:space="0" w:color="auto"/>
              <w:right w:val="single" w:sz="4" w:space="0" w:color="D9D9D9"/>
            </w:tcBorders>
            <w:shd w:val="clear" w:color="000000" w:fill="FFFFFF"/>
            <w:noWrap/>
            <w:hideMark/>
          </w:tcPr>
          <w:p w14:paraId="4A45D61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38%</w:t>
            </w:r>
          </w:p>
        </w:tc>
        <w:tc>
          <w:tcPr>
            <w:tcW w:w="627" w:type="dxa"/>
            <w:tcBorders>
              <w:top w:val="nil"/>
              <w:left w:val="nil"/>
              <w:bottom w:val="single" w:sz="4" w:space="0" w:color="auto"/>
              <w:right w:val="single" w:sz="4" w:space="0" w:color="D9D9D9"/>
            </w:tcBorders>
            <w:shd w:val="clear" w:color="000000" w:fill="FFFFFF"/>
            <w:noWrap/>
            <w:hideMark/>
          </w:tcPr>
          <w:p w14:paraId="7433A8A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nil"/>
              <w:left w:val="nil"/>
              <w:bottom w:val="single" w:sz="4" w:space="0" w:color="auto"/>
              <w:right w:val="single" w:sz="4" w:space="0" w:color="D9D9D9"/>
            </w:tcBorders>
            <w:shd w:val="clear" w:color="000000" w:fill="FFFFFF"/>
            <w:noWrap/>
            <w:hideMark/>
          </w:tcPr>
          <w:p w14:paraId="7CDA804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nil"/>
              <w:left w:val="nil"/>
              <w:bottom w:val="single" w:sz="4" w:space="0" w:color="auto"/>
              <w:right w:val="single" w:sz="4" w:space="0" w:color="D9D9D9"/>
            </w:tcBorders>
            <w:shd w:val="clear" w:color="000000" w:fill="FFFFFF"/>
            <w:noWrap/>
            <w:hideMark/>
          </w:tcPr>
          <w:p w14:paraId="65794EF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nil"/>
              <w:left w:val="nil"/>
              <w:bottom w:val="single" w:sz="4" w:space="0" w:color="auto"/>
              <w:right w:val="single" w:sz="2" w:space="0" w:color="auto"/>
            </w:tcBorders>
            <w:shd w:val="clear" w:color="000000" w:fill="FFFFFF"/>
            <w:noWrap/>
            <w:hideMark/>
          </w:tcPr>
          <w:p w14:paraId="79D6FB5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47765AB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48%</w:t>
            </w:r>
          </w:p>
        </w:tc>
      </w:tr>
      <w:tr w:rsidR="0009624B" w:rsidRPr="00C444EA" w14:paraId="3AE35D85" w14:textId="77777777" w:rsidTr="0009624B">
        <w:tc>
          <w:tcPr>
            <w:tcW w:w="663" w:type="dxa"/>
            <w:tcBorders>
              <w:top w:val="nil"/>
              <w:left w:val="nil"/>
              <w:bottom w:val="nil"/>
              <w:right w:val="nil"/>
            </w:tcBorders>
            <w:shd w:val="clear" w:color="000000" w:fill="F2F2F2"/>
            <w:hideMark/>
          </w:tcPr>
          <w:p w14:paraId="076E556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w:t>
            </w:r>
            <w:proofErr w:type="spellEnd"/>
          </w:p>
        </w:tc>
        <w:tc>
          <w:tcPr>
            <w:tcW w:w="4015" w:type="dxa"/>
            <w:tcBorders>
              <w:top w:val="nil"/>
              <w:left w:val="nil"/>
              <w:bottom w:val="single" w:sz="4" w:space="0" w:color="D9D9D9"/>
              <w:right w:val="nil"/>
            </w:tcBorders>
            <w:shd w:val="clear" w:color="000000" w:fill="F2F2F2"/>
            <w:hideMark/>
          </w:tcPr>
          <w:p w14:paraId="2ECE3026"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following mechanisms to set objectives (including communication mechanisms) and coordination, planning, and implementation between the Regional and Area Offices, and General Secretariat, the three (3) bureaux, and regional organizations enhance synergies in the coordination and communication of activities, projects and initiatives:</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3719E75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77CCBDA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0494DA0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5D7E270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2F2F2"/>
            <w:noWrap/>
            <w:hideMark/>
          </w:tcPr>
          <w:p w14:paraId="4BABE62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2" w:space="0" w:color="auto"/>
            </w:tcBorders>
            <w:shd w:val="clear" w:color="000000" w:fill="F2F2F2"/>
            <w:noWrap/>
            <w:hideMark/>
          </w:tcPr>
          <w:p w14:paraId="1CA918E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1E2CE1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09624B" w:rsidRPr="00C444EA" w14:paraId="7D3537BF" w14:textId="77777777" w:rsidTr="0009624B">
        <w:tc>
          <w:tcPr>
            <w:tcW w:w="663" w:type="dxa"/>
            <w:tcBorders>
              <w:top w:val="nil"/>
              <w:left w:val="nil"/>
              <w:bottom w:val="nil"/>
              <w:right w:val="nil"/>
            </w:tcBorders>
            <w:shd w:val="clear" w:color="000000" w:fill="F2F2F2"/>
            <w:hideMark/>
          </w:tcPr>
          <w:p w14:paraId="3F8781CC"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Q26_a</w:t>
            </w:r>
            <w:proofErr w:type="spellEnd"/>
          </w:p>
        </w:tc>
        <w:tc>
          <w:tcPr>
            <w:tcW w:w="4015" w:type="dxa"/>
            <w:tcBorders>
              <w:top w:val="nil"/>
              <w:left w:val="nil"/>
              <w:bottom w:val="single" w:sz="4" w:space="0" w:color="D9D9D9"/>
              <w:right w:val="nil"/>
            </w:tcBorders>
            <w:shd w:val="clear" w:color="000000" w:fill="F2F2F2"/>
            <w:hideMark/>
          </w:tcPr>
          <w:p w14:paraId="4C8B37B7"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 xml:space="preserve">Staff engagement in the development of </w:t>
            </w:r>
            <w:proofErr w:type="spellStart"/>
            <w:r w:rsidRPr="00C444EA">
              <w:rPr>
                <w:rFonts w:ascii="Aptos Narrow" w:hAnsi="Aptos Narrow"/>
                <w:color w:val="000000"/>
                <w:sz w:val="20"/>
                <w:lang w:eastAsia="en-GB"/>
              </w:rPr>
              <w:t>TDAG</w:t>
            </w:r>
            <w:proofErr w:type="spellEnd"/>
            <w:r w:rsidRPr="00C444EA">
              <w:rPr>
                <w:rFonts w:ascii="Aptos Narrow" w:hAnsi="Aptos Narrow"/>
                <w:color w:val="000000"/>
                <w:sz w:val="20"/>
                <w:lang w:eastAsia="en-GB"/>
              </w:rPr>
              <w:t xml:space="preserve"> </w:t>
            </w:r>
            <w:proofErr w:type="spellStart"/>
            <w:r w:rsidRPr="00C444EA">
              <w:rPr>
                <w:rFonts w:ascii="Aptos Narrow" w:hAnsi="Aptos Narrow"/>
                <w:color w:val="000000"/>
                <w:sz w:val="20"/>
                <w:lang w:eastAsia="en-GB"/>
              </w:rPr>
              <w:t>KPIs</w:t>
            </w:r>
            <w:proofErr w:type="spellEnd"/>
          </w:p>
        </w:tc>
        <w:tc>
          <w:tcPr>
            <w:tcW w:w="626" w:type="dxa"/>
            <w:tcBorders>
              <w:top w:val="nil"/>
              <w:left w:val="single" w:sz="4" w:space="0" w:color="auto"/>
              <w:bottom w:val="single" w:sz="4" w:space="0" w:color="D9D9D9"/>
              <w:right w:val="single" w:sz="4" w:space="0" w:color="D9D9D9"/>
            </w:tcBorders>
            <w:shd w:val="clear" w:color="000000" w:fill="F2F2F2"/>
            <w:noWrap/>
            <w:hideMark/>
          </w:tcPr>
          <w:p w14:paraId="13E541B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25%</w:t>
            </w:r>
          </w:p>
        </w:tc>
        <w:tc>
          <w:tcPr>
            <w:tcW w:w="627" w:type="dxa"/>
            <w:tcBorders>
              <w:top w:val="nil"/>
              <w:left w:val="nil"/>
              <w:bottom w:val="single" w:sz="4" w:space="0" w:color="D9D9D9"/>
              <w:right w:val="single" w:sz="4" w:space="0" w:color="D9D9D9"/>
            </w:tcBorders>
            <w:shd w:val="clear" w:color="000000" w:fill="F2F2F2"/>
            <w:noWrap/>
            <w:hideMark/>
          </w:tcPr>
          <w:p w14:paraId="5D1617D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c>
          <w:tcPr>
            <w:tcW w:w="627" w:type="dxa"/>
            <w:tcBorders>
              <w:top w:val="nil"/>
              <w:left w:val="nil"/>
              <w:bottom w:val="single" w:sz="4" w:space="0" w:color="D9D9D9"/>
              <w:right w:val="single" w:sz="4" w:space="0" w:color="D9D9D9"/>
            </w:tcBorders>
            <w:shd w:val="clear" w:color="000000" w:fill="F2F2F2"/>
            <w:noWrap/>
            <w:hideMark/>
          </w:tcPr>
          <w:p w14:paraId="339C71B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22%</w:t>
            </w:r>
          </w:p>
        </w:tc>
        <w:tc>
          <w:tcPr>
            <w:tcW w:w="627" w:type="dxa"/>
            <w:tcBorders>
              <w:top w:val="nil"/>
              <w:left w:val="nil"/>
              <w:bottom w:val="single" w:sz="4" w:space="0" w:color="D9D9D9"/>
              <w:right w:val="single" w:sz="4" w:space="0" w:color="D9D9D9"/>
            </w:tcBorders>
            <w:shd w:val="clear" w:color="000000" w:fill="F2F2F2"/>
            <w:noWrap/>
            <w:hideMark/>
          </w:tcPr>
          <w:p w14:paraId="13C3233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D9D9D9"/>
              <w:right w:val="single" w:sz="4" w:space="0" w:color="D9D9D9"/>
            </w:tcBorders>
            <w:shd w:val="clear" w:color="000000" w:fill="F2F2F2"/>
            <w:noWrap/>
            <w:hideMark/>
          </w:tcPr>
          <w:p w14:paraId="402AD57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nil"/>
              <w:bottom w:val="single" w:sz="4" w:space="0" w:color="D9D9D9"/>
              <w:right w:val="single" w:sz="2" w:space="0" w:color="auto"/>
            </w:tcBorders>
            <w:shd w:val="clear" w:color="000000" w:fill="F2F2F2"/>
            <w:noWrap/>
            <w:hideMark/>
          </w:tcPr>
          <w:p w14:paraId="464CF47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114ACA0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69%</w:t>
            </w:r>
          </w:p>
        </w:tc>
      </w:tr>
      <w:tr w:rsidR="0009624B" w:rsidRPr="00C444EA" w14:paraId="268C55F6" w14:textId="77777777" w:rsidTr="0009624B">
        <w:tc>
          <w:tcPr>
            <w:tcW w:w="663" w:type="dxa"/>
            <w:tcBorders>
              <w:top w:val="nil"/>
              <w:left w:val="nil"/>
              <w:bottom w:val="nil"/>
              <w:right w:val="nil"/>
            </w:tcBorders>
            <w:shd w:val="clear" w:color="000000" w:fill="F2F2F2"/>
            <w:hideMark/>
          </w:tcPr>
          <w:p w14:paraId="7DA885FB"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Q26_b</w:t>
            </w:r>
            <w:proofErr w:type="spellEnd"/>
          </w:p>
        </w:tc>
        <w:tc>
          <w:tcPr>
            <w:tcW w:w="4015" w:type="dxa"/>
            <w:tcBorders>
              <w:top w:val="nil"/>
              <w:left w:val="nil"/>
              <w:bottom w:val="single" w:sz="4" w:space="0" w:color="D9D9D9"/>
              <w:right w:val="nil"/>
            </w:tcBorders>
            <w:shd w:val="clear" w:color="000000" w:fill="F2F2F2"/>
            <w:hideMark/>
          </w:tcPr>
          <w:p w14:paraId="4528E818"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Regional and Area Offices Staff engagement with regional stakeholders during global, regional events</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4D5CA89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c>
          <w:tcPr>
            <w:tcW w:w="627" w:type="dxa"/>
            <w:tcBorders>
              <w:top w:val="nil"/>
              <w:left w:val="nil"/>
              <w:bottom w:val="single" w:sz="4" w:space="0" w:color="D9D9D9"/>
              <w:right w:val="single" w:sz="4" w:space="0" w:color="D9D9D9"/>
            </w:tcBorders>
            <w:shd w:val="clear" w:color="000000" w:fill="F2F2F2"/>
            <w:noWrap/>
            <w:hideMark/>
          </w:tcPr>
          <w:p w14:paraId="76BBF0A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59%</w:t>
            </w:r>
          </w:p>
        </w:tc>
        <w:tc>
          <w:tcPr>
            <w:tcW w:w="627" w:type="dxa"/>
            <w:tcBorders>
              <w:top w:val="nil"/>
              <w:left w:val="nil"/>
              <w:bottom w:val="single" w:sz="4" w:space="0" w:color="D9D9D9"/>
              <w:right w:val="single" w:sz="4" w:space="0" w:color="D9D9D9"/>
            </w:tcBorders>
            <w:shd w:val="clear" w:color="000000" w:fill="F2F2F2"/>
            <w:noWrap/>
            <w:hideMark/>
          </w:tcPr>
          <w:p w14:paraId="230C546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12%</w:t>
            </w:r>
          </w:p>
        </w:tc>
        <w:tc>
          <w:tcPr>
            <w:tcW w:w="627" w:type="dxa"/>
            <w:tcBorders>
              <w:top w:val="nil"/>
              <w:left w:val="nil"/>
              <w:bottom w:val="single" w:sz="4" w:space="0" w:color="D9D9D9"/>
              <w:right w:val="single" w:sz="4" w:space="0" w:color="D9D9D9"/>
            </w:tcBorders>
            <w:shd w:val="clear" w:color="000000" w:fill="F2F2F2"/>
            <w:noWrap/>
            <w:hideMark/>
          </w:tcPr>
          <w:p w14:paraId="2B0E67C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nil"/>
              <w:bottom w:val="single" w:sz="4" w:space="0" w:color="D9D9D9"/>
              <w:right w:val="single" w:sz="4" w:space="0" w:color="D9D9D9"/>
            </w:tcBorders>
            <w:shd w:val="clear" w:color="000000" w:fill="F2F2F2"/>
            <w:noWrap/>
            <w:hideMark/>
          </w:tcPr>
          <w:p w14:paraId="62B11DC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2F2F2"/>
            <w:noWrap/>
            <w:hideMark/>
          </w:tcPr>
          <w:p w14:paraId="3FCF5FB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11989B5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83%</w:t>
            </w:r>
          </w:p>
        </w:tc>
      </w:tr>
      <w:tr w:rsidR="0009624B" w:rsidRPr="00C444EA" w14:paraId="187982CD" w14:textId="77777777" w:rsidTr="0009624B">
        <w:tc>
          <w:tcPr>
            <w:tcW w:w="663" w:type="dxa"/>
            <w:tcBorders>
              <w:top w:val="nil"/>
              <w:left w:val="nil"/>
              <w:bottom w:val="nil"/>
              <w:right w:val="nil"/>
            </w:tcBorders>
            <w:shd w:val="clear" w:color="000000" w:fill="F2F2F2"/>
            <w:hideMark/>
          </w:tcPr>
          <w:p w14:paraId="70CA93C8"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Q26_c</w:t>
            </w:r>
            <w:proofErr w:type="spellEnd"/>
          </w:p>
        </w:tc>
        <w:tc>
          <w:tcPr>
            <w:tcW w:w="4015" w:type="dxa"/>
            <w:tcBorders>
              <w:top w:val="nil"/>
              <w:left w:val="nil"/>
              <w:bottom w:val="single" w:sz="4" w:space="0" w:color="D9D9D9"/>
              <w:right w:val="nil"/>
            </w:tcBorders>
            <w:shd w:val="clear" w:color="000000" w:fill="F2F2F2"/>
            <w:hideMark/>
          </w:tcPr>
          <w:p w14:paraId="2694628F"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Participation of members in regional activities, global ITU-D/ITU-T/ITU-R events and the working activities of the 3 sectors</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2595C80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24%</w:t>
            </w:r>
          </w:p>
        </w:tc>
        <w:tc>
          <w:tcPr>
            <w:tcW w:w="627" w:type="dxa"/>
            <w:tcBorders>
              <w:top w:val="nil"/>
              <w:left w:val="nil"/>
              <w:bottom w:val="single" w:sz="4" w:space="0" w:color="D9D9D9"/>
              <w:right w:val="single" w:sz="4" w:space="0" w:color="D9D9D9"/>
            </w:tcBorders>
            <w:shd w:val="clear" w:color="000000" w:fill="F2F2F2"/>
            <w:noWrap/>
            <w:hideMark/>
          </w:tcPr>
          <w:p w14:paraId="7E27008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57%</w:t>
            </w:r>
          </w:p>
        </w:tc>
        <w:tc>
          <w:tcPr>
            <w:tcW w:w="627" w:type="dxa"/>
            <w:tcBorders>
              <w:top w:val="nil"/>
              <w:left w:val="nil"/>
              <w:bottom w:val="single" w:sz="4" w:space="0" w:color="D9D9D9"/>
              <w:right w:val="single" w:sz="4" w:space="0" w:color="D9D9D9"/>
            </w:tcBorders>
            <w:shd w:val="clear" w:color="000000" w:fill="F2F2F2"/>
            <w:noWrap/>
            <w:hideMark/>
          </w:tcPr>
          <w:p w14:paraId="394CAC1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13%</w:t>
            </w:r>
          </w:p>
        </w:tc>
        <w:tc>
          <w:tcPr>
            <w:tcW w:w="627" w:type="dxa"/>
            <w:tcBorders>
              <w:top w:val="nil"/>
              <w:left w:val="nil"/>
              <w:bottom w:val="single" w:sz="4" w:space="0" w:color="D9D9D9"/>
              <w:right w:val="single" w:sz="4" w:space="0" w:color="D9D9D9"/>
            </w:tcBorders>
            <w:shd w:val="clear" w:color="000000" w:fill="F2F2F2"/>
            <w:noWrap/>
            <w:hideMark/>
          </w:tcPr>
          <w:p w14:paraId="4D72AED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w:t>
            </w:r>
          </w:p>
        </w:tc>
        <w:tc>
          <w:tcPr>
            <w:tcW w:w="627" w:type="dxa"/>
            <w:tcBorders>
              <w:top w:val="nil"/>
              <w:left w:val="nil"/>
              <w:bottom w:val="single" w:sz="4" w:space="0" w:color="D9D9D9"/>
              <w:right w:val="single" w:sz="4" w:space="0" w:color="D9D9D9"/>
            </w:tcBorders>
            <w:shd w:val="clear" w:color="000000" w:fill="F2F2F2"/>
            <w:noWrap/>
            <w:hideMark/>
          </w:tcPr>
          <w:p w14:paraId="43AB638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2F2F2"/>
            <w:noWrap/>
            <w:hideMark/>
          </w:tcPr>
          <w:p w14:paraId="2116D71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0446500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81%</w:t>
            </w:r>
          </w:p>
        </w:tc>
      </w:tr>
      <w:tr w:rsidR="0009624B" w:rsidRPr="00C444EA" w14:paraId="62BDC052" w14:textId="77777777" w:rsidTr="0009624B">
        <w:tc>
          <w:tcPr>
            <w:tcW w:w="663" w:type="dxa"/>
            <w:tcBorders>
              <w:top w:val="nil"/>
              <w:left w:val="nil"/>
              <w:bottom w:val="nil"/>
              <w:right w:val="nil"/>
            </w:tcBorders>
            <w:shd w:val="clear" w:color="000000" w:fill="F2F2F2"/>
            <w:hideMark/>
          </w:tcPr>
          <w:p w14:paraId="089BACEC"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Q26_d</w:t>
            </w:r>
            <w:proofErr w:type="spellEnd"/>
          </w:p>
        </w:tc>
        <w:tc>
          <w:tcPr>
            <w:tcW w:w="4015" w:type="dxa"/>
            <w:tcBorders>
              <w:top w:val="nil"/>
              <w:left w:val="nil"/>
              <w:bottom w:val="single" w:sz="4" w:space="0" w:color="D9D9D9"/>
              <w:right w:val="nil"/>
            </w:tcBorders>
            <w:shd w:val="clear" w:color="000000" w:fill="F2F2F2"/>
            <w:hideMark/>
          </w:tcPr>
          <w:p w14:paraId="574580EC"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 xml:space="preserve">Evaluation of progress on relevant </w:t>
            </w:r>
            <w:proofErr w:type="spellStart"/>
            <w:r w:rsidRPr="00C444EA">
              <w:rPr>
                <w:rFonts w:ascii="Aptos Narrow" w:hAnsi="Aptos Narrow"/>
                <w:color w:val="000000"/>
                <w:sz w:val="20"/>
                <w:lang w:eastAsia="en-GB"/>
              </w:rPr>
              <w:t>KPIs</w:t>
            </w:r>
            <w:proofErr w:type="spellEnd"/>
            <w:r w:rsidRPr="00C444EA">
              <w:rPr>
                <w:rFonts w:ascii="Aptos Narrow" w:hAnsi="Aptos Narrow"/>
                <w:color w:val="000000"/>
                <w:sz w:val="20"/>
                <w:lang w:eastAsia="en-GB"/>
              </w:rPr>
              <w:t xml:space="preserve"> and identification of internal and external issues and challenges associated with implementation that impact the ability/feasibility of the Regional Presence in</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206FB78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nil"/>
              <w:left w:val="nil"/>
              <w:bottom w:val="single" w:sz="4" w:space="0" w:color="D9D9D9"/>
              <w:right w:val="single" w:sz="4" w:space="0" w:color="D9D9D9"/>
            </w:tcBorders>
            <w:shd w:val="clear" w:color="000000" w:fill="F2F2F2"/>
            <w:noWrap/>
            <w:hideMark/>
          </w:tcPr>
          <w:p w14:paraId="78DF743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c>
          <w:tcPr>
            <w:tcW w:w="627" w:type="dxa"/>
            <w:tcBorders>
              <w:top w:val="nil"/>
              <w:left w:val="nil"/>
              <w:bottom w:val="single" w:sz="4" w:space="0" w:color="D9D9D9"/>
              <w:right w:val="single" w:sz="4" w:space="0" w:color="D9D9D9"/>
            </w:tcBorders>
            <w:shd w:val="clear" w:color="000000" w:fill="F2F2F2"/>
            <w:noWrap/>
            <w:hideMark/>
          </w:tcPr>
          <w:p w14:paraId="2F79CC6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27%</w:t>
            </w:r>
          </w:p>
        </w:tc>
        <w:tc>
          <w:tcPr>
            <w:tcW w:w="627" w:type="dxa"/>
            <w:tcBorders>
              <w:top w:val="nil"/>
              <w:left w:val="nil"/>
              <w:bottom w:val="single" w:sz="4" w:space="0" w:color="D9D9D9"/>
              <w:right w:val="single" w:sz="4" w:space="0" w:color="D9D9D9"/>
            </w:tcBorders>
            <w:shd w:val="clear" w:color="000000" w:fill="F2F2F2"/>
            <w:noWrap/>
            <w:hideMark/>
          </w:tcPr>
          <w:p w14:paraId="6EA3594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9%</w:t>
            </w:r>
          </w:p>
        </w:tc>
        <w:tc>
          <w:tcPr>
            <w:tcW w:w="627" w:type="dxa"/>
            <w:tcBorders>
              <w:top w:val="nil"/>
              <w:left w:val="nil"/>
              <w:bottom w:val="single" w:sz="4" w:space="0" w:color="D9D9D9"/>
              <w:right w:val="single" w:sz="4" w:space="0" w:color="D9D9D9"/>
            </w:tcBorders>
            <w:shd w:val="clear" w:color="000000" w:fill="F2F2F2"/>
            <w:noWrap/>
            <w:hideMark/>
          </w:tcPr>
          <w:p w14:paraId="0BA47B5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2F2F2"/>
            <w:noWrap/>
            <w:hideMark/>
          </w:tcPr>
          <w:p w14:paraId="401C9957"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2433653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63%</w:t>
            </w:r>
          </w:p>
        </w:tc>
      </w:tr>
      <w:tr w:rsidR="0009624B" w:rsidRPr="00C444EA" w14:paraId="4629AF4A" w14:textId="77777777" w:rsidTr="0009624B">
        <w:tc>
          <w:tcPr>
            <w:tcW w:w="663" w:type="dxa"/>
            <w:tcBorders>
              <w:top w:val="nil"/>
              <w:left w:val="nil"/>
              <w:bottom w:val="nil"/>
              <w:right w:val="nil"/>
            </w:tcBorders>
            <w:shd w:val="clear" w:color="000000" w:fill="F2F2F2"/>
            <w:hideMark/>
          </w:tcPr>
          <w:p w14:paraId="2487FA7C"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Q26_e</w:t>
            </w:r>
            <w:proofErr w:type="spellEnd"/>
          </w:p>
        </w:tc>
        <w:tc>
          <w:tcPr>
            <w:tcW w:w="4015" w:type="dxa"/>
            <w:tcBorders>
              <w:top w:val="nil"/>
              <w:left w:val="nil"/>
              <w:bottom w:val="single" w:sz="4" w:space="0" w:color="D9D9D9"/>
              <w:right w:val="nil"/>
            </w:tcBorders>
            <w:shd w:val="clear" w:color="000000" w:fill="F2F2F2"/>
            <w:hideMark/>
          </w:tcPr>
          <w:p w14:paraId="0FA121B8"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Providing adequate information on the ITU Regional Presence (staffing, financial, implementation of activities) in annual/periodic reporting to the Directors of the 3 bureaux, Advisory Bodies and Coun</w:t>
            </w:r>
          </w:p>
        </w:tc>
        <w:tc>
          <w:tcPr>
            <w:tcW w:w="626" w:type="dxa"/>
            <w:tcBorders>
              <w:top w:val="nil"/>
              <w:left w:val="single" w:sz="4" w:space="0" w:color="auto"/>
              <w:bottom w:val="single" w:sz="4" w:space="0" w:color="D9D9D9"/>
              <w:right w:val="single" w:sz="4" w:space="0" w:color="D9D9D9"/>
            </w:tcBorders>
            <w:shd w:val="clear" w:color="000000" w:fill="F2F2F2"/>
            <w:noWrap/>
            <w:hideMark/>
          </w:tcPr>
          <w:p w14:paraId="33974BF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c>
          <w:tcPr>
            <w:tcW w:w="627" w:type="dxa"/>
            <w:tcBorders>
              <w:top w:val="nil"/>
              <w:left w:val="nil"/>
              <w:bottom w:val="single" w:sz="4" w:space="0" w:color="D9D9D9"/>
              <w:right w:val="single" w:sz="4" w:space="0" w:color="D9D9D9"/>
            </w:tcBorders>
            <w:shd w:val="clear" w:color="000000" w:fill="F2F2F2"/>
            <w:noWrap/>
            <w:hideMark/>
          </w:tcPr>
          <w:p w14:paraId="4E49039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50%</w:t>
            </w:r>
          </w:p>
        </w:tc>
        <w:tc>
          <w:tcPr>
            <w:tcW w:w="627" w:type="dxa"/>
            <w:tcBorders>
              <w:top w:val="nil"/>
              <w:left w:val="nil"/>
              <w:bottom w:val="single" w:sz="4" w:space="0" w:color="D9D9D9"/>
              <w:right w:val="single" w:sz="4" w:space="0" w:color="D9D9D9"/>
            </w:tcBorders>
            <w:shd w:val="clear" w:color="000000" w:fill="F2F2F2"/>
            <w:noWrap/>
            <w:hideMark/>
          </w:tcPr>
          <w:p w14:paraId="621B83A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17%</w:t>
            </w:r>
          </w:p>
        </w:tc>
        <w:tc>
          <w:tcPr>
            <w:tcW w:w="627" w:type="dxa"/>
            <w:tcBorders>
              <w:top w:val="nil"/>
              <w:left w:val="nil"/>
              <w:bottom w:val="single" w:sz="4" w:space="0" w:color="D9D9D9"/>
              <w:right w:val="single" w:sz="4" w:space="0" w:color="D9D9D9"/>
            </w:tcBorders>
            <w:shd w:val="clear" w:color="000000" w:fill="F2F2F2"/>
            <w:noWrap/>
            <w:hideMark/>
          </w:tcPr>
          <w:p w14:paraId="5497A38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w:t>
            </w:r>
          </w:p>
        </w:tc>
        <w:tc>
          <w:tcPr>
            <w:tcW w:w="627" w:type="dxa"/>
            <w:tcBorders>
              <w:top w:val="nil"/>
              <w:left w:val="nil"/>
              <w:bottom w:val="single" w:sz="4" w:space="0" w:color="D9D9D9"/>
              <w:right w:val="single" w:sz="4" w:space="0" w:color="D9D9D9"/>
            </w:tcBorders>
            <w:shd w:val="clear" w:color="000000" w:fill="F2F2F2"/>
            <w:noWrap/>
            <w:hideMark/>
          </w:tcPr>
          <w:p w14:paraId="5869021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nil"/>
              <w:bottom w:val="single" w:sz="4" w:space="0" w:color="D9D9D9"/>
              <w:right w:val="single" w:sz="2" w:space="0" w:color="auto"/>
            </w:tcBorders>
            <w:shd w:val="clear" w:color="000000" w:fill="F2F2F2"/>
            <w:noWrap/>
            <w:hideMark/>
          </w:tcPr>
          <w:p w14:paraId="4F818E2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single" w:sz="2" w:space="0" w:color="auto"/>
              <w:bottom w:val="single" w:sz="4" w:space="0" w:color="D9D9D9"/>
              <w:right w:val="single" w:sz="4" w:space="0" w:color="auto"/>
            </w:tcBorders>
            <w:shd w:val="clear" w:color="000000" w:fill="F2F2F2"/>
            <w:noWrap/>
            <w:hideMark/>
          </w:tcPr>
          <w:p w14:paraId="38378D0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73%</w:t>
            </w:r>
          </w:p>
        </w:tc>
      </w:tr>
      <w:tr w:rsidR="0009624B" w:rsidRPr="00C444EA" w14:paraId="4915BD95" w14:textId="77777777" w:rsidTr="0009624B">
        <w:tc>
          <w:tcPr>
            <w:tcW w:w="663" w:type="dxa"/>
            <w:tcBorders>
              <w:top w:val="nil"/>
              <w:left w:val="nil"/>
              <w:bottom w:val="nil"/>
              <w:right w:val="nil"/>
            </w:tcBorders>
            <w:shd w:val="clear" w:color="000000" w:fill="F2F2F2"/>
            <w:hideMark/>
          </w:tcPr>
          <w:p w14:paraId="483685BF"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Q26_f</w:t>
            </w:r>
            <w:proofErr w:type="spellEnd"/>
          </w:p>
        </w:tc>
        <w:tc>
          <w:tcPr>
            <w:tcW w:w="4015" w:type="dxa"/>
            <w:tcBorders>
              <w:top w:val="nil"/>
              <w:left w:val="nil"/>
              <w:bottom w:val="single" w:sz="4" w:space="0" w:color="auto"/>
              <w:right w:val="nil"/>
            </w:tcBorders>
            <w:shd w:val="clear" w:color="000000" w:fill="F2F2F2"/>
            <w:hideMark/>
          </w:tcPr>
          <w:p w14:paraId="6EB5BE62"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Participation of staff in regional activities, global ITU-D/ITU-T/ITU-R events and the working activities of the 3 sectors</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4D55B92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23%</w:t>
            </w:r>
          </w:p>
        </w:tc>
        <w:tc>
          <w:tcPr>
            <w:tcW w:w="627" w:type="dxa"/>
            <w:tcBorders>
              <w:top w:val="nil"/>
              <w:left w:val="nil"/>
              <w:bottom w:val="single" w:sz="4" w:space="0" w:color="auto"/>
              <w:right w:val="single" w:sz="4" w:space="0" w:color="D9D9D9"/>
            </w:tcBorders>
            <w:shd w:val="clear" w:color="000000" w:fill="F2F2F2"/>
            <w:noWrap/>
            <w:hideMark/>
          </w:tcPr>
          <w:p w14:paraId="6CADCBB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46%</w:t>
            </w:r>
          </w:p>
        </w:tc>
        <w:tc>
          <w:tcPr>
            <w:tcW w:w="627" w:type="dxa"/>
            <w:tcBorders>
              <w:top w:val="nil"/>
              <w:left w:val="nil"/>
              <w:bottom w:val="single" w:sz="4" w:space="0" w:color="auto"/>
              <w:right w:val="single" w:sz="4" w:space="0" w:color="D9D9D9"/>
            </w:tcBorders>
            <w:shd w:val="clear" w:color="000000" w:fill="F2F2F2"/>
            <w:noWrap/>
            <w:hideMark/>
          </w:tcPr>
          <w:p w14:paraId="626BFEB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18%</w:t>
            </w:r>
          </w:p>
        </w:tc>
        <w:tc>
          <w:tcPr>
            <w:tcW w:w="627" w:type="dxa"/>
            <w:tcBorders>
              <w:top w:val="nil"/>
              <w:left w:val="nil"/>
              <w:bottom w:val="single" w:sz="4" w:space="0" w:color="auto"/>
              <w:right w:val="single" w:sz="4" w:space="0" w:color="D9D9D9"/>
            </w:tcBorders>
            <w:shd w:val="clear" w:color="000000" w:fill="F2F2F2"/>
            <w:noWrap/>
            <w:hideMark/>
          </w:tcPr>
          <w:p w14:paraId="6416D1E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11%</w:t>
            </w:r>
          </w:p>
        </w:tc>
        <w:tc>
          <w:tcPr>
            <w:tcW w:w="627" w:type="dxa"/>
            <w:tcBorders>
              <w:top w:val="nil"/>
              <w:left w:val="nil"/>
              <w:bottom w:val="single" w:sz="4" w:space="0" w:color="auto"/>
              <w:right w:val="single" w:sz="4" w:space="0" w:color="D9D9D9"/>
            </w:tcBorders>
            <w:shd w:val="clear" w:color="000000" w:fill="F2F2F2"/>
            <w:noWrap/>
            <w:hideMark/>
          </w:tcPr>
          <w:p w14:paraId="5A7F393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auto"/>
              <w:right w:val="single" w:sz="2" w:space="0" w:color="auto"/>
            </w:tcBorders>
            <w:shd w:val="clear" w:color="000000" w:fill="F2F2F2"/>
            <w:noWrap/>
            <w:hideMark/>
          </w:tcPr>
          <w:p w14:paraId="5DC3234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222D90B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69%</w:t>
            </w:r>
          </w:p>
        </w:tc>
      </w:tr>
      <w:tr w:rsidR="0009624B" w:rsidRPr="00C444EA" w14:paraId="6FFAD78E" w14:textId="77777777" w:rsidTr="0009624B">
        <w:tc>
          <w:tcPr>
            <w:tcW w:w="663" w:type="dxa"/>
            <w:tcBorders>
              <w:top w:val="single" w:sz="4" w:space="0" w:color="auto"/>
              <w:left w:val="nil"/>
              <w:bottom w:val="nil"/>
              <w:right w:val="nil"/>
            </w:tcBorders>
            <w:shd w:val="clear" w:color="000000" w:fill="FFFFFF"/>
            <w:hideMark/>
          </w:tcPr>
          <w:p w14:paraId="6216D5B1"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Q28</w:t>
            </w:r>
            <w:proofErr w:type="spellEnd"/>
          </w:p>
        </w:tc>
        <w:tc>
          <w:tcPr>
            <w:tcW w:w="4015" w:type="dxa"/>
            <w:tcBorders>
              <w:top w:val="nil"/>
              <w:left w:val="nil"/>
              <w:bottom w:val="single" w:sz="4" w:space="0" w:color="D9D9D9"/>
              <w:right w:val="nil"/>
            </w:tcBorders>
            <w:shd w:val="clear" w:color="000000" w:fill="FFFFFF"/>
            <w:hideMark/>
          </w:tcPr>
          <w:p w14:paraId="2110DBF7"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The following are challenges in Strengthening ITU Regional Presence:</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1ED3657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2EE7DB00"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0FC949E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3824A73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4" w:space="0" w:color="D9D9D9"/>
            </w:tcBorders>
            <w:shd w:val="clear" w:color="000000" w:fill="FFFFFF"/>
            <w:noWrap/>
            <w:hideMark/>
          </w:tcPr>
          <w:p w14:paraId="712EC3D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nil"/>
              <w:bottom w:val="single" w:sz="4" w:space="0" w:color="D9D9D9"/>
              <w:right w:val="single" w:sz="2" w:space="0" w:color="auto"/>
            </w:tcBorders>
            <w:shd w:val="clear" w:color="000000" w:fill="FFFFFF"/>
            <w:noWrap/>
            <w:hideMark/>
          </w:tcPr>
          <w:p w14:paraId="2A1BDC0F"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09D5F3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 </w:t>
            </w:r>
          </w:p>
        </w:tc>
      </w:tr>
      <w:tr w:rsidR="0009624B" w:rsidRPr="00C444EA" w14:paraId="7C9F60B1" w14:textId="77777777" w:rsidTr="0009624B">
        <w:tc>
          <w:tcPr>
            <w:tcW w:w="663" w:type="dxa"/>
            <w:tcBorders>
              <w:top w:val="nil"/>
              <w:left w:val="nil"/>
              <w:bottom w:val="nil"/>
              <w:right w:val="nil"/>
            </w:tcBorders>
            <w:shd w:val="clear" w:color="000000" w:fill="FFFFFF"/>
            <w:hideMark/>
          </w:tcPr>
          <w:p w14:paraId="052C5F58"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Q28_a</w:t>
            </w:r>
            <w:proofErr w:type="spellEnd"/>
          </w:p>
        </w:tc>
        <w:tc>
          <w:tcPr>
            <w:tcW w:w="4015" w:type="dxa"/>
            <w:tcBorders>
              <w:top w:val="nil"/>
              <w:left w:val="nil"/>
              <w:bottom w:val="single" w:sz="4" w:space="0" w:color="D9D9D9"/>
              <w:right w:val="nil"/>
            </w:tcBorders>
            <w:shd w:val="clear" w:color="000000" w:fill="FFFFFF"/>
            <w:hideMark/>
          </w:tcPr>
          <w:p w14:paraId="12527715"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Financial constraints</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00AF186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41%</w:t>
            </w:r>
          </w:p>
        </w:tc>
        <w:tc>
          <w:tcPr>
            <w:tcW w:w="627" w:type="dxa"/>
            <w:tcBorders>
              <w:top w:val="nil"/>
              <w:left w:val="nil"/>
              <w:bottom w:val="single" w:sz="4" w:space="0" w:color="D9D9D9"/>
              <w:right w:val="single" w:sz="4" w:space="0" w:color="D9D9D9"/>
            </w:tcBorders>
            <w:shd w:val="clear" w:color="000000" w:fill="FFFFFF"/>
            <w:noWrap/>
            <w:hideMark/>
          </w:tcPr>
          <w:p w14:paraId="5846FA1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42%</w:t>
            </w:r>
          </w:p>
        </w:tc>
        <w:tc>
          <w:tcPr>
            <w:tcW w:w="627" w:type="dxa"/>
            <w:tcBorders>
              <w:top w:val="nil"/>
              <w:left w:val="nil"/>
              <w:bottom w:val="single" w:sz="4" w:space="0" w:color="D9D9D9"/>
              <w:right w:val="single" w:sz="4" w:space="0" w:color="D9D9D9"/>
            </w:tcBorders>
            <w:shd w:val="clear" w:color="000000" w:fill="FFFFFF"/>
            <w:noWrap/>
            <w:hideMark/>
          </w:tcPr>
          <w:p w14:paraId="35F5D8D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D9D9D9"/>
              <w:right w:val="single" w:sz="4" w:space="0" w:color="D9D9D9"/>
            </w:tcBorders>
            <w:shd w:val="clear" w:color="000000" w:fill="FFFFFF"/>
            <w:noWrap/>
            <w:hideMark/>
          </w:tcPr>
          <w:p w14:paraId="338C9F2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7%</w:t>
            </w:r>
          </w:p>
        </w:tc>
        <w:tc>
          <w:tcPr>
            <w:tcW w:w="627" w:type="dxa"/>
            <w:tcBorders>
              <w:top w:val="nil"/>
              <w:left w:val="nil"/>
              <w:bottom w:val="single" w:sz="4" w:space="0" w:color="D9D9D9"/>
              <w:right w:val="single" w:sz="4" w:space="0" w:color="D9D9D9"/>
            </w:tcBorders>
            <w:shd w:val="clear" w:color="000000" w:fill="FFFFFF"/>
            <w:noWrap/>
            <w:hideMark/>
          </w:tcPr>
          <w:p w14:paraId="34C255F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nil"/>
              <w:bottom w:val="single" w:sz="4" w:space="0" w:color="D9D9D9"/>
              <w:right w:val="single" w:sz="2" w:space="0" w:color="auto"/>
            </w:tcBorders>
            <w:shd w:val="clear" w:color="000000" w:fill="FFFFFF"/>
            <w:noWrap/>
            <w:hideMark/>
          </w:tcPr>
          <w:p w14:paraId="1E6994F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5383A6B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83%</w:t>
            </w:r>
          </w:p>
        </w:tc>
      </w:tr>
      <w:tr w:rsidR="0009624B" w:rsidRPr="00C444EA" w14:paraId="39BB4F09" w14:textId="77777777" w:rsidTr="0009624B">
        <w:tc>
          <w:tcPr>
            <w:tcW w:w="663" w:type="dxa"/>
            <w:tcBorders>
              <w:top w:val="nil"/>
              <w:left w:val="nil"/>
              <w:bottom w:val="nil"/>
              <w:right w:val="nil"/>
            </w:tcBorders>
            <w:shd w:val="clear" w:color="000000" w:fill="FFFFFF"/>
            <w:hideMark/>
          </w:tcPr>
          <w:p w14:paraId="094D5892"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Q28_b</w:t>
            </w:r>
            <w:proofErr w:type="spellEnd"/>
          </w:p>
        </w:tc>
        <w:tc>
          <w:tcPr>
            <w:tcW w:w="4015" w:type="dxa"/>
            <w:tcBorders>
              <w:top w:val="nil"/>
              <w:left w:val="nil"/>
              <w:bottom w:val="single" w:sz="4" w:space="0" w:color="D9D9D9"/>
              <w:right w:val="nil"/>
            </w:tcBorders>
            <w:shd w:val="clear" w:color="000000" w:fill="FFFFFF"/>
            <w:hideMark/>
          </w:tcPr>
          <w:p w14:paraId="774B8CA9" w14:textId="77777777" w:rsidR="00757BE9" w:rsidRPr="00C444EA" w:rsidRDefault="00757BE9">
            <w:pPr>
              <w:ind w:firstLineChars="100" w:firstLine="200"/>
              <w:rPr>
                <w:rFonts w:ascii="Aptos Narrow" w:hAnsi="Aptos Narrow"/>
                <w:color w:val="000000"/>
                <w:sz w:val="20"/>
                <w:lang w:eastAsia="en-GB"/>
              </w:rPr>
            </w:pPr>
            <w:r w:rsidRPr="00C444EA">
              <w:rPr>
                <w:rFonts w:ascii="Aptos Narrow" w:hAnsi="Aptos Narrow"/>
                <w:color w:val="000000"/>
                <w:sz w:val="20"/>
                <w:lang w:eastAsia="en-GB"/>
              </w:rPr>
              <w:t>Limited human resource capacity</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2860355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51%</w:t>
            </w:r>
          </w:p>
        </w:tc>
        <w:tc>
          <w:tcPr>
            <w:tcW w:w="627" w:type="dxa"/>
            <w:tcBorders>
              <w:top w:val="nil"/>
              <w:left w:val="nil"/>
              <w:bottom w:val="single" w:sz="4" w:space="0" w:color="D9D9D9"/>
              <w:right w:val="single" w:sz="4" w:space="0" w:color="D9D9D9"/>
            </w:tcBorders>
            <w:shd w:val="clear" w:color="000000" w:fill="FFFFFF"/>
            <w:noWrap/>
            <w:hideMark/>
          </w:tcPr>
          <w:p w14:paraId="0DEC284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35%</w:t>
            </w:r>
          </w:p>
        </w:tc>
        <w:tc>
          <w:tcPr>
            <w:tcW w:w="627" w:type="dxa"/>
            <w:tcBorders>
              <w:top w:val="nil"/>
              <w:left w:val="nil"/>
              <w:bottom w:val="single" w:sz="4" w:space="0" w:color="D9D9D9"/>
              <w:right w:val="single" w:sz="4" w:space="0" w:color="D9D9D9"/>
            </w:tcBorders>
            <w:shd w:val="clear" w:color="000000" w:fill="FFFFFF"/>
            <w:noWrap/>
            <w:hideMark/>
          </w:tcPr>
          <w:p w14:paraId="37D2BA96"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w:t>
            </w:r>
          </w:p>
        </w:tc>
        <w:tc>
          <w:tcPr>
            <w:tcW w:w="627" w:type="dxa"/>
            <w:tcBorders>
              <w:top w:val="nil"/>
              <w:left w:val="nil"/>
              <w:bottom w:val="single" w:sz="4" w:space="0" w:color="D9D9D9"/>
              <w:right w:val="single" w:sz="4" w:space="0" w:color="D9D9D9"/>
            </w:tcBorders>
            <w:shd w:val="clear" w:color="000000" w:fill="FFFFFF"/>
            <w:noWrap/>
            <w:hideMark/>
          </w:tcPr>
          <w:p w14:paraId="2A4CD13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5%</w:t>
            </w:r>
          </w:p>
        </w:tc>
        <w:tc>
          <w:tcPr>
            <w:tcW w:w="627" w:type="dxa"/>
            <w:tcBorders>
              <w:top w:val="nil"/>
              <w:left w:val="nil"/>
              <w:bottom w:val="single" w:sz="4" w:space="0" w:color="D9D9D9"/>
              <w:right w:val="single" w:sz="4" w:space="0" w:color="D9D9D9"/>
            </w:tcBorders>
            <w:shd w:val="clear" w:color="000000" w:fill="FFFFFF"/>
            <w:noWrap/>
            <w:hideMark/>
          </w:tcPr>
          <w:p w14:paraId="6002810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FFFFF"/>
            <w:noWrap/>
            <w:hideMark/>
          </w:tcPr>
          <w:p w14:paraId="5B1C817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6F9ECA1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86%</w:t>
            </w:r>
          </w:p>
        </w:tc>
      </w:tr>
      <w:tr w:rsidR="0009624B" w:rsidRPr="00C444EA" w14:paraId="0E684964" w14:textId="77777777" w:rsidTr="0009624B">
        <w:tc>
          <w:tcPr>
            <w:tcW w:w="663" w:type="dxa"/>
            <w:tcBorders>
              <w:top w:val="nil"/>
              <w:left w:val="nil"/>
              <w:bottom w:val="nil"/>
              <w:right w:val="nil"/>
            </w:tcBorders>
            <w:shd w:val="clear" w:color="000000" w:fill="FFFFFF"/>
            <w:hideMark/>
          </w:tcPr>
          <w:p w14:paraId="61D3EA27"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lastRenderedPageBreak/>
              <w:t>Q28_c</w:t>
            </w:r>
            <w:proofErr w:type="spellEnd"/>
          </w:p>
        </w:tc>
        <w:tc>
          <w:tcPr>
            <w:tcW w:w="4015" w:type="dxa"/>
            <w:tcBorders>
              <w:top w:val="nil"/>
              <w:left w:val="nil"/>
              <w:bottom w:val="single" w:sz="4" w:space="0" w:color="D9D9D9"/>
              <w:right w:val="nil"/>
            </w:tcBorders>
            <w:shd w:val="clear" w:color="000000" w:fill="FFFFFF"/>
            <w:hideMark/>
          </w:tcPr>
          <w:p w14:paraId="19CACADD"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 xml:space="preserve"> Inadequate empowerment of the Regional and Area Offices with delegation of authority and the ability to create Inter-agency partnerships</w:t>
            </w:r>
          </w:p>
        </w:tc>
        <w:tc>
          <w:tcPr>
            <w:tcW w:w="626" w:type="dxa"/>
            <w:tcBorders>
              <w:top w:val="nil"/>
              <w:left w:val="single" w:sz="4" w:space="0" w:color="auto"/>
              <w:bottom w:val="single" w:sz="4" w:space="0" w:color="D9D9D9"/>
              <w:right w:val="single" w:sz="4" w:space="0" w:color="D9D9D9"/>
            </w:tcBorders>
            <w:shd w:val="clear" w:color="000000" w:fill="FFFFFF"/>
            <w:noWrap/>
            <w:hideMark/>
          </w:tcPr>
          <w:p w14:paraId="13D53AF5"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32%</w:t>
            </w:r>
          </w:p>
        </w:tc>
        <w:tc>
          <w:tcPr>
            <w:tcW w:w="627" w:type="dxa"/>
            <w:tcBorders>
              <w:top w:val="nil"/>
              <w:left w:val="nil"/>
              <w:bottom w:val="single" w:sz="4" w:space="0" w:color="D9D9D9"/>
              <w:right w:val="single" w:sz="4" w:space="0" w:color="D9D9D9"/>
            </w:tcBorders>
            <w:shd w:val="clear" w:color="000000" w:fill="FFFFFF"/>
            <w:noWrap/>
            <w:hideMark/>
          </w:tcPr>
          <w:p w14:paraId="7643851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35%</w:t>
            </w:r>
          </w:p>
        </w:tc>
        <w:tc>
          <w:tcPr>
            <w:tcW w:w="627" w:type="dxa"/>
            <w:tcBorders>
              <w:top w:val="nil"/>
              <w:left w:val="nil"/>
              <w:bottom w:val="single" w:sz="4" w:space="0" w:color="D9D9D9"/>
              <w:right w:val="single" w:sz="4" w:space="0" w:color="D9D9D9"/>
            </w:tcBorders>
            <w:shd w:val="clear" w:color="000000" w:fill="FFFFFF"/>
            <w:noWrap/>
            <w:hideMark/>
          </w:tcPr>
          <w:p w14:paraId="1755DD7C"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21%</w:t>
            </w:r>
          </w:p>
        </w:tc>
        <w:tc>
          <w:tcPr>
            <w:tcW w:w="627" w:type="dxa"/>
            <w:tcBorders>
              <w:top w:val="nil"/>
              <w:left w:val="nil"/>
              <w:bottom w:val="single" w:sz="4" w:space="0" w:color="D9D9D9"/>
              <w:right w:val="single" w:sz="4" w:space="0" w:color="D9D9D9"/>
            </w:tcBorders>
            <w:shd w:val="clear" w:color="000000" w:fill="FFFFFF"/>
            <w:noWrap/>
            <w:hideMark/>
          </w:tcPr>
          <w:p w14:paraId="541EA9F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10%</w:t>
            </w:r>
          </w:p>
        </w:tc>
        <w:tc>
          <w:tcPr>
            <w:tcW w:w="627" w:type="dxa"/>
            <w:tcBorders>
              <w:top w:val="nil"/>
              <w:left w:val="nil"/>
              <w:bottom w:val="single" w:sz="4" w:space="0" w:color="D9D9D9"/>
              <w:right w:val="single" w:sz="4" w:space="0" w:color="D9D9D9"/>
            </w:tcBorders>
            <w:shd w:val="clear" w:color="000000" w:fill="FFFFFF"/>
            <w:noWrap/>
            <w:hideMark/>
          </w:tcPr>
          <w:p w14:paraId="376AA93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0%</w:t>
            </w:r>
          </w:p>
        </w:tc>
        <w:tc>
          <w:tcPr>
            <w:tcW w:w="627" w:type="dxa"/>
            <w:tcBorders>
              <w:top w:val="nil"/>
              <w:left w:val="nil"/>
              <w:bottom w:val="single" w:sz="4" w:space="0" w:color="D9D9D9"/>
              <w:right w:val="single" w:sz="2" w:space="0" w:color="auto"/>
            </w:tcBorders>
            <w:shd w:val="clear" w:color="000000" w:fill="FFFFFF"/>
            <w:noWrap/>
            <w:hideMark/>
          </w:tcPr>
          <w:p w14:paraId="11E9957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D9D9D9"/>
              <w:right w:val="single" w:sz="4" w:space="0" w:color="auto"/>
            </w:tcBorders>
            <w:shd w:val="clear" w:color="000000" w:fill="FFFFFF"/>
            <w:noWrap/>
            <w:hideMark/>
          </w:tcPr>
          <w:p w14:paraId="4916E55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68%</w:t>
            </w:r>
          </w:p>
        </w:tc>
      </w:tr>
      <w:tr w:rsidR="0009624B" w:rsidRPr="00C444EA" w14:paraId="7B4BC739" w14:textId="77777777" w:rsidTr="0009624B">
        <w:tc>
          <w:tcPr>
            <w:tcW w:w="663" w:type="dxa"/>
            <w:tcBorders>
              <w:top w:val="nil"/>
              <w:left w:val="nil"/>
              <w:bottom w:val="single" w:sz="4" w:space="0" w:color="auto"/>
              <w:right w:val="nil"/>
            </w:tcBorders>
            <w:shd w:val="clear" w:color="000000" w:fill="FFFFFF"/>
            <w:hideMark/>
          </w:tcPr>
          <w:p w14:paraId="51D4498F"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Q28_d</w:t>
            </w:r>
            <w:proofErr w:type="spellEnd"/>
          </w:p>
        </w:tc>
        <w:tc>
          <w:tcPr>
            <w:tcW w:w="4015" w:type="dxa"/>
            <w:tcBorders>
              <w:top w:val="nil"/>
              <w:left w:val="nil"/>
              <w:bottom w:val="single" w:sz="4" w:space="0" w:color="auto"/>
              <w:right w:val="nil"/>
            </w:tcBorders>
            <w:shd w:val="clear" w:color="000000" w:fill="FFFFFF"/>
            <w:hideMark/>
          </w:tcPr>
          <w:p w14:paraId="5816D0AF" w14:textId="77777777" w:rsidR="00757BE9" w:rsidRPr="00C444EA" w:rsidRDefault="00757BE9">
            <w:pPr>
              <w:ind w:left="234"/>
              <w:rPr>
                <w:rFonts w:ascii="Aptos Narrow" w:hAnsi="Aptos Narrow"/>
                <w:color w:val="000000"/>
                <w:sz w:val="20"/>
                <w:lang w:eastAsia="en-GB"/>
              </w:rPr>
            </w:pPr>
            <w:r w:rsidRPr="00C444EA">
              <w:rPr>
                <w:rFonts w:ascii="Aptos Narrow" w:hAnsi="Aptos Narrow"/>
                <w:color w:val="000000"/>
                <w:sz w:val="20"/>
                <w:lang w:eastAsia="en-GB"/>
              </w:rPr>
              <w:t>Time taken to provide services from headquarters due to internal rules and procedures</w:t>
            </w:r>
          </w:p>
        </w:tc>
        <w:tc>
          <w:tcPr>
            <w:tcW w:w="626" w:type="dxa"/>
            <w:tcBorders>
              <w:top w:val="nil"/>
              <w:left w:val="single" w:sz="4" w:space="0" w:color="auto"/>
              <w:bottom w:val="single" w:sz="4" w:space="0" w:color="auto"/>
              <w:right w:val="single" w:sz="4" w:space="0" w:color="D9D9D9"/>
            </w:tcBorders>
            <w:shd w:val="clear" w:color="000000" w:fill="FFFFFF"/>
            <w:noWrap/>
            <w:hideMark/>
          </w:tcPr>
          <w:p w14:paraId="7E50AC5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26%</w:t>
            </w:r>
          </w:p>
        </w:tc>
        <w:tc>
          <w:tcPr>
            <w:tcW w:w="627" w:type="dxa"/>
            <w:tcBorders>
              <w:top w:val="nil"/>
              <w:left w:val="nil"/>
              <w:bottom w:val="single" w:sz="4" w:space="0" w:color="auto"/>
              <w:right w:val="single" w:sz="4" w:space="0" w:color="D9D9D9"/>
            </w:tcBorders>
            <w:shd w:val="clear" w:color="000000" w:fill="FFFFFF"/>
            <w:noWrap/>
            <w:hideMark/>
          </w:tcPr>
          <w:p w14:paraId="77EFFBC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44%</w:t>
            </w:r>
          </w:p>
        </w:tc>
        <w:tc>
          <w:tcPr>
            <w:tcW w:w="627" w:type="dxa"/>
            <w:tcBorders>
              <w:top w:val="nil"/>
              <w:left w:val="nil"/>
              <w:bottom w:val="single" w:sz="4" w:space="0" w:color="auto"/>
              <w:right w:val="single" w:sz="4" w:space="0" w:color="D9D9D9"/>
            </w:tcBorders>
            <w:shd w:val="clear" w:color="000000" w:fill="FFFFFF"/>
            <w:noWrap/>
            <w:hideMark/>
          </w:tcPr>
          <w:p w14:paraId="4C9B562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19%</w:t>
            </w:r>
          </w:p>
        </w:tc>
        <w:tc>
          <w:tcPr>
            <w:tcW w:w="627" w:type="dxa"/>
            <w:tcBorders>
              <w:top w:val="nil"/>
              <w:left w:val="nil"/>
              <w:bottom w:val="single" w:sz="4" w:space="0" w:color="auto"/>
              <w:right w:val="single" w:sz="4" w:space="0" w:color="D9D9D9"/>
            </w:tcBorders>
            <w:shd w:val="clear" w:color="000000" w:fill="FFFFFF"/>
            <w:noWrap/>
            <w:hideMark/>
          </w:tcPr>
          <w:p w14:paraId="7E4564BE"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8%</w:t>
            </w:r>
          </w:p>
        </w:tc>
        <w:tc>
          <w:tcPr>
            <w:tcW w:w="627" w:type="dxa"/>
            <w:tcBorders>
              <w:top w:val="nil"/>
              <w:left w:val="nil"/>
              <w:bottom w:val="single" w:sz="4" w:space="0" w:color="auto"/>
              <w:right w:val="single" w:sz="4" w:space="0" w:color="D9D9D9"/>
            </w:tcBorders>
            <w:shd w:val="clear" w:color="000000" w:fill="FFFFFF"/>
            <w:noWrap/>
            <w:hideMark/>
          </w:tcPr>
          <w:p w14:paraId="4736C4E9"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w:t>
            </w:r>
          </w:p>
        </w:tc>
        <w:tc>
          <w:tcPr>
            <w:tcW w:w="627" w:type="dxa"/>
            <w:tcBorders>
              <w:top w:val="nil"/>
              <w:left w:val="nil"/>
              <w:bottom w:val="single" w:sz="4" w:space="0" w:color="auto"/>
              <w:right w:val="single" w:sz="2" w:space="0" w:color="auto"/>
            </w:tcBorders>
            <w:shd w:val="clear" w:color="000000" w:fill="FFFFFF"/>
            <w:noWrap/>
            <w:hideMark/>
          </w:tcPr>
          <w:p w14:paraId="1B2CEA1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w:t>
            </w:r>
          </w:p>
        </w:tc>
        <w:tc>
          <w:tcPr>
            <w:tcW w:w="627" w:type="dxa"/>
            <w:tcBorders>
              <w:top w:val="nil"/>
              <w:left w:val="single" w:sz="2" w:space="0" w:color="auto"/>
              <w:bottom w:val="single" w:sz="4" w:space="0" w:color="auto"/>
              <w:right w:val="single" w:sz="4" w:space="0" w:color="auto"/>
            </w:tcBorders>
            <w:shd w:val="clear" w:color="000000" w:fill="FFFFFF"/>
            <w:noWrap/>
            <w:hideMark/>
          </w:tcPr>
          <w:p w14:paraId="251D978D"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69%</w:t>
            </w:r>
          </w:p>
        </w:tc>
      </w:tr>
      <w:tr w:rsidR="0009624B" w:rsidRPr="00C444EA" w14:paraId="22B8702F" w14:textId="77777777" w:rsidTr="0009624B">
        <w:tc>
          <w:tcPr>
            <w:tcW w:w="663" w:type="dxa"/>
            <w:tcBorders>
              <w:top w:val="nil"/>
              <w:left w:val="nil"/>
              <w:bottom w:val="single" w:sz="4" w:space="0" w:color="auto"/>
              <w:right w:val="nil"/>
            </w:tcBorders>
            <w:shd w:val="clear" w:color="000000" w:fill="F2F2F2"/>
            <w:hideMark/>
          </w:tcPr>
          <w:p w14:paraId="2526CF18" w14:textId="77777777" w:rsidR="00757BE9" w:rsidRPr="00C444EA" w:rsidRDefault="00757BE9">
            <w:pPr>
              <w:rPr>
                <w:rFonts w:ascii="Aptos Narrow" w:hAnsi="Aptos Narrow"/>
                <w:color w:val="000000"/>
                <w:sz w:val="20"/>
                <w:lang w:eastAsia="en-GB"/>
              </w:rPr>
            </w:pPr>
            <w:proofErr w:type="spellStart"/>
            <w:r w:rsidRPr="00C444EA">
              <w:rPr>
                <w:rFonts w:ascii="Aptos Narrow" w:hAnsi="Aptos Narrow"/>
                <w:color w:val="000000"/>
                <w:sz w:val="20"/>
                <w:lang w:eastAsia="en-GB"/>
              </w:rPr>
              <w:t>Q29</w:t>
            </w:r>
            <w:proofErr w:type="spellEnd"/>
          </w:p>
        </w:tc>
        <w:tc>
          <w:tcPr>
            <w:tcW w:w="4015" w:type="dxa"/>
            <w:tcBorders>
              <w:top w:val="nil"/>
              <w:left w:val="nil"/>
              <w:bottom w:val="single" w:sz="4" w:space="0" w:color="auto"/>
              <w:right w:val="nil"/>
            </w:tcBorders>
            <w:shd w:val="clear" w:color="000000" w:fill="F2F2F2"/>
            <w:hideMark/>
          </w:tcPr>
          <w:p w14:paraId="5CE38915" w14:textId="77777777" w:rsidR="00757BE9" w:rsidRPr="00C444EA" w:rsidRDefault="00757BE9">
            <w:pPr>
              <w:rPr>
                <w:rFonts w:ascii="Aptos Narrow" w:hAnsi="Aptos Narrow"/>
                <w:color w:val="000000"/>
                <w:sz w:val="20"/>
                <w:lang w:eastAsia="en-GB"/>
              </w:rPr>
            </w:pPr>
            <w:r w:rsidRPr="00C444EA">
              <w:rPr>
                <w:rFonts w:ascii="Aptos Narrow" w:hAnsi="Aptos Narrow"/>
                <w:color w:val="000000"/>
                <w:sz w:val="20"/>
                <w:lang w:eastAsia="en-GB"/>
              </w:rPr>
              <w:t xml:space="preserve"> Financial and administrative conditions provided by host countries to Regional and Area Offices are adequate.</w:t>
            </w:r>
          </w:p>
        </w:tc>
        <w:tc>
          <w:tcPr>
            <w:tcW w:w="626" w:type="dxa"/>
            <w:tcBorders>
              <w:top w:val="nil"/>
              <w:left w:val="single" w:sz="4" w:space="0" w:color="auto"/>
              <w:bottom w:val="single" w:sz="4" w:space="0" w:color="auto"/>
              <w:right w:val="single" w:sz="4" w:space="0" w:color="D9D9D9"/>
            </w:tcBorders>
            <w:shd w:val="clear" w:color="000000" w:fill="F2F2F2"/>
            <w:noWrap/>
            <w:hideMark/>
          </w:tcPr>
          <w:p w14:paraId="200EE1C4"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16%</w:t>
            </w:r>
          </w:p>
        </w:tc>
        <w:tc>
          <w:tcPr>
            <w:tcW w:w="627" w:type="dxa"/>
            <w:tcBorders>
              <w:top w:val="nil"/>
              <w:left w:val="nil"/>
              <w:bottom w:val="single" w:sz="4" w:space="0" w:color="auto"/>
              <w:right w:val="single" w:sz="4" w:space="0" w:color="D9D9D9"/>
            </w:tcBorders>
            <w:shd w:val="clear" w:color="000000" w:fill="F2F2F2"/>
            <w:noWrap/>
            <w:hideMark/>
          </w:tcPr>
          <w:p w14:paraId="75F7EEB2"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33%</w:t>
            </w:r>
          </w:p>
        </w:tc>
        <w:tc>
          <w:tcPr>
            <w:tcW w:w="627" w:type="dxa"/>
            <w:tcBorders>
              <w:top w:val="nil"/>
              <w:left w:val="nil"/>
              <w:bottom w:val="single" w:sz="4" w:space="0" w:color="auto"/>
              <w:right w:val="single" w:sz="4" w:space="0" w:color="D9D9D9"/>
            </w:tcBorders>
            <w:shd w:val="clear" w:color="000000" w:fill="F2F2F2"/>
            <w:noWrap/>
            <w:hideMark/>
          </w:tcPr>
          <w:p w14:paraId="438D2258"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29%</w:t>
            </w:r>
          </w:p>
        </w:tc>
        <w:tc>
          <w:tcPr>
            <w:tcW w:w="627" w:type="dxa"/>
            <w:tcBorders>
              <w:top w:val="nil"/>
              <w:left w:val="nil"/>
              <w:bottom w:val="single" w:sz="4" w:space="0" w:color="auto"/>
              <w:right w:val="single" w:sz="4" w:space="0" w:color="D9D9D9"/>
            </w:tcBorders>
            <w:shd w:val="clear" w:color="000000" w:fill="F2F2F2"/>
            <w:noWrap/>
            <w:hideMark/>
          </w:tcPr>
          <w:p w14:paraId="186B513A"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16%</w:t>
            </w:r>
          </w:p>
        </w:tc>
        <w:tc>
          <w:tcPr>
            <w:tcW w:w="627" w:type="dxa"/>
            <w:tcBorders>
              <w:top w:val="nil"/>
              <w:left w:val="nil"/>
              <w:bottom w:val="single" w:sz="4" w:space="0" w:color="auto"/>
              <w:right w:val="single" w:sz="4" w:space="0" w:color="D9D9D9"/>
            </w:tcBorders>
            <w:shd w:val="clear" w:color="000000" w:fill="F2F2F2"/>
            <w:noWrap/>
            <w:hideMark/>
          </w:tcPr>
          <w:p w14:paraId="6817EDF1"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2%</w:t>
            </w:r>
          </w:p>
        </w:tc>
        <w:tc>
          <w:tcPr>
            <w:tcW w:w="627" w:type="dxa"/>
            <w:tcBorders>
              <w:top w:val="nil"/>
              <w:left w:val="nil"/>
              <w:bottom w:val="single" w:sz="4" w:space="0" w:color="auto"/>
              <w:right w:val="single" w:sz="2" w:space="0" w:color="auto"/>
            </w:tcBorders>
            <w:shd w:val="clear" w:color="000000" w:fill="F2F2F2"/>
            <w:noWrap/>
            <w:hideMark/>
          </w:tcPr>
          <w:p w14:paraId="79102883"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w:t>
            </w:r>
          </w:p>
        </w:tc>
        <w:tc>
          <w:tcPr>
            <w:tcW w:w="627" w:type="dxa"/>
            <w:tcBorders>
              <w:top w:val="nil"/>
              <w:left w:val="single" w:sz="2" w:space="0" w:color="auto"/>
              <w:bottom w:val="single" w:sz="4" w:space="0" w:color="auto"/>
              <w:right w:val="single" w:sz="4" w:space="0" w:color="auto"/>
            </w:tcBorders>
            <w:shd w:val="clear" w:color="000000" w:fill="F2F2F2"/>
            <w:noWrap/>
            <w:hideMark/>
          </w:tcPr>
          <w:p w14:paraId="7BEF345B" w14:textId="77777777" w:rsidR="00757BE9" w:rsidRPr="00C444EA" w:rsidRDefault="00757BE9">
            <w:pPr>
              <w:jc w:val="right"/>
              <w:rPr>
                <w:rFonts w:ascii="Aptos Narrow" w:hAnsi="Aptos Narrow"/>
                <w:color w:val="000000"/>
                <w:sz w:val="20"/>
                <w:lang w:eastAsia="en-GB"/>
              </w:rPr>
            </w:pPr>
            <w:r w:rsidRPr="00C444EA">
              <w:rPr>
                <w:rFonts w:ascii="Aptos Narrow" w:hAnsi="Aptos Narrow"/>
                <w:color w:val="000000"/>
                <w:sz w:val="20"/>
                <w:lang w:eastAsia="en-GB"/>
              </w:rPr>
              <w:t>49%</w:t>
            </w:r>
          </w:p>
        </w:tc>
      </w:tr>
    </w:tbl>
    <w:p w14:paraId="4C83F05B" w14:textId="77777777" w:rsidR="00250529" w:rsidRPr="00986D12" w:rsidRDefault="00250529" w:rsidP="000E12EC">
      <w:pPr>
        <w:pStyle w:val="Heading3"/>
      </w:pPr>
      <w:bookmarkStart w:id="173" w:name="_Toc224213076"/>
      <w:bookmarkStart w:id="174" w:name="_Toc225163580"/>
      <w:bookmarkStart w:id="175" w:name="_Toc225261107"/>
      <w:r w:rsidRPr="00986D12">
        <w:t xml:space="preserve">Annex </w:t>
      </w:r>
      <w:proofErr w:type="spellStart"/>
      <w:r w:rsidRPr="00986D12">
        <w:t>C3</w:t>
      </w:r>
      <w:proofErr w:type="spellEnd"/>
      <w:r w:rsidRPr="00986D12">
        <w:t>. Interview with RTOs</w:t>
      </w:r>
      <w:bookmarkEnd w:id="173"/>
      <w:bookmarkEnd w:id="174"/>
      <w:bookmarkEnd w:id="175"/>
    </w:p>
    <w:p w14:paraId="7CA89FC8" w14:textId="4D7526E1" w:rsidR="00250529" w:rsidRPr="00986D12" w:rsidRDefault="008C431B" w:rsidP="008C431B">
      <w:pPr>
        <w:pStyle w:val="AnnexHeading4"/>
        <w:numPr>
          <w:ilvl w:val="0"/>
          <w:numId w:val="0"/>
        </w:numPr>
        <w:ind w:left="357" w:hanging="357"/>
        <w:rPr>
          <w:rFonts w:asciiTheme="minorHAnsi" w:eastAsiaTheme="minorEastAsia" w:hAnsiTheme="minorHAnsi" w:cstheme="minorHAnsi"/>
          <w:b/>
          <w:color w:val="000000" w:themeColor="text1"/>
        </w:rPr>
      </w:pPr>
      <w:r w:rsidRPr="00986D12">
        <w:rPr>
          <w:rFonts w:asciiTheme="minorHAnsi" w:eastAsiaTheme="minorEastAsia" w:hAnsiTheme="minorHAnsi" w:cstheme="minorHAnsi"/>
          <w:b/>
          <w:color w:val="000000" w:themeColor="text1"/>
        </w:rPr>
        <w:t>1.</w:t>
      </w:r>
      <w:r w:rsidRPr="00986D12">
        <w:rPr>
          <w:rFonts w:asciiTheme="minorHAnsi" w:eastAsiaTheme="minorEastAsia" w:hAnsiTheme="minorHAnsi" w:cstheme="minorHAnsi"/>
          <w:b/>
          <w:color w:val="000000" w:themeColor="text1"/>
        </w:rPr>
        <w:tab/>
      </w:r>
      <w:r w:rsidR="00250529" w:rsidRPr="00986D12">
        <w:rPr>
          <w:rFonts w:asciiTheme="minorHAnsi" w:hAnsiTheme="minorHAnsi" w:cstheme="minorHAnsi"/>
          <w:b/>
          <w:color w:val="auto"/>
        </w:rPr>
        <w:t>How can ITU strengthen its efforts to provide support that is better aligned with regional and national priorities?</w:t>
      </w:r>
    </w:p>
    <w:p w14:paraId="6C06BBDB" w14:textId="77777777" w:rsidR="00250529" w:rsidRPr="00986D12" w:rsidRDefault="00250529" w:rsidP="00C9333F">
      <w:pPr>
        <w:jc w:val="both"/>
        <w:rPr>
          <w:rFonts w:asciiTheme="minorHAnsi" w:hAnsiTheme="minorHAnsi" w:cstheme="minorHAnsi"/>
          <w:lang w:eastAsia="en-GB"/>
        </w:rPr>
      </w:pPr>
      <w:bookmarkStart w:id="176" w:name="_Toc224213077"/>
      <w:bookmarkStart w:id="177" w:name="_Toc224236508"/>
      <w:r w:rsidRPr="00066623">
        <w:rPr>
          <w:rStyle w:val="SubtitleitalicChar"/>
        </w:rPr>
        <w:t>Arab States (LAS)</w:t>
      </w:r>
      <w:bookmarkEnd w:id="176"/>
      <w:bookmarkEnd w:id="177"/>
      <w:r w:rsidRPr="00066623">
        <w:rPr>
          <w:rStyle w:val="SubtitleitalicChar"/>
        </w:rPr>
        <w:br/>
      </w:r>
      <w:r w:rsidRPr="00986D12">
        <w:rPr>
          <w:rFonts w:asciiTheme="minorHAnsi" w:hAnsiTheme="minorHAnsi" w:cstheme="minorHAnsi"/>
          <w:lang w:eastAsia="en-GB"/>
        </w:rPr>
        <w:t>Mr Belkassem Ali Belkassem Makhlouf, ICT Development Department, League of Arab States (24-12-2025)</w:t>
      </w:r>
    </w:p>
    <w:p w14:paraId="5961B8AB"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emphasized that ITU’s technical delivery in the Arab region is generally well regarded; however, some structural gaps limit the effectiveness and sustainability of outcomes.</w:t>
      </w:r>
    </w:p>
    <w:p w14:paraId="14F6588F"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Adequate and Predictable Funding</w:t>
      </w:r>
    </w:p>
    <w:p w14:paraId="49B010A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A primary gap raised was the lack of sufficient financial resources to implement initiatives already agreed upon by Member States, particularly those adopted through WTDC resolutions. According to the interviewee, several regional initiatives have not achieved their intended outcomes due to funding shortfalls rather than lack of relevance or political support. Strengthening alignment therefore requires ITU to ensure that adopted initiatives are backed by realistic funding mechanisms, including stronger partnership-based financing models.</w:t>
      </w:r>
    </w:p>
    <w:p w14:paraId="027BEB6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Strengthening Technical Expertise in Regional Offices</w:t>
      </w:r>
    </w:p>
    <w:p w14:paraId="6702973F"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While acknowledging the strong performance of existing regional staff, the interviewee stressed the need to reinforce regional offices with deeper technical expertise, particularly in:</w:t>
      </w:r>
    </w:p>
    <w:p w14:paraId="69713B01" w14:textId="10454BAF"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Radio spectrum management and radiocommunication, </w:t>
      </w:r>
    </w:p>
    <w:p w14:paraId="37F19484" w14:textId="2AD0331B"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Artificial Intelligence (AI),</w:t>
      </w:r>
    </w:p>
    <w:p w14:paraId="49DB6F28" w14:textId="438D9D16"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Cybersecurity.</w:t>
      </w:r>
    </w:p>
    <w:p w14:paraId="02443E42"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lastRenderedPageBreak/>
        <w:t>These areas are seen as strategic priorities for Arab countries, and the absence of sufficient specialized expertise at the regional level limits ITU’s ability to respond effectively to Member State needs and emerging challenges.</w:t>
      </w:r>
    </w:p>
    <w:p w14:paraId="0F150C99"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Enhanced Institutional Cooperation with the League of Arab States</w:t>
      </w:r>
    </w:p>
    <w:p w14:paraId="3590F9E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proposed closer, more structured cooperation between ITU regional offices and the League of Arab States, particularly in relation to resolutions adopted by the Arab Ministerial Council for ICT. Regular dialogue mechanisms and joint planning could help translate ministerial resolutions into concrete, jointly implemented activities.</w:t>
      </w:r>
    </w:p>
    <w:p w14:paraId="15D0568F"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d) Joint Initiatives and Alignment of Strategies</w:t>
      </w:r>
    </w:p>
    <w:p w14:paraId="7495698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It was noted that the Arab ICT Strategy and WTDC initiatives are largely complementary. The interviewee suggested developing joint projects and joint activities that simultaneously advance ITU resolutions and regional Arab strategies, thereby improving coherence, ownership, and impact. </w:t>
      </w:r>
    </w:p>
    <w:p w14:paraId="22FEB8D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e) Capacity Building on ITU Processes and Resolution Implementation</w:t>
      </w:r>
    </w:p>
    <w:p w14:paraId="2104C9C6"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A recurring challenge identified was that many participants from Member States particularly newcomers—lack a clear understanding of what happens after resolutions are adopted. The interviewee recommended targeted capacity-building workshops explaining:</w:t>
      </w:r>
    </w:p>
    <w:p w14:paraId="4FBD6BF9" w14:textId="40597942"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ITU processes and responsibilities, </w:t>
      </w:r>
    </w:p>
    <w:p w14:paraId="30E40E64" w14:textId="49579770"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The lifecycle of resolutions,</w:t>
      </w:r>
    </w:p>
    <w:p w14:paraId="3808F17D" w14:textId="363278F8"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Roles and expectations of Member States after conferences.</w:t>
      </w:r>
    </w:p>
    <w:p w14:paraId="4A25161C" w14:textId="77777777" w:rsidR="00250529" w:rsidRPr="00986D12" w:rsidRDefault="00250529" w:rsidP="00507BF5">
      <w:pPr>
        <w:rPr>
          <w:rFonts w:asciiTheme="minorHAnsi" w:hAnsiTheme="minorHAnsi" w:cstheme="minorHAnsi"/>
          <w:lang w:eastAsia="en-GB"/>
        </w:rPr>
      </w:pPr>
      <w:r w:rsidRPr="00986D12">
        <w:rPr>
          <w:rFonts w:asciiTheme="minorHAnsi" w:hAnsiTheme="minorHAnsi" w:cstheme="minorHAnsi"/>
          <w:lang w:eastAsia="en-GB"/>
        </w:rPr>
        <w:t xml:space="preserve">Such awareness-raising would help ensure that resolutions translate into actionable </w:t>
      </w:r>
      <w:r w:rsidRPr="00986D12">
        <w:rPr>
          <w:rFonts w:asciiTheme="minorHAnsi" w:hAnsiTheme="minorHAnsi" w:cstheme="minorHAnsi"/>
        </w:rPr>
        <w:br/>
      </w:r>
      <w:r w:rsidRPr="00986D12">
        <w:rPr>
          <w:rFonts w:asciiTheme="minorHAnsi" w:hAnsiTheme="minorHAnsi" w:cstheme="minorHAnsi"/>
          <w:lang w:eastAsia="en-GB"/>
        </w:rPr>
        <w:t>national and regional initiatives.</w:t>
      </w:r>
    </w:p>
    <w:p w14:paraId="0BCE17E0" w14:textId="77777777" w:rsidR="00250529" w:rsidRPr="00986D12" w:rsidRDefault="00250529" w:rsidP="00C9333F">
      <w:pPr>
        <w:keepNext/>
        <w:jc w:val="both"/>
        <w:rPr>
          <w:rFonts w:asciiTheme="minorHAnsi" w:hAnsiTheme="minorHAnsi" w:cstheme="minorHAnsi"/>
          <w:lang w:eastAsia="en-GB"/>
        </w:rPr>
      </w:pPr>
      <w:bookmarkStart w:id="178" w:name="_Toc224213078"/>
      <w:bookmarkStart w:id="179" w:name="_Toc224236509"/>
      <w:r w:rsidRPr="00066623">
        <w:rPr>
          <w:rStyle w:val="SubtitleitalicChar"/>
        </w:rPr>
        <w:t>CIS (RCC)</w:t>
      </w:r>
      <w:bookmarkEnd w:id="178"/>
      <w:bookmarkEnd w:id="179"/>
      <w:r w:rsidRPr="00066623">
        <w:rPr>
          <w:rStyle w:val="SubtitleitalicChar"/>
        </w:rPr>
        <w:br/>
      </w:r>
      <w:r w:rsidRPr="00986D12">
        <w:rPr>
          <w:rFonts w:asciiTheme="minorHAnsi" w:hAnsiTheme="minorHAnsi" w:cstheme="minorHAnsi"/>
          <w:lang w:eastAsia="en-GB"/>
        </w:rPr>
        <w:t xml:space="preserve">Mr Alexey Borodin (RCC DG), Ms Maria Bolshakova (RCC </w:t>
      </w:r>
      <w:proofErr w:type="spellStart"/>
      <w:r w:rsidRPr="00986D12">
        <w:rPr>
          <w:rFonts w:asciiTheme="minorHAnsi" w:hAnsiTheme="minorHAnsi" w:cstheme="minorHAnsi"/>
          <w:lang w:eastAsia="en-GB"/>
        </w:rPr>
        <w:t>DDG</w:t>
      </w:r>
      <w:proofErr w:type="spellEnd"/>
      <w:r w:rsidRPr="00986D12">
        <w:rPr>
          <w:rFonts w:asciiTheme="minorHAnsi" w:hAnsiTheme="minorHAnsi" w:cstheme="minorHAnsi"/>
          <w:lang w:eastAsia="en-GB"/>
        </w:rPr>
        <w:t>) (24-12-2025)</w:t>
      </w:r>
    </w:p>
    <w:p w14:paraId="7C76AED5"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Stronger integration of the three ITU Bureaus in regional work</w:t>
      </w:r>
    </w:p>
    <w:p w14:paraId="701E2600"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participants highlighted the importance of ensuring that all three ITU Bureaus are effectively represented through regional office activities, including clearer communication channels between bureaus and better identification of subject-matter experts who can support projects and initiatives.</w:t>
      </w:r>
    </w:p>
    <w:p w14:paraId="4FA4BB52"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More agile management of regional initiatives across the 4-year cycle</w:t>
      </w:r>
    </w:p>
    <w:p w14:paraId="7DB31339"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While regional initiatives are set within the four-year development cycle, rapid technological and policy changes in telecommunications mean priorities can evolve quickly. The interviewees recommended interim reviews and continuous dialogue with Member States to adjust projects and initiatives during the cycle, enabling step-by-step refinement rather than fixed execution without recalibration.</w:t>
      </w:r>
    </w:p>
    <w:p w14:paraId="59F57B2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 xml:space="preserve">c) </w:t>
      </w:r>
      <w:proofErr w:type="gramStart"/>
      <w:r w:rsidRPr="00986D12">
        <w:rPr>
          <w:rFonts w:asciiTheme="minorHAnsi" w:hAnsiTheme="minorHAnsi" w:cstheme="minorHAnsi"/>
        </w:rPr>
        <w:t>Regional</w:t>
      </w:r>
      <w:proofErr w:type="gramEnd"/>
      <w:r w:rsidRPr="00986D12">
        <w:rPr>
          <w:rFonts w:asciiTheme="minorHAnsi" w:hAnsiTheme="minorHAnsi" w:cstheme="minorHAnsi"/>
        </w:rPr>
        <w:t xml:space="preserve"> offices and RTOs as ‘listening posts’ for </w:t>
      </w:r>
      <w:r w:rsidRPr="00986D12" w:rsidDel="001D4BD7">
        <w:rPr>
          <w:rFonts w:asciiTheme="minorHAnsi" w:hAnsiTheme="minorHAnsi" w:cstheme="minorHAnsi"/>
        </w:rPr>
        <w:t>priorities</w:t>
      </w:r>
    </w:p>
    <w:p w14:paraId="3981598F"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Negotiation and dialogue were emphasized as key mechanisms. Regional offices were described as essential conduits for ITU to capture evolving regional needs, while close collaboration with the RTO can help surface region specific issues earlier and translate them into the broader ITU agenda. This, in turn, supports better allocation of financial and human resources aligned to real demand. </w:t>
      </w:r>
    </w:p>
    <w:p w14:paraId="3255A21C" w14:textId="77777777" w:rsidR="00250529" w:rsidRPr="00986D12" w:rsidRDefault="00250529" w:rsidP="00C9333F">
      <w:pPr>
        <w:pStyle w:val="NoSpacing"/>
        <w:keepNext/>
        <w:spacing w:before="240" w:after="240"/>
        <w:jc w:val="both"/>
        <w:rPr>
          <w:rFonts w:eastAsia="Aptos" w:cstheme="minorHAnsi"/>
          <w:sz w:val="22"/>
          <w:szCs w:val="22"/>
        </w:rPr>
      </w:pPr>
      <w:bookmarkStart w:id="180" w:name="_Toc224213079"/>
      <w:bookmarkStart w:id="181" w:name="_Toc224236510"/>
      <w:r w:rsidRPr="00066623">
        <w:rPr>
          <w:rStyle w:val="SubtitleitalicChar"/>
        </w:rPr>
        <w:t>Europe (CEPT)</w:t>
      </w:r>
      <w:bookmarkEnd w:id="180"/>
      <w:bookmarkEnd w:id="181"/>
      <w:r w:rsidRPr="00066623">
        <w:rPr>
          <w:rStyle w:val="SubtitleitalicChar"/>
        </w:rPr>
        <w:t xml:space="preserve"> </w:t>
      </w:r>
      <w:r w:rsidRPr="00066623">
        <w:rPr>
          <w:rStyle w:val="SubtitleitalicChar"/>
        </w:rPr>
        <w:br/>
      </w:r>
      <w:r w:rsidRPr="00986D12">
        <w:rPr>
          <w:rFonts w:eastAsia="Aptos" w:cstheme="minorHAnsi"/>
          <w:sz w:val="22"/>
          <w:szCs w:val="22"/>
        </w:rPr>
        <w:t>Mr Oli Bird, Co-President and Chair of Com-ITU (6-1-2026)</w:t>
      </w:r>
    </w:p>
    <w:p w14:paraId="1A38D9E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Recognize Europe’s ‘multi-speed’ policy environment </w:t>
      </w:r>
    </w:p>
    <w:p w14:paraId="120B27B7"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The interviewee stressed that alignment in Europe is complex because priorities differ across three broad groupings: (</w:t>
      </w:r>
      <w:proofErr w:type="spellStart"/>
      <w:r w:rsidRPr="00986D12">
        <w:rPr>
          <w:rFonts w:cstheme="minorHAnsi"/>
          <w:sz w:val="22"/>
          <w:szCs w:val="22"/>
          <w:lang w:eastAsia="en-GB"/>
        </w:rPr>
        <w:t>i</w:t>
      </w:r>
      <w:proofErr w:type="spellEnd"/>
      <w:r w:rsidRPr="00986D12">
        <w:rPr>
          <w:rFonts w:cstheme="minorHAnsi"/>
          <w:sz w:val="22"/>
          <w:szCs w:val="22"/>
          <w:lang w:eastAsia="en-GB"/>
        </w:rPr>
        <w:t>) EU Member States that are primarily focused on the Brussels policy agenda; (ii) non-EU, largely self-sufficient countries (e.g., UK and some Nordic countries); and (iii) a longer ‘tail’ of countries particularly in the East where capacity building is most needed.</w:t>
      </w:r>
    </w:p>
    <w:p w14:paraId="50FF59F1"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Maintain strong support for countries that most need capacity building </w:t>
      </w:r>
    </w:p>
    <w:p w14:paraId="6F2A50CF"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From the interviewee’s perspective, ITU’s established pattern of support delivered through the regional office works well for the developing-country segment of the region and is valued. He did not perceive a major gap for this cohort that requires urgent redesign.</w:t>
      </w:r>
    </w:p>
    <w:p w14:paraId="456B025F"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c) Explore how ITU can add value alongside the EU agenda </w:t>
      </w:r>
    </w:p>
    <w:p w14:paraId="3546C304"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The interviewee recognized the efforts of ITU Office for Europe towards alignment of ITU and EU agendas. For EU-focused administrations, he noted that the perceived ‘need’ for ITU can be lower because the EU ecosystem is viewed as self-contained. He suggested that a clearer articulation of how ITU capabilities (e.g., regulatory tools, model policies, data and benchmarking) can complement EU priorities could help improve perceived relevance.</w:t>
      </w:r>
    </w:p>
    <w:p w14:paraId="76B43562" w14:textId="77777777" w:rsidR="00250529" w:rsidRPr="00986D12" w:rsidRDefault="00250529" w:rsidP="00C9333F">
      <w:pPr>
        <w:jc w:val="both"/>
        <w:rPr>
          <w:rFonts w:asciiTheme="minorHAnsi" w:hAnsiTheme="minorHAnsi" w:cstheme="minorHAnsi"/>
          <w:lang w:eastAsia="en-GB"/>
        </w:rPr>
      </w:pPr>
      <w:bookmarkStart w:id="182" w:name="_Toc224213080"/>
      <w:bookmarkStart w:id="183" w:name="_Toc224236511"/>
      <w:r w:rsidRPr="00066623">
        <w:rPr>
          <w:rStyle w:val="SubtitleitalicChar"/>
        </w:rPr>
        <w:t>Americas (CITEL)</w:t>
      </w:r>
      <w:bookmarkEnd w:id="182"/>
      <w:bookmarkEnd w:id="183"/>
      <w:r w:rsidRPr="00066623">
        <w:rPr>
          <w:rStyle w:val="SubtitleitalicChar"/>
        </w:rPr>
        <w:br/>
      </w:r>
      <w:r w:rsidRPr="00986D12">
        <w:rPr>
          <w:rFonts w:asciiTheme="minorHAnsi" w:hAnsiTheme="minorHAnsi" w:cstheme="minorHAnsi"/>
          <w:lang w:eastAsia="en-GB"/>
        </w:rPr>
        <w:t>Mr Oscar Leon (Executive Secretary, CITEL) and Ms Maria C. Fuenmayor (CITEL) (6-1-2025)</w:t>
      </w:r>
    </w:p>
    <w:p w14:paraId="7A70F4FF" w14:textId="77777777" w:rsidR="00250529" w:rsidRPr="00986D12" w:rsidRDefault="00250529" w:rsidP="00C9333F">
      <w:pPr>
        <w:pStyle w:val="Subtitleitalic"/>
        <w:jc w:val="both"/>
        <w:rPr>
          <w:rFonts w:asciiTheme="minorHAnsi" w:eastAsia="Times New Roman" w:hAnsiTheme="minorHAnsi" w:cstheme="minorHAnsi"/>
          <w:color w:val="000000"/>
          <w:kern w:val="0"/>
          <w14:ligatures w14:val="none"/>
        </w:rPr>
      </w:pPr>
      <w:r w:rsidRPr="00986D12">
        <w:rPr>
          <w:rFonts w:asciiTheme="minorHAnsi" w:hAnsiTheme="minorHAnsi" w:cstheme="minorHAnsi"/>
        </w:rPr>
        <w:t xml:space="preserve">a) Strong RTO–regional office cooperation is already working well </w:t>
      </w:r>
    </w:p>
    <w:p w14:paraId="5A73D957"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Both speakers emphasized that cooperation between CITEL and the ITU regional office is close, constructive and effective.</w:t>
      </w:r>
    </w:p>
    <w:p w14:paraId="2965BE71"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regional office regularly participates in CITEL meetings, remains responsive, and issues are resolved quickly through direct coordination.</w:t>
      </w:r>
    </w:p>
    <w:p w14:paraId="3F47B4BD" w14:textId="77777777" w:rsidR="00250529" w:rsidRPr="00986D12" w:rsidRDefault="00250529" w:rsidP="00C9333F">
      <w:pPr>
        <w:pStyle w:val="Subtitleitalic"/>
        <w:jc w:val="both"/>
        <w:rPr>
          <w:rFonts w:asciiTheme="minorHAnsi" w:eastAsia="Times New Roman" w:hAnsiTheme="minorHAnsi" w:cstheme="minorHAnsi"/>
          <w:color w:val="000000" w:themeColor="text1"/>
        </w:rPr>
      </w:pPr>
      <w:r w:rsidRPr="00986D12">
        <w:rPr>
          <w:rFonts w:asciiTheme="minorHAnsi" w:hAnsiTheme="minorHAnsi" w:cstheme="minorHAnsi"/>
        </w:rPr>
        <w:t xml:space="preserve">b) Deepen direct engagement with countries to clarify concrete needs </w:t>
      </w:r>
    </w:p>
    <w:p w14:paraId="3CED9FA3"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While countries often express a general desire for “more support,” the interviewees noted that alignment improves when ITU and CITEL engage directly and ask what specific support is required (and when). They suggested that one-on-one or targeted discussions help move from general requests to actionable priorities.</w:t>
      </w:r>
    </w:p>
    <w:p w14:paraId="0311F60D" w14:textId="77777777" w:rsidR="00250529" w:rsidRPr="00986D12" w:rsidRDefault="00250529" w:rsidP="00C9333F">
      <w:pPr>
        <w:pStyle w:val="Subtitleitalic"/>
        <w:jc w:val="both"/>
        <w:rPr>
          <w:rFonts w:asciiTheme="minorHAnsi" w:eastAsia="Times New Roman" w:hAnsiTheme="minorHAnsi" w:cstheme="minorHAnsi"/>
          <w:color w:val="000000" w:themeColor="text1"/>
        </w:rPr>
      </w:pPr>
      <w:r w:rsidRPr="00986D12">
        <w:rPr>
          <w:rFonts w:asciiTheme="minorHAnsi" w:hAnsiTheme="minorHAnsi" w:cstheme="minorHAnsi"/>
        </w:rPr>
        <w:lastRenderedPageBreak/>
        <w:t>c) Balance transparency and confidentiality in country support</w:t>
      </w:r>
    </w:p>
    <w:p w14:paraId="63190F49"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interviewees observed that some country-level assistance products (e.g., studies, documents) can be confidential, limiting broader visibility. Where appropriate (e.g., with agreements), sharing more detail can enable better coordination between CITEL and ITU on complementary technical support.</w:t>
      </w:r>
    </w:p>
    <w:p w14:paraId="536C570F" w14:textId="77777777" w:rsidR="00250529" w:rsidRPr="00986D12" w:rsidRDefault="00250529" w:rsidP="00C9333F">
      <w:pPr>
        <w:pStyle w:val="NoSpacing"/>
        <w:keepNext/>
        <w:spacing w:before="240" w:after="240"/>
        <w:jc w:val="both"/>
        <w:rPr>
          <w:rFonts w:cstheme="minorHAnsi"/>
        </w:rPr>
      </w:pPr>
      <w:bookmarkStart w:id="184" w:name="_Toc224213081"/>
      <w:bookmarkStart w:id="185" w:name="_Toc224236512"/>
      <w:r w:rsidRPr="00066623">
        <w:rPr>
          <w:rStyle w:val="SubtitleitalicChar"/>
        </w:rPr>
        <w:t>Asia Pacific (APT)</w:t>
      </w:r>
      <w:bookmarkEnd w:id="184"/>
      <w:bookmarkEnd w:id="185"/>
      <w:r w:rsidRPr="00066623">
        <w:rPr>
          <w:rStyle w:val="SubtitleitalicChar"/>
        </w:rPr>
        <w:br/>
      </w:r>
      <w:r w:rsidRPr="00986D12">
        <w:rPr>
          <w:rFonts w:cstheme="minorHAnsi"/>
        </w:rPr>
        <w:t>Dr Masanori Kondo, Secretary-General, Asia-Pacific Telecommunity (APT) (12-1-2025)</w:t>
      </w:r>
    </w:p>
    <w:p w14:paraId="7E54CEBC"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The interviewee emphasized that full satisfaction is rarely achievable by any survey, and that perceived ‘gaps’ should be assessed in terms of their practical significance. In his view, ITU performance in the Asia-Pacific region is generally strong, with satisfaction being relatively high in general terms, even if not complete, as an illustrative observation rather than a quantitative assessment. He noted, however, that some mismatch can still arise between what ITU delivers and what beneficiary countries expect, particularly in complex national initiatives.</w:t>
      </w:r>
    </w:p>
    <w:p w14:paraId="168BFEE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Recognize that ‘alignment gaps’ vary by country</w:t>
      </w:r>
    </w:p>
    <w:p w14:paraId="13BEC075"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The interviewee observed that any gap between ITU activity and national priorities is country dependent, with some administrations perceiving a larger mismatch than others. Importantly, he stressed that the existence of a gap does not necessarily mean ITU is underperforming.</w:t>
      </w:r>
    </w:p>
    <w:p w14:paraId="17EA087F"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Strengthen multi-stakeholder coordination beyond bilateral engagement</w:t>
      </w:r>
    </w:p>
    <w:p w14:paraId="0854A843"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A core recommendation was to deepen coordination not only between ITU and a beneficiary country, but also with the broader ecosystem of stakeholders that may shape outcomes. This includes other actors that may be involved in the same national priorities (e.g., development partners and donor agencies,) where overlapping initiatives can affect coherence and results).</w:t>
      </w:r>
    </w:p>
    <w:p w14:paraId="32C7C7B1"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Clarify mandates and roles among stakeholders to improve implementation</w:t>
      </w:r>
    </w:p>
    <w:p w14:paraId="3544915E" w14:textId="77777777" w:rsidR="00250529" w:rsidRPr="00986D12" w:rsidRDefault="00250529" w:rsidP="00C9333F">
      <w:pPr>
        <w:pStyle w:val="NoSpacing"/>
        <w:spacing w:before="240" w:after="240"/>
        <w:jc w:val="both"/>
        <w:rPr>
          <w:rFonts w:cstheme="minorHAnsi"/>
          <w:sz w:val="22"/>
          <w:szCs w:val="22"/>
          <w:lang w:eastAsia="en-GB"/>
        </w:rPr>
      </w:pPr>
      <w:r w:rsidRPr="00986D12">
        <w:rPr>
          <w:rFonts w:cstheme="minorHAnsi"/>
          <w:sz w:val="22"/>
          <w:szCs w:val="22"/>
          <w:lang w:eastAsia="en-GB"/>
        </w:rPr>
        <w:t>The interviewee stressed the importance of making mandates clear for each stakeholder involved in implementation. In his view, clearer role definition paired with more detailed coordination helps reduce duplication, improves efficiency, and strengthens delivery of projects and activities aligned to national and regional priorities.</w:t>
      </w:r>
    </w:p>
    <w:p w14:paraId="2289823D" w14:textId="77777777" w:rsidR="00250529" w:rsidRPr="00986D12" w:rsidRDefault="00250529" w:rsidP="00C9333F">
      <w:pPr>
        <w:jc w:val="both"/>
        <w:rPr>
          <w:rFonts w:asciiTheme="minorHAnsi" w:hAnsiTheme="minorHAnsi" w:cstheme="minorHAnsi"/>
          <w:lang w:val="it-IT"/>
        </w:rPr>
      </w:pPr>
      <w:bookmarkStart w:id="186" w:name="_Toc224213082"/>
      <w:bookmarkStart w:id="187" w:name="_Toc224236513"/>
      <w:r w:rsidRPr="002B7E01">
        <w:rPr>
          <w:rStyle w:val="SubtitleitalicChar"/>
          <w:lang w:val="it-IT"/>
        </w:rPr>
        <w:t>Africa (ATU)</w:t>
      </w:r>
      <w:bookmarkEnd w:id="186"/>
      <w:bookmarkEnd w:id="187"/>
      <w:r w:rsidRPr="002B7E01">
        <w:rPr>
          <w:rStyle w:val="SubtitleitalicChar"/>
          <w:lang w:val="it-IT"/>
        </w:rPr>
        <w:br/>
      </w:r>
      <w:r w:rsidRPr="00986D12">
        <w:rPr>
          <w:rFonts w:asciiTheme="minorHAnsi" w:hAnsiTheme="minorHAnsi" w:cstheme="minorHAnsi"/>
          <w:lang w:val="it-IT"/>
        </w:rPr>
        <w:t>Ms Meriem Slimani (ATU) (13-1-2025)</w:t>
      </w:r>
    </w:p>
    <w:p w14:paraId="105635C1"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Increase visibility and monitoring of regional initiative implementation</w:t>
      </w:r>
    </w:p>
    <w:p w14:paraId="5658ED8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emphasized that Member States need clearer visibility on how regional initiatives translate into projects and activities, including progress tracking across the implementation period. She recommended a more transparent monitoring process with clear reporting on what is being implemented and where.</w:t>
      </w:r>
    </w:p>
    <w:p w14:paraId="2C9E1C2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Define measurable </w:t>
      </w:r>
      <w:proofErr w:type="spellStart"/>
      <w:r w:rsidRPr="00986D12">
        <w:rPr>
          <w:rFonts w:asciiTheme="minorHAnsi" w:hAnsiTheme="minorHAnsi" w:cstheme="minorHAnsi"/>
        </w:rPr>
        <w:t>KPIs</w:t>
      </w:r>
      <w:proofErr w:type="spellEnd"/>
      <w:r w:rsidRPr="00986D12">
        <w:rPr>
          <w:rFonts w:asciiTheme="minorHAnsi" w:hAnsiTheme="minorHAnsi" w:cstheme="minorHAnsi"/>
        </w:rPr>
        <w:t>, targets and outcomes</w:t>
      </w:r>
    </w:p>
    <w:p w14:paraId="48AAED84"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To improve alignment and accountability, she proposed agreeing on tangible </w:t>
      </w:r>
      <w:proofErr w:type="spellStart"/>
      <w:r w:rsidRPr="00986D12">
        <w:rPr>
          <w:rFonts w:asciiTheme="minorHAnsi" w:hAnsiTheme="minorHAnsi" w:cstheme="minorHAnsi"/>
          <w:lang w:eastAsia="en-GB"/>
        </w:rPr>
        <w:t>KPIs</w:t>
      </w:r>
      <w:proofErr w:type="spellEnd"/>
      <w:r w:rsidRPr="00986D12">
        <w:rPr>
          <w:rFonts w:asciiTheme="minorHAnsi" w:hAnsiTheme="minorHAnsi" w:cstheme="minorHAnsi"/>
          <w:lang w:eastAsia="en-GB"/>
        </w:rPr>
        <w:t xml:space="preserve"> and targets for initiatives and ensuring that implementation can be mapped against these objectives. This </w:t>
      </w:r>
      <w:r w:rsidRPr="00986D12">
        <w:rPr>
          <w:rFonts w:asciiTheme="minorHAnsi" w:hAnsiTheme="minorHAnsi" w:cstheme="minorHAnsi"/>
          <w:lang w:eastAsia="en-GB"/>
        </w:rPr>
        <w:lastRenderedPageBreak/>
        <w:t xml:space="preserve">should reflect Africa’s diversity of needs, including </w:t>
      </w:r>
      <w:proofErr w:type="spellStart"/>
      <w:r w:rsidRPr="00986D12">
        <w:rPr>
          <w:rFonts w:asciiTheme="minorHAnsi" w:hAnsiTheme="minorHAnsi" w:cstheme="minorHAnsi"/>
          <w:lang w:eastAsia="en-GB"/>
        </w:rPr>
        <w:t>LDCs</w:t>
      </w:r>
      <w:proofErr w:type="spellEnd"/>
      <w:r w:rsidRPr="00986D12">
        <w:rPr>
          <w:rFonts w:asciiTheme="minorHAnsi" w:hAnsiTheme="minorHAnsi" w:cstheme="minorHAnsi"/>
          <w:lang w:eastAsia="en-GB"/>
        </w:rPr>
        <w:t>, SIDS and landlocked countries, and the region’s multilingual context.</w:t>
      </w:r>
    </w:p>
    <w:p w14:paraId="6066C9A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c) Clarify stakeholder roles and strengthen coordination to avoid duplication </w:t>
      </w:r>
    </w:p>
    <w:p w14:paraId="6251F5CF"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Given the number of active partners and organizations in Africa, the interviewee called for earlier identification of each stakeholder’s role and clearer mandate coordination. Improved coordination would help reduce duplication and ensure complementary efforts across initiatives.</w:t>
      </w:r>
    </w:p>
    <w:p w14:paraId="7D4FFB9C"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d) Strengthen project funding mechanisms</w:t>
      </w:r>
    </w:p>
    <w:p w14:paraId="007481B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She highlighted the need for clearer mechanisms to finance and fund projects under regional initiatives, noting that funding and partner coordination is a recurring requirement for implementation.</w:t>
      </w:r>
    </w:p>
    <w:p w14:paraId="10A10EA4" w14:textId="79150374" w:rsidR="00250529" w:rsidRPr="00986D12" w:rsidRDefault="008C431B" w:rsidP="008C431B">
      <w:pPr>
        <w:pStyle w:val="AnnexHeading4"/>
        <w:numPr>
          <w:ilvl w:val="0"/>
          <w:numId w:val="0"/>
        </w:numPr>
        <w:ind w:left="357" w:hanging="357"/>
        <w:rPr>
          <w:rFonts w:asciiTheme="minorHAnsi" w:hAnsiTheme="minorHAnsi" w:cstheme="minorHAnsi"/>
          <w:b/>
          <w:color w:val="auto"/>
        </w:rPr>
      </w:pPr>
      <w:r w:rsidRPr="00986D12">
        <w:rPr>
          <w:rFonts w:asciiTheme="minorHAnsi" w:hAnsiTheme="minorHAnsi" w:cstheme="minorHAnsi"/>
          <w:b/>
          <w:color w:val="auto"/>
        </w:rPr>
        <w:t>2.</w:t>
      </w:r>
      <w:r w:rsidRPr="00986D12">
        <w:rPr>
          <w:rFonts w:asciiTheme="minorHAnsi" w:hAnsiTheme="minorHAnsi" w:cstheme="minorHAnsi"/>
          <w:b/>
          <w:color w:val="auto"/>
        </w:rPr>
        <w:tab/>
      </w:r>
      <w:r w:rsidR="00250529" w:rsidRPr="00986D12">
        <w:rPr>
          <w:rFonts w:asciiTheme="minorHAnsi" w:hAnsiTheme="minorHAnsi" w:cstheme="minorHAnsi"/>
          <w:b/>
          <w:color w:val="auto"/>
        </w:rPr>
        <w:t>How can ITU foster stronger partnerships between RTOs, governments, and the private sector in the region?</w:t>
      </w:r>
    </w:p>
    <w:p w14:paraId="0DBB7629" w14:textId="77777777" w:rsidR="00250529" w:rsidRPr="00986D12" w:rsidRDefault="00250529" w:rsidP="00C9333F">
      <w:pPr>
        <w:jc w:val="both"/>
        <w:rPr>
          <w:rFonts w:asciiTheme="minorHAnsi" w:hAnsiTheme="minorHAnsi" w:cstheme="minorHAnsi"/>
          <w:lang w:eastAsia="en-GB"/>
        </w:rPr>
      </w:pPr>
      <w:bookmarkStart w:id="188" w:name="_Toc224213083"/>
      <w:bookmarkStart w:id="189" w:name="_Toc224236514"/>
      <w:r w:rsidRPr="00066623">
        <w:rPr>
          <w:rStyle w:val="SubtitleitalicChar"/>
        </w:rPr>
        <w:t>Arab States (LAS)</w:t>
      </w:r>
      <w:bookmarkEnd w:id="188"/>
      <w:bookmarkEnd w:id="189"/>
      <w:r w:rsidRPr="00066623">
        <w:rPr>
          <w:rStyle w:val="SubtitleitalicChar"/>
        </w:rPr>
        <w:br/>
      </w:r>
      <w:r w:rsidRPr="00986D12">
        <w:rPr>
          <w:rFonts w:asciiTheme="minorHAnsi" w:hAnsiTheme="minorHAnsi" w:cstheme="minorHAnsi"/>
          <w:lang w:eastAsia="en-GB"/>
        </w:rPr>
        <w:t>Mr Belkassem Ali Belkassem Makhlouf, ICT Development Department, League of Arab States (24-12-2025).</w:t>
      </w:r>
    </w:p>
    <w:p w14:paraId="6BB0B3EF"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acknowledged that ITU already plays a constructive role in partnership building within the Arab region, particularly through technical assistance and support to national digital strategies.</w:t>
      </w:r>
    </w:p>
    <w:p w14:paraId="74F3C062"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Leveraging Ministerial Councils as Entry Points for Cooperation</w:t>
      </w:r>
    </w:p>
    <w:p w14:paraId="46286F0E"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Arab Ministerial Council for ICT was identified as a key institutional platform. The interviewee suggested that ITU:</w:t>
      </w:r>
    </w:p>
    <w:p w14:paraId="183944E1" w14:textId="20A51B4C"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Engage before and after ministerial meetings, </w:t>
      </w:r>
    </w:p>
    <w:p w14:paraId="68142894" w14:textId="78EC69D5"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Contribute to shaping resolutions that explicitly define a role for ITU regional offices,</w:t>
      </w:r>
    </w:p>
    <w:p w14:paraId="6865A27C" w14:textId="2FAC1D4A"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Use adopted resolutions as a formal mandate for future cooperation and partnerships.</w:t>
      </w:r>
    </w:p>
    <w:p w14:paraId="1E175E6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This approach would anchor partnerships in political legitimacy and shared priorities.</w:t>
      </w:r>
    </w:p>
    <w:p w14:paraId="018CF906"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Structured Dialogue Around Resolution Drafting and Implementation</w:t>
      </w:r>
    </w:p>
    <w:p w14:paraId="183A14B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Rather than engaging only at the implementation stage, ITU could strengthen partnerships by participating earlier in the brainstorming and drafting of resolutions, ensuring that they are actionable, realistic, and aligned with ITU’s comparative strengths.</w:t>
      </w:r>
    </w:p>
    <w:p w14:paraId="0739EA3C"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Private Sector Engagement Through Governments</w:t>
      </w:r>
    </w:p>
    <w:p w14:paraId="53DBA36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clarified that the League of Arab States primarily engages with governments rather than directly with the private sector. In this context, ITU’s role in private-sector engagement should:</w:t>
      </w:r>
    </w:p>
    <w:p w14:paraId="2C196175" w14:textId="24D8E3E9"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 xml:space="preserve">Continue to be channelled through national governments and regulatory </w:t>
      </w:r>
      <w:r w:rsidR="00250529" w:rsidRPr="00986D12">
        <w:rPr>
          <w:rFonts w:asciiTheme="minorHAnsi" w:hAnsiTheme="minorHAnsi" w:cstheme="minorHAnsi"/>
        </w:rPr>
        <w:br/>
        <w:t xml:space="preserve">authorities, </w:t>
      </w:r>
    </w:p>
    <w:p w14:paraId="64BC80FF" w14:textId="529E7AC6"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lastRenderedPageBreak/>
        <w:t></w:t>
      </w:r>
      <w:r w:rsidRPr="00986D12">
        <w:rPr>
          <w:rFonts w:ascii="Symbol" w:hAnsi="Symbol" w:cstheme="minorHAnsi"/>
        </w:rPr>
        <w:tab/>
      </w:r>
      <w:r w:rsidR="00250529" w:rsidRPr="00986D12">
        <w:rPr>
          <w:rFonts w:asciiTheme="minorHAnsi" w:hAnsiTheme="minorHAnsi" w:cstheme="minorHAnsi"/>
        </w:rPr>
        <w:t>Avoid bypassing governmental structures,</w:t>
      </w:r>
    </w:p>
    <w:p w14:paraId="2EAD9905" w14:textId="6B9873C7"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Support governments in opening controlled and policy-aligned engagement with private actors</w:t>
      </w:r>
      <w:r w:rsidR="00250529" w:rsidRPr="00986D12" w:rsidDel="001101A1">
        <w:rPr>
          <w:rFonts w:asciiTheme="minorHAnsi" w:hAnsiTheme="minorHAnsi" w:cstheme="minorHAnsi"/>
        </w:rPr>
        <w:t>.</w:t>
      </w:r>
    </w:p>
    <w:p w14:paraId="54D41B40"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This model is seen as essential for maintaining trust and institutional coherence in the region.</w:t>
      </w:r>
    </w:p>
    <w:p w14:paraId="68263632" w14:textId="77777777" w:rsidR="00250529" w:rsidRPr="00986D12" w:rsidRDefault="00250529" w:rsidP="00C9333F">
      <w:pPr>
        <w:jc w:val="both"/>
        <w:rPr>
          <w:rFonts w:asciiTheme="minorHAnsi" w:hAnsiTheme="minorHAnsi" w:cstheme="minorHAnsi"/>
          <w:lang w:eastAsia="en-GB"/>
        </w:rPr>
      </w:pPr>
      <w:bookmarkStart w:id="190" w:name="_Toc224213084"/>
      <w:bookmarkStart w:id="191" w:name="_Toc224236515"/>
      <w:r w:rsidRPr="00066623">
        <w:rPr>
          <w:rStyle w:val="SubtitleitalicChar"/>
        </w:rPr>
        <w:t>CIS (RCC)</w:t>
      </w:r>
      <w:bookmarkEnd w:id="190"/>
      <w:bookmarkEnd w:id="191"/>
      <w:r w:rsidRPr="00066623">
        <w:rPr>
          <w:rStyle w:val="SubtitleitalicChar"/>
        </w:rPr>
        <w:br/>
      </w:r>
      <w:r w:rsidRPr="00986D12">
        <w:rPr>
          <w:rFonts w:asciiTheme="minorHAnsi" w:hAnsiTheme="minorHAnsi" w:cstheme="minorHAnsi"/>
          <w:lang w:eastAsia="en-GB"/>
        </w:rPr>
        <w:t xml:space="preserve">Mr Alexey Borodin (RCC DG), Ms Maria Bolshakova (RCC </w:t>
      </w:r>
      <w:proofErr w:type="spellStart"/>
      <w:r w:rsidRPr="00986D12">
        <w:rPr>
          <w:rFonts w:asciiTheme="minorHAnsi" w:hAnsiTheme="minorHAnsi" w:cstheme="minorHAnsi"/>
          <w:lang w:eastAsia="en-GB"/>
        </w:rPr>
        <w:t>DDG</w:t>
      </w:r>
      <w:proofErr w:type="spellEnd"/>
      <w:r w:rsidRPr="00986D12">
        <w:rPr>
          <w:rFonts w:asciiTheme="minorHAnsi" w:hAnsiTheme="minorHAnsi" w:cstheme="minorHAnsi"/>
          <w:lang w:eastAsia="en-GB"/>
        </w:rPr>
        <w:t>) (24-12-2025)</w:t>
      </w:r>
    </w:p>
    <w:p w14:paraId="1CFA151A"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Build on existing joint working methods </w:t>
      </w:r>
    </w:p>
    <w:p w14:paraId="4108405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partnership between the ITU regional office and the RCC was cited as a good practice, particularly where meetings are held jointly for a shared audience and the two organizations support each other’s agendas and outreach.</w:t>
      </w:r>
    </w:p>
    <w:p w14:paraId="749A194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Convene ‘triple-helix’ regional dialogues (government–private sector–ITU) </w:t>
      </w:r>
    </w:p>
    <w:p w14:paraId="56C8D5C4"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interviewees suggested that bringing governments, major operators/industry stakeholders, and ITU experts together in regional gatherings can produce solid, consensus-based outputs. These can be carried forward efficiently into global ITU discussions during assemblies and conferences.</w:t>
      </w:r>
    </w:p>
    <w:p w14:paraId="71BDAEB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c) Use partnerships to mobilize resources with transparency and regional equity </w:t>
      </w:r>
    </w:p>
    <w:p w14:paraId="14E4C5F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Partnerships were recognized as an important source of financing. The interviewees emphasized transparency in partnership arrangements and noted that partners should be prepared to support the </w:t>
      </w:r>
      <w:proofErr w:type="gramStart"/>
      <w:r w:rsidRPr="00986D12">
        <w:rPr>
          <w:rFonts w:asciiTheme="minorHAnsi" w:hAnsiTheme="minorHAnsi" w:cstheme="minorHAnsi"/>
          <w:lang w:eastAsia="en-GB"/>
        </w:rPr>
        <w:t>region as a whole, avoiding</w:t>
      </w:r>
      <w:proofErr w:type="gramEnd"/>
      <w:r w:rsidRPr="00986D12">
        <w:rPr>
          <w:rFonts w:asciiTheme="minorHAnsi" w:hAnsiTheme="minorHAnsi" w:cstheme="minorHAnsi"/>
          <w:lang w:eastAsia="en-GB"/>
        </w:rPr>
        <w:t xml:space="preserve"> selective support that excludes specific countries or subregions.</w:t>
      </w:r>
    </w:p>
    <w:p w14:paraId="278BC87C"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d) Enable practical cooperation through proximity and stronger delegation </w:t>
      </w:r>
    </w:p>
    <w:p w14:paraId="38970D8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Co-location in the same city and time zone was described as beneficial for face-to-face coordination. The interviewees also proposed stronger delegation of authority to regional offices especially for procurement and operational decisions to improve speed and fit-for-purpose delivery.</w:t>
      </w:r>
    </w:p>
    <w:p w14:paraId="15EE844E"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e) Improve regional operational agility (procurement and banking) </w:t>
      </w:r>
    </w:p>
    <w:p w14:paraId="7A5667C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A concrete recommendation was to enhance regional procurement capabilities and enable practical financial operations (e.g., the ability to maintain local banking arrangements where needed) to address changing logistics, supply chains, and transaction constraints.</w:t>
      </w:r>
    </w:p>
    <w:p w14:paraId="5FD7DCB0" w14:textId="77777777" w:rsidR="00250529" w:rsidRPr="00986D12" w:rsidRDefault="00250529" w:rsidP="00C9333F">
      <w:pPr>
        <w:jc w:val="both"/>
        <w:rPr>
          <w:rFonts w:asciiTheme="minorHAnsi" w:hAnsiTheme="minorHAnsi" w:cstheme="minorHAnsi"/>
          <w:lang w:eastAsia="en-GB"/>
        </w:rPr>
      </w:pPr>
      <w:bookmarkStart w:id="192" w:name="_Toc224213085"/>
      <w:bookmarkStart w:id="193" w:name="_Toc224236516"/>
      <w:r w:rsidRPr="00066623">
        <w:rPr>
          <w:rStyle w:val="SubtitleitalicChar"/>
        </w:rPr>
        <w:t>Europe (CEPT)</w:t>
      </w:r>
      <w:bookmarkEnd w:id="192"/>
      <w:bookmarkEnd w:id="193"/>
      <w:r w:rsidRPr="00066623">
        <w:rPr>
          <w:rStyle w:val="SubtitleitalicChar"/>
        </w:rPr>
        <w:t xml:space="preserve"> </w:t>
      </w:r>
      <w:r w:rsidRPr="00066623">
        <w:rPr>
          <w:rStyle w:val="SubtitleitalicChar"/>
        </w:rPr>
        <w:br/>
      </w:r>
      <w:r w:rsidRPr="00986D12">
        <w:rPr>
          <w:rFonts w:asciiTheme="minorHAnsi" w:hAnsiTheme="minorHAnsi" w:cstheme="minorHAnsi"/>
          <w:lang w:eastAsia="en-GB"/>
        </w:rPr>
        <w:t>Mr Oli Bird, Co-President and Chair of Com-ITU (6-1-2026)</w:t>
      </w:r>
    </w:p>
    <w:p w14:paraId="773A29F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Clarify the scope of regional presence (development-only vs. ‘One ITU’) </w:t>
      </w:r>
    </w:p>
    <w:p w14:paraId="0D690DB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Partnership opportunities depend on whether regional presence remains primarily within the development sector or becomes more reflective of all ITU sectors (including standardization and radiocommunication) and the General Secretariat.</w:t>
      </w:r>
    </w:p>
    <w:p w14:paraId="12404B26"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 xml:space="preserve">b) Build partnerships with established European standards and spectrum ecosystems </w:t>
      </w:r>
    </w:p>
    <w:p w14:paraId="478FBB9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If the regional presence broadens, the interviewee pointed to potential partnerships with European standardization organizations (e.g., ETSI, CENELEC and other European standards bodies) and with CEPT structures that coordinate spectrum work in the region.</w:t>
      </w:r>
    </w:p>
    <w:p w14:paraId="701C279B"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Use consultation to target partnership needs</w:t>
      </w:r>
    </w:p>
    <w:p w14:paraId="0328556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He recommended consulting different stakeholder groups across Europe developing countries, EU institutions, and technical communities to identify where additional partnerships would be most useful beyond those already in place.</w:t>
      </w:r>
    </w:p>
    <w:p w14:paraId="3D612011" w14:textId="77777777" w:rsidR="00250529" w:rsidRPr="00986D12" w:rsidRDefault="00250529" w:rsidP="00C9333F">
      <w:pPr>
        <w:jc w:val="both"/>
        <w:rPr>
          <w:rFonts w:asciiTheme="minorHAnsi" w:hAnsiTheme="minorHAnsi" w:cstheme="minorHAnsi"/>
          <w:lang w:eastAsia="en-GB"/>
        </w:rPr>
      </w:pPr>
      <w:bookmarkStart w:id="194" w:name="_Toc224213086"/>
      <w:bookmarkStart w:id="195" w:name="_Toc224236517"/>
      <w:r w:rsidRPr="00066623">
        <w:rPr>
          <w:rStyle w:val="SubtitleitalicChar"/>
        </w:rPr>
        <w:t>Americas (CITEL)</w:t>
      </w:r>
      <w:bookmarkEnd w:id="194"/>
      <w:bookmarkEnd w:id="195"/>
      <w:r w:rsidRPr="00066623">
        <w:rPr>
          <w:rStyle w:val="SubtitleitalicChar"/>
        </w:rPr>
        <w:br/>
      </w:r>
      <w:r w:rsidRPr="00986D12">
        <w:rPr>
          <w:rFonts w:asciiTheme="minorHAnsi" w:hAnsiTheme="minorHAnsi" w:cstheme="minorHAnsi"/>
          <w:lang w:eastAsia="en-GB"/>
        </w:rPr>
        <w:t>Mr Oscar Leon (Executive Secretary, CITEL) and Ms Maria C. Fuenmayor (CITEL) (6-1-2025)</w:t>
      </w:r>
    </w:p>
    <w:p w14:paraId="5218093D"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Address the underlying constraint: resources </w:t>
      </w:r>
    </w:p>
    <w:p w14:paraId="7F274A90"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speakers repeatedly stressed that the primary limitation is not a lack of mandates or initiatives, but insufficient resources (budget and other support) to implement and complete projects. They emphasized that more resources are needed to deliver on agreed priorities.</w:t>
      </w:r>
    </w:p>
    <w:p w14:paraId="21647B9D"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Co-design initiatives with CITEL to maximize impact </w:t>
      </w:r>
    </w:p>
    <w:p w14:paraId="26E6EEE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They recommended including CITEL earlier in the development of initiatives and projects so efforts can be coordinated and scaled. CITEL is already providing technical support to multiple countries using its own resources; aligning ITU partnerships and resources with </w:t>
      </w:r>
      <w:proofErr w:type="spellStart"/>
      <w:r w:rsidRPr="00986D12">
        <w:rPr>
          <w:rFonts w:asciiTheme="minorHAnsi" w:hAnsiTheme="minorHAnsi" w:cstheme="minorHAnsi"/>
          <w:lang w:eastAsia="en-GB"/>
        </w:rPr>
        <w:t>CITEL’s</w:t>
      </w:r>
      <w:proofErr w:type="spellEnd"/>
      <w:r w:rsidRPr="00986D12">
        <w:rPr>
          <w:rFonts w:asciiTheme="minorHAnsi" w:hAnsiTheme="minorHAnsi" w:cstheme="minorHAnsi"/>
          <w:lang w:eastAsia="en-GB"/>
        </w:rPr>
        <w:t xml:space="preserve"> work could extend reach and benefits.</w:t>
      </w:r>
    </w:p>
    <w:p w14:paraId="04680EF4"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c) Build “alliances” that blend monetary and in-kind support </w:t>
      </w:r>
    </w:p>
    <w:p w14:paraId="271263DC"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Partnerships should include governments, private sector, and academia, combining financial and in-kind contributions (technical expertise, student support, capacity). A clearer roster/forward plan of upcoming ITU initiatives (e.g., 2026–2027) could help partners and regional actors identify gaps and contribute to completing projects.</w:t>
      </w:r>
    </w:p>
    <w:p w14:paraId="078DB1C3"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d) Focus on a limited set of priority initiatives</w:t>
      </w:r>
    </w:p>
    <w:p w14:paraId="61E93A37"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Given expanding mandates, the interviewees advised focusing on the most important initiatives rather than adding </w:t>
      </w:r>
      <w:r w:rsidRPr="00986D12" w:rsidDel="001101A1">
        <w:rPr>
          <w:rFonts w:asciiTheme="minorHAnsi" w:hAnsiTheme="minorHAnsi" w:cstheme="minorHAnsi"/>
          <w:lang w:eastAsia="en-GB"/>
        </w:rPr>
        <w:t>more</w:t>
      </w:r>
      <w:r w:rsidRPr="00986D12">
        <w:rPr>
          <w:rFonts w:asciiTheme="minorHAnsi" w:hAnsiTheme="minorHAnsi" w:cstheme="minorHAnsi"/>
          <w:lang w:eastAsia="en-GB"/>
        </w:rPr>
        <w:t xml:space="preserve"> and then mobilizing partnerships and resources around those priorities to ensure delivery.</w:t>
      </w:r>
    </w:p>
    <w:p w14:paraId="4B6B288C" w14:textId="77777777" w:rsidR="00250529" w:rsidRPr="00986D12" w:rsidRDefault="00250529" w:rsidP="00C9333F">
      <w:pPr>
        <w:jc w:val="both"/>
        <w:rPr>
          <w:rFonts w:asciiTheme="minorHAnsi" w:hAnsiTheme="minorHAnsi" w:cstheme="minorHAnsi"/>
          <w:lang w:eastAsia="en-GB"/>
        </w:rPr>
      </w:pPr>
      <w:bookmarkStart w:id="196" w:name="_Toc224213087"/>
      <w:bookmarkStart w:id="197" w:name="_Toc224236518"/>
      <w:r w:rsidRPr="00066623">
        <w:rPr>
          <w:rStyle w:val="SubtitleitalicChar"/>
        </w:rPr>
        <w:t>Asia Pacific (APT)</w:t>
      </w:r>
      <w:bookmarkEnd w:id="196"/>
      <w:bookmarkEnd w:id="197"/>
      <w:r w:rsidRPr="00066623">
        <w:rPr>
          <w:rStyle w:val="SubtitleitalicChar"/>
        </w:rPr>
        <w:br/>
      </w:r>
      <w:r w:rsidRPr="00986D12">
        <w:rPr>
          <w:rFonts w:asciiTheme="minorHAnsi" w:hAnsiTheme="minorHAnsi" w:cstheme="minorHAnsi"/>
          <w:lang w:eastAsia="en-GB"/>
        </w:rPr>
        <w:t>Dr Masanori Kondo, Secretary-General, Asia-Pacific Telecommunity (APT) (12-1-2025)</w:t>
      </w:r>
    </w:p>
    <w:p w14:paraId="68FF512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described partnership-building as a long-standing and complex challenge, particularly because multiple international organizations and donor agencies may engage the same beneficiary country simultaneously. His main recommendation was that effective partnerships depend on strong country ownership and coordination capacity so that incoming support from multiple actors is managed coherently.</w:t>
      </w:r>
    </w:p>
    <w:p w14:paraId="25D9649E"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a) Reduce overlap among international actors by strengthening country ownership</w:t>
      </w:r>
    </w:p>
    <w:p w14:paraId="1FF5C942"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He noted that in the Asia-Pacific context, several organizations (including international financial institutions and donor agencies) may approach the same country with support offers, which can naturally overlap or duplicate. He suggested that the key to mitigating this is ensuring that the beneficiary country maintains a strong initiative and coordination role so external partners align to the country’s own priorities and structures.</w:t>
      </w:r>
    </w:p>
    <w:p w14:paraId="3336A3DF"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Strengthen the national ‘focal point’ function with sufficient information and coordination ability</w:t>
      </w:r>
    </w:p>
    <w:p w14:paraId="52397302"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In alignment with the above points, a central point was that beneficiary countries should have a capable focal point able to track what different partners are offering and coordinate among them. He emphasized that donor agencies often do not have full visibility into each other’s activities, so the focal point becomes essential for avoiding fragmented or redundant interventions.</w:t>
      </w:r>
    </w:p>
    <w:p w14:paraId="00FDFB22"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Pair technical support with capacity building for focal points especially in small states</w:t>
      </w:r>
    </w:p>
    <w:p w14:paraId="2A97EDF1"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highlighted that some administrations particularly small Pacific countries may lack the manpower to serve as an effective coordination hub. He suggested that ITU could treat focal-point strengthening as a parallel action: while delivering support in a specific thematic area of ICT, ITU can also invest in capacity building so the focal point can manage and coordinate inputs from multiple partners.</w:t>
      </w:r>
    </w:p>
    <w:p w14:paraId="218FFEEF" w14:textId="77777777" w:rsidR="00250529" w:rsidRPr="00986D12" w:rsidRDefault="00250529" w:rsidP="00C9333F">
      <w:pPr>
        <w:jc w:val="both"/>
        <w:rPr>
          <w:rFonts w:asciiTheme="minorHAnsi" w:hAnsiTheme="minorHAnsi" w:cstheme="minorHAnsi"/>
          <w:lang w:val="it-IT" w:eastAsia="en-GB"/>
        </w:rPr>
      </w:pPr>
      <w:bookmarkStart w:id="198" w:name="_Toc224213088"/>
      <w:bookmarkStart w:id="199" w:name="_Toc224236519"/>
      <w:r w:rsidRPr="002B7E01">
        <w:rPr>
          <w:rStyle w:val="SubtitleitalicChar"/>
          <w:lang w:val="it-IT"/>
        </w:rPr>
        <w:t>Africa (ATU)</w:t>
      </w:r>
      <w:bookmarkEnd w:id="198"/>
      <w:bookmarkEnd w:id="199"/>
      <w:r w:rsidRPr="002B7E01">
        <w:rPr>
          <w:rStyle w:val="SubtitleitalicChar"/>
          <w:lang w:val="it-IT"/>
        </w:rPr>
        <w:br/>
      </w:r>
      <w:r w:rsidRPr="00986D12">
        <w:rPr>
          <w:rFonts w:asciiTheme="minorHAnsi" w:hAnsiTheme="minorHAnsi" w:cstheme="minorHAnsi"/>
          <w:lang w:val="it-IT" w:eastAsia="en-GB"/>
        </w:rPr>
        <w:t>Ms Meriem Slimani (ATU) (13-1-2025)</w:t>
      </w:r>
    </w:p>
    <w:p w14:paraId="2C33E7A3"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Use coordination frameworks for continental projects </w:t>
      </w:r>
    </w:p>
    <w:p w14:paraId="5E4A1B03"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ATU relies heavily on partners due to budget and human resource constraints, and ITU is viewed as a key partner providing expertise and capacity. </w:t>
      </w:r>
    </w:p>
    <w:p w14:paraId="5BFB2C86"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suggested developing coordination frameworks for major/continental projects that bring partners and stakeholders together around defined roles and deliverables.</w:t>
      </w:r>
    </w:p>
    <w:p w14:paraId="4DE7FE86"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Move from workshops to funded implementation with identified partners </w:t>
      </w:r>
    </w:p>
    <w:p w14:paraId="581C3F7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Building on past joint activities (e.g., a workshop on Early Warning for All), she recommended going beyond events to identify concrete projects, potential funders, and complementary UN bodies/partners so initiatives can be implemented at scale and sustained.</w:t>
      </w:r>
    </w:p>
    <w:p w14:paraId="4EBB511B"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c) Leverage </w:t>
      </w:r>
      <w:proofErr w:type="spellStart"/>
      <w:r w:rsidRPr="00986D12">
        <w:rPr>
          <w:rFonts w:asciiTheme="minorHAnsi" w:hAnsiTheme="minorHAnsi" w:cstheme="minorHAnsi"/>
        </w:rPr>
        <w:t>ATU’s</w:t>
      </w:r>
      <w:proofErr w:type="spellEnd"/>
      <w:r w:rsidRPr="00986D12">
        <w:rPr>
          <w:rFonts w:asciiTheme="minorHAnsi" w:hAnsiTheme="minorHAnsi" w:cstheme="minorHAnsi"/>
        </w:rPr>
        <w:t xml:space="preserve"> convening role to map needs and mobilize Member States </w:t>
      </w:r>
    </w:p>
    <w:p w14:paraId="03235E57"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She noted that ATU can help bring Member States on board and contribute to mapping needs. With ITU’s experience across regions, both organizations could jointly structure partnerships that combine expertise, financing and delivery capacity.</w:t>
      </w:r>
    </w:p>
    <w:p w14:paraId="7EE6E7CC" w14:textId="310017A9" w:rsidR="00250529" w:rsidRPr="00986D12" w:rsidRDefault="008C431B" w:rsidP="008C431B">
      <w:pPr>
        <w:pStyle w:val="AnnexHeading4"/>
        <w:numPr>
          <w:ilvl w:val="0"/>
          <w:numId w:val="0"/>
        </w:numPr>
        <w:ind w:left="357" w:hanging="357"/>
        <w:rPr>
          <w:rFonts w:asciiTheme="minorHAnsi" w:hAnsiTheme="minorHAnsi" w:cstheme="minorHAnsi"/>
          <w:b/>
          <w:color w:val="auto"/>
        </w:rPr>
      </w:pPr>
      <w:r w:rsidRPr="00986D12">
        <w:rPr>
          <w:rFonts w:asciiTheme="minorHAnsi" w:hAnsiTheme="minorHAnsi" w:cstheme="minorHAnsi"/>
          <w:b/>
          <w:color w:val="auto"/>
        </w:rPr>
        <w:lastRenderedPageBreak/>
        <w:t>3.</w:t>
      </w:r>
      <w:r w:rsidRPr="00986D12">
        <w:rPr>
          <w:rFonts w:asciiTheme="minorHAnsi" w:hAnsiTheme="minorHAnsi" w:cstheme="minorHAnsi"/>
          <w:b/>
          <w:color w:val="auto"/>
        </w:rPr>
        <w:tab/>
      </w:r>
      <w:r w:rsidR="00250529" w:rsidRPr="00986D12">
        <w:rPr>
          <w:rFonts w:asciiTheme="minorHAnsi" w:hAnsiTheme="minorHAnsi" w:cstheme="minorHAnsi"/>
          <w:b/>
          <w:color w:val="auto"/>
        </w:rPr>
        <w:t>What approaches could be used by regional and area offices to strengthen coordination with countries not belonging to a specific RTO in the preparatory process for ITU assemblies and conferences?</w:t>
      </w:r>
    </w:p>
    <w:p w14:paraId="7B578627" w14:textId="77777777" w:rsidR="00250529" w:rsidRPr="00986D12" w:rsidRDefault="00250529" w:rsidP="00C9333F">
      <w:pPr>
        <w:jc w:val="both"/>
        <w:rPr>
          <w:rFonts w:asciiTheme="minorHAnsi" w:hAnsiTheme="minorHAnsi" w:cstheme="minorHAnsi"/>
          <w:lang w:eastAsia="en-GB"/>
        </w:rPr>
      </w:pPr>
      <w:bookmarkStart w:id="200" w:name="_Toc224213089"/>
      <w:bookmarkStart w:id="201" w:name="_Toc224236520"/>
      <w:r w:rsidRPr="00066623">
        <w:rPr>
          <w:rStyle w:val="SubtitleitalicChar"/>
        </w:rPr>
        <w:t>Arab States (LAS)</w:t>
      </w:r>
      <w:bookmarkEnd w:id="200"/>
      <w:bookmarkEnd w:id="201"/>
      <w:r w:rsidRPr="00066623">
        <w:rPr>
          <w:rStyle w:val="SubtitleitalicChar"/>
        </w:rPr>
        <w:br/>
      </w:r>
      <w:r w:rsidRPr="00986D12">
        <w:rPr>
          <w:rFonts w:asciiTheme="minorHAnsi" w:hAnsiTheme="minorHAnsi" w:cstheme="minorHAnsi"/>
          <w:lang w:eastAsia="en-GB"/>
        </w:rPr>
        <w:t>Mr Belkassem Ali Belkassem Makhlouf, ICT Development Department, League of Arab States (24-12-2025)</w:t>
      </w:r>
    </w:p>
    <w:p w14:paraId="67C27F7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While all Arab States formally belong to a regional framework, the interviewee highlighted that least developed countries (</w:t>
      </w:r>
      <w:proofErr w:type="spellStart"/>
      <w:r w:rsidRPr="00986D12">
        <w:rPr>
          <w:rFonts w:asciiTheme="minorHAnsi" w:hAnsiTheme="minorHAnsi" w:cstheme="minorHAnsi"/>
          <w:lang w:eastAsia="en-GB"/>
        </w:rPr>
        <w:t>LDCs</w:t>
      </w:r>
      <w:proofErr w:type="spellEnd"/>
      <w:r w:rsidRPr="00986D12">
        <w:rPr>
          <w:rFonts w:asciiTheme="minorHAnsi" w:hAnsiTheme="minorHAnsi" w:cstheme="minorHAnsi"/>
          <w:lang w:eastAsia="en-GB"/>
        </w:rPr>
        <w:t>) in the region such as Djibouti, Mauritania, and Somalia often face practical barriers to effective participation.</w:t>
      </w:r>
    </w:p>
    <w:p w14:paraId="2BA1482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Key constraints identified include:</w:t>
      </w:r>
    </w:p>
    <w:p w14:paraId="655A0264" w14:textId="62DC1AE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Limited financial resources,</w:t>
      </w:r>
    </w:p>
    <w:p w14:paraId="491AAAB1" w14:textId="550CB08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Shortage of national experts,</w:t>
      </w:r>
    </w:p>
    <w:p w14:paraId="1F132584" w14:textId="1F13C8D7"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Capacity gaps in specialized technical domains.</w:t>
      </w:r>
    </w:p>
    <w:p w14:paraId="3C92EAEE"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To address these challenges, the interviewee suggested:</w:t>
      </w:r>
    </w:p>
    <w:p w14:paraId="6B4B8C38" w14:textId="6D02CA32"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2"/>
          <w:szCs w:val="22"/>
          <w:lang w:eastAsia="en-GB"/>
          <w14:ligatures w14:val="standardContextual"/>
        </w:rPr>
        <w:t></w:t>
      </w:r>
      <w:r w:rsidRPr="00986D12">
        <w:rPr>
          <w:rFonts w:ascii="Symbol" w:eastAsia="Aptos" w:hAnsi="Symbol"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Encouraging greater participation of these countries in global ITU bodies (e.g. </w:t>
      </w:r>
      <w:proofErr w:type="spellStart"/>
      <w:r w:rsidR="00250529" w:rsidRPr="008C431B">
        <w:rPr>
          <w:rFonts w:asciiTheme="minorHAnsi" w:hAnsiTheme="minorHAnsi" w:cstheme="minorHAnsi"/>
          <w:lang w:eastAsia="en-GB"/>
        </w:rPr>
        <w:t>TDAG</w:t>
      </w:r>
      <w:proofErr w:type="spellEnd"/>
      <w:r w:rsidR="00250529" w:rsidRPr="008C431B">
        <w:rPr>
          <w:rFonts w:asciiTheme="minorHAnsi" w:hAnsiTheme="minorHAnsi" w:cstheme="minorHAnsi"/>
          <w:lang w:eastAsia="en-GB"/>
        </w:rPr>
        <w:t>, TSAG),</w:t>
      </w:r>
    </w:p>
    <w:p w14:paraId="4C4F1F6D" w14:textId="288B46E5" w:rsidR="00250529" w:rsidRPr="008C431B" w:rsidRDefault="008C431B" w:rsidP="008C431B">
      <w:pPr>
        <w:spacing w:before="60" w:after="60"/>
        <w:ind w:left="720" w:hanging="360"/>
        <w:jc w:val="both"/>
        <w:rPr>
          <w:rFonts w:asciiTheme="minorHAnsi" w:hAnsiTheme="minorHAnsi" w:cstheme="minorHAnsi"/>
          <w:lang w:eastAsia="en-GB"/>
        </w:rPr>
      </w:pPr>
      <w:r w:rsidRPr="00986D12">
        <w:rPr>
          <w:rFonts w:ascii="Symbol" w:eastAsia="Aptos" w:hAnsi="Symbol" w:cstheme="minorHAnsi"/>
          <w:kern w:val="2"/>
          <w:sz w:val="22"/>
          <w:szCs w:val="22"/>
          <w:lang w:eastAsia="en-GB"/>
          <w14:ligatures w14:val="standardContextual"/>
        </w:rPr>
        <w:t></w:t>
      </w:r>
      <w:r w:rsidRPr="00986D12">
        <w:rPr>
          <w:rFonts w:ascii="Symbol" w:eastAsia="Aptos" w:hAnsi="Symbol"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Creating more opportunities for them to articulate their needs and priorities directly, </w:t>
      </w:r>
    </w:p>
    <w:p w14:paraId="127585C5" w14:textId="004C3355" w:rsidR="00250529" w:rsidRPr="008C431B" w:rsidRDefault="008C431B" w:rsidP="008C431B">
      <w:pPr>
        <w:ind w:left="720" w:hanging="360"/>
        <w:jc w:val="both"/>
        <w:rPr>
          <w:rFonts w:asciiTheme="minorHAnsi" w:hAnsiTheme="minorHAnsi" w:cstheme="minorHAnsi"/>
          <w:lang w:eastAsia="en-GB"/>
        </w:rPr>
      </w:pPr>
      <w:r w:rsidRPr="00986D12">
        <w:rPr>
          <w:rFonts w:ascii="Symbol" w:eastAsia="Aptos" w:hAnsi="Symbol" w:cstheme="minorHAnsi"/>
          <w:kern w:val="2"/>
          <w:sz w:val="22"/>
          <w:szCs w:val="22"/>
          <w:lang w:eastAsia="en-GB"/>
          <w14:ligatures w14:val="standardContextual"/>
        </w:rPr>
        <w:t></w:t>
      </w:r>
      <w:r w:rsidRPr="00986D12">
        <w:rPr>
          <w:rFonts w:ascii="Symbol" w:eastAsia="Aptos" w:hAnsi="Symbol" w:cstheme="minorHAnsi"/>
          <w:kern w:val="2"/>
          <w:sz w:val="22"/>
          <w:szCs w:val="22"/>
          <w:lang w:eastAsia="en-GB"/>
          <w14:ligatures w14:val="standardContextual"/>
        </w:rPr>
        <w:tab/>
      </w:r>
      <w:r w:rsidR="00250529" w:rsidRPr="008C431B">
        <w:rPr>
          <w:rFonts w:asciiTheme="minorHAnsi" w:hAnsiTheme="minorHAnsi" w:cstheme="minorHAnsi"/>
          <w:lang w:eastAsia="en-GB"/>
        </w:rPr>
        <w:t xml:space="preserve">Providing targeted technical assistance and capacity-building support tailored to </w:t>
      </w:r>
      <w:r w:rsidR="00250529" w:rsidRPr="008C431B">
        <w:rPr>
          <w:rFonts w:asciiTheme="minorHAnsi" w:hAnsiTheme="minorHAnsi" w:cstheme="minorHAnsi"/>
        </w:rPr>
        <w:br/>
      </w:r>
      <w:r w:rsidR="00250529" w:rsidRPr="008C431B">
        <w:rPr>
          <w:rFonts w:asciiTheme="minorHAnsi" w:hAnsiTheme="minorHAnsi" w:cstheme="minorHAnsi"/>
          <w:lang w:eastAsia="en-GB"/>
        </w:rPr>
        <w:t>their specific constraints.</w:t>
      </w:r>
    </w:p>
    <w:p w14:paraId="4199A2FE" w14:textId="77777777" w:rsidR="00250529" w:rsidRPr="00986D12" w:rsidRDefault="00250529" w:rsidP="00C9333F">
      <w:pPr>
        <w:jc w:val="both"/>
        <w:rPr>
          <w:rFonts w:asciiTheme="minorHAnsi" w:hAnsiTheme="minorHAnsi" w:cstheme="minorHAnsi"/>
          <w:lang w:eastAsia="en-GB"/>
        </w:rPr>
      </w:pPr>
      <w:bookmarkStart w:id="202" w:name="_Toc224213090"/>
      <w:bookmarkStart w:id="203" w:name="_Toc224236521"/>
      <w:r w:rsidRPr="00066623">
        <w:rPr>
          <w:rStyle w:val="SubtitleitalicChar"/>
        </w:rPr>
        <w:t>CIS (RCC)</w:t>
      </w:r>
      <w:bookmarkEnd w:id="202"/>
      <w:bookmarkEnd w:id="203"/>
      <w:r w:rsidRPr="00066623">
        <w:rPr>
          <w:rStyle w:val="SubtitleitalicChar"/>
        </w:rPr>
        <w:br/>
      </w:r>
      <w:r w:rsidRPr="00986D12">
        <w:rPr>
          <w:rFonts w:asciiTheme="minorHAnsi" w:hAnsiTheme="minorHAnsi" w:cstheme="minorHAnsi"/>
          <w:lang w:eastAsia="en-GB"/>
        </w:rPr>
        <w:t xml:space="preserve">Mr Alexey Borodin (RCC DG), Ms Maria Bolshakova (RCC </w:t>
      </w:r>
      <w:proofErr w:type="spellStart"/>
      <w:r w:rsidRPr="00986D12">
        <w:rPr>
          <w:rFonts w:asciiTheme="minorHAnsi" w:hAnsiTheme="minorHAnsi" w:cstheme="minorHAnsi"/>
          <w:lang w:eastAsia="en-GB"/>
        </w:rPr>
        <w:t>DDG</w:t>
      </w:r>
      <w:proofErr w:type="spellEnd"/>
      <w:r w:rsidRPr="00986D12">
        <w:rPr>
          <w:rFonts w:asciiTheme="minorHAnsi" w:hAnsiTheme="minorHAnsi" w:cstheme="minorHAnsi"/>
          <w:lang w:eastAsia="en-GB"/>
        </w:rPr>
        <w:t>) (24-12-2025)</w:t>
      </w:r>
    </w:p>
    <w:p w14:paraId="3E0ECE9A"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Structured outreach to non-RTO Member States </w:t>
      </w:r>
    </w:p>
    <w:p w14:paraId="5918CC1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Although this is not a significant issue in the CIS region, the interviewees suggested that ITU could maintain an up-to-date list of Member States not affiliated with an RTO and distribute responsibility across RTOs to invite them as observers or guests to relevant preparatory meetings.</w:t>
      </w:r>
    </w:p>
    <w:p w14:paraId="275AD957"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Targeted invitations and circular letters </w:t>
      </w:r>
    </w:p>
    <w:p w14:paraId="6350948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They proposed that non-RTO countries could be formally invited (e.g., via circular letters) to attend specific sessions of RTO preparatory meetings that align with their interests, helping demonstrate the benefits of participation and encouraging sustained engagement.</w:t>
      </w:r>
    </w:p>
    <w:p w14:paraId="255FDD09" w14:textId="77777777" w:rsidR="00250529" w:rsidRPr="00986D12" w:rsidRDefault="00250529" w:rsidP="00C9333F">
      <w:pPr>
        <w:jc w:val="both"/>
        <w:rPr>
          <w:rFonts w:asciiTheme="minorHAnsi" w:hAnsiTheme="minorHAnsi" w:cstheme="minorHAnsi"/>
          <w:lang w:eastAsia="en-GB"/>
        </w:rPr>
      </w:pPr>
      <w:bookmarkStart w:id="204" w:name="_Toc224213091"/>
      <w:bookmarkStart w:id="205" w:name="_Toc224236522"/>
      <w:r w:rsidRPr="00066623">
        <w:rPr>
          <w:rStyle w:val="SubtitleitalicChar"/>
        </w:rPr>
        <w:t>Europe (CEPT)</w:t>
      </w:r>
      <w:bookmarkEnd w:id="204"/>
      <w:bookmarkEnd w:id="205"/>
      <w:r w:rsidRPr="00066623">
        <w:rPr>
          <w:rStyle w:val="SubtitleitalicChar"/>
        </w:rPr>
        <w:t xml:space="preserve"> </w:t>
      </w:r>
      <w:r w:rsidRPr="00066623">
        <w:rPr>
          <w:rStyle w:val="SubtitleitalicChar"/>
        </w:rPr>
        <w:br/>
      </w:r>
      <w:r w:rsidRPr="00986D12">
        <w:rPr>
          <w:rFonts w:asciiTheme="minorHAnsi" w:hAnsiTheme="minorHAnsi" w:cstheme="minorHAnsi"/>
          <w:lang w:eastAsia="en-GB"/>
        </w:rPr>
        <w:t>Mr Oli Bird, Co-President and Chair of Com-ITU (6-1-2026)</w:t>
      </w:r>
    </w:p>
    <w:p w14:paraId="69AF66C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Preserve flexible participation pathways for the non-RTO country</w:t>
      </w:r>
    </w:p>
    <w:p w14:paraId="0905D4B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The discussion focused on Israel as the single country in the region not formally belonging to an RTO. Historically, Israel has observed CEPT </w:t>
      </w:r>
      <w:proofErr w:type="spellStart"/>
      <w:r w:rsidRPr="00986D12">
        <w:rPr>
          <w:rFonts w:asciiTheme="minorHAnsi" w:hAnsiTheme="minorHAnsi" w:cstheme="minorHAnsi"/>
          <w:lang w:eastAsia="en-GB"/>
        </w:rPr>
        <w:t>COMITU</w:t>
      </w:r>
      <w:proofErr w:type="spellEnd"/>
      <w:r w:rsidRPr="00986D12">
        <w:rPr>
          <w:rFonts w:asciiTheme="minorHAnsi" w:hAnsiTheme="minorHAnsi" w:cstheme="minorHAnsi"/>
          <w:lang w:eastAsia="en-GB"/>
        </w:rPr>
        <w:t xml:space="preserve"> meetings through an evolved practice; CEPT is now considering how to place this on a firmer procedural footing.</w:t>
      </w:r>
    </w:p>
    <w:p w14:paraId="3FBDC805"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b) Practical collaboration can continue without heavy formalities</w:t>
      </w:r>
    </w:p>
    <w:p w14:paraId="6EAF3E5B"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indicated that closer collaboration in preparations for major ITU meetings is feasible and does not necessarily require complex structural solutions; it mainly requires will and practical arrangements on both sides.</w:t>
      </w:r>
    </w:p>
    <w:p w14:paraId="53F82164"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Recognize that ‘developing country’ support tools may not apply</w:t>
      </w:r>
    </w:p>
    <w:p w14:paraId="7125EEB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He noted that, unlike other regions where non-RTO states may also be resource constrained, the fellowship/participation support dimension is less relevant in this specific case.</w:t>
      </w:r>
    </w:p>
    <w:p w14:paraId="5744BAB3" w14:textId="77777777" w:rsidR="00250529" w:rsidRPr="00986D12" w:rsidRDefault="00250529" w:rsidP="00C9333F">
      <w:pPr>
        <w:jc w:val="both"/>
        <w:rPr>
          <w:rFonts w:asciiTheme="minorHAnsi" w:hAnsiTheme="minorHAnsi" w:cstheme="minorHAnsi"/>
          <w:lang w:eastAsia="en-GB"/>
        </w:rPr>
      </w:pPr>
      <w:bookmarkStart w:id="206" w:name="_Toc224213092"/>
      <w:bookmarkStart w:id="207" w:name="_Toc224236523"/>
      <w:r w:rsidRPr="00066623">
        <w:rPr>
          <w:rStyle w:val="SubtitleitalicChar"/>
        </w:rPr>
        <w:t>Americas (CITEL)</w:t>
      </w:r>
      <w:bookmarkEnd w:id="206"/>
      <w:bookmarkEnd w:id="207"/>
      <w:r w:rsidRPr="00066623">
        <w:rPr>
          <w:rStyle w:val="SubtitleitalicChar"/>
        </w:rPr>
        <w:br/>
      </w:r>
      <w:r w:rsidRPr="00986D12">
        <w:rPr>
          <w:rFonts w:asciiTheme="minorHAnsi" w:hAnsiTheme="minorHAnsi" w:cstheme="minorHAnsi"/>
          <w:lang w:eastAsia="en-GB"/>
        </w:rPr>
        <w:t>Mr Oscar Leon (Executive Secretary, CITEL) and Ms Maria C. Fuenmayor (CITEL) (6-1-2025)</w:t>
      </w:r>
    </w:p>
    <w:p w14:paraId="02BB508E"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Use the regional office to convene inclusive preparatory meetings </w:t>
      </w:r>
    </w:p>
    <w:p w14:paraId="670DFDCC"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discussion noted that two countries in the region (Cuba and Nicaragua) are not members of the RTO and cannot be included directly in certain CITEL meeting processes due to internal rules. In practice, the ITU regional office already facilitates inclusion by issuing invitations and convening broader meetings that include all relevant countries.</w:t>
      </w:r>
    </w:p>
    <w:p w14:paraId="1ECE6D61"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Leverage sub-regional mechanisms to maintain dialogue </w:t>
      </w:r>
    </w:p>
    <w:p w14:paraId="7046ECC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For Nicaragua, the interviewee noted engagement through a Central America sub-regional mechanism (</w:t>
      </w:r>
      <w:proofErr w:type="spellStart"/>
      <w:r w:rsidRPr="00986D12">
        <w:rPr>
          <w:rFonts w:asciiTheme="minorHAnsi" w:hAnsiTheme="minorHAnsi" w:cstheme="minorHAnsi"/>
          <w:lang w:eastAsia="en-GB"/>
        </w:rPr>
        <w:t>COMTELCA</w:t>
      </w:r>
      <w:proofErr w:type="spellEnd"/>
      <w:r w:rsidRPr="00986D12">
        <w:rPr>
          <w:rFonts w:asciiTheme="minorHAnsi" w:hAnsiTheme="minorHAnsi" w:cstheme="minorHAnsi"/>
          <w:lang w:eastAsia="en-GB"/>
        </w:rPr>
        <w:t>), including meetings to explain common CITEL positions and explore where alignment is possible.</w:t>
      </w:r>
    </w:p>
    <w:p w14:paraId="6BF6F751"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Keep the existing facilitation model because it works</w:t>
      </w:r>
    </w:p>
    <w:p w14:paraId="7C7ADB07"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Both speakers indicated the current channel regional office facilitation and coordination with key Member States has worked for many years and does not require major change beyond continuing the practice.</w:t>
      </w:r>
    </w:p>
    <w:p w14:paraId="10319E72" w14:textId="77777777" w:rsidR="00250529" w:rsidRPr="00986D12" w:rsidRDefault="00250529" w:rsidP="00C9333F">
      <w:pPr>
        <w:jc w:val="both"/>
        <w:rPr>
          <w:rFonts w:asciiTheme="minorHAnsi" w:hAnsiTheme="minorHAnsi" w:cstheme="minorHAnsi"/>
          <w:lang w:eastAsia="en-GB"/>
        </w:rPr>
      </w:pPr>
      <w:bookmarkStart w:id="208" w:name="_Toc224213093"/>
      <w:bookmarkStart w:id="209" w:name="_Toc224236524"/>
      <w:r w:rsidRPr="00066623">
        <w:rPr>
          <w:rStyle w:val="SubtitleitalicChar"/>
        </w:rPr>
        <w:t>Asia Pacific (APT)</w:t>
      </w:r>
      <w:bookmarkEnd w:id="208"/>
      <w:bookmarkEnd w:id="209"/>
      <w:r w:rsidRPr="00066623">
        <w:rPr>
          <w:rStyle w:val="SubtitleitalicChar"/>
        </w:rPr>
        <w:br/>
      </w:r>
      <w:r w:rsidRPr="00986D12">
        <w:rPr>
          <w:rFonts w:asciiTheme="minorHAnsi" w:hAnsiTheme="minorHAnsi" w:cstheme="minorHAnsi"/>
          <w:lang w:eastAsia="en-GB"/>
        </w:rPr>
        <w:t>Dr Masanori Kondo, Secretary-General, Asia-Pacific Telecommunity (APT) (12-1-2025)</w:t>
      </w:r>
    </w:p>
    <w:p w14:paraId="5A983B7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The interviewee did not consider the point a major structural obstacle in practice, noting that ITU Member States retain the right to submit any contributions directly through ITU channels, and that regional coordination is not the only pathway for participation. He further noted that membership in any regional or international organization is subject to each organization’s own internal rules and procedures, including decisions on which countries may become members, and that he is therefore not </w:t>
      </w:r>
      <w:proofErr w:type="gramStart"/>
      <w:r w:rsidRPr="00986D12">
        <w:rPr>
          <w:rFonts w:asciiTheme="minorHAnsi" w:hAnsiTheme="minorHAnsi" w:cstheme="minorHAnsi"/>
          <w:lang w:eastAsia="en-GB"/>
        </w:rPr>
        <w:t>in a position</w:t>
      </w:r>
      <w:proofErr w:type="gramEnd"/>
      <w:r w:rsidRPr="00986D12">
        <w:rPr>
          <w:rFonts w:asciiTheme="minorHAnsi" w:hAnsiTheme="minorHAnsi" w:cstheme="minorHAnsi"/>
          <w:lang w:eastAsia="en-GB"/>
        </w:rPr>
        <w:t xml:space="preserve"> to comment on or assess such internal membership arrangements. He nonetheless acknowledged that regional discussion mechanisms can offer some advantages for members to discuss, coordinate, and develop positions at the regional level.</w:t>
      </w:r>
    </w:p>
    <w:p w14:paraId="1D2E9CC7" w14:textId="77777777" w:rsidR="00250529" w:rsidRPr="00986D12" w:rsidRDefault="00250529" w:rsidP="00C9333F">
      <w:pPr>
        <w:jc w:val="both"/>
        <w:rPr>
          <w:rFonts w:asciiTheme="minorHAnsi" w:hAnsiTheme="minorHAnsi" w:cstheme="minorHAnsi"/>
          <w:lang w:val="it-IT" w:eastAsia="en-GB"/>
        </w:rPr>
      </w:pPr>
      <w:bookmarkStart w:id="210" w:name="_Toc224213094"/>
      <w:bookmarkStart w:id="211" w:name="_Toc224236525"/>
      <w:r w:rsidRPr="002B7E01">
        <w:rPr>
          <w:rStyle w:val="SubtitleitalicChar"/>
          <w:lang w:val="it-IT"/>
        </w:rPr>
        <w:t>Africa (ATU)</w:t>
      </w:r>
      <w:bookmarkEnd w:id="210"/>
      <w:bookmarkEnd w:id="211"/>
      <w:r w:rsidRPr="002B7E01">
        <w:rPr>
          <w:rStyle w:val="SubtitleitalicChar"/>
          <w:lang w:val="it-IT"/>
        </w:rPr>
        <w:br/>
      </w:r>
      <w:r w:rsidRPr="00986D12">
        <w:rPr>
          <w:rFonts w:asciiTheme="minorHAnsi" w:hAnsiTheme="minorHAnsi" w:cstheme="minorHAnsi"/>
          <w:lang w:val="it-IT" w:eastAsia="en-GB"/>
        </w:rPr>
        <w:t>Ms Meriem Slimani (ATU) (13-1-2025)</w:t>
      </w:r>
    </w:p>
    <w:p w14:paraId="20412F86"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 xml:space="preserve">a) Maintain open participation and equal facilitation </w:t>
      </w:r>
    </w:p>
    <w:p w14:paraId="7FC8E81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noted that only two countries are not members of ATU (Seychelles and Eritrea). ATU keeps doors open for all African countries in conference preparations and offers the same facilitation and opportunities to contribute.</w:t>
      </w:r>
    </w:p>
    <w:p w14:paraId="597DA8D4"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Address practical participation constraints (e.g., budget)</w:t>
      </w:r>
    </w:p>
    <w:p w14:paraId="44C2B671"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Where issues arise, they are primarily linked to practical constraints such as budget. The approach is to continue inviting and facilitating participation rather than introducing restrictive processes, consistent with </w:t>
      </w:r>
      <w:proofErr w:type="spellStart"/>
      <w:r w:rsidRPr="00986D12">
        <w:rPr>
          <w:rFonts w:asciiTheme="minorHAnsi" w:hAnsiTheme="minorHAnsi" w:cstheme="minorHAnsi"/>
          <w:lang w:eastAsia="en-GB"/>
        </w:rPr>
        <w:t>ATU’s</w:t>
      </w:r>
      <w:proofErr w:type="spellEnd"/>
      <w:r w:rsidRPr="00986D12">
        <w:rPr>
          <w:rFonts w:asciiTheme="minorHAnsi" w:hAnsiTheme="minorHAnsi" w:cstheme="minorHAnsi"/>
          <w:lang w:eastAsia="en-GB"/>
        </w:rPr>
        <w:t xml:space="preserve"> role as a specialized agency of the African Union.</w:t>
      </w:r>
    </w:p>
    <w:p w14:paraId="7CDDD654" w14:textId="5AE75CC2" w:rsidR="00250529" w:rsidRPr="00986D12" w:rsidRDefault="008C431B" w:rsidP="008C431B">
      <w:pPr>
        <w:pStyle w:val="AnnexHeading4"/>
        <w:numPr>
          <w:ilvl w:val="0"/>
          <w:numId w:val="0"/>
        </w:numPr>
        <w:ind w:left="357" w:hanging="357"/>
        <w:rPr>
          <w:rFonts w:asciiTheme="minorHAnsi" w:hAnsiTheme="minorHAnsi" w:cstheme="minorHAnsi"/>
          <w:b/>
          <w:color w:val="auto"/>
        </w:rPr>
      </w:pPr>
      <w:r w:rsidRPr="00986D12">
        <w:rPr>
          <w:rFonts w:asciiTheme="minorHAnsi" w:hAnsiTheme="minorHAnsi" w:cstheme="minorHAnsi"/>
          <w:b/>
          <w:color w:val="auto"/>
        </w:rPr>
        <w:t>4.</w:t>
      </w:r>
      <w:r w:rsidRPr="00986D12">
        <w:rPr>
          <w:rFonts w:asciiTheme="minorHAnsi" w:hAnsiTheme="minorHAnsi" w:cstheme="minorHAnsi"/>
          <w:b/>
          <w:color w:val="auto"/>
        </w:rPr>
        <w:tab/>
      </w:r>
      <w:r w:rsidR="00250529" w:rsidRPr="00986D12">
        <w:rPr>
          <w:rFonts w:asciiTheme="minorHAnsi" w:hAnsiTheme="minorHAnsi" w:cstheme="minorHAnsi"/>
          <w:b/>
          <w:color w:val="auto"/>
        </w:rPr>
        <w:t>What additional feedback can help ITU strengthen its regional presence overall?</w:t>
      </w:r>
    </w:p>
    <w:p w14:paraId="65744714" w14:textId="77777777" w:rsidR="00250529" w:rsidRPr="00986D12" w:rsidRDefault="00250529" w:rsidP="00C9333F">
      <w:pPr>
        <w:jc w:val="both"/>
        <w:rPr>
          <w:rFonts w:asciiTheme="minorHAnsi" w:hAnsiTheme="minorHAnsi" w:cstheme="minorHAnsi"/>
          <w:lang w:eastAsia="en-GB"/>
        </w:rPr>
      </w:pPr>
      <w:bookmarkStart w:id="212" w:name="_Toc224213095"/>
      <w:bookmarkStart w:id="213" w:name="_Toc224236526"/>
      <w:r w:rsidRPr="00066623">
        <w:rPr>
          <w:rStyle w:val="SubtitleitalicChar"/>
        </w:rPr>
        <w:t>Arab States (LAS)</w:t>
      </w:r>
      <w:bookmarkEnd w:id="212"/>
      <w:bookmarkEnd w:id="213"/>
      <w:r w:rsidRPr="00066623">
        <w:rPr>
          <w:rStyle w:val="SubtitleitalicChar"/>
        </w:rPr>
        <w:br/>
      </w:r>
      <w:r w:rsidRPr="00986D12">
        <w:rPr>
          <w:rFonts w:asciiTheme="minorHAnsi" w:hAnsiTheme="minorHAnsi" w:cstheme="minorHAnsi"/>
          <w:lang w:eastAsia="en-GB"/>
        </w:rPr>
        <w:t>Mr Belkassem Ali Belkassem Makhlouf, ICT Development Department, League of Arab States (24-12-2025)</w:t>
      </w:r>
    </w:p>
    <w:p w14:paraId="38D7C021"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In response to this open-ended question, the interviewee outlined several strategic directions for enhancing ITU’s regional relevance and visibility.</w:t>
      </w:r>
    </w:p>
    <w:p w14:paraId="47F2811D"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Side-by-Side Implementation of Regional Initiatives</w:t>
      </w:r>
    </w:p>
    <w:p w14:paraId="3D50082E"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emphasized the importance of ITU and the League of Arab States working in parallel and in close coordination to implement regional initiatives, whether originating from ITU conferences or Arab regional strategies.</w:t>
      </w:r>
    </w:p>
    <w:p w14:paraId="4256B3F6"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Continuous Feedback from Member States</w:t>
      </w:r>
    </w:p>
    <w:p w14:paraId="1342C9C0"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Regular and structured engagement with Member States was identified as essential. </w:t>
      </w:r>
    </w:p>
    <w:p w14:paraId="04427503"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This includes:</w:t>
      </w:r>
    </w:p>
    <w:p w14:paraId="048FB8A7" w14:textId="264908E7"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Periodic feedback on ongoing initiatives,</w:t>
      </w:r>
    </w:p>
    <w:p w14:paraId="18AB99DD" w14:textId="7643E8DB"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Consultation on annual action plans,</w:t>
      </w:r>
    </w:p>
    <w:p w14:paraId="0A3A79CC" w14:textId="370C8480"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Adjustment of activities based on evolving national priorities.</w:t>
      </w:r>
    </w:p>
    <w:p w14:paraId="005F37AB"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Focus on High-Priority and Emerging Topics</w:t>
      </w:r>
    </w:p>
    <w:p w14:paraId="5FE7433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To maintain strong regional relevance, ITU should prioritize areas currently at the top of the regional agenda, notably:</w:t>
      </w:r>
    </w:p>
    <w:p w14:paraId="460A28EA" w14:textId="0DCE1BC8"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Artificial Intelligence,</w:t>
      </w:r>
    </w:p>
    <w:p w14:paraId="0ED06703" w14:textId="11268522"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Cybersecurity,</w:t>
      </w:r>
    </w:p>
    <w:p w14:paraId="6C0C94EF" w14:textId="460A3881"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Digital government platforms and digital transformation.</w:t>
      </w:r>
    </w:p>
    <w:p w14:paraId="39BA9387"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Leadership in these domains would significantly enhance the perceived value of ITU’s regional presence.</w:t>
      </w:r>
    </w:p>
    <w:p w14:paraId="45BA81E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d) Addressing Regional Capacity Gaps</w:t>
      </w:r>
    </w:p>
    <w:p w14:paraId="1F15546E"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Finally, the interviewee highlighted the uneven levels of digital maturity across Arab States. ITU’s regional presence can add the greatest value by: </w:t>
      </w:r>
    </w:p>
    <w:p w14:paraId="1054C293" w14:textId="47092CD8"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Supporting least developed countries,</w:t>
      </w:r>
    </w:p>
    <w:p w14:paraId="1EB9473D" w14:textId="5D0C96FC"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Providing targeted technical expertise,</w:t>
      </w:r>
    </w:p>
    <w:p w14:paraId="44EEADBA" w14:textId="2695D4AC" w:rsidR="00250529" w:rsidRPr="00986D12" w:rsidRDefault="008C431B" w:rsidP="008C431B">
      <w:pPr>
        <w:pStyle w:val="Bulletlist"/>
        <w:numPr>
          <w:ilvl w:val="0"/>
          <w:numId w:val="0"/>
        </w:numPr>
        <w:ind w:left="720" w:hanging="360"/>
        <w:jc w:val="both"/>
        <w:rPr>
          <w:rFonts w:asciiTheme="minorHAnsi" w:hAnsiTheme="minorHAnsi" w:cstheme="minorHAnsi"/>
        </w:rPr>
      </w:pPr>
      <w:r w:rsidRPr="00986D12">
        <w:rPr>
          <w:rFonts w:ascii="Symbol" w:hAnsi="Symbol" w:cstheme="minorHAnsi"/>
        </w:rPr>
        <w:t></w:t>
      </w:r>
      <w:r w:rsidRPr="00986D12">
        <w:rPr>
          <w:rFonts w:ascii="Symbol" w:hAnsi="Symbol" w:cstheme="minorHAnsi"/>
        </w:rPr>
        <w:tab/>
      </w:r>
      <w:r w:rsidR="00250529" w:rsidRPr="00986D12">
        <w:rPr>
          <w:rFonts w:asciiTheme="minorHAnsi" w:hAnsiTheme="minorHAnsi" w:cstheme="minorHAnsi"/>
        </w:rPr>
        <w:t>Bridging gaps in infrastructure, skills, and institutional readiness.</w:t>
      </w:r>
    </w:p>
    <w:p w14:paraId="138B85C0" w14:textId="77777777" w:rsidR="00250529" w:rsidRPr="00986D12" w:rsidRDefault="00250529" w:rsidP="00C9333F">
      <w:pPr>
        <w:jc w:val="both"/>
        <w:rPr>
          <w:rFonts w:asciiTheme="minorHAnsi" w:hAnsiTheme="minorHAnsi" w:cstheme="minorHAnsi"/>
          <w:lang w:eastAsia="en-GB"/>
        </w:rPr>
      </w:pPr>
      <w:bookmarkStart w:id="214" w:name="_Toc224213096"/>
      <w:bookmarkStart w:id="215" w:name="_Toc224236527"/>
      <w:r w:rsidRPr="00066623">
        <w:rPr>
          <w:rStyle w:val="SubtitleitalicChar"/>
        </w:rPr>
        <w:t>CIS (RCC)</w:t>
      </w:r>
      <w:bookmarkEnd w:id="214"/>
      <w:bookmarkEnd w:id="215"/>
      <w:r w:rsidRPr="00066623">
        <w:rPr>
          <w:rStyle w:val="SubtitleitalicChar"/>
        </w:rPr>
        <w:br/>
      </w:r>
      <w:r w:rsidRPr="00986D12">
        <w:rPr>
          <w:rFonts w:asciiTheme="minorHAnsi" w:hAnsiTheme="minorHAnsi" w:cstheme="minorHAnsi"/>
          <w:lang w:eastAsia="en-GB"/>
        </w:rPr>
        <w:t xml:space="preserve">Mr Alexey Borodin (RCC DG), Ms Maria Bolshakova (RCC </w:t>
      </w:r>
      <w:proofErr w:type="spellStart"/>
      <w:r w:rsidRPr="00986D12">
        <w:rPr>
          <w:rFonts w:asciiTheme="minorHAnsi" w:hAnsiTheme="minorHAnsi" w:cstheme="minorHAnsi"/>
          <w:lang w:eastAsia="en-GB"/>
        </w:rPr>
        <w:t>DDG</w:t>
      </w:r>
      <w:proofErr w:type="spellEnd"/>
      <w:r w:rsidRPr="00986D12">
        <w:rPr>
          <w:rFonts w:asciiTheme="minorHAnsi" w:hAnsiTheme="minorHAnsi" w:cstheme="minorHAnsi"/>
          <w:lang w:eastAsia="en-GB"/>
        </w:rPr>
        <w:t>) (24-12-2025)</w:t>
      </w:r>
    </w:p>
    <w:p w14:paraId="6A96CDAC"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Address persistent resource gaps for implementing regional initiatives </w:t>
      </w:r>
    </w:p>
    <w:p w14:paraId="365D1ECB"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interviewees underscored a continuing lack of financial resources for implementing regional initiatives and projects, noting that project delivery is the ‘heart of the work’ especially for development focused activities and requires stronger budget allocation and staffing support.</w:t>
      </w:r>
    </w:p>
    <w:p w14:paraId="2D732D63"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Improve planning and resource allocation for events </w:t>
      </w:r>
    </w:p>
    <w:p w14:paraId="36A0E810"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They cited cases where events held under the ITU label lacked adequate financial backing, calling for better calculations, planning, and allocation of available contributions to avoid shortfalls and ensure commitments are matched by resources.</w:t>
      </w:r>
    </w:p>
    <w:p w14:paraId="55F37106"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c) Strengthen bureau support beyond information sharing </w:t>
      </w:r>
    </w:p>
    <w:p w14:paraId="7743CA6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Beyond information support, they encouraged more consistent operational backing from the bureaus when regional offices implement agreed operational plans and major regional events.</w:t>
      </w:r>
    </w:p>
    <w:p w14:paraId="7EB86F03"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d) Keep cooperation frank, frequent, and solutions-oriented</w:t>
      </w:r>
    </w:p>
    <w:p w14:paraId="0487BCB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Emphasized the value of open, constructive dialogue including informal calls when needed to resolve issues quickly, improve processes, and sustain effective collaboration.</w:t>
      </w:r>
    </w:p>
    <w:p w14:paraId="665F0D8B" w14:textId="77777777" w:rsidR="00250529" w:rsidRPr="00986D12" w:rsidRDefault="00250529" w:rsidP="00C9333F">
      <w:pPr>
        <w:jc w:val="both"/>
        <w:rPr>
          <w:rFonts w:asciiTheme="minorHAnsi" w:hAnsiTheme="minorHAnsi" w:cstheme="minorHAnsi"/>
          <w:lang w:eastAsia="en-GB"/>
        </w:rPr>
      </w:pPr>
      <w:bookmarkStart w:id="216" w:name="_Toc224213097"/>
      <w:bookmarkStart w:id="217" w:name="_Toc224236528"/>
      <w:r w:rsidRPr="00066623">
        <w:rPr>
          <w:rStyle w:val="SubtitleitalicChar"/>
        </w:rPr>
        <w:t>Europe (CEPT)</w:t>
      </w:r>
      <w:bookmarkEnd w:id="216"/>
      <w:bookmarkEnd w:id="217"/>
      <w:r w:rsidRPr="00066623">
        <w:rPr>
          <w:rStyle w:val="SubtitleitalicChar"/>
        </w:rPr>
        <w:t xml:space="preserve"> </w:t>
      </w:r>
      <w:r w:rsidRPr="00066623">
        <w:rPr>
          <w:rStyle w:val="SubtitleitalicChar"/>
        </w:rPr>
        <w:br/>
      </w:r>
      <w:r w:rsidRPr="00986D12">
        <w:rPr>
          <w:rFonts w:asciiTheme="minorHAnsi" w:hAnsiTheme="minorHAnsi" w:cstheme="minorHAnsi"/>
          <w:lang w:eastAsia="en-GB"/>
        </w:rPr>
        <w:t>Mr Oli Bird, Co-President and Chair of Com-ITU (6-1-2026)</w:t>
      </w:r>
    </w:p>
    <w:p w14:paraId="67978AA0" w14:textId="7680854B"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Gather broader CEPT input before final </w:t>
      </w:r>
      <w:r w:rsidRPr="00986D12" w:rsidDel="001F2A97">
        <w:rPr>
          <w:rFonts w:asciiTheme="minorHAnsi" w:hAnsiTheme="minorHAnsi" w:cstheme="minorHAnsi"/>
        </w:rPr>
        <w:t>recommendations</w:t>
      </w:r>
      <w:r w:rsidRPr="00986D12">
        <w:rPr>
          <w:rFonts w:asciiTheme="minorHAnsi" w:hAnsiTheme="minorHAnsi" w:cstheme="minorHAnsi"/>
        </w:rPr>
        <w:t xml:space="preserve"> </w:t>
      </w:r>
    </w:p>
    <w:p w14:paraId="3BAE0301" w14:textId="35B8DB9B"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The interviewee did not add substantive new </w:t>
      </w:r>
      <w:r w:rsidRPr="00986D12" w:rsidDel="001F2A97">
        <w:rPr>
          <w:rFonts w:asciiTheme="minorHAnsi" w:hAnsiTheme="minorHAnsi" w:cstheme="minorHAnsi"/>
          <w:lang w:eastAsia="en-GB"/>
        </w:rPr>
        <w:t>recommendations</w:t>
      </w:r>
      <w:r w:rsidRPr="00986D12">
        <w:rPr>
          <w:rFonts w:asciiTheme="minorHAnsi" w:hAnsiTheme="minorHAnsi" w:cstheme="minorHAnsi"/>
          <w:lang w:eastAsia="en-GB"/>
        </w:rPr>
        <w:t xml:space="preserve"> in the open-ended </w:t>
      </w:r>
      <w:proofErr w:type="gramStart"/>
      <w:r w:rsidRPr="00986D12">
        <w:rPr>
          <w:rFonts w:asciiTheme="minorHAnsi" w:hAnsiTheme="minorHAnsi" w:cstheme="minorHAnsi"/>
          <w:lang w:eastAsia="en-GB"/>
        </w:rPr>
        <w:t>segment, but</w:t>
      </w:r>
      <w:proofErr w:type="gramEnd"/>
      <w:r w:rsidRPr="00986D12">
        <w:rPr>
          <w:rFonts w:asciiTheme="minorHAnsi" w:hAnsiTheme="minorHAnsi" w:cstheme="minorHAnsi"/>
          <w:lang w:eastAsia="en-GB"/>
        </w:rPr>
        <w:t xml:space="preserve"> committed to consult internally (including at an upcoming CEPT meeting) and provide any additional feedback afterwards.</w:t>
      </w:r>
    </w:p>
    <w:p w14:paraId="1DB5FFE7"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Acknowledge the value of regional office delivery </w:t>
      </w:r>
    </w:p>
    <w:p w14:paraId="6A26FFC8"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He emphasized appreciation for the regional office’s practical capacity-building work, particularly in Eastern parts of the region, and closed by recognizing the regional director’s contributions.</w:t>
      </w:r>
    </w:p>
    <w:p w14:paraId="752F84B4" w14:textId="77777777" w:rsidR="00250529" w:rsidRPr="00986D12" w:rsidRDefault="00250529" w:rsidP="00C9333F">
      <w:pPr>
        <w:jc w:val="both"/>
        <w:rPr>
          <w:rFonts w:asciiTheme="minorHAnsi" w:hAnsiTheme="minorHAnsi" w:cstheme="minorHAnsi"/>
          <w:lang w:eastAsia="en-GB"/>
        </w:rPr>
      </w:pPr>
      <w:bookmarkStart w:id="218" w:name="_Toc224213098"/>
      <w:bookmarkStart w:id="219" w:name="_Toc224236529"/>
      <w:r w:rsidRPr="00066623">
        <w:rPr>
          <w:rStyle w:val="SubtitleitalicChar"/>
        </w:rPr>
        <w:t>Americas (CITEL)</w:t>
      </w:r>
      <w:bookmarkEnd w:id="218"/>
      <w:bookmarkEnd w:id="219"/>
      <w:r w:rsidRPr="00066623">
        <w:rPr>
          <w:rStyle w:val="SubtitleitalicChar"/>
        </w:rPr>
        <w:br/>
      </w:r>
      <w:r w:rsidRPr="00986D12">
        <w:rPr>
          <w:rFonts w:asciiTheme="minorHAnsi" w:hAnsiTheme="minorHAnsi" w:cstheme="minorHAnsi"/>
          <w:lang w:eastAsia="en-GB"/>
        </w:rPr>
        <w:t>Mr Oscar Leon (Executive Secretary, CITEL) and Ms Maria C. Fuenmayor (CITEL) (6-1-2025)</w:t>
      </w:r>
    </w:p>
    <w:p w14:paraId="3B02E08E"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 xml:space="preserve">a) Maintain strong participation of the regional office in CITEL meetings </w:t>
      </w:r>
    </w:p>
    <w:p w14:paraId="786D8877"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Ms Fuenmayor highlighted that regional office participation in key CITEL meetings is essential for conference preparation, networking, and sharing visibility on ongoing regional projects (status, quality, successes) so that other countries can learn and replicate good practices.</w:t>
      </w:r>
    </w:p>
    <w:p w14:paraId="1D19381E"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Reinforce the ‘win-win’ value of close RTO–regional office coordination </w:t>
      </w:r>
    </w:p>
    <w:p w14:paraId="6B8A862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closing reflections emphasized that close coordination between CITEL, and the regional office is a core enabler of effective regional presence and supports better service delivery for Member States.</w:t>
      </w:r>
    </w:p>
    <w:p w14:paraId="3C4A5DCA" w14:textId="77777777" w:rsidR="00250529" w:rsidRPr="00986D12" w:rsidRDefault="00250529" w:rsidP="00C9333F">
      <w:pPr>
        <w:jc w:val="both"/>
        <w:rPr>
          <w:rFonts w:asciiTheme="minorHAnsi" w:hAnsiTheme="minorHAnsi" w:cstheme="minorHAnsi"/>
          <w:lang w:eastAsia="en-GB"/>
        </w:rPr>
      </w:pPr>
      <w:bookmarkStart w:id="220" w:name="_Toc224213099"/>
      <w:bookmarkStart w:id="221" w:name="_Toc224236530"/>
      <w:r w:rsidRPr="00066623">
        <w:rPr>
          <w:rStyle w:val="SubtitleitalicChar"/>
        </w:rPr>
        <w:t>Asia Pacific (APT)</w:t>
      </w:r>
      <w:bookmarkEnd w:id="220"/>
      <w:bookmarkEnd w:id="221"/>
      <w:r w:rsidRPr="00066623">
        <w:rPr>
          <w:rStyle w:val="SubtitleitalicChar"/>
        </w:rPr>
        <w:br/>
      </w:r>
      <w:r w:rsidRPr="00986D12">
        <w:rPr>
          <w:rFonts w:asciiTheme="minorHAnsi" w:hAnsiTheme="minorHAnsi" w:cstheme="minorHAnsi"/>
          <w:lang w:eastAsia="en-GB"/>
        </w:rPr>
        <w:t>Dr Masanori Kondo, Secretary-General, Asia-Pacific Telecommunity (APT) (12-1-2025)</w:t>
      </w:r>
    </w:p>
    <w:p w14:paraId="0BFCE886"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In his view, ITU’s regional presence in Asia-Pacific is already strong and well recognized across countries. The main area for improvement he identified relates to coordination with other UN entities active in ICT in the region, to ensure complementarity and avoid duplication of effort.</w:t>
      </w:r>
    </w:p>
    <w:p w14:paraId="007123DE"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a) Maintain strong presence while focusing on practical improvements, not structural overhaul</w:t>
      </w:r>
    </w:p>
    <w:p w14:paraId="0F799E32"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stated that ITU already has ‘sufficient’ representation and visibility in the region, and that countries understand what ITU does.</w:t>
      </w:r>
    </w:p>
    <w:p w14:paraId="47B68D87"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b) Improve coordination with other regional actors to avoid duplication (notably within the UN system)</w:t>
      </w:r>
    </w:p>
    <w:p w14:paraId="41603D36"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He highlighted that other organizations in the region also run ICT activities and projects and suggested that better coordination with such actors could avoid duplication and waste of resources. He framed this as an efficiency and coherence issue rather than a criticism of ITU performance.</w:t>
      </w:r>
    </w:p>
    <w:p w14:paraId="24191597"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c) Continue effective coordination with APT while minimizing residual overlaps</w:t>
      </w:r>
    </w:p>
    <w:p w14:paraId="715DF494"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He noted that coordination between APT, as an independent regional partner organization, and ITU is already close and functioning smoothly, while acknowledging that duplication cannot always be reduced to zero. He suggested continued attention to coordination to keep overlap minimal and ensure resources are used effectively.</w:t>
      </w:r>
    </w:p>
    <w:p w14:paraId="3C7CD0D8" w14:textId="77777777" w:rsidR="00250529" w:rsidRPr="00986D12" w:rsidRDefault="00250529" w:rsidP="00C9333F">
      <w:pPr>
        <w:jc w:val="both"/>
        <w:rPr>
          <w:rFonts w:asciiTheme="minorHAnsi" w:hAnsiTheme="minorHAnsi" w:cstheme="minorHAnsi"/>
          <w:lang w:val="it-IT" w:eastAsia="en-GB"/>
        </w:rPr>
      </w:pPr>
      <w:bookmarkStart w:id="222" w:name="_Toc224213100"/>
      <w:bookmarkStart w:id="223" w:name="_Toc224236531"/>
      <w:r w:rsidRPr="002B7E01">
        <w:rPr>
          <w:rStyle w:val="SubtitleitalicChar"/>
          <w:lang w:val="it-IT"/>
        </w:rPr>
        <w:t>Africa (ATU)</w:t>
      </w:r>
      <w:bookmarkEnd w:id="222"/>
      <w:bookmarkEnd w:id="223"/>
      <w:r w:rsidRPr="002B7E01">
        <w:rPr>
          <w:rStyle w:val="SubtitleitalicChar"/>
          <w:lang w:val="it-IT"/>
        </w:rPr>
        <w:br/>
      </w:r>
      <w:r w:rsidRPr="00986D12">
        <w:rPr>
          <w:rFonts w:asciiTheme="minorHAnsi" w:hAnsiTheme="minorHAnsi" w:cstheme="minorHAnsi"/>
          <w:lang w:val="it-IT" w:eastAsia="en-GB"/>
        </w:rPr>
        <w:t>Ms Meriem Slimani (ATU) (13-1-2025)</w:t>
      </w:r>
    </w:p>
    <w:p w14:paraId="1B64CAB5"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a) Improve cross-sector coordination and access to expertise </w:t>
      </w:r>
    </w:p>
    <w:p w14:paraId="04C14C3D"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The interviewee stressed the need for stronger coordination between ITU’s three sectors at the regional level and better access to standardization and radiocommunication expertise (including on topics such as satellites) to respond to Africa’s priority discussions.</w:t>
      </w:r>
    </w:p>
    <w:p w14:paraId="06966268"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t xml:space="preserve">b) Delegate greater authority to regional offices for faster decisions </w:t>
      </w:r>
    </w:p>
    <w:p w14:paraId="5249E3A1"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She recommended empowering regional offices with more delegated authority so they can act faster without needing extensive approvals from headquarters, improving responsiveness in coordination and delivery.</w:t>
      </w:r>
    </w:p>
    <w:p w14:paraId="77AE8C00" w14:textId="77777777" w:rsidR="00250529" w:rsidRPr="00986D12" w:rsidRDefault="00250529" w:rsidP="00C9333F">
      <w:pPr>
        <w:pStyle w:val="Subtitleitalic"/>
        <w:jc w:val="both"/>
        <w:rPr>
          <w:rFonts w:asciiTheme="minorHAnsi" w:hAnsiTheme="minorHAnsi" w:cstheme="minorHAnsi"/>
        </w:rPr>
      </w:pPr>
      <w:r w:rsidRPr="00986D12">
        <w:rPr>
          <w:rFonts w:asciiTheme="minorHAnsi" w:hAnsiTheme="minorHAnsi" w:cstheme="minorHAnsi"/>
        </w:rPr>
        <w:lastRenderedPageBreak/>
        <w:t xml:space="preserve">c) Develop shared tools for information-sharing and visibility as a practical improvement </w:t>
      </w:r>
    </w:p>
    <w:p w14:paraId="7E3DC725"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She suggested developing tools and processes to share information, improve visibility of activities, and align ATU and ITU efforts supported by more resources and a strengthened coordination process.</w:t>
      </w:r>
    </w:p>
    <w:p w14:paraId="230DCD0E" w14:textId="5488FE6F" w:rsidR="00250529" w:rsidRPr="00986D12" w:rsidRDefault="008C431B" w:rsidP="008C431B">
      <w:pPr>
        <w:pStyle w:val="AnnexHeading4"/>
        <w:numPr>
          <w:ilvl w:val="0"/>
          <w:numId w:val="0"/>
        </w:numPr>
        <w:ind w:left="357" w:hanging="357"/>
        <w:rPr>
          <w:rFonts w:asciiTheme="minorHAnsi" w:hAnsiTheme="minorHAnsi" w:cstheme="minorHAnsi"/>
          <w:b/>
          <w:color w:val="auto"/>
        </w:rPr>
      </w:pPr>
      <w:r w:rsidRPr="00986D12">
        <w:rPr>
          <w:rFonts w:asciiTheme="minorHAnsi" w:hAnsiTheme="minorHAnsi" w:cstheme="minorHAnsi"/>
          <w:b/>
          <w:color w:val="auto"/>
        </w:rPr>
        <w:t>5.</w:t>
      </w:r>
      <w:r w:rsidRPr="00986D12">
        <w:rPr>
          <w:rFonts w:asciiTheme="minorHAnsi" w:hAnsiTheme="minorHAnsi" w:cstheme="minorHAnsi"/>
          <w:b/>
          <w:color w:val="auto"/>
        </w:rPr>
        <w:tab/>
      </w:r>
      <w:r w:rsidR="00250529" w:rsidRPr="00986D12">
        <w:rPr>
          <w:rFonts w:asciiTheme="minorHAnsi" w:hAnsiTheme="minorHAnsi" w:cstheme="minorHAnsi"/>
          <w:b/>
          <w:color w:val="auto"/>
        </w:rPr>
        <w:t>Concluding observations</w:t>
      </w:r>
    </w:p>
    <w:p w14:paraId="63805A3D" w14:textId="77777777" w:rsidR="00250529" w:rsidRPr="00986D12" w:rsidRDefault="00250529" w:rsidP="00C9333F">
      <w:pPr>
        <w:jc w:val="both"/>
        <w:rPr>
          <w:rFonts w:asciiTheme="minorHAnsi" w:hAnsiTheme="minorHAnsi" w:cstheme="minorHAnsi"/>
          <w:lang w:eastAsia="en-GB"/>
        </w:rPr>
      </w:pPr>
      <w:bookmarkStart w:id="224" w:name="_Toc224213101"/>
      <w:bookmarkStart w:id="225" w:name="_Toc224236532"/>
      <w:r w:rsidRPr="00066623">
        <w:rPr>
          <w:rStyle w:val="SubtitleitalicChar"/>
        </w:rPr>
        <w:t>Arab States (LAS)</w:t>
      </w:r>
      <w:bookmarkEnd w:id="224"/>
      <w:bookmarkEnd w:id="225"/>
      <w:r w:rsidRPr="00066623">
        <w:rPr>
          <w:rStyle w:val="SubtitleitalicChar"/>
        </w:rPr>
        <w:br/>
      </w:r>
      <w:r w:rsidRPr="00986D12">
        <w:rPr>
          <w:rFonts w:asciiTheme="minorHAnsi" w:hAnsiTheme="minorHAnsi" w:cstheme="minorHAnsi"/>
          <w:lang w:eastAsia="en-GB"/>
        </w:rPr>
        <w:t>Mr Belkassem Ali Belkassem Makhlouf, ICT Development Department, League of Arab States (24-12-2025)</w:t>
      </w:r>
    </w:p>
    <w:p w14:paraId="4E12D34A"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Overall, the interview reflects strong appreciation for ITU’s role in the Arab region, combined with clear expectations for improvement. The key message is that alignment, expertise, funding, and structured cooperation particularly with regional </w:t>
      </w:r>
      <w:r w:rsidRPr="00986D12">
        <w:rPr>
          <w:rFonts w:asciiTheme="minorHAnsi" w:hAnsiTheme="minorHAnsi" w:cstheme="minorHAnsi"/>
        </w:rPr>
        <w:br/>
      </w:r>
      <w:r w:rsidRPr="00986D12">
        <w:rPr>
          <w:rFonts w:asciiTheme="minorHAnsi" w:hAnsiTheme="minorHAnsi" w:cstheme="minorHAnsi"/>
          <w:lang w:eastAsia="en-GB"/>
        </w:rPr>
        <w:t>institutions are essential for strengthening ITU’s regional presence and ensuring that global resolutions translate into tangible regional and national impact.</w:t>
      </w:r>
    </w:p>
    <w:p w14:paraId="4340A4C2" w14:textId="77777777" w:rsidR="00250529" w:rsidRPr="00986D12" w:rsidRDefault="00250529" w:rsidP="00C9333F">
      <w:pPr>
        <w:jc w:val="both"/>
        <w:rPr>
          <w:rFonts w:asciiTheme="minorHAnsi" w:hAnsiTheme="minorHAnsi" w:cstheme="minorHAnsi"/>
          <w:lang w:eastAsia="en-GB"/>
        </w:rPr>
      </w:pPr>
      <w:bookmarkStart w:id="226" w:name="_Toc224213102"/>
      <w:bookmarkStart w:id="227" w:name="_Toc224236533"/>
      <w:r w:rsidRPr="00066623">
        <w:rPr>
          <w:rStyle w:val="SubtitleitalicChar"/>
        </w:rPr>
        <w:t>CIS (RCC)</w:t>
      </w:r>
      <w:bookmarkEnd w:id="226"/>
      <w:bookmarkEnd w:id="227"/>
      <w:r w:rsidRPr="00066623">
        <w:rPr>
          <w:rStyle w:val="SubtitleitalicChar"/>
        </w:rPr>
        <w:br/>
      </w:r>
      <w:r w:rsidRPr="00986D12">
        <w:rPr>
          <w:rFonts w:asciiTheme="minorHAnsi" w:hAnsiTheme="minorHAnsi" w:cstheme="minorHAnsi"/>
          <w:lang w:eastAsia="en-GB"/>
        </w:rPr>
        <w:t xml:space="preserve">Mr Alexey Borodin (RCC DG), Ms Maria Bolshakova (RCC </w:t>
      </w:r>
      <w:proofErr w:type="spellStart"/>
      <w:r w:rsidRPr="00986D12">
        <w:rPr>
          <w:rFonts w:asciiTheme="minorHAnsi" w:hAnsiTheme="minorHAnsi" w:cstheme="minorHAnsi"/>
          <w:lang w:eastAsia="en-GB"/>
        </w:rPr>
        <w:t>DDG</w:t>
      </w:r>
      <w:proofErr w:type="spellEnd"/>
      <w:r w:rsidRPr="00986D12">
        <w:rPr>
          <w:rFonts w:asciiTheme="minorHAnsi" w:hAnsiTheme="minorHAnsi" w:cstheme="minorHAnsi"/>
          <w:lang w:eastAsia="en-GB"/>
        </w:rPr>
        <w:t>) (24-12-2025)</w:t>
      </w:r>
    </w:p>
    <w:p w14:paraId="21FD8F61" w14:textId="0A0C2CD0"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Overall, the interview reflects strong appreciation for the established RCC–ITU regional office cooperation, coupled with clear </w:t>
      </w:r>
      <w:r w:rsidRPr="00986D12" w:rsidDel="001F2A97">
        <w:rPr>
          <w:rFonts w:asciiTheme="minorHAnsi" w:hAnsiTheme="minorHAnsi" w:cstheme="minorHAnsi"/>
          <w:lang w:eastAsia="en-GB"/>
        </w:rPr>
        <w:t>recommendations</w:t>
      </w:r>
      <w:r w:rsidRPr="00986D12">
        <w:rPr>
          <w:rFonts w:asciiTheme="minorHAnsi" w:hAnsiTheme="minorHAnsi" w:cstheme="minorHAnsi"/>
          <w:lang w:eastAsia="en-GB"/>
        </w:rPr>
        <w:t xml:space="preserve"> to improve agility and impact. The recurring priorities were: (</w:t>
      </w:r>
      <w:proofErr w:type="spellStart"/>
      <w:r w:rsidRPr="00986D12">
        <w:rPr>
          <w:rFonts w:asciiTheme="minorHAnsi" w:hAnsiTheme="minorHAnsi" w:cstheme="minorHAnsi"/>
          <w:lang w:eastAsia="en-GB"/>
        </w:rPr>
        <w:t>i</w:t>
      </w:r>
      <w:proofErr w:type="spellEnd"/>
      <w:r w:rsidRPr="00986D12">
        <w:rPr>
          <w:rFonts w:asciiTheme="minorHAnsi" w:hAnsiTheme="minorHAnsi" w:cstheme="minorHAnsi"/>
          <w:lang w:eastAsia="en-GB"/>
        </w:rPr>
        <w:t>) predictable resources for implementing regional initiatives; (ii) stronger delegation of authority to regional offices to enable faster operational delivery; (iii) sustained, structured dialogue to keep initiatives aligned as priorities evolve; and (iv) inclusive partnership models that bring government, industry, and ITU expertise together and support the region equitably.</w:t>
      </w:r>
    </w:p>
    <w:p w14:paraId="17723B1B" w14:textId="77777777" w:rsidR="00250529" w:rsidRPr="00986D12" w:rsidRDefault="00250529" w:rsidP="00C9333F">
      <w:pPr>
        <w:jc w:val="both"/>
        <w:rPr>
          <w:rFonts w:asciiTheme="minorHAnsi" w:hAnsiTheme="minorHAnsi" w:cstheme="minorHAnsi"/>
          <w:lang w:eastAsia="en-GB"/>
        </w:rPr>
      </w:pPr>
      <w:bookmarkStart w:id="228" w:name="_Toc224213103"/>
      <w:bookmarkStart w:id="229" w:name="_Toc224236534"/>
      <w:r w:rsidRPr="00066623">
        <w:rPr>
          <w:rStyle w:val="SubtitleitalicChar"/>
        </w:rPr>
        <w:t>Europe (CEPT)</w:t>
      </w:r>
      <w:bookmarkEnd w:id="228"/>
      <w:bookmarkEnd w:id="229"/>
      <w:r w:rsidRPr="00066623">
        <w:rPr>
          <w:rStyle w:val="SubtitleitalicChar"/>
        </w:rPr>
        <w:t xml:space="preserve"> </w:t>
      </w:r>
      <w:r w:rsidRPr="00066623">
        <w:rPr>
          <w:rStyle w:val="SubtitleitalicChar"/>
        </w:rPr>
        <w:br/>
      </w:r>
      <w:r w:rsidRPr="00986D12">
        <w:rPr>
          <w:rFonts w:asciiTheme="minorHAnsi" w:hAnsiTheme="minorHAnsi" w:cstheme="minorHAnsi"/>
          <w:lang w:eastAsia="en-GB"/>
        </w:rPr>
        <w:t>Mr Oli Bird, Co-President and Chair of Com-ITU (6-1-2026)</w:t>
      </w:r>
    </w:p>
    <w:p w14:paraId="14523D7F"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Overall, the interview suggests that in Europe the core challenge is not a single alignment gap but a diverse regional landscape. ITU’s capacity-building support for developing countries in the region is viewed positively. To strengthen overall regional presence, the key opportunity is to better demonstrate ITU’s added value for EU-focused administrations and if ‘One ITU’ regional presence is pursued develop partnerships with Europe’s strong standardization and spectrum coordination ecosystems.</w:t>
      </w:r>
    </w:p>
    <w:p w14:paraId="320DFDF0" w14:textId="77777777" w:rsidR="00250529" w:rsidRPr="00986D12" w:rsidRDefault="00250529" w:rsidP="00C9333F">
      <w:pPr>
        <w:jc w:val="both"/>
        <w:rPr>
          <w:rFonts w:asciiTheme="minorHAnsi" w:hAnsiTheme="minorHAnsi" w:cstheme="minorHAnsi"/>
          <w:lang w:eastAsia="en-GB"/>
        </w:rPr>
      </w:pPr>
      <w:bookmarkStart w:id="230" w:name="_Toc224213104"/>
      <w:bookmarkStart w:id="231" w:name="_Toc224236535"/>
      <w:r w:rsidRPr="00066623">
        <w:rPr>
          <w:rStyle w:val="SubtitleitalicChar"/>
        </w:rPr>
        <w:t>Americas (CITEL)</w:t>
      </w:r>
      <w:bookmarkEnd w:id="230"/>
      <w:bookmarkEnd w:id="231"/>
      <w:r w:rsidRPr="00066623">
        <w:rPr>
          <w:rStyle w:val="SubtitleitalicChar"/>
        </w:rPr>
        <w:br/>
      </w:r>
      <w:r w:rsidRPr="00986D12">
        <w:rPr>
          <w:rFonts w:asciiTheme="minorHAnsi" w:hAnsiTheme="minorHAnsi" w:cstheme="minorHAnsi"/>
          <w:lang w:eastAsia="en-GB"/>
        </w:rPr>
        <w:t>Mr Oscar Leon (Executive Secretary, CITEL) and Ms Maria C. Fuenmayor (CITEL) (6-1-2025)</w:t>
      </w:r>
    </w:p>
    <w:p w14:paraId="5DD3C0FE"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Overall, the interview conveyed strong satisfaction with the CITEL–ITU regional office relationship and highlighted practical ways to strengthen impact: deepen direct needs identification with countries; mobilize partnerships to address resource constraints; co-design initiatives with CITEL to avoid duplication and complete projects; and continue using the regional office as the key facilitator for inclusive preparatory coordination (especially for countries outside the RTO).</w:t>
      </w:r>
    </w:p>
    <w:p w14:paraId="30FA8A69" w14:textId="77777777" w:rsidR="00EA1BDC" w:rsidRPr="00066623" w:rsidRDefault="00250529" w:rsidP="00066623">
      <w:pPr>
        <w:pStyle w:val="Subtitleitalic"/>
      </w:pPr>
      <w:bookmarkStart w:id="232" w:name="_Toc224213105"/>
      <w:bookmarkStart w:id="233" w:name="_Toc224236536"/>
      <w:r w:rsidRPr="00066623">
        <w:t>Asia Pacific (APT)</w:t>
      </w:r>
      <w:bookmarkEnd w:id="232"/>
      <w:bookmarkEnd w:id="233"/>
    </w:p>
    <w:p w14:paraId="1F9FC431" w14:textId="509CF89D" w:rsidR="00250529" w:rsidRPr="00986D12" w:rsidRDefault="00250529" w:rsidP="00C9333F">
      <w:pPr>
        <w:pStyle w:val="HeadingRegion"/>
        <w:spacing w:after="0"/>
        <w:jc w:val="both"/>
        <w:rPr>
          <w:rFonts w:asciiTheme="minorHAnsi" w:hAnsiTheme="minorHAnsi" w:cstheme="minorHAnsi"/>
          <w:b w:val="0"/>
        </w:rPr>
      </w:pPr>
      <w:r w:rsidRPr="00986D12">
        <w:rPr>
          <w:rFonts w:asciiTheme="minorHAnsi" w:hAnsiTheme="minorHAnsi" w:cstheme="minorHAnsi"/>
          <w:b w:val="0"/>
          <w:color w:val="auto"/>
        </w:rPr>
        <w:t>Dr Masanori Kondo, Secretary-General, Asia-Pacific Telecommunity (APT) (12-1-2025)</w:t>
      </w:r>
    </w:p>
    <w:p w14:paraId="4F363F33"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lastRenderedPageBreak/>
        <w:t>Overall, the interview reflects a generally positive personal observation of ITU’s work and visibility in the Asia-Pacific region, with the interviewee indicating a generally high level of satisfaction in qualitative terms. The key message is that further gains in regional effectiveness are most likely to come from stronger multi-stakeholder coordination, clearer mandates and role definition, support for national focal-point capacity (especially in small states), and continued efforts to avoid duplication with other regional and UN-system actors.</w:t>
      </w:r>
    </w:p>
    <w:p w14:paraId="7D9539EF" w14:textId="77777777" w:rsidR="00EA1BDC" w:rsidRPr="002B7E01" w:rsidRDefault="00250529" w:rsidP="00066623">
      <w:pPr>
        <w:pStyle w:val="Subtitleitalic"/>
        <w:rPr>
          <w:lang w:val="it-IT"/>
        </w:rPr>
      </w:pPr>
      <w:bookmarkStart w:id="234" w:name="_Toc224213106"/>
      <w:bookmarkStart w:id="235" w:name="_Toc224236537"/>
      <w:r w:rsidRPr="002B7E01">
        <w:rPr>
          <w:lang w:val="it-IT"/>
        </w:rPr>
        <w:t>Africa (ATU)</w:t>
      </w:r>
      <w:bookmarkEnd w:id="234"/>
      <w:bookmarkEnd w:id="235"/>
    </w:p>
    <w:p w14:paraId="6F237897" w14:textId="69E47CD0" w:rsidR="00250529" w:rsidRPr="00986D12" w:rsidRDefault="00250529" w:rsidP="00C9333F">
      <w:pPr>
        <w:jc w:val="both"/>
        <w:rPr>
          <w:rFonts w:asciiTheme="minorHAnsi" w:hAnsiTheme="minorHAnsi" w:cstheme="minorHAnsi"/>
          <w:lang w:val="it-IT" w:eastAsia="en-GB"/>
        </w:rPr>
      </w:pPr>
      <w:r w:rsidRPr="00986D12">
        <w:rPr>
          <w:rFonts w:asciiTheme="minorHAnsi" w:hAnsiTheme="minorHAnsi" w:cstheme="minorHAnsi"/>
          <w:lang w:val="it-IT" w:eastAsia="en-GB"/>
        </w:rPr>
        <w:t>Ms Meriem Slimani (ATU) (13-1-2025)</w:t>
      </w:r>
    </w:p>
    <w:p w14:paraId="3ED63CBB" w14:textId="77777777" w:rsidR="00250529" w:rsidRPr="00986D12" w:rsidRDefault="00250529" w:rsidP="00C9333F">
      <w:pPr>
        <w:jc w:val="both"/>
        <w:rPr>
          <w:rFonts w:asciiTheme="minorHAnsi" w:hAnsiTheme="minorHAnsi" w:cstheme="minorHAnsi"/>
          <w:lang w:eastAsia="en-GB"/>
        </w:rPr>
      </w:pPr>
      <w:r w:rsidRPr="00986D12">
        <w:rPr>
          <w:rFonts w:asciiTheme="minorHAnsi" w:hAnsiTheme="minorHAnsi" w:cstheme="minorHAnsi"/>
          <w:lang w:eastAsia="en-GB"/>
        </w:rPr>
        <w:t xml:space="preserve">Overall, the interview underscores that Africa’s priorities require stronger transparency and monitoring of initiative implementation, measurable </w:t>
      </w:r>
      <w:proofErr w:type="spellStart"/>
      <w:r w:rsidRPr="00986D12">
        <w:rPr>
          <w:rFonts w:asciiTheme="minorHAnsi" w:hAnsiTheme="minorHAnsi" w:cstheme="minorHAnsi"/>
          <w:lang w:eastAsia="en-GB"/>
        </w:rPr>
        <w:t>KPIs</w:t>
      </w:r>
      <w:proofErr w:type="spellEnd"/>
      <w:r w:rsidRPr="00986D12">
        <w:rPr>
          <w:rFonts w:asciiTheme="minorHAnsi" w:hAnsiTheme="minorHAnsi" w:cstheme="minorHAnsi"/>
          <w:lang w:eastAsia="en-GB"/>
        </w:rPr>
        <w:t>, and clearer stakeholder coordination including around funding mechanisms. For partnerships, the key recommendation is to use structured coordination frameworks that move from workshops to funded projects with clear roles. The interviewee also emphasized the need for a ‘One ITU’ regional approach, with better access to standardization and radiocommunication expertise and greater delegation of authority to regional offices to improve speed and effectiveness.</w:t>
      </w:r>
    </w:p>
    <w:p w14:paraId="3BE49FC9" w14:textId="77777777" w:rsidR="00250529" w:rsidRPr="00986D12" w:rsidRDefault="00250529" w:rsidP="000E12EC">
      <w:pPr>
        <w:pStyle w:val="Heading2"/>
      </w:pPr>
      <w:bookmarkStart w:id="236" w:name="_Toc224213107"/>
      <w:bookmarkStart w:id="237" w:name="_Toc225163581"/>
      <w:bookmarkStart w:id="238" w:name="_Toc225261108"/>
      <w:r w:rsidRPr="00986D12">
        <w:t>Annex D. Benchmarking</w:t>
      </w:r>
      <w:bookmarkEnd w:id="236"/>
      <w:bookmarkEnd w:id="237"/>
      <w:bookmarkEnd w:id="238"/>
    </w:p>
    <w:p w14:paraId="4CD2B14B" w14:textId="77777777" w:rsidR="00250529" w:rsidRPr="002F2194" w:rsidRDefault="00250529" w:rsidP="00C9333F">
      <w:pPr>
        <w:pStyle w:val="Subtitle0"/>
        <w:jc w:val="both"/>
        <w:rPr>
          <w:rFonts w:asciiTheme="minorHAnsi" w:hAnsiTheme="minorHAnsi" w:cstheme="minorHAnsi"/>
          <w:sz w:val="24"/>
          <w:szCs w:val="24"/>
        </w:rPr>
      </w:pPr>
      <w:r w:rsidRPr="002F2194">
        <w:rPr>
          <w:rFonts w:asciiTheme="minorHAnsi" w:hAnsiTheme="minorHAnsi" w:cstheme="minorHAnsi"/>
          <w:sz w:val="24"/>
          <w:szCs w:val="24"/>
        </w:rPr>
        <w:t>Benchmarking Analysis of the Regional Presence of the International Telecommunication Union (ITU) Compared with Selected UN Specialized Agencies</w:t>
      </w:r>
    </w:p>
    <w:p w14:paraId="49E86AD4" w14:textId="77777777" w:rsidR="00250529" w:rsidRPr="002F2194" w:rsidRDefault="00250529" w:rsidP="00C9333F">
      <w:pPr>
        <w:pStyle w:val="Subtitle0"/>
        <w:jc w:val="both"/>
        <w:rPr>
          <w:rFonts w:asciiTheme="minorHAnsi" w:hAnsiTheme="minorHAnsi" w:cstheme="minorHAnsi"/>
          <w:sz w:val="24"/>
          <w:szCs w:val="24"/>
        </w:rPr>
      </w:pPr>
      <w:r w:rsidRPr="002F2194">
        <w:rPr>
          <w:rFonts w:asciiTheme="minorHAnsi" w:hAnsiTheme="minorHAnsi" w:cstheme="minorHAnsi"/>
          <w:sz w:val="24"/>
          <w:szCs w:val="24"/>
        </w:rPr>
        <w:t>Introduction</w:t>
      </w:r>
    </w:p>
    <w:p w14:paraId="74572606" w14:textId="77777777" w:rsidR="00250529" w:rsidRPr="00986D12" w:rsidRDefault="00250529" w:rsidP="00C9333F">
      <w:pPr>
        <w:jc w:val="both"/>
        <w:rPr>
          <w:rFonts w:asciiTheme="minorHAnsi" w:hAnsiTheme="minorHAnsi" w:cstheme="minorHAnsi"/>
        </w:rPr>
      </w:pPr>
      <w:r w:rsidRPr="00986D12">
        <w:rPr>
          <w:rFonts w:asciiTheme="minorHAnsi" w:hAnsiTheme="minorHAnsi" w:cstheme="minorHAnsi"/>
        </w:rPr>
        <w:t xml:space="preserve">The International Telecommunication Union (ITU) is mandated by the Council to undertake, as part of the ongoing review focused on strengthening ITU Regional Presence, a benchmarking study to learn from good practices related to structure and efficiency of regional presence of other UN Agencies, and to recommend areas for improvement. The report on this benchmark study is based on desk research. </w:t>
      </w:r>
    </w:p>
    <w:p w14:paraId="4E5A9A4E" w14:textId="77777777" w:rsidR="00250529" w:rsidRPr="00986D12" w:rsidRDefault="00250529" w:rsidP="00C9333F">
      <w:pPr>
        <w:jc w:val="both"/>
        <w:rPr>
          <w:rFonts w:asciiTheme="minorHAnsi" w:hAnsiTheme="minorHAnsi" w:cstheme="minorBidi"/>
        </w:rPr>
      </w:pPr>
      <w:r w:rsidRPr="3ABAAE00">
        <w:rPr>
          <w:rFonts w:asciiTheme="minorHAnsi" w:eastAsia="Verdana" w:hAnsiTheme="minorHAnsi" w:cstheme="minorBidi"/>
          <w:lang w:eastAsia="zh-TW"/>
        </w:rPr>
        <w:t xml:space="preserve">To identify good practices and subsequently the determinants of successful regional presence of the UN Agencies, the report analyses a range of existing regional and area offices of other UN specialized Agencies. </w:t>
      </w:r>
      <w:r w:rsidRPr="3ABAAE00">
        <w:rPr>
          <w:rFonts w:asciiTheme="minorHAnsi" w:hAnsiTheme="minorHAnsi" w:cstheme="minorBidi"/>
        </w:rPr>
        <w:t>There are currently 17 UN Specialized Agencies</w:t>
      </w:r>
      <w:r w:rsidRPr="0009624B">
        <w:rPr>
          <w:rStyle w:val="FootnoteReference"/>
          <w:rFonts w:asciiTheme="minorHAnsi" w:hAnsiTheme="minorHAnsi" w:cstheme="minorBidi"/>
          <w:color w:val="000000" w:themeColor="text1"/>
          <w:sz w:val="24"/>
          <w:szCs w:val="24"/>
          <w:vertAlign w:val="superscript"/>
        </w:rPr>
        <w:footnoteReference w:id="25"/>
      </w:r>
      <w:r w:rsidRPr="3ABAAE00">
        <w:rPr>
          <w:rFonts w:asciiTheme="minorHAnsi" w:hAnsiTheme="minorHAnsi" w:cstheme="minorBidi"/>
        </w:rPr>
        <w:t xml:space="preserve"> covering a wide range of global issues, including: Agriculture and Food (FAO and IFAD); Civil Aviation (ICAO); Labor (ILO); Finance (IMF and the World Bank Group); Maritime (IMO); Telecommunication/ICTs (ITU); Education, Science, and Culture (UNESCO); Industrial Development (</w:t>
      </w:r>
      <w:proofErr w:type="spellStart"/>
      <w:r w:rsidRPr="3ABAAE00">
        <w:rPr>
          <w:rFonts w:asciiTheme="minorHAnsi" w:hAnsiTheme="minorHAnsi" w:cstheme="minorBidi"/>
        </w:rPr>
        <w:t>UNIDO</w:t>
      </w:r>
      <w:proofErr w:type="spellEnd"/>
      <w:r w:rsidRPr="3ABAAE00">
        <w:rPr>
          <w:rFonts w:asciiTheme="minorHAnsi" w:hAnsiTheme="minorHAnsi" w:cstheme="minorBidi"/>
        </w:rPr>
        <w:t>); Tourism (UN Tourism) Postal Services (UPU); Health (WHO); Intellectual Property (WIPO); and Meteorology (WMO). </w:t>
      </w:r>
    </w:p>
    <w:p w14:paraId="04DE925C" w14:textId="77777777" w:rsidR="00250529" w:rsidRPr="00986D12" w:rsidRDefault="00250529" w:rsidP="00C9333F">
      <w:pPr>
        <w:jc w:val="both"/>
        <w:rPr>
          <w:rFonts w:asciiTheme="minorHAnsi" w:hAnsiTheme="minorHAnsi" w:cstheme="minorBidi"/>
        </w:rPr>
      </w:pPr>
      <w:r w:rsidRPr="3ABAAE00">
        <w:rPr>
          <w:rFonts w:asciiTheme="minorHAnsi" w:hAnsiTheme="minorHAnsi" w:cstheme="minorBidi"/>
        </w:rPr>
        <w:t>Based on the mandates, the World Meteorological Organisation (WMO) and the International Civil Aviation Organisation (ICAO) are the closest comparable organisations to ITU in terms of technical specialisation, number of staff and expenditures</w:t>
      </w:r>
      <w:r w:rsidRPr="0009624B">
        <w:rPr>
          <w:rStyle w:val="FootnoteReference"/>
          <w:rFonts w:asciiTheme="minorHAnsi" w:hAnsiTheme="minorHAnsi" w:cstheme="minorBidi"/>
          <w:color w:val="000000" w:themeColor="text1"/>
          <w:sz w:val="24"/>
          <w:szCs w:val="24"/>
          <w:vertAlign w:val="superscript"/>
        </w:rPr>
        <w:footnoteReference w:id="26"/>
      </w:r>
      <w:r w:rsidRPr="3ABAAE00">
        <w:rPr>
          <w:rFonts w:asciiTheme="minorHAnsi" w:hAnsiTheme="minorHAnsi" w:cstheme="minorBidi"/>
        </w:rPr>
        <w:t>. In addition to WMO and ICAO, this benchmarking exercise has widened the scope by including International Maritime Organization (IMO), United Nations Industrial Development Organization (</w:t>
      </w:r>
      <w:proofErr w:type="spellStart"/>
      <w:r w:rsidRPr="3ABAAE00">
        <w:rPr>
          <w:rFonts w:asciiTheme="minorHAnsi" w:hAnsiTheme="minorHAnsi" w:cstheme="minorBidi"/>
        </w:rPr>
        <w:t>UNIDO</w:t>
      </w:r>
      <w:proofErr w:type="spellEnd"/>
      <w:r w:rsidRPr="3ABAAE00">
        <w:rPr>
          <w:rFonts w:asciiTheme="minorHAnsi" w:hAnsiTheme="minorHAnsi" w:cstheme="minorBidi"/>
        </w:rPr>
        <w:t xml:space="preserve">), and World </w:t>
      </w:r>
      <w:r w:rsidRPr="3ABAAE00">
        <w:rPr>
          <w:rFonts w:asciiTheme="minorHAnsi" w:hAnsiTheme="minorHAnsi" w:cstheme="minorBidi"/>
        </w:rPr>
        <w:lastRenderedPageBreak/>
        <w:t xml:space="preserve">Intellectual Property Organization (WIPO), as they have similarities and key characteristics to that of the ITU. It is in this context that a comparative analysis of ITU regional presence is made against these five UN specialized agencies. </w:t>
      </w:r>
    </w:p>
    <w:p w14:paraId="69A175BD"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 xml:space="preserve">The </w:t>
      </w:r>
      <w:r w:rsidRPr="002F2194">
        <w:rPr>
          <w:rFonts w:asciiTheme="minorHAnsi" w:hAnsiTheme="minorHAnsi" w:cstheme="minorHAnsi"/>
          <w:b/>
          <w:color w:val="000000" w:themeColor="text1"/>
          <w:sz w:val="24"/>
          <w:szCs w:val="24"/>
        </w:rPr>
        <w:t>common benchmarking indicators</w:t>
      </w:r>
      <w:r w:rsidRPr="002F2194">
        <w:rPr>
          <w:rFonts w:asciiTheme="minorHAnsi" w:hAnsiTheme="minorHAnsi" w:cstheme="minorHAnsi"/>
          <w:color w:val="000000" w:themeColor="text1"/>
          <w:sz w:val="24"/>
          <w:szCs w:val="24"/>
        </w:rPr>
        <w:t xml:space="preserve"> include</w:t>
      </w:r>
      <w:r w:rsidRPr="002F2194" w:rsidDel="00E90655">
        <w:rPr>
          <w:rFonts w:asciiTheme="minorHAnsi" w:hAnsiTheme="minorHAnsi" w:cstheme="minorHAnsi"/>
          <w:color w:val="000000" w:themeColor="text1"/>
          <w:sz w:val="24"/>
          <w:szCs w:val="24"/>
        </w:rPr>
        <w:t xml:space="preserve"> </w:t>
      </w:r>
      <w:r w:rsidRPr="002F2194">
        <w:rPr>
          <w:rFonts w:asciiTheme="minorHAnsi" w:hAnsiTheme="minorHAnsi" w:cstheme="minorHAnsi"/>
          <w:color w:val="000000" w:themeColor="text1"/>
          <w:sz w:val="24"/>
          <w:szCs w:val="24"/>
        </w:rPr>
        <w:t>number and distribution of regional or external offices; staff footprint between headquarters and field locations; functions and activities undertaken by regional structures; institutional mandates; and overall budget levels and allocation to field operations.</w:t>
      </w:r>
    </w:p>
    <w:p w14:paraId="722EB4D7"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 xml:space="preserve">There is no uniform, one-size-fits-all approach to the structure across the UN system; structure conform to specific organizational needs. ICAO, IMO, ITU, </w:t>
      </w:r>
      <w:proofErr w:type="spellStart"/>
      <w:r w:rsidRPr="002F2194">
        <w:rPr>
          <w:rFonts w:asciiTheme="minorHAnsi" w:hAnsiTheme="minorHAnsi" w:cstheme="minorHAnsi"/>
          <w:color w:val="000000" w:themeColor="text1"/>
          <w:sz w:val="24"/>
          <w:szCs w:val="24"/>
        </w:rPr>
        <w:t>UNIDO</w:t>
      </w:r>
      <w:proofErr w:type="spellEnd"/>
      <w:r w:rsidRPr="002F2194">
        <w:rPr>
          <w:rFonts w:asciiTheme="minorHAnsi" w:hAnsiTheme="minorHAnsi" w:cstheme="minorHAnsi"/>
          <w:color w:val="000000" w:themeColor="text1"/>
          <w:sz w:val="24"/>
          <w:szCs w:val="24"/>
        </w:rPr>
        <w:t>, WIPO and WMO are specialized UN agencies that maintain regional and area/field offices to provide support, technical assistance, and implementation of their global mandates. While they share a common goal of working through regional structures to enhance member services, their specific regional architectures differ in scope and maturity. </w:t>
      </w:r>
    </w:p>
    <w:p w14:paraId="04DC8C80" w14:textId="77777777" w:rsidR="00250529" w:rsidRPr="002F2194" w:rsidRDefault="00250529" w:rsidP="00C9333F">
      <w:pPr>
        <w:pStyle w:val="WMOBodyText"/>
        <w:spacing w:after="240"/>
        <w:jc w:val="both"/>
        <w:rPr>
          <w:rFonts w:asciiTheme="minorHAnsi" w:hAnsiTheme="minorHAnsi" w:cstheme="minorHAnsi"/>
          <w:b/>
          <w:color w:val="000000" w:themeColor="text1"/>
          <w:sz w:val="24"/>
          <w:szCs w:val="24"/>
        </w:rPr>
      </w:pPr>
      <w:r w:rsidRPr="002F2194">
        <w:rPr>
          <w:rFonts w:asciiTheme="minorHAnsi" w:hAnsiTheme="minorHAnsi" w:cstheme="minorHAnsi"/>
          <w:b/>
          <w:color w:val="000000" w:themeColor="text1"/>
          <w:sz w:val="24"/>
          <w:szCs w:val="24"/>
        </w:rPr>
        <w:t>Comparative Analysis of Regional/Area Office Structures</w:t>
      </w:r>
    </w:p>
    <w:p w14:paraId="1C06CFA9" w14:textId="075149CD" w:rsidR="00250529" w:rsidRPr="002F2194" w:rsidRDefault="008C431B" w:rsidP="008C431B">
      <w:pPr>
        <w:pStyle w:val="WMOBodyText"/>
        <w:spacing w:after="240"/>
        <w:ind w:left="720" w:hanging="360"/>
        <w:jc w:val="both"/>
        <w:rPr>
          <w:rFonts w:asciiTheme="minorHAnsi" w:hAnsiTheme="minorHAnsi" w:cstheme="minorHAnsi"/>
          <w:b/>
          <w:color w:val="000000" w:themeColor="text1"/>
          <w:sz w:val="24"/>
          <w:szCs w:val="24"/>
        </w:rPr>
      </w:pPr>
      <w:r w:rsidRPr="002F2194">
        <w:rPr>
          <w:rFonts w:asciiTheme="minorHAnsi" w:hAnsiTheme="minorHAnsi" w:cstheme="minorHAnsi"/>
          <w:b/>
          <w:bCs/>
          <w:i/>
          <w:iCs/>
          <w:color w:val="000000" w:themeColor="text1"/>
          <w:sz w:val="24"/>
          <w:szCs w:val="24"/>
        </w:rPr>
        <w:t>1.</w:t>
      </w:r>
      <w:r w:rsidRPr="002F2194">
        <w:rPr>
          <w:rFonts w:asciiTheme="minorHAnsi" w:hAnsiTheme="minorHAnsi" w:cstheme="minorHAnsi"/>
          <w:b/>
          <w:bCs/>
          <w:i/>
          <w:iCs/>
          <w:color w:val="000000" w:themeColor="text1"/>
          <w:sz w:val="24"/>
          <w:szCs w:val="24"/>
        </w:rPr>
        <w:tab/>
      </w:r>
      <w:r w:rsidR="00250529" w:rsidRPr="002F2194">
        <w:rPr>
          <w:rFonts w:asciiTheme="minorHAnsi" w:eastAsia="Bookman Old Style" w:hAnsiTheme="minorHAnsi" w:cstheme="minorHAnsi"/>
          <w:b/>
          <w:i/>
          <w:color w:val="000000" w:themeColor="text1"/>
          <w:sz w:val="24"/>
          <w:szCs w:val="24"/>
        </w:rPr>
        <w:t>International Civil Aviation Organization</w:t>
      </w:r>
      <w:r w:rsidR="00250529" w:rsidRPr="002F2194">
        <w:rPr>
          <w:rFonts w:asciiTheme="minorHAnsi" w:eastAsia="Bookman Old Style" w:hAnsiTheme="minorHAnsi" w:cstheme="minorHAnsi"/>
          <w:b/>
          <w:bCs/>
          <w:i/>
          <w:iCs/>
          <w:color w:val="000000" w:themeColor="text1"/>
          <w:sz w:val="24"/>
          <w:szCs w:val="24"/>
        </w:rPr>
        <w:t xml:space="preserve"> (ICAO)</w:t>
      </w:r>
    </w:p>
    <w:p w14:paraId="4C5952F9" w14:textId="77777777" w:rsidR="00250529" w:rsidRPr="00986D12" w:rsidRDefault="00250529" w:rsidP="00C9333F">
      <w:pPr>
        <w:jc w:val="both"/>
        <w:rPr>
          <w:rFonts w:asciiTheme="minorHAnsi" w:eastAsia="Bookman Old Style" w:hAnsiTheme="minorHAnsi" w:cstheme="minorBidi"/>
          <w:color w:val="000000" w:themeColor="text1"/>
        </w:rPr>
      </w:pPr>
      <w:r w:rsidRPr="3ABAAE00">
        <w:rPr>
          <w:rFonts w:asciiTheme="minorHAnsi" w:eastAsia="Bookman Old Style" w:hAnsiTheme="minorHAnsi" w:cstheme="minorBidi"/>
          <w:color w:val="000000" w:themeColor="text1"/>
        </w:rPr>
        <w:t>ICAO maintains seven Regional Offices (Bangkok, Cairo, Dakar, Lima, Mexico, Nairobi, Paris) and one sub-regional office to provide specialized, localized support. Regional Offices focus on the implementation of Standards and Recommended Practices (</w:t>
      </w:r>
      <w:proofErr w:type="spellStart"/>
      <w:r w:rsidRPr="3ABAAE00">
        <w:rPr>
          <w:rFonts w:asciiTheme="minorHAnsi" w:eastAsia="Bookman Old Style" w:hAnsiTheme="minorHAnsi" w:cstheme="minorBidi"/>
          <w:color w:val="000000" w:themeColor="text1"/>
        </w:rPr>
        <w:t>SARPs</w:t>
      </w:r>
      <w:proofErr w:type="spellEnd"/>
      <w:r w:rsidRPr="3ABAAE00">
        <w:rPr>
          <w:rFonts w:asciiTheme="minorHAnsi" w:eastAsia="Bookman Old Style" w:hAnsiTheme="minorHAnsi" w:cstheme="minorBidi"/>
          <w:color w:val="000000" w:themeColor="text1"/>
        </w:rPr>
        <w:t>), air navigation, and the coordination of regional safety and efficiency. These offices strengthen regional safety, security, and efficiency under the No Country Left Behind (NCLB) initiative. Each regional office is responsible for serving the Contracting States to which it is accredited and maintaining liaison with non-Contracting States and other territories in the areas of general responsibility</w:t>
      </w:r>
      <w:r w:rsidRPr="0009624B">
        <w:rPr>
          <w:rStyle w:val="FootnoteReference"/>
          <w:rFonts w:asciiTheme="minorHAnsi" w:eastAsia="Bookman Old Style" w:hAnsiTheme="minorHAnsi" w:cstheme="minorBidi"/>
          <w:color w:val="000000" w:themeColor="text1"/>
          <w:sz w:val="24"/>
          <w:szCs w:val="24"/>
          <w:vertAlign w:val="superscript"/>
        </w:rPr>
        <w:footnoteReference w:id="27"/>
      </w:r>
      <w:r w:rsidRPr="3ABAAE00">
        <w:rPr>
          <w:rFonts w:asciiTheme="minorHAnsi" w:eastAsia="Bookman Old Style" w:hAnsiTheme="minorHAnsi" w:cstheme="minorBidi"/>
          <w:color w:val="000000" w:themeColor="text1"/>
        </w:rPr>
        <w:t>.</w:t>
      </w:r>
    </w:p>
    <w:p w14:paraId="19D0E65D" w14:textId="737FC263" w:rsidR="00250529" w:rsidRPr="002F2194" w:rsidRDefault="008C431B" w:rsidP="008C431B">
      <w:pPr>
        <w:pStyle w:val="WMOBodyText"/>
        <w:spacing w:after="240"/>
        <w:ind w:left="720" w:hanging="360"/>
        <w:jc w:val="both"/>
        <w:rPr>
          <w:rFonts w:asciiTheme="minorHAnsi" w:eastAsia="Bookman Old Style" w:hAnsiTheme="minorHAnsi" w:cstheme="minorHAnsi"/>
          <w:b/>
          <w:i/>
          <w:color w:val="000000" w:themeColor="text1"/>
          <w:sz w:val="24"/>
          <w:szCs w:val="24"/>
        </w:rPr>
      </w:pPr>
      <w:r w:rsidRPr="002F2194">
        <w:rPr>
          <w:rFonts w:asciiTheme="minorHAnsi" w:eastAsia="Bookman Old Style" w:hAnsiTheme="minorHAnsi" w:cstheme="minorHAnsi"/>
          <w:b/>
          <w:bCs/>
          <w:i/>
          <w:iCs/>
          <w:color w:val="000000" w:themeColor="text1"/>
          <w:sz w:val="24"/>
          <w:szCs w:val="24"/>
        </w:rPr>
        <w:t>2.</w:t>
      </w:r>
      <w:r w:rsidRPr="002F2194">
        <w:rPr>
          <w:rFonts w:asciiTheme="minorHAnsi" w:eastAsia="Bookman Old Style" w:hAnsiTheme="minorHAnsi" w:cstheme="minorHAnsi"/>
          <w:b/>
          <w:bCs/>
          <w:i/>
          <w:iCs/>
          <w:color w:val="000000" w:themeColor="text1"/>
          <w:sz w:val="24"/>
          <w:szCs w:val="24"/>
        </w:rPr>
        <w:tab/>
      </w:r>
      <w:r w:rsidR="00250529" w:rsidRPr="002F2194">
        <w:rPr>
          <w:rFonts w:asciiTheme="minorHAnsi" w:hAnsiTheme="minorHAnsi" w:cstheme="minorHAnsi"/>
          <w:b/>
          <w:i/>
          <w:color w:val="000000" w:themeColor="text1"/>
          <w:sz w:val="24"/>
          <w:szCs w:val="24"/>
        </w:rPr>
        <w:t>The International Maritime Organization (IMO)</w:t>
      </w:r>
      <w:r w:rsidR="00250529" w:rsidRPr="002F2194">
        <w:rPr>
          <w:rFonts w:asciiTheme="minorHAnsi" w:eastAsia="Bookman Old Style" w:hAnsiTheme="minorHAnsi" w:cstheme="minorHAnsi"/>
          <w:b/>
          <w:i/>
          <w:color w:val="000000" w:themeColor="text1"/>
          <w:sz w:val="24"/>
          <w:szCs w:val="24"/>
        </w:rPr>
        <w:t xml:space="preserve"> </w:t>
      </w:r>
    </w:p>
    <w:p w14:paraId="7E223155" w14:textId="77777777" w:rsidR="00250529" w:rsidRPr="002F2194" w:rsidRDefault="00250529" w:rsidP="00C9333F">
      <w:pPr>
        <w:pStyle w:val="WMOBodyText"/>
        <w:spacing w:after="240"/>
        <w:jc w:val="both"/>
        <w:rPr>
          <w:rFonts w:asciiTheme="minorHAnsi" w:hAnsiTheme="minorHAnsi" w:cstheme="minorBidi"/>
          <w:color w:val="000000" w:themeColor="text1"/>
          <w:sz w:val="24"/>
          <w:szCs w:val="24"/>
        </w:rPr>
      </w:pPr>
      <w:r w:rsidRPr="3ABAAE00">
        <w:rPr>
          <w:rFonts w:asciiTheme="minorHAnsi" w:hAnsiTheme="minorHAnsi" w:cstheme="minorBidi"/>
          <w:color w:val="000000" w:themeColor="text1"/>
          <w:sz w:val="24"/>
          <w:szCs w:val="24"/>
        </w:rPr>
        <w:t>IMO operates a network of Regional Presence Offices (</w:t>
      </w:r>
      <w:proofErr w:type="spellStart"/>
      <w:r w:rsidRPr="3ABAAE00">
        <w:rPr>
          <w:rFonts w:asciiTheme="minorHAnsi" w:hAnsiTheme="minorHAnsi" w:cstheme="minorBidi"/>
          <w:color w:val="000000" w:themeColor="text1"/>
          <w:sz w:val="24"/>
          <w:szCs w:val="24"/>
        </w:rPr>
        <w:t>RPOs</w:t>
      </w:r>
      <w:proofErr w:type="spellEnd"/>
      <w:r w:rsidRPr="3ABAAE00">
        <w:rPr>
          <w:rFonts w:asciiTheme="minorHAnsi" w:hAnsiTheme="minorHAnsi" w:cstheme="minorBidi"/>
          <w:color w:val="000000" w:themeColor="text1"/>
          <w:sz w:val="24"/>
          <w:szCs w:val="24"/>
        </w:rPr>
        <w:t>) to deliver technical assistance and support maritime activities directly in specific regions. As of early 2026, IMO has six Regional Coordinators located in Abidjan, Côte d'Ivoire for West and Central Africa (Francophone); Accra, Ghana for West and Central Africa (Anglophone); Alexandria, Egypt for Middle East and North Africa (MENA)</w:t>
      </w:r>
      <w:r w:rsidRPr="3ABAAE00">
        <w:rPr>
          <w:rStyle w:val="FootnoteReference"/>
          <w:rFonts w:asciiTheme="minorHAnsi" w:hAnsiTheme="minorHAnsi" w:cstheme="minorBidi"/>
          <w:color w:val="000000" w:themeColor="text1"/>
          <w:sz w:val="24"/>
          <w:szCs w:val="24"/>
        </w:rPr>
        <w:footnoteReference w:id="28"/>
      </w:r>
      <w:r w:rsidRPr="3ABAAE00">
        <w:rPr>
          <w:rFonts w:asciiTheme="minorHAnsi" w:hAnsiTheme="minorHAnsi" w:cstheme="minorBidi"/>
          <w:color w:val="000000" w:themeColor="text1"/>
          <w:sz w:val="24"/>
          <w:szCs w:val="24"/>
        </w:rPr>
        <w:t>; Manila, Philippines for East Asia; Nairobi, Kenya for Eastern and Southern Africa; and Port of Spain, Trinidad and Tobago for Caribbean. IMO also funds one Technical Cooperation Officer within the Pacific Community (</w:t>
      </w:r>
      <w:proofErr w:type="spellStart"/>
      <w:r w:rsidRPr="3ABAAE00">
        <w:rPr>
          <w:rFonts w:asciiTheme="minorHAnsi" w:hAnsiTheme="minorHAnsi" w:cstheme="minorBidi"/>
          <w:color w:val="000000" w:themeColor="text1"/>
          <w:sz w:val="24"/>
          <w:szCs w:val="24"/>
        </w:rPr>
        <w:t>SPC</w:t>
      </w:r>
      <w:proofErr w:type="spellEnd"/>
      <w:r w:rsidRPr="3ABAAE00">
        <w:rPr>
          <w:rFonts w:asciiTheme="minorHAnsi" w:hAnsiTheme="minorHAnsi" w:cstheme="minorBidi"/>
          <w:color w:val="000000" w:themeColor="text1"/>
          <w:sz w:val="24"/>
          <w:szCs w:val="24"/>
        </w:rPr>
        <w:t>), based in and Suva, Fiji</w:t>
      </w:r>
      <w:r w:rsidRPr="0009624B">
        <w:rPr>
          <w:rStyle w:val="FootnoteReference"/>
          <w:rFonts w:asciiTheme="minorHAnsi" w:hAnsiTheme="minorHAnsi" w:cstheme="minorBidi"/>
          <w:color w:val="000000" w:themeColor="text1"/>
          <w:sz w:val="24"/>
          <w:szCs w:val="24"/>
          <w:vertAlign w:val="superscript"/>
        </w:rPr>
        <w:footnoteReference w:id="29"/>
      </w:r>
      <w:r w:rsidRPr="3ABAAE00">
        <w:rPr>
          <w:rFonts w:asciiTheme="minorHAnsi" w:hAnsiTheme="minorHAnsi" w:cstheme="minorBidi"/>
          <w:color w:val="000000" w:themeColor="text1"/>
          <w:sz w:val="24"/>
          <w:szCs w:val="24"/>
        </w:rPr>
        <w:t>.</w:t>
      </w:r>
    </w:p>
    <w:p w14:paraId="00CB88E3" w14:textId="3F95DE59" w:rsidR="00250529" w:rsidRPr="002F2194" w:rsidRDefault="008C431B" w:rsidP="008C431B">
      <w:pPr>
        <w:pStyle w:val="WMOBodyText"/>
        <w:spacing w:after="240"/>
        <w:ind w:left="720" w:hanging="360"/>
        <w:rPr>
          <w:rFonts w:asciiTheme="minorHAnsi" w:hAnsiTheme="minorHAnsi" w:cstheme="minorHAnsi"/>
          <w:b/>
          <w:i/>
          <w:color w:val="000000" w:themeColor="text1"/>
          <w:sz w:val="24"/>
          <w:szCs w:val="24"/>
        </w:rPr>
      </w:pPr>
      <w:r w:rsidRPr="002F2194">
        <w:rPr>
          <w:rFonts w:asciiTheme="minorHAnsi" w:hAnsiTheme="minorHAnsi" w:cstheme="minorHAnsi"/>
          <w:b/>
          <w:bCs/>
          <w:i/>
          <w:iCs/>
          <w:color w:val="000000" w:themeColor="text1"/>
          <w:sz w:val="24"/>
          <w:szCs w:val="24"/>
        </w:rPr>
        <w:t>3.</w:t>
      </w:r>
      <w:r w:rsidRPr="002F2194">
        <w:rPr>
          <w:rFonts w:asciiTheme="minorHAnsi" w:hAnsiTheme="minorHAnsi" w:cstheme="minorHAnsi"/>
          <w:b/>
          <w:bCs/>
          <w:i/>
          <w:iCs/>
          <w:color w:val="000000" w:themeColor="text1"/>
          <w:sz w:val="24"/>
          <w:szCs w:val="24"/>
        </w:rPr>
        <w:tab/>
      </w:r>
      <w:r w:rsidR="00250529" w:rsidRPr="002F2194">
        <w:rPr>
          <w:rFonts w:asciiTheme="minorHAnsi" w:hAnsiTheme="minorHAnsi" w:cstheme="minorHAnsi"/>
          <w:b/>
          <w:i/>
          <w:color w:val="000000" w:themeColor="text1"/>
          <w:sz w:val="24"/>
          <w:szCs w:val="24"/>
        </w:rPr>
        <w:t>International Telecommunication Union (ITU)</w:t>
      </w:r>
    </w:p>
    <w:p w14:paraId="1B4F1B73" w14:textId="345BEAF5" w:rsidR="00250529" w:rsidRPr="002F2194" w:rsidRDefault="00250529" w:rsidP="00C9333F">
      <w:pPr>
        <w:pStyle w:val="WMOBodyText"/>
        <w:spacing w:after="240"/>
        <w:jc w:val="both"/>
        <w:rPr>
          <w:rFonts w:asciiTheme="minorHAnsi" w:hAnsiTheme="minorHAnsi" w:cstheme="minorBidi"/>
          <w:color w:val="000000" w:themeColor="text1"/>
          <w:sz w:val="24"/>
          <w:szCs w:val="24"/>
        </w:rPr>
      </w:pPr>
      <w:r w:rsidRPr="3ABAAE00">
        <w:rPr>
          <w:rFonts w:asciiTheme="minorHAnsi" w:hAnsiTheme="minorHAnsi" w:cstheme="minorBidi"/>
          <w:color w:val="000000" w:themeColor="text1"/>
          <w:sz w:val="24"/>
          <w:szCs w:val="24"/>
        </w:rPr>
        <w:lastRenderedPageBreak/>
        <w:t>ITU regional and area offices are structured to facilitate and enhance telecommunication/ICTs development by offering, organizing, and coordinating technical cooperation and assistance activities to its membership. ITU is divided into six administrative regions: Africa (Ethiopia), Americas (Brazil), Arab States (Egypt), Asia and the Pacific (Thailand), CIS (Russia), and Europe (Geneva). Some Regional Offices (</w:t>
      </w:r>
      <w:proofErr w:type="spellStart"/>
      <w:r w:rsidRPr="3ABAAE00">
        <w:rPr>
          <w:rFonts w:asciiTheme="minorHAnsi" w:hAnsiTheme="minorHAnsi" w:cstheme="minorBidi"/>
          <w:color w:val="000000" w:themeColor="text1"/>
          <w:sz w:val="24"/>
          <w:szCs w:val="24"/>
        </w:rPr>
        <w:t>ROs</w:t>
      </w:r>
      <w:proofErr w:type="spellEnd"/>
      <w:r w:rsidRPr="3ABAAE00">
        <w:rPr>
          <w:rFonts w:asciiTheme="minorHAnsi" w:hAnsiTheme="minorHAnsi" w:cstheme="minorBidi"/>
          <w:color w:val="000000" w:themeColor="text1"/>
          <w:sz w:val="24"/>
          <w:szCs w:val="24"/>
        </w:rPr>
        <w:t>) are supported by Area Offices</w:t>
      </w:r>
      <w:r w:rsidRPr="0009624B">
        <w:rPr>
          <w:rStyle w:val="FootnoteReference"/>
          <w:rFonts w:asciiTheme="minorHAnsi" w:hAnsiTheme="minorHAnsi" w:cstheme="minorBidi"/>
          <w:color w:val="000000" w:themeColor="text1"/>
          <w:sz w:val="24"/>
          <w:szCs w:val="24"/>
          <w:vertAlign w:val="superscript"/>
        </w:rPr>
        <w:footnoteReference w:id="30"/>
      </w:r>
      <w:r w:rsidRPr="3ABAAE00">
        <w:rPr>
          <w:rFonts w:asciiTheme="minorHAnsi" w:hAnsiTheme="minorHAnsi" w:cstheme="minorBidi"/>
          <w:color w:val="000000" w:themeColor="text1"/>
          <w:sz w:val="24"/>
          <w:szCs w:val="24"/>
        </w:rPr>
        <w:t xml:space="preserve"> (e.g., Africa Regional Office in Addis Ababa and Area offices in Dakar, Harare, and Yaoundé). The Regional and Area offices work with the HQ to provide specialized technical assistance focused on closing the digital divide, spanning both regulatory and developmental aspects.</w:t>
      </w:r>
    </w:p>
    <w:p w14:paraId="44DCB9FC" w14:textId="6EB8B8C9" w:rsidR="00250529" w:rsidRPr="002F2194" w:rsidRDefault="008C431B" w:rsidP="008C431B">
      <w:pPr>
        <w:pStyle w:val="WMOBodyText"/>
        <w:spacing w:after="240"/>
        <w:ind w:left="720" w:hanging="360"/>
        <w:jc w:val="both"/>
        <w:rPr>
          <w:rFonts w:asciiTheme="minorHAnsi" w:hAnsiTheme="minorHAnsi" w:cstheme="minorHAnsi"/>
          <w:b/>
          <w:i/>
          <w:color w:val="000000" w:themeColor="text1"/>
          <w:sz w:val="24"/>
          <w:szCs w:val="24"/>
        </w:rPr>
      </w:pPr>
      <w:r w:rsidRPr="002F2194">
        <w:rPr>
          <w:rFonts w:asciiTheme="minorHAnsi" w:hAnsiTheme="minorHAnsi" w:cstheme="minorHAnsi"/>
          <w:b/>
          <w:bCs/>
          <w:i/>
          <w:iCs/>
          <w:color w:val="000000" w:themeColor="text1"/>
          <w:sz w:val="24"/>
          <w:szCs w:val="24"/>
        </w:rPr>
        <w:t>4.</w:t>
      </w:r>
      <w:r w:rsidRPr="002F2194">
        <w:rPr>
          <w:rFonts w:asciiTheme="minorHAnsi" w:hAnsiTheme="minorHAnsi" w:cstheme="minorHAnsi"/>
          <w:b/>
          <w:bCs/>
          <w:i/>
          <w:iCs/>
          <w:color w:val="000000" w:themeColor="text1"/>
          <w:sz w:val="24"/>
          <w:szCs w:val="24"/>
        </w:rPr>
        <w:tab/>
      </w:r>
      <w:r w:rsidR="00250529" w:rsidRPr="002F2194">
        <w:rPr>
          <w:rFonts w:asciiTheme="minorHAnsi" w:hAnsiTheme="minorHAnsi" w:cstheme="minorHAnsi"/>
          <w:b/>
          <w:i/>
          <w:color w:val="000000" w:themeColor="text1"/>
          <w:sz w:val="24"/>
          <w:szCs w:val="24"/>
        </w:rPr>
        <w:t>United Nations Industrial Development Organisation (</w:t>
      </w:r>
      <w:proofErr w:type="spellStart"/>
      <w:r w:rsidR="00250529" w:rsidRPr="002F2194">
        <w:rPr>
          <w:rFonts w:asciiTheme="minorHAnsi" w:hAnsiTheme="minorHAnsi" w:cstheme="minorHAnsi"/>
          <w:b/>
          <w:i/>
          <w:color w:val="000000" w:themeColor="text1"/>
          <w:sz w:val="24"/>
          <w:szCs w:val="24"/>
        </w:rPr>
        <w:t>UNIDO</w:t>
      </w:r>
      <w:proofErr w:type="spellEnd"/>
      <w:r w:rsidR="00250529" w:rsidRPr="002F2194">
        <w:rPr>
          <w:rFonts w:asciiTheme="minorHAnsi" w:hAnsiTheme="minorHAnsi" w:cstheme="minorHAnsi"/>
          <w:b/>
          <w:i/>
          <w:color w:val="000000" w:themeColor="text1"/>
          <w:sz w:val="24"/>
          <w:szCs w:val="24"/>
        </w:rPr>
        <w:t>)</w:t>
      </w:r>
    </w:p>
    <w:p w14:paraId="62D7C828"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proofErr w:type="spellStart"/>
      <w:r w:rsidRPr="002F2194">
        <w:rPr>
          <w:rFonts w:asciiTheme="minorHAnsi" w:hAnsiTheme="minorHAnsi" w:cstheme="minorHAnsi"/>
          <w:color w:val="000000" w:themeColor="text1"/>
          <w:sz w:val="24"/>
          <w:szCs w:val="24"/>
        </w:rPr>
        <w:t>UNIDO</w:t>
      </w:r>
      <w:proofErr w:type="spellEnd"/>
      <w:r w:rsidRPr="002F2194">
        <w:rPr>
          <w:rFonts w:asciiTheme="minorHAnsi" w:hAnsiTheme="minorHAnsi" w:cstheme="minorHAnsi"/>
          <w:color w:val="000000" w:themeColor="text1"/>
          <w:sz w:val="24"/>
          <w:szCs w:val="24"/>
        </w:rPr>
        <w:t xml:space="preserve"> is the specialized agency of the United Nations that promotes industrial development for poverty reduction, inclusive globalization and environmental sustainability. The mandate of </w:t>
      </w:r>
      <w:proofErr w:type="spellStart"/>
      <w:r w:rsidRPr="002F2194">
        <w:rPr>
          <w:rFonts w:asciiTheme="minorHAnsi" w:hAnsiTheme="minorHAnsi" w:cstheme="minorHAnsi"/>
          <w:color w:val="000000" w:themeColor="text1"/>
          <w:sz w:val="24"/>
          <w:szCs w:val="24"/>
        </w:rPr>
        <w:t>UNIDO</w:t>
      </w:r>
      <w:proofErr w:type="spellEnd"/>
      <w:r w:rsidRPr="002F2194">
        <w:rPr>
          <w:rFonts w:asciiTheme="minorHAnsi" w:hAnsiTheme="minorHAnsi" w:cstheme="minorHAnsi"/>
          <w:color w:val="000000" w:themeColor="text1"/>
          <w:sz w:val="24"/>
          <w:szCs w:val="24"/>
        </w:rPr>
        <w:t xml:space="preserve"> is to promote and accelerate sustainable industrial development in developing countries and economies in transition. The organization draws on four mutually reinforcing categories of services: technical cooperation, analytical and policy advisory services, standard setting and compliance, and a convening function for knowledge transfer and networking. </w:t>
      </w:r>
    </w:p>
    <w:p w14:paraId="0B269355"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proofErr w:type="spellStart"/>
      <w:r w:rsidRPr="002F2194">
        <w:rPr>
          <w:rFonts w:asciiTheme="minorHAnsi" w:hAnsiTheme="minorHAnsi" w:cstheme="minorHAnsi"/>
          <w:color w:val="000000" w:themeColor="text1"/>
          <w:sz w:val="24"/>
          <w:szCs w:val="24"/>
        </w:rPr>
        <w:t>UNIDO’s</w:t>
      </w:r>
      <w:proofErr w:type="spellEnd"/>
      <w:r w:rsidRPr="002F2194">
        <w:rPr>
          <w:rFonts w:asciiTheme="minorHAnsi" w:hAnsiTheme="minorHAnsi" w:cstheme="minorHAnsi"/>
          <w:color w:val="000000" w:themeColor="text1"/>
          <w:sz w:val="24"/>
          <w:szCs w:val="24"/>
        </w:rPr>
        <w:t xml:space="preserve"> network includes 49 subregional and country offices covering 158 countries, providing technical support, policy advice and partnership building where it is needed most. This field presence is complemented by 10 Investment and Technology Promotion Offices that connect business, finance and technology partners to advance sustainable industrial development.</w:t>
      </w:r>
    </w:p>
    <w:p w14:paraId="61EECD76" w14:textId="0DFE4564" w:rsidR="00250529" w:rsidRPr="002F2194" w:rsidRDefault="008C431B" w:rsidP="008C431B">
      <w:pPr>
        <w:pStyle w:val="WMOBodyText"/>
        <w:spacing w:after="240"/>
        <w:ind w:left="720" w:hanging="360"/>
        <w:jc w:val="both"/>
        <w:rPr>
          <w:rFonts w:asciiTheme="minorHAnsi" w:hAnsiTheme="minorHAnsi" w:cstheme="minorHAnsi"/>
          <w:b/>
          <w:i/>
          <w:color w:val="000000" w:themeColor="text1"/>
          <w:sz w:val="24"/>
          <w:szCs w:val="24"/>
        </w:rPr>
      </w:pPr>
      <w:r w:rsidRPr="002F2194">
        <w:rPr>
          <w:rFonts w:asciiTheme="minorHAnsi" w:hAnsiTheme="minorHAnsi" w:cstheme="minorHAnsi"/>
          <w:b/>
          <w:bCs/>
          <w:i/>
          <w:iCs/>
          <w:color w:val="000000" w:themeColor="text1"/>
          <w:sz w:val="24"/>
          <w:szCs w:val="24"/>
        </w:rPr>
        <w:t>5.</w:t>
      </w:r>
      <w:r w:rsidRPr="002F2194">
        <w:rPr>
          <w:rFonts w:asciiTheme="minorHAnsi" w:hAnsiTheme="minorHAnsi" w:cstheme="minorHAnsi"/>
          <w:b/>
          <w:bCs/>
          <w:i/>
          <w:iCs/>
          <w:color w:val="000000" w:themeColor="text1"/>
          <w:sz w:val="24"/>
          <w:szCs w:val="24"/>
        </w:rPr>
        <w:tab/>
      </w:r>
      <w:r w:rsidR="00250529" w:rsidRPr="002F2194">
        <w:rPr>
          <w:rFonts w:asciiTheme="minorHAnsi" w:hAnsiTheme="minorHAnsi" w:cstheme="minorHAnsi"/>
          <w:b/>
          <w:i/>
          <w:color w:val="000000" w:themeColor="text1"/>
          <w:sz w:val="24"/>
          <w:szCs w:val="24"/>
        </w:rPr>
        <w:t>World Intellectual Property Organization (WIPO)</w:t>
      </w:r>
    </w:p>
    <w:p w14:paraId="214D20CE" w14:textId="45517C4A" w:rsidR="00250529" w:rsidRPr="002F2194" w:rsidRDefault="00250529" w:rsidP="00C9333F">
      <w:pPr>
        <w:pStyle w:val="WMOBodyText"/>
        <w:spacing w:after="240"/>
        <w:jc w:val="both"/>
        <w:rPr>
          <w:rFonts w:asciiTheme="minorHAnsi" w:hAnsiTheme="minorHAnsi" w:cstheme="minorBidi"/>
          <w:color w:val="000000" w:themeColor="text1"/>
          <w:sz w:val="24"/>
          <w:szCs w:val="24"/>
        </w:rPr>
      </w:pPr>
      <w:r w:rsidRPr="3ABAAE00">
        <w:rPr>
          <w:rFonts w:asciiTheme="minorHAnsi" w:hAnsiTheme="minorHAnsi" w:cstheme="minorBidi"/>
          <w:color w:val="000000" w:themeColor="text1"/>
          <w:sz w:val="24"/>
          <w:szCs w:val="24"/>
        </w:rPr>
        <w:t>WIPO's presence is increasingly focused on external offices that support IP ecosystem development and WIPO service promotion. WIPO's regional presence is focusing on "External Offices" rather than a broad, formal, regional/area office hierarchy in every region. Heavily guided by headquarters in Geneva, WIPO is supported by a specialized network of external offices. External Offices (</w:t>
      </w:r>
      <w:proofErr w:type="spellStart"/>
      <w:r w:rsidRPr="3ABAAE00">
        <w:rPr>
          <w:rFonts w:asciiTheme="minorHAnsi" w:hAnsiTheme="minorHAnsi" w:cstheme="minorBidi"/>
          <w:color w:val="000000" w:themeColor="text1"/>
          <w:sz w:val="24"/>
          <w:szCs w:val="24"/>
        </w:rPr>
        <w:t>EOs</w:t>
      </w:r>
      <w:proofErr w:type="spellEnd"/>
      <w:r w:rsidRPr="3ABAAE00">
        <w:rPr>
          <w:rFonts w:asciiTheme="minorHAnsi" w:hAnsiTheme="minorHAnsi" w:cstheme="minorBidi"/>
          <w:color w:val="000000" w:themeColor="text1"/>
          <w:sz w:val="24"/>
          <w:szCs w:val="24"/>
        </w:rPr>
        <w:t>)</w:t>
      </w:r>
      <w:r w:rsidR="59C59342" w:rsidRPr="3ABAAE00">
        <w:rPr>
          <w:rFonts w:asciiTheme="minorHAnsi" w:hAnsiTheme="minorHAnsi" w:cstheme="minorBidi"/>
          <w:color w:val="000000" w:themeColor="text1"/>
          <w:sz w:val="24"/>
          <w:szCs w:val="24"/>
        </w:rPr>
        <w:t xml:space="preserve"> </w:t>
      </w:r>
      <w:r w:rsidRPr="3ABAAE00">
        <w:rPr>
          <w:rFonts w:asciiTheme="minorHAnsi" w:hAnsiTheme="minorHAnsi" w:cstheme="minorBidi"/>
          <w:color w:val="000000" w:themeColor="text1"/>
          <w:sz w:val="24"/>
          <w:szCs w:val="24"/>
        </w:rPr>
        <w:t>are in Algeria, Brazil, China, Japan, Nigeria, Russia, and Singapore to facilitate localized support. These offices promote WIPO’s global services and provide localized arbitration, mediation, and capacity-building services. The 2025 WIPO Pulse survey highlights a significant increase in global IP awareness, with WIPO expanding its regional footprint to support SME innovation and IP-driven growth. WIPO operates external offices in strategic locations (e.g., Singapore Office for ASEAN, Beijing, Rio de Janeiro) that focus on specific regional needs, such as IP commercialisation for SMEs.</w:t>
      </w:r>
    </w:p>
    <w:p w14:paraId="26F038C2" w14:textId="1B43AADB" w:rsidR="00250529" w:rsidRPr="002F2194" w:rsidRDefault="008C431B" w:rsidP="008C431B">
      <w:pPr>
        <w:pStyle w:val="WMOBodyText"/>
        <w:spacing w:after="240"/>
        <w:ind w:left="720" w:hanging="360"/>
        <w:jc w:val="both"/>
        <w:rPr>
          <w:rFonts w:asciiTheme="minorHAnsi" w:hAnsiTheme="minorHAnsi" w:cstheme="minorHAnsi"/>
          <w:b/>
          <w:i/>
          <w:color w:val="000000" w:themeColor="text1"/>
          <w:sz w:val="24"/>
          <w:szCs w:val="24"/>
        </w:rPr>
      </w:pPr>
      <w:r w:rsidRPr="002F2194">
        <w:rPr>
          <w:rFonts w:asciiTheme="minorHAnsi" w:hAnsiTheme="minorHAnsi" w:cstheme="minorHAnsi"/>
          <w:b/>
          <w:bCs/>
          <w:i/>
          <w:iCs/>
          <w:color w:val="000000" w:themeColor="text1"/>
          <w:sz w:val="24"/>
          <w:szCs w:val="24"/>
        </w:rPr>
        <w:t>6.</w:t>
      </w:r>
      <w:r w:rsidRPr="002F2194">
        <w:rPr>
          <w:rFonts w:asciiTheme="minorHAnsi" w:hAnsiTheme="minorHAnsi" w:cstheme="minorHAnsi"/>
          <w:b/>
          <w:bCs/>
          <w:i/>
          <w:iCs/>
          <w:color w:val="000000" w:themeColor="text1"/>
          <w:sz w:val="24"/>
          <w:szCs w:val="24"/>
        </w:rPr>
        <w:tab/>
      </w:r>
      <w:r w:rsidR="00250529" w:rsidRPr="002F2194">
        <w:rPr>
          <w:rFonts w:asciiTheme="minorHAnsi" w:hAnsiTheme="minorHAnsi" w:cstheme="minorHAnsi"/>
          <w:b/>
          <w:i/>
          <w:color w:val="000000" w:themeColor="text1"/>
          <w:sz w:val="24"/>
          <w:szCs w:val="24"/>
        </w:rPr>
        <w:t>World Meteorological Organization (WMO)</w:t>
      </w:r>
    </w:p>
    <w:p w14:paraId="68BE2D9C" w14:textId="77777777" w:rsidR="00250529" w:rsidRPr="002F2194" w:rsidRDefault="00250529" w:rsidP="00C9333F">
      <w:pPr>
        <w:pStyle w:val="WMOBodyText"/>
        <w:spacing w:after="240"/>
        <w:jc w:val="both"/>
        <w:rPr>
          <w:rFonts w:asciiTheme="minorHAnsi" w:hAnsiTheme="minorHAnsi" w:cstheme="minorBidi"/>
          <w:color w:val="000000" w:themeColor="text1"/>
          <w:sz w:val="24"/>
          <w:szCs w:val="24"/>
        </w:rPr>
      </w:pPr>
      <w:r w:rsidRPr="3ABAAE00">
        <w:rPr>
          <w:rFonts w:asciiTheme="minorHAnsi" w:hAnsiTheme="minorHAnsi" w:cstheme="minorBidi"/>
          <w:color w:val="000000" w:themeColor="text1"/>
          <w:sz w:val="24"/>
          <w:szCs w:val="24"/>
        </w:rPr>
        <w:t xml:space="preserve">WMO regional presence focuses on bridging the technical gap between developed and developing nations in data-sharing and forecasting technology; specifically in monitoring and mitigating climate-related disasters. The regional structure is designed to facilitate technical cooperation and meteorology/hydrology standards for six Regional Associations. These Regional Offices act as focal points for National Meteorological and Hydrological Services </w:t>
      </w:r>
      <w:r w:rsidRPr="3ABAAE00">
        <w:rPr>
          <w:rFonts w:asciiTheme="minorHAnsi" w:hAnsiTheme="minorHAnsi" w:cstheme="minorBidi"/>
          <w:color w:val="000000" w:themeColor="text1"/>
          <w:sz w:val="24"/>
          <w:szCs w:val="24"/>
        </w:rPr>
        <w:lastRenderedPageBreak/>
        <w:t>(</w:t>
      </w:r>
      <w:proofErr w:type="spellStart"/>
      <w:r w:rsidRPr="3ABAAE00">
        <w:rPr>
          <w:rFonts w:asciiTheme="minorHAnsi" w:hAnsiTheme="minorHAnsi" w:cstheme="minorBidi"/>
          <w:color w:val="000000" w:themeColor="text1"/>
          <w:sz w:val="24"/>
          <w:szCs w:val="24"/>
        </w:rPr>
        <w:t>NMHSs</w:t>
      </w:r>
      <w:proofErr w:type="spellEnd"/>
      <w:r w:rsidRPr="3ABAAE00">
        <w:rPr>
          <w:rFonts w:asciiTheme="minorHAnsi" w:hAnsiTheme="minorHAnsi" w:cstheme="minorBidi"/>
          <w:color w:val="000000" w:themeColor="text1"/>
          <w:sz w:val="24"/>
          <w:szCs w:val="24"/>
        </w:rPr>
        <w:t>) through regional cooperation and capacity building, often working closely with regional climate centres. Regional Offices exist for Africa (Ethiopia), Asia and the South-West Pacific (Singapore/Geneva), and the Americas (Paraguay). WMO maintains specialized offices, such as in Abuja (Nigeria) and Nairobi (Kenya) for Africa, and Apia (Samoa) for the South-West Pacific</w:t>
      </w:r>
      <w:r w:rsidRPr="0009624B">
        <w:rPr>
          <w:rStyle w:val="FootnoteReference"/>
          <w:rFonts w:asciiTheme="minorHAnsi" w:hAnsiTheme="minorHAnsi" w:cstheme="minorBidi"/>
          <w:color w:val="000000" w:themeColor="text1"/>
          <w:sz w:val="24"/>
          <w:szCs w:val="24"/>
          <w:vertAlign w:val="superscript"/>
        </w:rPr>
        <w:footnoteReference w:id="31"/>
      </w:r>
      <w:r w:rsidRPr="3ABAAE00">
        <w:rPr>
          <w:rFonts w:asciiTheme="minorHAnsi" w:hAnsiTheme="minorHAnsi" w:cstheme="minorBidi"/>
          <w:color w:val="000000" w:themeColor="text1"/>
          <w:sz w:val="24"/>
          <w:szCs w:val="24"/>
        </w:rPr>
        <w:t>. The Regional Programme supports National Meteorological and Hydrological Services (</w:t>
      </w:r>
      <w:proofErr w:type="spellStart"/>
      <w:r w:rsidRPr="3ABAAE00">
        <w:rPr>
          <w:rFonts w:asciiTheme="minorHAnsi" w:hAnsiTheme="minorHAnsi" w:cstheme="minorBidi"/>
          <w:color w:val="000000" w:themeColor="text1"/>
          <w:sz w:val="24"/>
          <w:szCs w:val="24"/>
        </w:rPr>
        <w:t>NMHSs</w:t>
      </w:r>
      <w:proofErr w:type="spellEnd"/>
      <w:r w:rsidRPr="3ABAAE00">
        <w:rPr>
          <w:rFonts w:asciiTheme="minorHAnsi" w:hAnsiTheme="minorHAnsi" w:cstheme="minorBidi"/>
          <w:color w:val="000000" w:themeColor="text1"/>
          <w:sz w:val="24"/>
          <w:szCs w:val="24"/>
        </w:rPr>
        <w:t>) for disaster risk reduction and early warning systems. </w:t>
      </w:r>
    </w:p>
    <w:p w14:paraId="62E8B048" w14:textId="220422FE" w:rsidR="00250529" w:rsidRPr="002F2194" w:rsidRDefault="00250529" w:rsidP="00C9333F">
      <w:pPr>
        <w:pStyle w:val="WMOBodyText"/>
        <w:spacing w:after="240"/>
        <w:jc w:val="both"/>
        <w:rPr>
          <w:rFonts w:asciiTheme="minorHAnsi" w:hAnsiTheme="minorHAnsi" w:cstheme="minorHAnsi"/>
          <w:b/>
          <w:iCs/>
          <w:color w:val="000000" w:themeColor="text1"/>
          <w:sz w:val="24"/>
          <w:szCs w:val="24"/>
        </w:rPr>
      </w:pPr>
      <w:r w:rsidRPr="002F2194">
        <w:rPr>
          <w:rFonts w:asciiTheme="minorHAnsi" w:hAnsiTheme="minorHAnsi" w:cstheme="minorHAnsi"/>
          <w:b/>
          <w:iCs/>
          <w:color w:val="000000" w:themeColor="text1"/>
          <w:sz w:val="24"/>
          <w:szCs w:val="24"/>
        </w:rPr>
        <w:t xml:space="preserve">Key </w:t>
      </w:r>
      <w:r w:rsidR="00C76D02">
        <w:rPr>
          <w:rFonts w:asciiTheme="minorHAnsi" w:hAnsiTheme="minorHAnsi" w:cstheme="minorHAnsi"/>
          <w:b/>
          <w:iCs/>
          <w:color w:val="000000" w:themeColor="text1"/>
          <w:sz w:val="24"/>
          <w:szCs w:val="24"/>
        </w:rPr>
        <w:t>s</w:t>
      </w:r>
      <w:r w:rsidRPr="002F2194">
        <w:rPr>
          <w:rFonts w:asciiTheme="minorHAnsi" w:hAnsiTheme="minorHAnsi" w:cstheme="minorHAnsi"/>
          <w:b/>
          <w:iCs/>
          <w:color w:val="000000" w:themeColor="text1"/>
          <w:sz w:val="24"/>
          <w:szCs w:val="24"/>
        </w:rPr>
        <w:t xml:space="preserve">imilarities in </w:t>
      </w:r>
      <w:r w:rsidR="00C76D02">
        <w:rPr>
          <w:rFonts w:asciiTheme="minorHAnsi" w:hAnsiTheme="minorHAnsi" w:cstheme="minorHAnsi"/>
          <w:b/>
          <w:iCs/>
          <w:color w:val="000000" w:themeColor="text1"/>
          <w:sz w:val="24"/>
          <w:szCs w:val="24"/>
        </w:rPr>
        <w:t>s</w:t>
      </w:r>
      <w:r w:rsidRPr="002F2194">
        <w:rPr>
          <w:rFonts w:asciiTheme="minorHAnsi" w:hAnsiTheme="minorHAnsi" w:cstheme="minorHAnsi"/>
          <w:b/>
          <w:iCs/>
          <w:color w:val="000000" w:themeColor="text1"/>
          <w:sz w:val="24"/>
          <w:szCs w:val="24"/>
        </w:rPr>
        <w:t>tructure</w:t>
      </w:r>
    </w:p>
    <w:p w14:paraId="13BFA89B" w14:textId="26C98017"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 xml:space="preserve">All six organizations (ICAO, IMO, ITU, </w:t>
      </w:r>
      <w:proofErr w:type="spellStart"/>
      <w:r w:rsidR="00250529" w:rsidRPr="002F2194">
        <w:rPr>
          <w:rFonts w:asciiTheme="minorHAnsi" w:hAnsiTheme="minorHAnsi" w:cstheme="minorHAnsi"/>
          <w:sz w:val="24"/>
          <w:szCs w:val="24"/>
        </w:rPr>
        <w:t>UNIDO</w:t>
      </w:r>
      <w:proofErr w:type="spellEnd"/>
      <w:r w:rsidR="00250529" w:rsidRPr="002F2194">
        <w:rPr>
          <w:rFonts w:asciiTheme="minorHAnsi" w:hAnsiTheme="minorHAnsi" w:cstheme="minorHAnsi"/>
          <w:sz w:val="24"/>
          <w:szCs w:val="24"/>
        </w:rPr>
        <w:t>, WIPO, WMO) use regional offices to bridge the gap between their headquarters and member states.</w:t>
      </w:r>
    </w:p>
    <w:p w14:paraId="3AB3EBBF" w14:textId="4E442197"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Regional offices are primarily tasked with supporting memberships, strengthening national capacities, and facilitating technical cooperation.</w:t>
      </w:r>
    </w:p>
    <w:p w14:paraId="2367C306" w14:textId="67CD690E"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Regional offices serve as "front-line" units, communicating regional priorities back to the Secretariat while disseminating international standards to local authorities.</w:t>
      </w:r>
    </w:p>
    <w:p w14:paraId="5EB17F57" w14:textId="154088D1"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Regional Groupings: All three align their work with global geographical regions (e.g., Africa, Americas, Asia-Pacific, Arab States, CIS and Europe). </w:t>
      </w:r>
    </w:p>
    <w:p w14:paraId="5A6F155B" w14:textId="16B768EA"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Technical vs. Development: ICAO and WMO are primarily focused on implementing global, technical standards across regions, while ITU and WIPO are more focused on development, capacity building, and specific service delivery.</w:t>
      </w:r>
    </w:p>
    <w:p w14:paraId="72931B59" w14:textId="6A63EE3C"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ITU, IMO, and ICAO have worked together to address the jamming and spoofing of satellite navigation systems.</w:t>
      </w:r>
    </w:p>
    <w:p w14:paraId="108D16A0" w14:textId="78E0FD57"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ITU and IMO collaborate on maritime radiocommunication matters, such as the modernization of the Global Maritime Distress and Safety System (GMDSS).</w:t>
      </w:r>
    </w:p>
    <w:p w14:paraId="0FA9C42E" w14:textId="0DEA8445"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 xml:space="preserve">ITU and </w:t>
      </w:r>
      <w:proofErr w:type="spellStart"/>
      <w:r w:rsidR="00250529" w:rsidRPr="002F2194">
        <w:rPr>
          <w:rFonts w:asciiTheme="minorHAnsi" w:hAnsiTheme="minorHAnsi" w:cstheme="minorHAnsi"/>
          <w:sz w:val="24"/>
          <w:szCs w:val="24"/>
        </w:rPr>
        <w:t>UNIDO</w:t>
      </w:r>
      <w:proofErr w:type="spellEnd"/>
      <w:r w:rsidR="00250529" w:rsidRPr="002F2194">
        <w:rPr>
          <w:rFonts w:asciiTheme="minorHAnsi" w:hAnsiTheme="minorHAnsi" w:cstheme="minorHAnsi"/>
          <w:sz w:val="24"/>
          <w:szCs w:val="24"/>
        </w:rPr>
        <w:t xml:space="preserve"> work together to bridge the digital and technological divide, supporting Small and Medium-sized Enterprises (SMEs) and encouraging green, sustainable economic growth.</w:t>
      </w:r>
    </w:p>
    <w:p w14:paraId="7ED7DA32" w14:textId="6AF9D843"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 xml:space="preserve">Resource allocation within ICAO, IMO, ITU, </w:t>
      </w:r>
      <w:proofErr w:type="spellStart"/>
      <w:r w:rsidR="00250529" w:rsidRPr="002F2194">
        <w:rPr>
          <w:rFonts w:asciiTheme="minorHAnsi" w:hAnsiTheme="minorHAnsi" w:cstheme="minorHAnsi"/>
          <w:sz w:val="24"/>
          <w:szCs w:val="24"/>
        </w:rPr>
        <w:t>UNIDO</w:t>
      </w:r>
      <w:proofErr w:type="spellEnd"/>
      <w:r w:rsidR="00250529" w:rsidRPr="002F2194">
        <w:rPr>
          <w:rFonts w:asciiTheme="minorHAnsi" w:hAnsiTheme="minorHAnsi" w:cstheme="minorHAnsi"/>
          <w:sz w:val="24"/>
          <w:szCs w:val="24"/>
        </w:rPr>
        <w:t>, WMO, and WIPO -- is fundamentally driven by Results-Based Budgeting (</w:t>
      </w:r>
      <w:proofErr w:type="spellStart"/>
      <w:r w:rsidR="00250529" w:rsidRPr="002F2194">
        <w:rPr>
          <w:rFonts w:asciiTheme="minorHAnsi" w:hAnsiTheme="minorHAnsi" w:cstheme="minorHAnsi"/>
          <w:sz w:val="24"/>
          <w:szCs w:val="24"/>
        </w:rPr>
        <w:t>RBB</w:t>
      </w:r>
      <w:proofErr w:type="spellEnd"/>
      <w:r w:rsidR="00250529" w:rsidRPr="002F2194">
        <w:rPr>
          <w:rFonts w:asciiTheme="minorHAnsi" w:hAnsiTheme="minorHAnsi" w:cstheme="minorHAnsi"/>
          <w:sz w:val="24"/>
          <w:szCs w:val="24"/>
        </w:rPr>
        <w:t>), focusing on aligning financial resources with strategic goals, technical cooperation, and member state priorities.</w:t>
      </w:r>
    </w:p>
    <w:p w14:paraId="39DAA6ED" w14:textId="29E47262"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b/>
          <w:color w:val="000000" w:themeColor="text1"/>
          <w:sz w:val="24"/>
          <w:szCs w:val="24"/>
        </w:rPr>
        <w:t xml:space="preserve">Key </w:t>
      </w:r>
      <w:r w:rsidR="00C76D02">
        <w:rPr>
          <w:rFonts w:asciiTheme="minorHAnsi" w:hAnsiTheme="minorHAnsi" w:cstheme="minorHAnsi"/>
          <w:b/>
          <w:color w:val="000000" w:themeColor="text1"/>
          <w:sz w:val="24"/>
          <w:szCs w:val="24"/>
        </w:rPr>
        <w:t>d</w:t>
      </w:r>
      <w:r w:rsidRPr="002F2194">
        <w:rPr>
          <w:rFonts w:asciiTheme="minorHAnsi" w:hAnsiTheme="minorHAnsi" w:cstheme="minorHAnsi"/>
          <w:b/>
          <w:color w:val="000000" w:themeColor="text1"/>
          <w:sz w:val="24"/>
          <w:szCs w:val="24"/>
        </w:rPr>
        <w:t>ifferences</w:t>
      </w:r>
    </w:p>
    <w:p w14:paraId="1442A831" w14:textId="2BE0D28B"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Field Network Density: ITU and WMO have a more entrenched network of "area" or "sub-regional" offices designed for field-level technical assistance in developing countries. WIPO's network of External Offices is more selective and focuses on major IP hubs and, more recently, developing nations.</w:t>
      </w:r>
    </w:p>
    <w:p w14:paraId="5C3B2E53" w14:textId="732D4C9B"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t></w:t>
      </w:r>
      <w:r w:rsidRPr="002F2194">
        <w:rPr>
          <w:rFonts w:ascii="Symbol" w:hAnsi="Symbol" w:cstheme="minorHAnsi"/>
          <w:sz w:val="24"/>
          <w:szCs w:val="24"/>
        </w:rPr>
        <w:tab/>
      </w:r>
      <w:r w:rsidR="00250529" w:rsidRPr="002F2194">
        <w:rPr>
          <w:rFonts w:asciiTheme="minorHAnsi" w:hAnsiTheme="minorHAnsi" w:cstheme="minorHAnsi"/>
          <w:sz w:val="24"/>
          <w:szCs w:val="24"/>
        </w:rPr>
        <w:t>Operational Focus: ITU focuses on universal meaningful connectivity and sustainable digital transformation; WMO focuses on weather, water, and climate services; WIPO focuses on legal and technical IP systems; and ICAO focuses on providing direct support to Member States in resolving safety deficiencies and managing regional air traffic planning.</w:t>
      </w:r>
    </w:p>
    <w:p w14:paraId="656D0DC7" w14:textId="49739BD0" w:rsidR="00250529" w:rsidRPr="002F2194" w:rsidRDefault="008C431B" w:rsidP="008C431B">
      <w:pPr>
        <w:pStyle w:val="Bulletlist"/>
        <w:numPr>
          <w:ilvl w:val="0"/>
          <w:numId w:val="0"/>
        </w:numPr>
        <w:ind w:left="720" w:hanging="360"/>
        <w:jc w:val="both"/>
        <w:rPr>
          <w:rFonts w:asciiTheme="minorHAnsi" w:hAnsiTheme="minorHAnsi" w:cstheme="minorHAnsi"/>
          <w:sz w:val="24"/>
          <w:szCs w:val="24"/>
        </w:rPr>
      </w:pPr>
      <w:r w:rsidRPr="002F2194">
        <w:rPr>
          <w:rFonts w:ascii="Symbol" w:hAnsi="Symbol" w:cstheme="minorHAnsi"/>
          <w:sz w:val="24"/>
          <w:szCs w:val="24"/>
        </w:rPr>
        <w:lastRenderedPageBreak/>
        <w:t></w:t>
      </w:r>
      <w:r w:rsidRPr="002F2194">
        <w:rPr>
          <w:rFonts w:ascii="Symbol" w:hAnsi="Symbol" w:cstheme="minorHAnsi"/>
          <w:sz w:val="24"/>
          <w:szCs w:val="24"/>
        </w:rPr>
        <w:tab/>
      </w:r>
      <w:r w:rsidR="00250529" w:rsidRPr="002F2194">
        <w:rPr>
          <w:rFonts w:asciiTheme="minorHAnsi" w:hAnsiTheme="minorHAnsi" w:cstheme="minorHAnsi"/>
          <w:sz w:val="24"/>
          <w:szCs w:val="24"/>
        </w:rPr>
        <w:t>Regional Offices Location: WMO and WIPO keeps some regional offices in Geneva for coordination, whereas ICAO and ITU have strong regional offices located directly in the respective regions. </w:t>
      </w:r>
    </w:p>
    <w:p w14:paraId="23B66D27"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 xml:space="preserve">The delegation of authority across the regions for ICAO, IMO, ITU, </w:t>
      </w:r>
      <w:proofErr w:type="spellStart"/>
      <w:r w:rsidRPr="002F2194">
        <w:rPr>
          <w:rFonts w:asciiTheme="minorHAnsi" w:hAnsiTheme="minorHAnsi" w:cstheme="minorHAnsi"/>
          <w:color w:val="000000" w:themeColor="text1"/>
          <w:sz w:val="24"/>
          <w:szCs w:val="24"/>
        </w:rPr>
        <w:t>UNIDO</w:t>
      </w:r>
      <w:proofErr w:type="spellEnd"/>
      <w:r w:rsidRPr="002F2194">
        <w:rPr>
          <w:rFonts w:asciiTheme="minorHAnsi" w:hAnsiTheme="minorHAnsi" w:cstheme="minorHAnsi"/>
          <w:color w:val="000000" w:themeColor="text1"/>
          <w:sz w:val="24"/>
          <w:szCs w:val="24"/>
        </w:rPr>
        <w:t>, WMO, and WIPO reflects their unique mandates—ranging from strict technical standardization (ICAO) to development-focused regional projects (ITU) and scientific coordination (WMO). While all are UN specialized agencies, ICAO holds the highest level of centralized technical control, while ITU and WMO operate through more decentralized regional structures focused on technical assistance. On the other hand, WIPO has a more centralized mechanism than ITU or WMO, with the Secretariat retaining strong control over core activities. For all six Agencies, major policy and financial decisions remain centralized at their HQ.</w:t>
      </w:r>
    </w:p>
    <w:p w14:paraId="28862D30" w14:textId="749E1685" w:rsidR="00250529" w:rsidRPr="002F2194" w:rsidRDefault="00250529" w:rsidP="00C9333F">
      <w:pPr>
        <w:pStyle w:val="WMOBodyText"/>
        <w:spacing w:after="240"/>
        <w:jc w:val="both"/>
        <w:rPr>
          <w:rFonts w:asciiTheme="minorHAnsi" w:hAnsiTheme="minorHAnsi" w:cstheme="minorHAnsi"/>
          <w:b/>
          <w:color w:val="000000" w:themeColor="text1"/>
          <w:sz w:val="24"/>
          <w:szCs w:val="24"/>
        </w:rPr>
      </w:pPr>
      <w:r w:rsidRPr="002F2194">
        <w:rPr>
          <w:rFonts w:asciiTheme="minorHAnsi" w:hAnsiTheme="minorHAnsi" w:cstheme="minorHAnsi"/>
          <w:b/>
          <w:color w:val="000000" w:themeColor="text1"/>
          <w:sz w:val="24"/>
          <w:szCs w:val="24"/>
        </w:rPr>
        <w:t xml:space="preserve">Budget </w:t>
      </w:r>
      <w:r w:rsidR="00C76D02">
        <w:rPr>
          <w:rFonts w:asciiTheme="minorHAnsi" w:hAnsiTheme="minorHAnsi" w:cstheme="minorHAnsi"/>
          <w:b/>
          <w:color w:val="000000" w:themeColor="text1"/>
          <w:sz w:val="24"/>
          <w:szCs w:val="24"/>
        </w:rPr>
        <w:t>a</w:t>
      </w:r>
      <w:r w:rsidRPr="002F2194">
        <w:rPr>
          <w:rFonts w:asciiTheme="minorHAnsi" w:hAnsiTheme="minorHAnsi" w:cstheme="minorHAnsi"/>
          <w:b/>
          <w:color w:val="000000" w:themeColor="text1"/>
          <w:sz w:val="24"/>
          <w:szCs w:val="24"/>
        </w:rPr>
        <w:t xml:space="preserve">llocation and </w:t>
      </w:r>
      <w:r w:rsidR="00C76D02">
        <w:rPr>
          <w:rFonts w:asciiTheme="minorHAnsi" w:hAnsiTheme="minorHAnsi" w:cstheme="minorHAnsi"/>
          <w:b/>
          <w:color w:val="000000" w:themeColor="text1"/>
          <w:sz w:val="24"/>
          <w:szCs w:val="24"/>
        </w:rPr>
        <w:t>f</w:t>
      </w:r>
      <w:r w:rsidRPr="002F2194">
        <w:rPr>
          <w:rFonts w:asciiTheme="minorHAnsi" w:hAnsiTheme="minorHAnsi" w:cstheme="minorHAnsi"/>
          <w:b/>
          <w:color w:val="000000" w:themeColor="text1"/>
          <w:sz w:val="24"/>
          <w:szCs w:val="24"/>
        </w:rPr>
        <w:t xml:space="preserve">inancial </w:t>
      </w:r>
      <w:r w:rsidR="00C76D02">
        <w:rPr>
          <w:rFonts w:asciiTheme="minorHAnsi" w:hAnsiTheme="minorHAnsi" w:cstheme="minorHAnsi"/>
          <w:b/>
          <w:color w:val="000000" w:themeColor="text1"/>
          <w:sz w:val="24"/>
          <w:szCs w:val="24"/>
        </w:rPr>
        <w:t>r</w:t>
      </w:r>
      <w:r w:rsidRPr="002F2194">
        <w:rPr>
          <w:rFonts w:asciiTheme="minorHAnsi" w:hAnsiTheme="minorHAnsi" w:cstheme="minorHAnsi"/>
          <w:b/>
          <w:color w:val="000000" w:themeColor="text1"/>
          <w:sz w:val="24"/>
          <w:szCs w:val="24"/>
        </w:rPr>
        <w:t>esources</w:t>
      </w:r>
    </w:p>
    <w:p w14:paraId="3E8050DF"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 xml:space="preserve">Financial resources also shape the scale and impact of regional operations. </w:t>
      </w:r>
    </w:p>
    <w:p w14:paraId="5BAB4AF5" w14:textId="04764CF9"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I.</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ITU’s overall budget is approximately CHF 160.19 million, with 5% allocated to regional and area offices.</w:t>
      </w:r>
    </w:p>
    <w:p w14:paraId="556791F0" w14:textId="38287DFE"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II.</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ICAO’s budget of CAD 120 million (approximately CHF 68.68 million) allocates around 21% to offices outside headquarters, suggesting a comparatively strong investment in regional operations.</w:t>
      </w:r>
    </w:p>
    <w:p w14:paraId="01568479" w14:textId="58DD2D87"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III.</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IMO operates with a smaller overall budget of about £38 million (approximately CHF 39.66 million), of which around 3.24% is allocated to offices outside headquarters.</w:t>
      </w:r>
    </w:p>
    <w:p w14:paraId="6F24D917" w14:textId="1F63F5E6"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IV.</w:t>
      </w:r>
      <w:r w:rsidRPr="002F2194">
        <w:rPr>
          <w:rFonts w:asciiTheme="minorHAnsi" w:hAnsiTheme="minorHAnsi" w:cstheme="minorHAnsi"/>
          <w:color w:val="000000" w:themeColor="text1"/>
          <w:sz w:val="24"/>
          <w:szCs w:val="24"/>
        </w:rPr>
        <w:tab/>
      </w:r>
      <w:proofErr w:type="spellStart"/>
      <w:r w:rsidR="00250529" w:rsidRPr="002F2194">
        <w:rPr>
          <w:rFonts w:asciiTheme="minorHAnsi" w:hAnsiTheme="minorHAnsi" w:cstheme="minorHAnsi"/>
          <w:color w:val="000000" w:themeColor="text1"/>
          <w:sz w:val="24"/>
          <w:szCs w:val="24"/>
        </w:rPr>
        <w:t>UNIDO’s</w:t>
      </w:r>
      <w:proofErr w:type="spellEnd"/>
      <w:r w:rsidR="00250529" w:rsidRPr="002F2194">
        <w:rPr>
          <w:rFonts w:asciiTheme="minorHAnsi" w:hAnsiTheme="minorHAnsi" w:cstheme="minorHAnsi"/>
          <w:color w:val="000000" w:themeColor="text1"/>
          <w:sz w:val="24"/>
          <w:szCs w:val="24"/>
        </w:rPr>
        <w:t xml:space="preserve"> budget structure indicates significant support for field activities, with €62.8 million</w:t>
      </w:r>
      <w:r w:rsidR="27F71D2B" w:rsidRPr="002F2194">
        <w:rPr>
          <w:rFonts w:asciiTheme="minorHAnsi" w:hAnsiTheme="minorHAnsi" w:cstheme="minorHAnsi"/>
          <w:color w:val="000000" w:themeColor="text1"/>
          <w:sz w:val="24"/>
          <w:szCs w:val="24"/>
        </w:rPr>
        <w:t xml:space="preserve"> (approximately CHF 56.69 million)</w:t>
      </w:r>
      <w:r w:rsidR="00250529" w:rsidRPr="002F2194">
        <w:rPr>
          <w:rFonts w:asciiTheme="minorHAnsi" w:hAnsiTheme="minorHAnsi" w:cstheme="minorHAnsi"/>
          <w:color w:val="000000" w:themeColor="text1"/>
          <w:sz w:val="24"/>
          <w:szCs w:val="24"/>
        </w:rPr>
        <w:t xml:space="preserve"> allocated to field operations, partnerships, fundraising, and UN coordination, representing about 27% of its total regular and operational budget.</w:t>
      </w:r>
    </w:p>
    <w:p w14:paraId="73A93DF7" w14:textId="450657D2"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V.</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WIPO’s budget is CHF 885 million with 1% allocated to offices outside headquarters.</w:t>
      </w:r>
      <w:r w:rsidR="74212EF8" w:rsidRPr="002F2194">
        <w:rPr>
          <w:rFonts w:asciiTheme="minorHAnsi" w:hAnsiTheme="minorHAnsi" w:cstheme="minorHAnsi"/>
          <w:color w:val="000000" w:themeColor="text1"/>
          <w:sz w:val="24"/>
          <w:szCs w:val="24"/>
        </w:rPr>
        <w:t xml:space="preserve"> WIPO operates with a much larger budget reflecting its revenue-generating IP services</w:t>
      </w:r>
    </w:p>
    <w:p w14:paraId="3EBB26CA" w14:textId="3328F330"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VI.</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WMO’s budget of approximately CHF 69.96 million allocates 7.3% to offices outside headquarters</w:t>
      </w:r>
      <w:r w:rsidR="003939C6">
        <w:rPr>
          <w:rFonts w:asciiTheme="minorHAnsi" w:hAnsiTheme="minorHAnsi" w:cstheme="minorHAnsi"/>
          <w:color w:val="000000" w:themeColor="text1"/>
          <w:sz w:val="24"/>
          <w:szCs w:val="24"/>
        </w:rPr>
        <w:t>.</w:t>
      </w:r>
      <w:r w:rsidR="00250529" w:rsidRPr="002F2194">
        <w:rPr>
          <w:rFonts w:asciiTheme="minorHAnsi" w:hAnsiTheme="minorHAnsi" w:cstheme="minorHAnsi"/>
          <w:color w:val="000000" w:themeColor="text1"/>
          <w:sz w:val="24"/>
          <w:szCs w:val="24"/>
        </w:rPr>
        <w:t xml:space="preserve"> </w:t>
      </w:r>
    </w:p>
    <w:p w14:paraId="2CCBE92D"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Compared with these organizations, ITU’s allocation to regional operations falls within a low to moderate range, suggesting some commitment to field presence but potentially limited capacity to expand regional impact.</w:t>
      </w:r>
    </w:p>
    <w:p w14:paraId="25BD3C5D" w14:textId="77777777" w:rsidR="00250529" w:rsidRPr="002F2194" w:rsidRDefault="00250529" w:rsidP="00C9333F">
      <w:pPr>
        <w:pStyle w:val="WMOBodyText"/>
        <w:spacing w:after="240"/>
        <w:jc w:val="both"/>
        <w:rPr>
          <w:rFonts w:asciiTheme="minorHAnsi" w:hAnsiTheme="minorHAnsi" w:cstheme="minorHAnsi"/>
          <w:b/>
          <w:color w:val="000000" w:themeColor="text1"/>
          <w:sz w:val="24"/>
          <w:szCs w:val="24"/>
        </w:rPr>
      </w:pPr>
      <w:r w:rsidRPr="002F2194">
        <w:rPr>
          <w:rFonts w:asciiTheme="minorHAnsi" w:hAnsiTheme="minorHAnsi" w:cstheme="minorHAnsi"/>
          <w:b/>
          <w:color w:val="000000" w:themeColor="text1"/>
          <w:sz w:val="24"/>
          <w:szCs w:val="24"/>
        </w:rPr>
        <w:t>Staff Footprint and Organizational Presence</w:t>
      </w:r>
    </w:p>
    <w:p w14:paraId="67C18D88" w14:textId="77777777" w:rsidR="00250529" w:rsidRPr="002F2194" w:rsidRDefault="00250529" w:rsidP="00C9333F">
      <w:pPr>
        <w:pStyle w:val="WMOBodyText"/>
        <w:spacing w:after="240"/>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 xml:space="preserve">The distribution of staff between headquarters and field locations further highlights differences in organizational approaches to decentralization. </w:t>
      </w:r>
    </w:p>
    <w:p w14:paraId="075F7AC5" w14:textId="19FA5203"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1.</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ITU maintains approximately 629 staff at headquarters in Geneva and 62 staff across regional and area offices, indicating a relatively modest field footprint compared with its headquarters staffing.</w:t>
      </w:r>
    </w:p>
    <w:p w14:paraId="74F57B4E" w14:textId="5063A694"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2.</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 xml:space="preserve">ICAO demonstrates a somewhat higher degree of decentralization, with 24% of its 671 staff located outside headquarters in regional or sub-regional offices. These staff </w:t>
      </w:r>
      <w:r w:rsidR="00250529" w:rsidRPr="002F2194">
        <w:rPr>
          <w:rFonts w:asciiTheme="minorHAnsi" w:hAnsiTheme="minorHAnsi" w:cstheme="minorHAnsi"/>
          <w:color w:val="000000" w:themeColor="text1"/>
          <w:sz w:val="24"/>
          <w:szCs w:val="24"/>
        </w:rPr>
        <w:lastRenderedPageBreak/>
        <w:t>support regulatory oversight, technical cooperation, and implementation assistance to member states.</w:t>
      </w:r>
    </w:p>
    <w:p w14:paraId="088851D4" w14:textId="14EC82D3"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3.</w:t>
      </w:r>
      <w:r w:rsidRPr="002F2194">
        <w:rPr>
          <w:rFonts w:asciiTheme="minorHAnsi" w:hAnsiTheme="minorHAnsi" w:cstheme="minorHAnsi"/>
          <w:color w:val="000000" w:themeColor="text1"/>
          <w:sz w:val="24"/>
          <w:szCs w:val="24"/>
        </w:rPr>
        <w:tab/>
      </w:r>
      <w:proofErr w:type="spellStart"/>
      <w:r w:rsidR="00250529" w:rsidRPr="002F2194">
        <w:rPr>
          <w:rFonts w:asciiTheme="minorHAnsi" w:hAnsiTheme="minorHAnsi" w:cstheme="minorHAnsi"/>
          <w:color w:val="000000" w:themeColor="text1"/>
          <w:sz w:val="24"/>
          <w:szCs w:val="24"/>
        </w:rPr>
        <w:t>IMO’s</w:t>
      </w:r>
      <w:proofErr w:type="spellEnd"/>
      <w:r w:rsidR="00250529" w:rsidRPr="002F2194">
        <w:rPr>
          <w:rFonts w:asciiTheme="minorHAnsi" w:hAnsiTheme="minorHAnsi" w:cstheme="minorHAnsi"/>
          <w:color w:val="000000" w:themeColor="text1"/>
          <w:sz w:val="24"/>
          <w:szCs w:val="24"/>
        </w:rPr>
        <w:t xml:space="preserve"> regional footprint is significantly smaller. Of its 270 staff members, only eight staff members (approximately 2.96%) are based outside headquarters.⁸ This reflects the organization’s regulatory and standard-setting role in maritime governance, where implementation is largely conducted by member states themselves.</w:t>
      </w:r>
    </w:p>
    <w:p w14:paraId="70B7FA78" w14:textId="13393680"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4.</w:t>
      </w:r>
      <w:r w:rsidRPr="002F2194">
        <w:rPr>
          <w:rFonts w:asciiTheme="minorHAnsi" w:hAnsiTheme="minorHAnsi" w:cstheme="minorHAnsi"/>
          <w:color w:val="000000" w:themeColor="text1"/>
          <w:sz w:val="24"/>
          <w:szCs w:val="24"/>
        </w:rPr>
        <w:tab/>
      </w:r>
      <w:proofErr w:type="spellStart"/>
      <w:r w:rsidR="00250529" w:rsidRPr="002F2194">
        <w:rPr>
          <w:rFonts w:asciiTheme="minorHAnsi" w:hAnsiTheme="minorHAnsi" w:cstheme="minorHAnsi"/>
          <w:color w:val="000000" w:themeColor="text1"/>
          <w:sz w:val="24"/>
          <w:szCs w:val="24"/>
        </w:rPr>
        <w:t>UNIDO’s</w:t>
      </w:r>
      <w:proofErr w:type="spellEnd"/>
      <w:r w:rsidR="00250529" w:rsidRPr="002F2194">
        <w:rPr>
          <w:rFonts w:asciiTheme="minorHAnsi" w:hAnsiTheme="minorHAnsi" w:cstheme="minorHAnsi"/>
          <w:color w:val="000000" w:themeColor="text1"/>
          <w:sz w:val="24"/>
          <w:szCs w:val="24"/>
        </w:rPr>
        <w:t xml:space="preserve"> staffing structure reflects its operational development role. Approximately 21.3% of its 775 staff are based outside headquarters, working through regional and country offices that support program implementation, donor coordination, and partnership development.</w:t>
      </w:r>
    </w:p>
    <w:p w14:paraId="5D10C03C" w14:textId="672F0E01"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5.</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WIPO maintain predominantly headquarters-based staffing models. WIPO’s 1,232 staff are largely headquarters-based, reflecting its emphasis on global intellectual property governance and technical assistance. 1.8% of staff is based outside headquarters.</w:t>
      </w:r>
    </w:p>
    <w:p w14:paraId="66AB9456" w14:textId="0726664B" w:rsidR="00250529" w:rsidRPr="002F2194" w:rsidRDefault="008C431B" w:rsidP="008C431B">
      <w:pPr>
        <w:pStyle w:val="WMOBodyText"/>
        <w:spacing w:before="60" w:after="60"/>
        <w:ind w:left="714" w:hanging="357"/>
        <w:jc w:val="both"/>
        <w:rPr>
          <w:rFonts w:asciiTheme="minorHAnsi" w:hAnsiTheme="minorHAnsi" w:cstheme="minorHAnsi"/>
          <w:color w:val="000000" w:themeColor="text1"/>
          <w:sz w:val="24"/>
          <w:szCs w:val="24"/>
        </w:rPr>
      </w:pPr>
      <w:r w:rsidRPr="002F2194">
        <w:rPr>
          <w:rFonts w:asciiTheme="minorHAnsi" w:hAnsiTheme="minorHAnsi" w:cstheme="minorHAnsi"/>
          <w:color w:val="000000" w:themeColor="text1"/>
          <w:sz w:val="24"/>
          <w:szCs w:val="24"/>
        </w:rPr>
        <w:t>6.</w:t>
      </w:r>
      <w:r w:rsidRPr="002F2194">
        <w:rPr>
          <w:rFonts w:asciiTheme="minorHAnsi" w:hAnsiTheme="minorHAnsi" w:cstheme="minorHAnsi"/>
          <w:color w:val="000000" w:themeColor="text1"/>
          <w:sz w:val="24"/>
          <w:szCs w:val="24"/>
        </w:rPr>
        <w:tab/>
      </w:r>
      <w:r w:rsidR="00250529" w:rsidRPr="002F2194">
        <w:rPr>
          <w:rFonts w:asciiTheme="minorHAnsi" w:hAnsiTheme="minorHAnsi" w:cstheme="minorHAnsi"/>
          <w:color w:val="000000" w:themeColor="text1"/>
          <w:sz w:val="24"/>
          <w:szCs w:val="24"/>
        </w:rPr>
        <w:t>WMO has 295 staff members with about 18% outside Geneva, supporting regional meteorological cooperation. In comparison, ITU’s field staffing level appears relatively limited when considered against the scope of its global ICT development mandate.</w:t>
      </w:r>
    </w:p>
    <w:p w14:paraId="5F669F93" w14:textId="77777777" w:rsidR="00250529" w:rsidRPr="00986D12" w:rsidRDefault="00250529" w:rsidP="00507BF5">
      <w:pPr>
        <w:pStyle w:val="WMOBodyText"/>
        <w:rPr>
          <w:rFonts w:asciiTheme="minorHAnsi" w:hAnsiTheme="minorHAnsi" w:cstheme="minorHAnsi"/>
          <w:sz w:val="22"/>
          <w:szCs w:val="22"/>
          <w:lang w:eastAsia="en-US"/>
        </w:rPr>
        <w:sectPr w:rsidR="00250529" w:rsidRPr="00986D12" w:rsidSect="009C6B21">
          <w:headerReference w:type="default" r:id="rId135"/>
          <w:footerReference w:type="default" r:id="rId136"/>
          <w:headerReference w:type="first" r:id="rId137"/>
          <w:footerReference w:type="first" r:id="rId138"/>
          <w:pgSz w:w="11907" w:h="16834"/>
          <w:pgMar w:top="1418" w:right="1418" w:bottom="1418" w:left="1418" w:header="720" w:footer="720" w:gutter="0"/>
          <w:paperSrc w:first="286" w:other="286"/>
          <w:cols w:space="720"/>
          <w:titlePg/>
          <w:docGrid w:linePitch="326"/>
        </w:sectPr>
      </w:pPr>
    </w:p>
    <w:p w14:paraId="7F04BFA9" w14:textId="77777777" w:rsidR="00250529" w:rsidRPr="00986D12" w:rsidRDefault="00250529" w:rsidP="00507BF5">
      <w:pPr>
        <w:pStyle w:val="WMOBodyText"/>
        <w:spacing w:line="276" w:lineRule="auto"/>
        <w:rPr>
          <w:rFonts w:asciiTheme="minorHAnsi" w:hAnsiTheme="minorHAnsi" w:cstheme="minorHAnsi"/>
          <w:b/>
          <w:i/>
          <w:color w:val="000000" w:themeColor="text1"/>
          <w:sz w:val="22"/>
          <w:szCs w:val="22"/>
        </w:rPr>
      </w:pPr>
      <w:r w:rsidRPr="00986D12">
        <w:rPr>
          <w:rFonts w:asciiTheme="minorHAnsi" w:hAnsiTheme="minorHAnsi" w:cstheme="minorHAnsi"/>
          <w:b/>
          <w:i/>
          <w:color w:val="000000" w:themeColor="text1"/>
          <w:sz w:val="22"/>
          <w:szCs w:val="22"/>
        </w:rPr>
        <w:lastRenderedPageBreak/>
        <w:t>Summary: Regional Presence Benchmarking (Number of Offices, Staff, regional activities, mandate and annual budget)</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545"/>
        <w:gridCol w:w="1559"/>
        <w:gridCol w:w="2551"/>
        <w:gridCol w:w="2552"/>
        <w:gridCol w:w="2268"/>
        <w:gridCol w:w="3402"/>
      </w:tblGrid>
      <w:tr w:rsidR="00250529" w:rsidRPr="00986D12" w14:paraId="7497AD7F" w14:textId="77777777" w:rsidTr="5C69BC08">
        <w:trPr>
          <w:trHeight w:val="525"/>
          <w:tblHeader/>
        </w:trPr>
        <w:tc>
          <w:tcPr>
            <w:tcW w:w="1545" w:type="dxa"/>
            <w:tcBorders>
              <w:bottom w:val="nil"/>
              <w:right w:val="single" w:sz="6" w:space="0" w:color="auto"/>
            </w:tcBorders>
          </w:tcPr>
          <w:p w14:paraId="7439C0DC"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Organization</w:t>
            </w:r>
          </w:p>
        </w:tc>
        <w:tc>
          <w:tcPr>
            <w:tcW w:w="1559" w:type="dxa"/>
            <w:tcBorders>
              <w:left w:val="single" w:sz="6" w:space="0" w:color="auto"/>
              <w:bottom w:val="single" w:sz="6" w:space="0" w:color="auto"/>
              <w:right w:val="single" w:sz="6" w:space="0" w:color="auto"/>
            </w:tcBorders>
          </w:tcPr>
          <w:p w14:paraId="66A8AB89"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Number of Offices</w:t>
            </w:r>
          </w:p>
        </w:tc>
        <w:tc>
          <w:tcPr>
            <w:tcW w:w="2551" w:type="dxa"/>
            <w:tcBorders>
              <w:left w:val="single" w:sz="6" w:space="0" w:color="auto"/>
              <w:bottom w:val="single" w:sz="6" w:space="0" w:color="auto"/>
              <w:right w:val="single" w:sz="6" w:space="0" w:color="auto"/>
            </w:tcBorders>
          </w:tcPr>
          <w:p w14:paraId="6FC98B19"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 xml:space="preserve">Staff Footprint </w:t>
            </w:r>
          </w:p>
        </w:tc>
        <w:tc>
          <w:tcPr>
            <w:tcW w:w="2552" w:type="dxa"/>
            <w:tcBorders>
              <w:left w:val="single" w:sz="6" w:space="0" w:color="auto"/>
              <w:bottom w:val="single" w:sz="6" w:space="0" w:color="auto"/>
              <w:right w:val="single" w:sz="6" w:space="0" w:color="auto"/>
            </w:tcBorders>
          </w:tcPr>
          <w:p w14:paraId="21EA203E"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Activities of Regional Presence</w:t>
            </w:r>
          </w:p>
        </w:tc>
        <w:tc>
          <w:tcPr>
            <w:tcW w:w="2268" w:type="dxa"/>
            <w:tcBorders>
              <w:left w:val="single" w:sz="6" w:space="0" w:color="auto"/>
              <w:bottom w:val="single" w:sz="6" w:space="0" w:color="auto"/>
              <w:right w:val="single" w:sz="6" w:space="0" w:color="auto"/>
            </w:tcBorders>
          </w:tcPr>
          <w:p w14:paraId="2DE39C34"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Mandate / Mission</w:t>
            </w:r>
          </w:p>
        </w:tc>
        <w:tc>
          <w:tcPr>
            <w:tcW w:w="3402" w:type="dxa"/>
            <w:tcBorders>
              <w:left w:val="single" w:sz="6" w:space="0" w:color="auto"/>
              <w:bottom w:val="single" w:sz="6" w:space="0" w:color="auto"/>
            </w:tcBorders>
          </w:tcPr>
          <w:p w14:paraId="0FEC3AC7"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Yearly Budget (2026)</w:t>
            </w:r>
          </w:p>
        </w:tc>
      </w:tr>
      <w:tr w:rsidR="00250529" w:rsidRPr="00986D12" w14:paraId="301826A3" w14:textId="77777777" w:rsidTr="5C69BC08">
        <w:trPr>
          <w:trHeight w:val="960"/>
        </w:trPr>
        <w:tc>
          <w:tcPr>
            <w:tcW w:w="1545" w:type="dxa"/>
            <w:tcBorders>
              <w:top w:val="single" w:sz="6" w:space="0" w:color="auto"/>
              <w:bottom w:val="single" w:sz="6" w:space="0" w:color="auto"/>
              <w:right w:val="single" w:sz="6" w:space="0" w:color="auto"/>
            </w:tcBorders>
          </w:tcPr>
          <w:p w14:paraId="79E7CCBB"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ITU</w:t>
            </w:r>
          </w:p>
        </w:tc>
        <w:tc>
          <w:tcPr>
            <w:tcW w:w="1559" w:type="dxa"/>
            <w:tcBorders>
              <w:top w:val="single" w:sz="6" w:space="0" w:color="auto"/>
              <w:left w:val="single" w:sz="6" w:space="0" w:color="auto"/>
              <w:bottom w:val="single" w:sz="6" w:space="0" w:color="auto"/>
              <w:right w:val="single" w:sz="6" w:space="0" w:color="auto"/>
            </w:tcBorders>
          </w:tcPr>
          <w:p w14:paraId="4CA61BD7" w14:textId="3DF5E14C" w:rsidR="00250529" w:rsidRPr="00986D12" w:rsidRDefault="00250529" w:rsidP="00507BF5">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 xml:space="preserve">6 Regional Offices; </w:t>
            </w:r>
            <w:r w:rsidR="003939C6">
              <w:rPr>
                <w:rFonts w:asciiTheme="minorHAnsi" w:eastAsia="Bookman Old Style" w:hAnsiTheme="minorHAnsi" w:cstheme="minorHAnsi"/>
                <w:sz w:val="18"/>
                <w:szCs w:val="18"/>
              </w:rPr>
              <w:t>8</w:t>
            </w:r>
            <w:r w:rsidRPr="00986D12">
              <w:rPr>
                <w:rFonts w:asciiTheme="minorHAnsi" w:eastAsia="Bookman Old Style" w:hAnsiTheme="minorHAnsi" w:cstheme="minorHAnsi"/>
                <w:sz w:val="18"/>
                <w:szCs w:val="18"/>
              </w:rPr>
              <w:t xml:space="preserve"> Area Offices; 1 liaison office (New York) no country offices</w:t>
            </w:r>
            <w:r w:rsidR="002C4626">
              <w:rPr>
                <w:rFonts w:asciiTheme="minorHAnsi" w:eastAsia="Bookman Old Style" w:hAnsiTheme="minorHAnsi" w:cstheme="minorHAnsi"/>
                <w:sz w:val="18"/>
                <w:szCs w:val="18"/>
              </w:rPr>
              <w:t>.</w:t>
            </w:r>
            <w:r w:rsidRPr="00986D12">
              <w:rPr>
                <w:rStyle w:val="FootnoteReference"/>
                <w:rFonts w:asciiTheme="minorHAnsi" w:eastAsia="Bookman Old Style" w:hAnsiTheme="minorHAnsi" w:cstheme="minorHAnsi"/>
                <w:szCs w:val="18"/>
              </w:rPr>
              <w:footnoteReference w:id="32"/>
            </w:r>
          </w:p>
        </w:tc>
        <w:tc>
          <w:tcPr>
            <w:tcW w:w="2551" w:type="dxa"/>
            <w:tcBorders>
              <w:top w:val="single" w:sz="6" w:space="0" w:color="auto"/>
              <w:left w:val="single" w:sz="6" w:space="0" w:color="auto"/>
              <w:bottom w:val="single" w:sz="6" w:space="0" w:color="auto"/>
              <w:right w:val="single" w:sz="6" w:space="0" w:color="auto"/>
            </w:tcBorders>
          </w:tcPr>
          <w:p w14:paraId="1B86F554" w14:textId="5A1B2839" w:rsidR="00250529" w:rsidRPr="00986D12" w:rsidRDefault="58523A64" w:rsidP="5C69BC08">
            <w:pPr>
              <w:spacing w:before="40" w:after="40"/>
              <w:rPr>
                <w:rFonts w:asciiTheme="minorHAnsi" w:eastAsia="Bookman Old Style" w:hAnsiTheme="minorHAnsi" w:cstheme="minorBidi"/>
                <w:sz w:val="18"/>
                <w:szCs w:val="18"/>
                <w:vertAlign w:val="superscript"/>
              </w:rPr>
            </w:pPr>
            <w:r w:rsidRPr="5C69BC08">
              <w:rPr>
                <w:rFonts w:asciiTheme="minorHAnsi" w:eastAsia="Bookman Old Style" w:hAnsiTheme="minorHAnsi" w:cstheme="minorBidi"/>
                <w:sz w:val="18"/>
                <w:szCs w:val="18"/>
              </w:rPr>
              <w:t>Headquarters (</w:t>
            </w:r>
            <w:r w:rsidR="00250529" w:rsidRPr="5C69BC08">
              <w:rPr>
                <w:rFonts w:asciiTheme="minorHAnsi" w:eastAsia="Bookman Old Style" w:hAnsiTheme="minorHAnsi" w:cstheme="minorBidi"/>
                <w:sz w:val="18"/>
                <w:szCs w:val="18"/>
              </w:rPr>
              <w:t>HQ</w:t>
            </w:r>
            <w:r w:rsidR="5C3B4AC1" w:rsidRPr="5C69BC08">
              <w:rPr>
                <w:rFonts w:asciiTheme="minorHAnsi" w:eastAsia="Bookman Old Style" w:hAnsiTheme="minorHAnsi" w:cstheme="minorBidi"/>
                <w:sz w:val="18"/>
                <w:szCs w:val="18"/>
              </w:rPr>
              <w:t>)</w:t>
            </w:r>
            <w:r w:rsidR="00250529" w:rsidRPr="5C69BC08">
              <w:rPr>
                <w:rFonts w:asciiTheme="minorHAnsi" w:eastAsia="Bookman Old Style" w:hAnsiTheme="minorHAnsi" w:cstheme="minorBidi"/>
                <w:sz w:val="18"/>
                <w:szCs w:val="18"/>
              </w:rPr>
              <w:t>: 629 (Geneva); Field: 62 (regional and area offices)</w:t>
            </w:r>
            <w:r w:rsidR="002C4626">
              <w:rPr>
                <w:rFonts w:asciiTheme="minorHAnsi" w:eastAsia="Bookman Old Style" w:hAnsiTheme="minorHAnsi" w:cstheme="minorBidi"/>
                <w:sz w:val="18"/>
                <w:szCs w:val="18"/>
              </w:rPr>
              <w:t>.</w:t>
            </w:r>
            <w:r w:rsidR="00250529" w:rsidRPr="5C69BC08">
              <w:rPr>
                <w:rFonts w:asciiTheme="minorHAnsi" w:eastAsia="Bookman Old Style" w:hAnsiTheme="minorHAnsi" w:cstheme="minorBidi"/>
                <w:sz w:val="18"/>
                <w:szCs w:val="18"/>
              </w:rPr>
              <w:t xml:space="preserve"> </w:t>
            </w:r>
            <w:r w:rsidR="00250529" w:rsidRPr="5C69BC08">
              <w:rPr>
                <w:rStyle w:val="FootnoteReference"/>
                <w:rFonts w:asciiTheme="minorHAnsi" w:eastAsia="Bookman Old Style" w:hAnsiTheme="minorHAnsi" w:cstheme="minorBidi"/>
              </w:rPr>
              <w:footnoteReference w:id="33"/>
            </w:r>
          </w:p>
        </w:tc>
        <w:tc>
          <w:tcPr>
            <w:tcW w:w="2552" w:type="dxa"/>
            <w:tcBorders>
              <w:top w:val="single" w:sz="6" w:space="0" w:color="auto"/>
              <w:left w:val="single" w:sz="6" w:space="0" w:color="auto"/>
              <w:bottom w:val="single" w:sz="6" w:space="0" w:color="auto"/>
              <w:right w:val="single" w:sz="6" w:space="0" w:color="auto"/>
            </w:tcBorders>
          </w:tcPr>
          <w:p w14:paraId="237E5269" w14:textId="5EE30738" w:rsidR="00250529" w:rsidRPr="00986D12" w:rsidRDefault="00250529" w:rsidP="00507BF5">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Promote ITU global services; capacity building (policy, regulatory, technical); regional cooperation</w:t>
            </w:r>
            <w:r w:rsidR="002C4626">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r w:rsidRPr="00986D12">
              <w:rPr>
                <w:rStyle w:val="FootnoteReference"/>
                <w:rFonts w:asciiTheme="minorHAnsi" w:eastAsia="Bookman Old Style" w:hAnsiTheme="minorHAnsi" w:cstheme="minorHAnsi"/>
                <w:szCs w:val="18"/>
              </w:rPr>
              <w:footnoteReference w:id="34"/>
            </w:r>
          </w:p>
        </w:tc>
        <w:tc>
          <w:tcPr>
            <w:tcW w:w="2268" w:type="dxa"/>
            <w:tcBorders>
              <w:top w:val="single" w:sz="6" w:space="0" w:color="auto"/>
              <w:left w:val="single" w:sz="6" w:space="0" w:color="auto"/>
              <w:bottom w:val="single" w:sz="6" w:space="0" w:color="auto"/>
              <w:right w:val="single" w:sz="6" w:space="0" w:color="auto"/>
            </w:tcBorders>
          </w:tcPr>
          <w:p w14:paraId="402C5724" w14:textId="16ECC286" w:rsidR="00250529" w:rsidRPr="00986D12" w:rsidRDefault="00250529" w:rsidP="5C69BC08">
            <w:pPr>
              <w:spacing w:before="40" w:after="40"/>
              <w:rPr>
                <w:rFonts w:asciiTheme="minorHAnsi" w:eastAsia="Bookman Old Style" w:hAnsiTheme="minorHAnsi" w:cstheme="minorBidi"/>
                <w:sz w:val="18"/>
                <w:szCs w:val="18"/>
                <w:vertAlign w:val="superscript"/>
              </w:rPr>
            </w:pPr>
            <w:r w:rsidRPr="5C69BC08">
              <w:rPr>
                <w:rFonts w:asciiTheme="minorHAnsi" w:eastAsia="Bookman Old Style" w:hAnsiTheme="minorHAnsi" w:cstheme="minorBidi"/>
                <w:sz w:val="18"/>
                <w:szCs w:val="18"/>
              </w:rPr>
              <w:t>Promote, facilitate and foster affordable and universal access to telecommunication/ICT networks</w:t>
            </w:r>
            <w:r w:rsidR="002C4626">
              <w:rPr>
                <w:rFonts w:asciiTheme="minorHAnsi" w:eastAsia="Bookman Old Style" w:hAnsiTheme="minorHAnsi" w:cstheme="minorBidi"/>
                <w:sz w:val="18"/>
                <w:szCs w:val="18"/>
              </w:rPr>
              <w:t>.</w:t>
            </w:r>
            <w:r w:rsidRPr="5C69BC08">
              <w:rPr>
                <w:rStyle w:val="FootnoteReference"/>
                <w:rFonts w:asciiTheme="minorHAnsi" w:eastAsia="Bookman Old Style" w:hAnsiTheme="minorHAnsi" w:cstheme="minorBidi"/>
              </w:rPr>
              <w:footnoteReference w:id="35"/>
            </w:r>
          </w:p>
        </w:tc>
        <w:tc>
          <w:tcPr>
            <w:tcW w:w="3402" w:type="dxa"/>
            <w:tcBorders>
              <w:top w:val="single" w:sz="6" w:space="0" w:color="auto"/>
              <w:left w:val="single" w:sz="6" w:space="0" w:color="auto"/>
              <w:bottom w:val="single" w:sz="6" w:space="0" w:color="auto"/>
            </w:tcBorders>
          </w:tcPr>
          <w:p w14:paraId="0017E77C" w14:textId="13EF405C" w:rsidR="00250529" w:rsidRPr="00986D12" w:rsidRDefault="00250529" w:rsidP="00507BF5">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CHF 16</w:t>
            </w:r>
            <w:r w:rsidR="00D43B23">
              <w:rPr>
                <w:rFonts w:asciiTheme="minorHAnsi" w:eastAsia="Bookman Old Style" w:hAnsiTheme="minorHAnsi" w:cstheme="minorHAnsi"/>
                <w:sz w:val="18"/>
                <w:szCs w:val="18"/>
              </w:rPr>
              <w:t>0</w:t>
            </w:r>
            <w:r w:rsidRPr="00986D12">
              <w:rPr>
                <w:rFonts w:asciiTheme="minorHAnsi" w:eastAsia="Bookman Old Style" w:hAnsiTheme="minorHAnsi" w:cstheme="minorHAnsi"/>
                <w:sz w:val="18"/>
                <w:szCs w:val="18"/>
              </w:rPr>
              <w:t>.19 million with 5% (CHF 7.84 million) for regional/area offices</w:t>
            </w:r>
            <w:r w:rsidR="002C4626">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p>
        </w:tc>
      </w:tr>
      <w:tr w:rsidR="00250529" w:rsidRPr="00986D12" w14:paraId="6BEA2151" w14:textId="77777777" w:rsidTr="5C69BC08">
        <w:trPr>
          <w:trHeight w:val="742"/>
        </w:trPr>
        <w:tc>
          <w:tcPr>
            <w:tcW w:w="1545" w:type="dxa"/>
            <w:tcBorders>
              <w:top w:val="single" w:sz="6" w:space="0" w:color="auto"/>
              <w:bottom w:val="single" w:sz="6" w:space="0" w:color="auto"/>
              <w:right w:val="single" w:sz="6" w:space="0" w:color="auto"/>
            </w:tcBorders>
          </w:tcPr>
          <w:p w14:paraId="298F0399" w14:textId="77777777" w:rsidR="00250529" w:rsidRPr="00986D12" w:rsidRDefault="00250529" w:rsidP="00507BF5">
            <w:pPr>
              <w:spacing w:before="40" w:after="40"/>
              <w:rPr>
                <w:rFonts w:asciiTheme="minorHAnsi" w:eastAsia="Bookman Old Style" w:hAnsiTheme="minorHAnsi" w:cstheme="minorHAnsi"/>
                <w:b/>
                <w:bCs/>
                <w:sz w:val="18"/>
                <w:szCs w:val="18"/>
              </w:rPr>
            </w:pPr>
            <w:r w:rsidRPr="00986D12">
              <w:rPr>
                <w:rFonts w:asciiTheme="minorHAnsi" w:eastAsia="Bookman Old Style" w:hAnsiTheme="minorHAnsi" w:cstheme="minorHAnsi"/>
                <w:b/>
                <w:bCs/>
                <w:sz w:val="18"/>
                <w:szCs w:val="18"/>
              </w:rPr>
              <w:t xml:space="preserve">ICAO </w:t>
            </w:r>
          </w:p>
        </w:tc>
        <w:tc>
          <w:tcPr>
            <w:tcW w:w="1559" w:type="dxa"/>
            <w:tcBorders>
              <w:top w:val="single" w:sz="6" w:space="0" w:color="auto"/>
              <w:left w:val="single" w:sz="6" w:space="0" w:color="auto"/>
              <w:bottom w:val="single" w:sz="6" w:space="0" w:color="auto"/>
              <w:right w:val="single" w:sz="6" w:space="0" w:color="auto"/>
            </w:tcBorders>
          </w:tcPr>
          <w:p w14:paraId="6E89D786" w14:textId="580709F0"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7 Regional Offices</w:t>
            </w:r>
            <w:r w:rsidR="002C4626">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r w:rsidRPr="00986D12">
              <w:rPr>
                <w:rStyle w:val="FootnoteReference"/>
                <w:rFonts w:asciiTheme="minorHAnsi" w:eastAsia="Bookman Old Style" w:hAnsiTheme="minorHAnsi" w:cstheme="minorHAnsi"/>
                <w:szCs w:val="18"/>
              </w:rPr>
              <w:footnoteReference w:id="36"/>
            </w:r>
          </w:p>
        </w:tc>
        <w:tc>
          <w:tcPr>
            <w:tcW w:w="2551" w:type="dxa"/>
            <w:tcBorders>
              <w:top w:val="single" w:sz="6" w:space="0" w:color="auto"/>
              <w:left w:val="single" w:sz="6" w:space="0" w:color="auto"/>
              <w:bottom w:val="single" w:sz="6" w:space="0" w:color="auto"/>
              <w:right w:val="single" w:sz="6" w:space="0" w:color="auto"/>
            </w:tcBorders>
          </w:tcPr>
          <w:p w14:paraId="391E32CE" w14:textId="56E45C09" w:rsidR="00250529" w:rsidRPr="00986D12" w:rsidRDefault="00250529" w:rsidP="00507BF5">
            <w:pPr>
              <w:spacing w:before="40" w:after="40"/>
              <w:rPr>
                <w:rFonts w:asciiTheme="minorHAnsi" w:hAnsiTheme="minorHAnsi" w:cstheme="minorHAnsi"/>
                <w:sz w:val="18"/>
                <w:szCs w:val="18"/>
              </w:rPr>
            </w:pPr>
            <w:r w:rsidRPr="00986D12">
              <w:rPr>
                <w:rFonts w:asciiTheme="minorHAnsi" w:hAnsiTheme="minorHAnsi" w:cstheme="minorHAnsi"/>
                <w:sz w:val="18"/>
                <w:szCs w:val="18"/>
                <w:lang w:val="en-CA"/>
              </w:rPr>
              <w:t>The total number of staff 671, and the percentage of staff based outside H</w:t>
            </w:r>
            <w:r w:rsidR="00CA4BDD">
              <w:rPr>
                <w:rFonts w:asciiTheme="minorHAnsi" w:hAnsiTheme="minorHAnsi" w:cstheme="minorHAnsi"/>
                <w:sz w:val="18"/>
                <w:szCs w:val="18"/>
                <w:lang w:val="en-CA"/>
              </w:rPr>
              <w:t xml:space="preserve">Q </w:t>
            </w:r>
            <w:r w:rsidRPr="00986D12">
              <w:rPr>
                <w:rFonts w:asciiTheme="minorHAnsi" w:hAnsiTheme="minorHAnsi" w:cstheme="minorHAnsi"/>
                <w:sz w:val="18"/>
                <w:szCs w:val="18"/>
                <w:lang w:val="en-CA"/>
              </w:rPr>
              <w:t xml:space="preserve">24% (i.e., those in the regional and/or sub-regional offices) We do not have country offices. We do have project field offices in countries, but they are resourced with consultants as field personnel, not staff. </w:t>
            </w:r>
          </w:p>
        </w:tc>
        <w:tc>
          <w:tcPr>
            <w:tcW w:w="2552" w:type="dxa"/>
            <w:tcBorders>
              <w:top w:val="single" w:sz="6" w:space="0" w:color="auto"/>
              <w:left w:val="single" w:sz="6" w:space="0" w:color="auto"/>
              <w:bottom w:val="single" w:sz="6" w:space="0" w:color="auto"/>
              <w:right w:val="single" w:sz="6" w:space="0" w:color="auto"/>
            </w:tcBorders>
          </w:tcPr>
          <w:p w14:paraId="568FDDE1" w14:textId="326F640A"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Aviation safety oversight; regional air navigation planning; implementation support</w:t>
            </w:r>
            <w:r w:rsidR="002C4626">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r w:rsidRPr="00986D12">
              <w:rPr>
                <w:rStyle w:val="FootnoteReference"/>
                <w:rFonts w:asciiTheme="minorHAnsi" w:eastAsia="Bookman Old Style" w:hAnsiTheme="minorHAnsi" w:cstheme="minorHAnsi"/>
                <w:szCs w:val="18"/>
              </w:rPr>
              <w:footnoteReference w:id="37"/>
            </w:r>
          </w:p>
        </w:tc>
        <w:tc>
          <w:tcPr>
            <w:tcW w:w="2268" w:type="dxa"/>
            <w:tcBorders>
              <w:top w:val="single" w:sz="6" w:space="0" w:color="auto"/>
              <w:left w:val="single" w:sz="6" w:space="0" w:color="auto"/>
              <w:bottom w:val="single" w:sz="6" w:space="0" w:color="auto"/>
              <w:right w:val="single" w:sz="6" w:space="0" w:color="auto"/>
            </w:tcBorders>
          </w:tcPr>
          <w:p w14:paraId="683FE0CB" w14:textId="765DAB25"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Develop principles and techniques of international air navigation</w:t>
            </w:r>
            <w:r w:rsidR="002C4626">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p>
        </w:tc>
        <w:tc>
          <w:tcPr>
            <w:tcW w:w="3402" w:type="dxa"/>
            <w:tcBorders>
              <w:top w:val="single" w:sz="6" w:space="0" w:color="auto"/>
              <w:left w:val="single" w:sz="6" w:space="0" w:color="auto"/>
              <w:bottom w:val="single" w:sz="6" w:space="0" w:color="auto"/>
            </w:tcBorders>
          </w:tcPr>
          <w:p w14:paraId="759FC6B3" w14:textId="027BB0A4" w:rsidR="00250529" w:rsidRPr="00986D12" w:rsidRDefault="00250529" w:rsidP="00507BF5">
            <w:pPr>
              <w:spacing w:before="40" w:after="40"/>
              <w:rPr>
                <w:rFonts w:asciiTheme="minorHAnsi" w:hAnsiTheme="minorHAnsi" w:cstheme="minorHAnsi"/>
                <w:sz w:val="18"/>
                <w:szCs w:val="18"/>
                <w:lang w:val="en-CA"/>
              </w:rPr>
            </w:pPr>
            <w:r w:rsidRPr="00986D12">
              <w:rPr>
                <w:rFonts w:asciiTheme="minorHAnsi" w:hAnsiTheme="minorHAnsi" w:cstheme="minorHAnsi"/>
                <w:sz w:val="18"/>
                <w:szCs w:val="18"/>
                <w:lang w:val="en-CA"/>
              </w:rPr>
              <w:t>The total budget of the organisation 2026: CAD 120 m</w:t>
            </w:r>
            <w:r w:rsidR="005B1884">
              <w:rPr>
                <w:rFonts w:asciiTheme="minorHAnsi" w:hAnsiTheme="minorHAnsi" w:cstheme="minorHAnsi"/>
                <w:sz w:val="18"/>
                <w:szCs w:val="18"/>
                <w:lang w:val="en-CA"/>
              </w:rPr>
              <w:t>illion</w:t>
            </w:r>
            <w:r w:rsidRPr="00986D12">
              <w:rPr>
                <w:rFonts w:asciiTheme="minorHAnsi" w:hAnsiTheme="minorHAnsi" w:cstheme="minorHAnsi"/>
                <w:sz w:val="18"/>
                <w:szCs w:val="18"/>
                <w:lang w:val="en-CA"/>
              </w:rPr>
              <w:t xml:space="preserve"> (CHF 68.68 m</w:t>
            </w:r>
            <w:r w:rsidR="005B1884">
              <w:rPr>
                <w:rFonts w:asciiTheme="minorHAnsi" w:hAnsiTheme="minorHAnsi" w:cstheme="minorHAnsi"/>
                <w:sz w:val="18"/>
                <w:szCs w:val="18"/>
                <w:lang w:val="en-CA"/>
              </w:rPr>
              <w:t>illion</w:t>
            </w:r>
            <w:r w:rsidRPr="00986D12">
              <w:rPr>
                <w:rFonts w:asciiTheme="minorHAnsi" w:hAnsiTheme="minorHAnsi" w:cstheme="minorHAnsi"/>
                <w:sz w:val="18"/>
                <w:szCs w:val="18"/>
                <w:lang w:val="en-CA"/>
              </w:rPr>
              <w:t>), and the percentage allocated to offices outside H</w:t>
            </w:r>
            <w:r w:rsidR="000E49F5">
              <w:rPr>
                <w:rFonts w:asciiTheme="minorHAnsi" w:hAnsiTheme="minorHAnsi" w:cstheme="minorHAnsi"/>
                <w:sz w:val="18"/>
                <w:szCs w:val="18"/>
                <w:lang w:val="en-CA"/>
              </w:rPr>
              <w:t>Q</w:t>
            </w:r>
            <w:r w:rsidRPr="00986D12">
              <w:rPr>
                <w:rFonts w:asciiTheme="minorHAnsi" w:hAnsiTheme="minorHAnsi" w:cstheme="minorHAnsi"/>
                <w:sz w:val="18"/>
                <w:szCs w:val="18"/>
                <w:lang w:val="en-CA"/>
              </w:rPr>
              <w:t>: 21%</w:t>
            </w:r>
            <w:r w:rsidR="002C4626">
              <w:rPr>
                <w:rFonts w:asciiTheme="minorHAnsi" w:hAnsiTheme="minorHAnsi" w:cstheme="minorHAnsi"/>
                <w:sz w:val="18"/>
                <w:szCs w:val="18"/>
                <w:lang w:val="en-CA"/>
              </w:rPr>
              <w:t>.</w:t>
            </w:r>
          </w:p>
          <w:p w14:paraId="0D96C401" w14:textId="77777777" w:rsidR="00250529" w:rsidRPr="00986D12" w:rsidRDefault="00250529" w:rsidP="00507BF5">
            <w:pPr>
              <w:spacing w:before="40" w:after="40"/>
              <w:rPr>
                <w:rFonts w:asciiTheme="minorHAnsi" w:eastAsia="Bookman Old Style" w:hAnsiTheme="minorHAnsi" w:cstheme="minorHAnsi"/>
                <w:sz w:val="18"/>
                <w:szCs w:val="18"/>
              </w:rPr>
            </w:pPr>
          </w:p>
        </w:tc>
      </w:tr>
      <w:tr w:rsidR="00250529" w:rsidRPr="00986D12" w14:paraId="552CC488" w14:textId="77777777" w:rsidTr="5C69BC08">
        <w:trPr>
          <w:trHeight w:val="3785"/>
        </w:trPr>
        <w:tc>
          <w:tcPr>
            <w:tcW w:w="1545" w:type="dxa"/>
            <w:tcBorders>
              <w:top w:val="single" w:sz="6" w:space="0" w:color="auto"/>
              <w:bottom w:val="single" w:sz="6" w:space="0" w:color="auto"/>
              <w:right w:val="single" w:sz="6" w:space="0" w:color="auto"/>
            </w:tcBorders>
          </w:tcPr>
          <w:p w14:paraId="100D2128" w14:textId="77777777" w:rsidR="00250529" w:rsidRPr="00986D12" w:rsidRDefault="00250529" w:rsidP="00507BF5">
            <w:pPr>
              <w:spacing w:before="40" w:after="40"/>
              <w:rPr>
                <w:rFonts w:asciiTheme="minorHAnsi" w:eastAsia="Bookman Old Style" w:hAnsiTheme="minorHAnsi" w:cstheme="minorHAnsi"/>
                <w:b/>
                <w:bCs/>
                <w:sz w:val="18"/>
                <w:szCs w:val="18"/>
              </w:rPr>
            </w:pPr>
            <w:r w:rsidRPr="00986D12">
              <w:rPr>
                <w:rFonts w:asciiTheme="minorHAnsi" w:eastAsia="Bookman Old Style" w:hAnsiTheme="minorHAnsi" w:cstheme="minorHAnsi"/>
                <w:b/>
                <w:bCs/>
                <w:sz w:val="18"/>
                <w:szCs w:val="18"/>
              </w:rPr>
              <w:lastRenderedPageBreak/>
              <w:t xml:space="preserve">IMO </w:t>
            </w:r>
          </w:p>
        </w:tc>
        <w:tc>
          <w:tcPr>
            <w:tcW w:w="1559" w:type="dxa"/>
            <w:tcBorders>
              <w:top w:val="single" w:sz="6" w:space="0" w:color="auto"/>
              <w:left w:val="single" w:sz="6" w:space="0" w:color="auto"/>
              <w:bottom w:val="single" w:sz="6" w:space="0" w:color="auto"/>
              <w:right w:val="single" w:sz="6" w:space="0" w:color="auto"/>
            </w:tcBorders>
          </w:tcPr>
          <w:p w14:paraId="62BDB167"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 xml:space="preserve">6 Regional Coordinators based in Abidjan, Accra, Nairobi, Alexandria, Manila, and Port of Spain and a </w:t>
            </w:r>
          </w:p>
          <w:p w14:paraId="224BAD43" w14:textId="77777777"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Technical Cooperation Officer in Suva (Fiji).</w:t>
            </w:r>
          </w:p>
        </w:tc>
        <w:tc>
          <w:tcPr>
            <w:tcW w:w="2551" w:type="dxa"/>
            <w:tcBorders>
              <w:top w:val="single" w:sz="6" w:space="0" w:color="auto"/>
              <w:left w:val="single" w:sz="6" w:space="0" w:color="auto"/>
              <w:bottom w:val="single" w:sz="6" w:space="0" w:color="auto"/>
              <w:right w:val="single" w:sz="6" w:space="0" w:color="auto"/>
            </w:tcBorders>
          </w:tcPr>
          <w:p w14:paraId="4C42ABF2" w14:textId="2936B2A0" w:rsidR="00250529" w:rsidRPr="00986D12" w:rsidRDefault="00250529" w:rsidP="00507BF5">
            <w:pPr>
              <w:spacing w:before="40" w:after="40"/>
              <w:rPr>
                <w:rFonts w:asciiTheme="minorHAnsi" w:eastAsia="Bookman Old Style" w:hAnsiTheme="minorHAnsi" w:cstheme="minorHAnsi"/>
                <w:sz w:val="18"/>
                <w:szCs w:val="18"/>
              </w:rPr>
            </w:pPr>
            <w:r w:rsidRPr="00986D12">
              <w:rPr>
                <w:rFonts w:asciiTheme="minorHAnsi" w:hAnsiTheme="minorHAnsi" w:cstheme="minorHAnsi"/>
                <w:sz w:val="18"/>
                <w:szCs w:val="18"/>
              </w:rPr>
              <w:t xml:space="preserve">Total number of staff (general budget not counting any project staff): 270 staff members / staff based outside of IMO HQ: 8 staff members: </w:t>
            </w:r>
            <w:r w:rsidRPr="00443DB2">
              <w:rPr>
                <w:rFonts w:asciiTheme="minorHAnsi" w:hAnsiTheme="minorHAnsi" w:cstheme="minorHAnsi"/>
                <w:sz w:val="18"/>
                <w:szCs w:val="18"/>
              </w:rPr>
              <w:t>2</w:t>
            </w:r>
            <w:r w:rsidR="00333D7D" w:rsidRPr="00443DB2">
              <w:rPr>
                <w:rFonts w:asciiTheme="minorHAnsi" w:hAnsiTheme="minorHAnsi" w:cstheme="minorHAnsi"/>
                <w:sz w:val="18"/>
                <w:szCs w:val="18"/>
              </w:rPr>
              <w:t>.</w:t>
            </w:r>
            <w:r w:rsidRPr="00443DB2">
              <w:rPr>
                <w:rFonts w:asciiTheme="minorHAnsi" w:hAnsiTheme="minorHAnsi" w:cstheme="minorHAnsi"/>
                <w:sz w:val="18"/>
                <w:szCs w:val="18"/>
              </w:rPr>
              <w:t>96%</w:t>
            </w:r>
            <w:r w:rsidR="002C4626">
              <w:rPr>
                <w:rFonts w:asciiTheme="minorHAnsi" w:hAnsiTheme="minorHAnsi" w:cstheme="minorHAnsi"/>
                <w:sz w:val="18"/>
                <w:szCs w:val="18"/>
              </w:rPr>
              <w:t>.</w:t>
            </w:r>
          </w:p>
        </w:tc>
        <w:tc>
          <w:tcPr>
            <w:tcW w:w="2552" w:type="dxa"/>
            <w:tcBorders>
              <w:top w:val="single" w:sz="6" w:space="0" w:color="auto"/>
              <w:left w:val="single" w:sz="6" w:space="0" w:color="auto"/>
              <w:bottom w:val="single" w:sz="6" w:space="0" w:color="auto"/>
              <w:right w:val="single" w:sz="6" w:space="0" w:color="auto"/>
            </w:tcBorders>
          </w:tcPr>
          <w:p w14:paraId="34CB3D21" w14:textId="65429C12" w:rsidR="00250529" w:rsidRPr="00986D12" w:rsidRDefault="00107F48" w:rsidP="00507BF5">
            <w:pPr>
              <w:spacing w:before="40" w:after="40"/>
              <w:rPr>
                <w:rFonts w:asciiTheme="minorHAnsi" w:hAnsiTheme="minorHAnsi" w:cstheme="minorHAnsi"/>
                <w:sz w:val="18"/>
                <w:szCs w:val="18"/>
              </w:rPr>
            </w:pPr>
            <w:r>
              <w:rPr>
                <w:rFonts w:asciiTheme="minorHAnsi" w:hAnsiTheme="minorHAnsi" w:cstheme="minorHAnsi"/>
                <w:sz w:val="18"/>
                <w:szCs w:val="18"/>
              </w:rPr>
              <w:t>T</w:t>
            </w:r>
            <w:r w:rsidR="00250529" w:rsidRPr="00986D12">
              <w:rPr>
                <w:rFonts w:asciiTheme="minorHAnsi" w:hAnsiTheme="minorHAnsi" w:cstheme="minorHAnsi"/>
                <w:sz w:val="18"/>
                <w:szCs w:val="18"/>
              </w:rPr>
              <w:t>echnical cooperation &amp; capacity building; assist countries in adopting and enforcing IMO conventions and regulations; identify, establish, and maintain partnerships with regional governmental and non-governmental institutions; help Member States develop national maritime policies and update Country Maritime Profiles (CMPs); represent the IMO at regional and national meetings, often in collaboration with UN country teams</w:t>
            </w:r>
            <w:r w:rsidR="002C4626">
              <w:rPr>
                <w:rFonts w:asciiTheme="minorHAnsi" w:hAnsiTheme="minorHAnsi" w:cstheme="minorHAnsi"/>
                <w:sz w:val="18"/>
                <w:szCs w:val="18"/>
              </w:rPr>
              <w:t>.</w:t>
            </w:r>
          </w:p>
        </w:tc>
        <w:tc>
          <w:tcPr>
            <w:tcW w:w="2268" w:type="dxa"/>
            <w:tcBorders>
              <w:top w:val="single" w:sz="6" w:space="0" w:color="auto"/>
              <w:left w:val="single" w:sz="6" w:space="0" w:color="auto"/>
              <w:bottom w:val="single" w:sz="6" w:space="0" w:color="auto"/>
              <w:right w:val="single" w:sz="6" w:space="0" w:color="auto"/>
            </w:tcBorders>
          </w:tcPr>
          <w:p w14:paraId="73F4E923" w14:textId="476A4C89" w:rsidR="00250529" w:rsidRPr="00986D12" w:rsidRDefault="00107F48" w:rsidP="00507BF5">
            <w:pPr>
              <w:spacing w:before="40" w:after="40"/>
              <w:rPr>
                <w:rFonts w:asciiTheme="minorHAnsi" w:eastAsia="Bookman Old Style" w:hAnsiTheme="minorHAnsi" w:cstheme="minorHAnsi"/>
                <w:sz w:val="18"/>
                <w:szCs w:val="18"/>
              </w:rPr>
            </w:pPr>
            <w:r>
              <w:rPr>
                <w:rFonts w:asciiTheme="minorHAnsi" w:eastAsia="Bookman Old Style" w:hAnsiTheme="minorHAnsi" w:cstheme="minorHAnsi"/>
                <w:sz w:val="18"/>
                <w:szCs w:val="18"/>
              </w:rPr>
              <w:t>T</w:t>
            </w:r>
            <w:r w:rsidR="00250529" w:rsidRPr="00986D12">
              <w:rPr>
                <w:rFonts w:asciiTheme="minorHAnsi" w:eastAsia="Bookman Old Style" w:hAnsiTheme="minorHAnsi" w:cstheme="minorHAnsi"/>
                <w:sz w:val="18"/>
                <w:szCs w:val="18"/>
              </w:rPr>
              <w:t xml:space="preserve">o provide localized, on-the-ground support to Member States in implementing </w:t>
            </w:r>
            <w:proofErr w:type="spellStart"/>
            <w:r w:rsidR="00250529" w:rsidRPr="00986D12">
              <w:rPr>
                <w:rFonts w:asciiTheme="minorHAnsi" w:eastAsia="Bookman Old Style" w:hAnsiTheme="minorHAnsi" w:cstheme="minorHAnsi"/>
                <w:sz w:val="18"/>
                <w:szCs w:val="18"/>
              </w:rPr>
              <w:t>IMO’s</w:t>
            </w:r>
            <w:proofErr w:type="spellEnd"/>
            <w:r w:rsidR="00250529" w:rsidRPr="00986D12">
              <w:rPr>
                <w:rFonts w:asciiTheme="minorHAnsi" w:eastAsia="Bookman Old Style" w:hAnsiTheme="minorHAnsi" w:cstheme="minorHAnsi"/>
                <w:sz w:val="18"/>
                <w:szCs w:val="18"/>
              </w:rPr>
              <w:t xml:space="preserve"> global maritime standards, with a specific focus on safety, security, and environmental protection</w:t>
            </w:r>
            <w:r w:rsidR="002C4626">
              <w:rPr>
                <w:rFonts w:asciiTheme="minorHAnsi" w:eastAsia="Bookman Old Style" w:hAnsiTheme="minorHAnsi" w:cstheme="minorHAnsi"/>
                <w:sz w:val="18"/>
                <w:szCs w:val="18"/>
              </w:rPr>
              <w:t>.</w:t>
            </w:r>
          </w:p>
        </w:tc>
        <w:tc>
          <w:tcPr>
            <w:tcW w:w="3402" w:type="dxa"/>
            <w:tcBorders>
              <w:top w:val="single" w:sz="6" w:space="0" w:color="auto"/>
              <w:left w:val="single" w:sz="6" w:space="0" w:color="auto"/>
              <w:bottom w:val="single" w:sz="6" w:space="0" w:color="auto"/>
            </w:tcBorders>
          </w:tcPr>
          <w:p w14:paraId="15A0CEDD" w14:textId="5406F01F" w:rsidR="00250529" w:rsidRPr="00986D12" w:rsidRDefault="00250529" w:rsidP="00507BF5">
            <w:pPr>
              <w:spacing w:before="40" w:after="40"/>
              <w:rPr>
                <w:rFonts w:asciiTheme="minorHAnsi" w:hAnsiTheme="minorHAnsi" w:cstheme="minorHAnsi"/>
                <w:sz w:val="18"/>
                <w:szCs w:val="18"/>
              </w:rPr>
            </w:pPr>
            <w:r w:rsidRPr="00986D12">
              <w:rPr>
                <w:rFonts w:asciiTheme="minorHAnsi" w:hAnsiTheme="minorHAnsi" w:cstheme="minorHAnsi"/>
                <w:sz w:val="18"/>
                <w:szCs w:val="18"/>
              </w:rPr>
              <w:t>Overall annual IMO budget (general budget only): £ 38</w:t>
            </w:r>
            <w:r w:rsidR="00E5242D">
              <w:rPr>
                <w:rFonts w:asciiTheme="minorHAnsi" w:hAnsiTheme="minorHAnsi" w:cstheme="minorHAnsi"/>
                <w:sz w:val="18"/>
                <w:szCs w:val="18"/>
              </w:rPr>
              <w:t xml:space="preserve"> </w:t>
            </w:r>
            <w:r w:rsidR="00863463">
              <w:rPr>
                <w:rFonts w:asciiTheme="minorHAnsi" w:hAnsiTheme="minorHAnsi" w:cstheme="minorHAnsi"/>
                <w:sz w:val="18"/>
                <w:szCs w:val="18"/>
              </w:rPr>
              <w:t>million</w:t>
            </w:r>
            <w:r w:rsidRPr="00986D12">
              <w:rPr>
                <w:rFonts w:asciiTheme="minorHAnsi" w:hAnsiTheme="minorHAnsi" w:cstheme="minorHAnsi"/>
                <w:sz w:val="18"/>
                <w:szCs w:val="18"/>
              </w:rPr>
              <w:t xml:space="preserve"> (CHF 39.66 million); budget allocated to offices outside of IMO HQ: £ 1</w:t>
            </w:r>
            <w:r w:rsidR="00E5242D">
              <w:rPr>
                <w:rFonts w:asciiTheme="minorHAnsi" w:hAnsiTheme="minorHAnsi" w:cstheme="minorHAnsi"/>
                <w:sz w:val="18"/>
                <w:szCs w:val="18"/>
              </w:rPr>
              <w:t>.</w:t>
            </w:r>
            <w:r w:rsidRPr="00986D12">
              <w:rPr>
                <w:rFonts w:asciiTheme="minorHAnsi" w:hAnsiTheme="minorHAnsi" w:cstheme="minorHAnsi"/>
                <w:sz w:val="18"/>
                <w:szCs w:val="18"/>
              </w:rPr>
              <w:t>23</w:t>
            </w:r>
            <w:r w:rsidR="00E5242D">
              <w:rPr>
                <w:rFonts w:asciiTheme="minorHAnsi" w:hAnsiTheme="minorHAnsi" w:cstheme="minorHAnsi"/>
                <w:sz w:val="18"/>
                <w:szCs w:val="18"/>
              </w:rPr>
              <w:t xml:space="preserve"> million</w:t>
            </w:r>
            <w:r w:rsidRPr="00986D12">
              <w:rPr>
                <w:rFonts w:asciiTheme="minorHAnsi" w:hAnsiTheme="minorHAnsi" w:cstheme="minorHAnsi"/>
                <w:sz w:val="18"/>
                <w:szCs w:val="18"/>
              </w:rPr>
              <w:t xml:space="preserve"> (CHF 1.28 million): </w:t>
            </w:r>
            <w:r w:rsidRPr="00443DB2">
              <w:rPr>
                <w:rFonts w:asciiTheme="minorHAnsi" w:hAnsiTheme="minorHAnsi" w:cstheme="minorHAnsi"/>
                <w:sz w:val="18"/>
                <w:szCs w:val="18"/>
              </w:rPr>
              <w:t>3</w:t>
            </w:r>
            <w:r w:rsidR="00333D7D" w:rsidRPr="00443DB2">
              <w:rPr>
                <w:rFonts w:asciiTheme="minorHAnsi" w:hAnsiTheme="minorHAnsi" w:cstheme="minorHAnsi"/>
                <w:sz w:val="18"/>
                <w:szCs w:val="18"/>
              </w:rPr>
              <w:t>.</w:t>
            </w:r>
            <w:r w:rsidRPr="00443DB2">
              <w:rPr>
                <w:rFonts w:asciiTheme="minorHAnsi" w:hAnsiTheme="minorHAnsi" w:cstheme="minorHAnsi"/>
                <w:sz w:val="18"/>
                <w:szCs w:val="18"/>
              </w:rPr>
              <w:t>24%</w:t>
            </w:r>
            <w:r w:rsidR="002C4626">
              <w:rPr>
                <w:rFonts w:asciiTheme="minorHAnsi" w:hAnsiTheme="minorHAnsi" w:cstheme="minorHAnsi"/>
                <w:sz w:val="18"/>
                <w:szCs w:val="18"/>
              </w:rPr>
              <w:t>.</w:t>
            </w:r>
          </w:p>
        </w:tc>
      </w:tr>
      <w:tr w:rsidR="00E345BD" w:rsidRPr="00986D12" w14:paraId="4284EEE2" w14:textId="77777777" w:rsidTr="5C69BC08">
        <w:trPr>
          <w:trHeight w:val="600"/>
        </w:trPr>
        <w:tc>
          <w:tcPr>
            <w:tcW w:w="1545" w:type="dxa"/>
            <w:tcBorders>
              <w:top w:val="single" w:sz="6" w:space="0" w:color="auto"/>
              <w:bottom w:val="single" w:sz="6" w:space="0" w:color="auto"/>
              <w:right w:val="single" w:sz="6" w:space="0" w:color="auto"/>
            </w:tcBorders>
          </w:tcPr>
          <w:p w14:paraId="42844EA3" w14:textId="1A530DBF" w:rsidR="00E345BD" w:rsidRPr="00986D12" w:rsidRDefault="00E345BD" w:rsidP="00E345BD">
            <w:pPr>
              <w:spacing w:before="40" w:after="40"/>
              <w:rPr>
                <w:rFonts w:asciiTheme="minorHAnsi" w:eastAsia="Bookman Old Style" w:hAnsiTheme="minorHAnsi" w:cstheme="minorHAnsi"/>
                <w:b/>
                <w:bCs/>
                <w:sz w:val="18"/>
                <w:szCs w:val="18"/>
              </w:rPr>
            </w:pPr>
            <w:proofErr w:type="spellStart"/>
            <w:r w:rsidRPr="00AB77C0">
              <w:rPr>
                <w:b/>
                <w:bCs/>
              </w:rPr>
              <w:t>UNIDO</w:t>
            </w:r>
            <w:proofErr w:type="spellEnd"/>
            <w:r w:rsidRPr="00AB77C0">
              <w:t> </w:t>
            </w:r>
          </w:p>
        </w:tc>
        <w:tc>
          <w:tcPr>
            <w:tcW w:w="1559" w:type="dxa"/>
            <w:tcBorders>
              <w:top w:val="single" w:sz="6" w:space="0" w:color="auto"/>
              <w:left w:val="single" w:sz="6" w:space="0" w:color="auto"/>
              <w:bottom w:val="single" w:sz="6" w:space="0" w:color="auto"/>
              <w:right w:val="single" w:sz="6" w:space="0" w:color="auto"/>
            </w:tcBorders>
          </w:tcPr>
          <w:p w14:paraId="68C9951C" w14:textId="26375C4E" w:rsidR="00E345BD" w:rsidRPr="00986D12" w:rsidRDefault="00E345BD" w:rsidP="00E345BD">
            <w:pPr>
              <w:spacing w:before="40" w:after="40"/>
              <w:rPr>
                <w:rFonts w:asciiTheme="minorHAnsi" w:eastAsia="Bookman Old Style" w:hAnsiTheme="minorHAnsi" w:cstheme="minorHAnsi"/>
                <w:sz w:val="18"/>
                <w:szCs w:val="18"/>
              </w:rPr>
            </w:pPr>
            <w:r w:rsidRPr="00507BF5">
              <w:rPr>
                <w:sz w:val="18"/>
                <w:szCs w:val="18"/>
              </w:rPr>
              <w:t>49 regional/country offices; 3 </w:t>
            </w:r>
            <w:r w:rsidR="00BA2F27" w:rsidRPr="00BA2F27">
              <w:rPr>
                <w:sz w:val="18"/>
                <w:szCs w:val="18"/>
              </w:rPr>
              <w:t>liaison</w:t>
            </w:r>
            <w:r w:rsidRPr="00507BF5">
              <w:rPr>
                <w:sz w:val="18"/>
                <w:szCs w:val="18"/>
              </w:rPr>
              <w:t> offices (Geneva, New York,</w:t>
            </w:r>
            <w:r>
              <w:rPr>
                <w:sz w:val="18"/>
                <w:szCs w:val="18"/>
              </w:rPr>
              <w:t xml:space="preserve"> </w:t>
            </w:r>
            <w:r w:rsidRPr="00507BF5">
              <w:rPr>
                <w:sz w:val="18"/>
                <w:szCs w:val="18"/>
              </w:rPr>
              <w:t>Brussels); 9 </w:t>
            </w:r>
            <w:proofErr w:type="spellStart"/>
            <w:r w:rsidRPr="00507BF5">
              <w:rPr>
                <w:sz w:val="18"/>
                <w:szCs w:val="18"/>
              </w:rPr>
              <w:t>ITPO</w:t>
            </w:r>
            <w:proofErr w:type="spellEnd"/>
            <w:r w:rsidRPr="00507BF5">
              <w:rPr>
                <w:sz w:val="18"/>
                <w:szCs w:val="18"/>
              </w:rPr>
              <w:t xml:space="preserve"> (investment &amp; technology promotion offices).</w:t>
            </w:r>
            <w:r w:rsidRPr="00507BF5">
              <w:rPr>
                <w:sz w:val="18"/>
                <w:szCs w:val="18"/>
                <w:vertAlign w:val="superscript"/>
              </w:rPr>
              <w:t>11</w:t>
            </w:r>
            <w:r w:rsidRPr="00507BF5">
              <w:rPr>
                <w:sz w:val="18"/>
                <w:szCs w:val="18"/>
              </w:rPr>
              <w:t> </w:t>
            </w:r>
          </w:p>
        </w:tc>
        <w:tc>
          <w:tcPr>
            <w:tcW w:w="2551" w:type="dxa"/>
            <w:tcBorders>
              <w:top w:val="single" w:sz="6" w:space="0" w:color="auto"/>
              <w:left w:val="single" w:sz="6" w:space="0" w:color="auto"/>
              <w:bottom w:val="single" w:sz="6" w:space="0" w:color="auto"/>
              <w:right w:val="single" w:sz="6" w:space="0" w:color="auto"/>
            </w:tcBorders>
          </w:tcPr>
          <w:p w14:paraId="186A4178" w14:textId="499E154B" w:rsidR="00E345BD" w:rsidRPr="00986D12" w:rsidRDefault="00E345BD" w:rsidP="00E345BD">
            <w:pPr>
              <w:spacing w:before="40" w:after="40"/>
              <w:rPr>
                <w:rFonts w:asciiTheme="minorHAnsi" w:eastAsia="Bookman Old Style" w:hAnsiTheme="minorHAnsi" w:cstheme="minorHAnsi"/>
                <w:sz w:val="18"/>
                <w:szCs w:val="18"/>
              </w:rPr>
            </w:pPr>
            <w:proofErr w:type="spellStart"/>
            <w:r w:rsidRPr="00507BF5">
              <w:rPr>
                <w:sz w:val="18"/>
                <w:szCs w:val="18"/>
                <w:lang w:val="en-US"/>
              </w:rPr>
              <w:t>UNIDO’s</w:t>
            </w:r>
            <w:proofErr w:type="spellEnd"/>
            <w:r w:rsidRPr="00507BF5">
              <w:rPr>
                <w:sz w:val="18"/>
                <w:szCs w:val="18"/>
                <w:lang w:val="en-US"/>
              </w:rPr>
              <w:t> </w:t>
            </w:r>
            <w:r w:rsidRPr="00AB47F1">
              <w:rPr>
                <w:sz w:val="18"/>
                <w:szCs w:val="18"/>
                <w:lang w:val="en-US"/>
              </w:rPr>
              <w:t>total number</w:t>
            </w:r>
            <w:r w:rsidRPr="00507BF5">
              <w:rPr>
                <w:sz w:val="18"/>
                <w:szCs w:val="18"/>
                <w:lang w:val="en-US"/>
              </w:rPr>
              <w:t> of staff is 775 and 21.3% of staff are based outside HQ (those in the regional and/or sub-regional offices).</w:t>
            </w:r>
            <w:r w:rsidRPr="00507BF5">
              <w:rPr>
                <w:sz w:val="18"/>
                <w:szCs w:val="18"/>
              </w:rPr>
              <w:t> </w:t>
            </w:r>
          </w:p>
        </w:tc>
        <w:tc>
          <w:tcPr>
            <w:tcW w:w="2552" w:type="dxa"/>
            <w:tcBorders>
              <w:top w:val="single" w:sz="6" w:space="0" w:color="auto"/>
              <w:left w:val="single" w:sz="6" w:space="0" w:color="auto"/>
              <w:bottom w:val="single" w:sz="6" w:space="0" w:color="auto"/>
              <w:right w:val="single" w:sz="6" w:space="0" w:color="auto"/>
            </w:tcBorders>
          </w:tcPr>
          <w:p w14:paraId="3F5E5A75" w14:textId="50A3C1D3" w:rsidR="00E345BD" w:rsidRPr="00986D12" w:rsidRDefault="00E345BD" w:rsidP="00E345BD">
            <w:pPr>
              <w:spacing w:before="40" w:after="40"/>
              <w:rPr>
                <w:rFonts w:asciiTheme="minorHAnsi" w:eastAsia="Bookman Old Style" w:hAnsiTheme="minorHAnsi" w:cstheme="minorHAnsi"/>
                <w:sz w:val="18"/>
                <w:szCs w:val="18"/>
              </w:rPr>
            </w:pPr>
            <w:r>
              <w:rPr>
                <w:sz w:val="18"/>
                <w:szCs w:val="18"/>
              </w:rPr>
              <w:t>R</w:t>
            </w:r>
            <w:r w:rsidRPr="00507BF5">
              <w:rPr>
                <w:sz w:val="18"/>
                <w:szCs w:val="18"/>
              </w:rPr>
              <w:t>epresenting </w:t>
            </w:r>
            <w:proofErr w:type="spellStart"/>
            <w:r w:rsidRPr="00507BF5">
              <w:rPr>
                <w:sz w:val="18"/>
                <w:szCs w:val="18"/>
              </w:rPr>
              <w:t>UNIDO</w:t>
            </w:r>
            <w:proofErr w:type="spellEnd"/>
            <w:r w:rsidRPr="00507BF5">
              <w:rPr>
                <w:sz w:val="18"/>
                <w:szCs w:val="18"/>
              </w:rPr>
              <w:t xml:space="preserve"> in their host countries and promoting the </w:t>
            </w:r>
            <w:proofErr w:type="spellStart"/>
            <w:r w:rsidRPr="00507BF5">
              <w:rPr>
                <w:sz w:val="18"/>
                <w:szCs w:val="18"/>
              </w:rPr>
              <w:t>UNIDO</w:t>
            </w:r>
            <w:proofErr w:type="spellEnd"/>
            <w:r w:rsidRPr="00507BF5">
              <w:rPr>
                <w:sz w:val="18"/>
                <w:szCs w:val="18"/>
              </w:rPr>
              <w:t xml:space="preserve"> as an effective partner for development; identifying national development and donor funding priorities in the countries and regions of coverage; coordinating and reporting on </w:t>
            </w:r>
            <w:proofErr w:type="spellStart"/>
            <w:r w:rsidRPr="00507BF5">
              <w:rPr>
                <w:sz w:val="18"/>
                <w:szCs w:val="18"/>
              </w:rPr>
              <w:t>UNIDO</w:t>
            </w:r>
            <w:proofErr w:type="spellEnd"/>
            <w:r w:rsidRPr="00507BF5">
              <w:rPr>
                <w:sz w:val="18"/>
                <w:szCs w:val="18"/>
              </w:rPr>
              <w:t xml:space="preserve"> activities in their countries of </w:t>
            </w:r>
            <w:r w:rsidRPr="009678A7">
              <w:rPr>
                <w:sz w:val="18"/>
                <w:szCs w:val="18"/>
              </w:rPr>
              <w:t>coverage and</w:t>
            </w:r>
            <w:r w:rsidRPr="00507BF5">
              <w:rPr>
                <w:sz w:val="18"/>
                <w:szCs w:val="18"/>
              </w:rPr>
              <w:t> providing inputs into the development of regional strategies and </w:t>
            </w:r>
            <w:proofErr w:type="spellStart"/>
            <w:r w:rsidRPr="00507BF5">
              <w:rPr>
                <w:sz w:val="18"/>
                <w:szCs w:val="18"/>
              </w:rPr>
              <w:t>policies.</w:t>
            </w:r>
            <w:r w:rsidRPr="00507BF5">
              <w:rPr>
                <w:sz w:val="18"/>
                <w:szCs w:val="18"/>
                <w:vertAlign w:val="superscript"/>
              </w:rPr>
              <w:t>12</w:t>
            </w:r>
            <w:proofErr w:type="spellEnd"/>
            <w:r w:rsidRPr="00507BF5">
              <w:rPr>
                <w:sz w:val="18"/>
                <w:szCs w:val="18"/>
              </w:rPr>
              <w:t>  </w:t>
            </w:r>
          </w:p>
        </w:tc>
        <w:tc>
          <w:tcPr>
            <w:tcW w:w="2268" w:type="dxa"/>
            <w:tcBorders>
              <w:top w:val="single" w:sz="6" w:space="0" w:color="auto"/>
              <w:left w:val="single" w:sz="6" w:space="0" w:color="auto"/>
              <w:bottom w:val="single" w:sz="6" w:space="0" w:color="auto"/>
              <w:right w:val="single" w:sz="6" w:space="0" w:color="auto"/>
            </w:tcBorders>
          </w:tcPr>
          <w:p w14:paraId="21C10762" w14:textId="6BD3A186" w:rsidR="00E345BD" w:rsidRPr="00986D12" w:rsidRDefault="00E345BD" w:rsidP="00E345BD">
            <w:pPr>
              <w:spacing w:before="40" w:after="40"/>
              <w:rPr>
                <w:rFonts w:asciiTheme="minorHAnsi" w:eastAsia="Bookman Old Style" w:hAnsiTheme="minorHAnsi" w:cstheme="minorHAnsi"/>
                <w:sz w:val="18"/>
                <w:szCs w:val="18"/>
              </w:rPr>
            </w:pPr>
            <w:r>
              <w:rPr>
                <w:sz w:val="18"/>
                <w:szCs w:val="18"/>
              </w:rPr>
              <w:t>T</w:t>
            </w:r>
            <w:r w:rsidRPr="00507BF5">
              <w:rPr>
                <w:sz w:val="18"/>
                <w:szCs w:val="18"/>
              </w:rPr>
              <w:t>o promote and accelerate</w:t>
            </w:r>
            <w:r w:rsidRPr="00507BF5">
              <w:rPr>
                <w:rFonts w:ascii="Arial" w:hAnsi="Arial"/>
                <w:sz w:val="18"/>
                <w:szCs w:val="18"/>
              </w:rPr>
              <w:t> </w:t>
            </w:r>
            <w:r w:rsidRPr="00507BF5">
              <w:rPr>
                <w:sz w:val="18"/>
                <w:szCs w:val="18"/>
              </w:rPr>
              <w:t>Inclusive and Sustainable Industrial Development (ISID)</w:t>
            </w:r>
            <w:r w:rsidRPr="00507BF5">
              <w:rPr>
                <w:rFonts w:ascii="Arial" w:hAnsi="Arial"/>
                <w:sz w:val="18"/>
                <w:szCs w:val="18"/>
              </w:rPr>
              <w:t> </w:t>
            </w:r>
            <w:r w:rsidRPr="00507BF5">
              <w:rPr>
                <w:sz w:val="18"/>
                <w:szCs w:val="18"/>
              </w:rPr>
              <w:t>in</w:t>
            </w:r>
            <w:r w:rsidRPr="00507BF5">
              <w:rPr>
                <w:rFonts w:ascii="Avenir Nxt2 W1G" w:hAnsi="Avenir Nxt2 W1G" w:cs="Aptos"/>
                <w:sz w:val="18"/>
                <w:szCs w:val="18"/>
              </w:rPr>
              <w:t> </w:t>
            </w:r>
            <w:r w:rsidRPr="00507BF5">
              <w:rPr>
                <w:sz w:val="18"/>
                <w:szCs w:val="18"/>
              </w:rPr>
              <w:t xml:space="preserve">developing countries and economies in </w:t>
            </w:r>
            <w:proofErr w:type="spellStart"/>
            <w:r w:rsidRPr="00507BF5">
              <w:rPr>
                <w:sz w:val="18"/>
                <w:szCs w:val="18"/>
              </w:rPr>
              <w:t>transition</w:t>
            </w:r>
            <w:r w:rsidR="002C4626">
              <w:rPr>
                <w:sz w:val="18"/>
                <w:szCs w:val="18"/>
              </w:rPr>
              <w:t>.</w:t>
            </w:r>
            <w:r w:rsidRPr="00507BF5">
              <w:rPr>
                <w:sz w:val="18"/>
                <w:szCs w:val="18"/>
                <w:vertAlign w:val="superscript"/>
              </w:rPr>
              <w:t>13</w:t>
            </w:r>
            <w:proofErr w:type="spellEnd"/>
            <w:r w:rsidRPr="00507BF5">
              <w:rPr>
                <w:sz w:val="18"/>
                <w:szCs w:val="18"/>
              </w:rPr>
              <w:t> </w:t>
            </w:r>
          </w:p>
        </w:tc>
        <w:tc>
          <w:tcPr>
            <w:tcW w:w="3402" w:type="dxa"/>
            <w:tcBorders>
              <w:top w:val="single" w:sz="6" w:space="0" w:color="auto"/>
              <w:left w:val="single" w:sz="6" w:space="0" w:color="auto"/>
              <w:bottom w:val="single" w:sz="6" w:space="0" w:color="auto"/>
            </w:tcBorders>
          </w:tcPr>
          <w:p w14:paraId="4B7419EF" w14:textId="77777777" w:rsidR="00E345BD" w:rsidRPr="00507BF5" w:rsidRDefault="00E345BD" w:rsidP="00E345BD">
            <w:pPr>
              <w:rPr>
                <w:sz w:val="18"/>
                <w:szCs w:val="18"/>
              </w:rPr>
            </w:pPr>
            <w:r w:rsidRPr="00507BF5">
              <w:rPr>
                <w:sz w:val="18"/>
                <w:szCs w:val="18"/>
                <w:lang w:val="en-US"/>
              </w:rPr>
              <w:t xml:space="preserve">With regards to the budget, while we don’t have the specific breakdown of the percent allocated to offices outside HQ, under our 2026-2027 regular and operational budget (excluding TC delivery) “Outcome </w:t>
            </w:r>
            <w:proofErr w:type="spellStart"/>
            <w:r w:rsidRPr="00507BF5">
              <w:rPr>
                <w:sz w:val="18"/>
                <w:szCs w:val="18"/>
                <w:lang w:val="en-US"/>
              </w:rPr>
              <w:t>1.C</w:t>
            </w:r>
            <w:proofErr w:type="spellEnd"/>
            <w:r w:rsidRPr="00507BF5">
              <w:rPr>
                <w:sz w:val="18"/>
                <w:szCs w:val="18"/>
                <w:lang w:val="en-US"/>
              </w:rPr>
              <w:t xml:space="preserve"> – Field operations, partnership, fundraising and United Nations coordination”, </w:t>
            </w:r>
            <w:r w:rsidRPr="00507BF5">
              <w:rPr>
                <w:rFonts w:ascii="Arial" w:hAnsi="Arial"/>
                <w:sz w:val="18"/>
                <w:szCs w:val="18"/>
                <w:lang w:val="en-US"/>
              </w:rPr>
              <w:t> </w:t>
            </w:r>
            <w:proofErr w:type="spellStart"/>
            <w:r w:rsidRPr="00507BF5">
              <w:rPr>
                <w:sz w:val="18"/>
                <w:szCs w:val="18"/>
                <w:lang w:val="en-US"/>
              </w:rPr>
              <w:t>UNIDO</w:t>
            </w:r>
            <w:proofErr w:type="spellEnd"/>
            <w:r w:rsidRPr="00507BF5">
              <w:rPr>
                <w:sz w:val="18"/>
                <w:szCs w:val="18"/>
                <w:lang w:val="en-US"/>
              </w:rPr>
              <w:t xml:space="preserve"> allocated a total of </w:t>
            </w:r>
            <w:r w:rsidRPr="00507BF5">
              <w:rPr>
                <w:rFonts w:ascii="Avenir Nxt2 W1G" w:hAnsi="Avenir Nxt2 W1G" w:cs="Aptos"/>
                <w:sz w:val="18"/>
                <w:szCs w:val="18"/>
                <w:lang w:val="en-US"/>
              </w:rPr>
              <w:t>€</w:t>
            </w:r>
            <w:r w:rsidRPr="00507BF5">
              <w:rPr>
                <w:sz w:val="18"/>
                <w:szCs w:val="18"/>
                <w:lang w:val="en-US"/>
              </w:rPr>
              <w:t>62.8</w:t>
            </w:r>
            <w:r>
              <w:rPr>
                <w:sz w:val="18"/>
                <w:szCs w:val="18"/>
                <w:lang w:val="en-US"/>
              </w:rPr>
              <w:t xml:space="preserve"> million</w:t>
            </w:r>
            <w:r w:rsidRPr="00507BF5">
              <w:rPr>
                <w:rFonts w:ascii="Avenir Nxt2 W1G" w:hAnsi="Avenir Nxt2 W1G" w:cs="Aptos"/>
                <w:sz w:val="18"/>
                <w:szCs w:val="18"/>
                <w:lang w:val="en-US"/>
              </w:rPr>
              <w:t> </w:t>
            </w:r>
            <w:r w:rsidRPr="00507BF5">
              <w:rPr>
                <w:sz w:val="18"/>
                <w:szCs w:val="18"/>
              </w:rPr>
              <w:t>(CHF 56.69</w:t>
            </w:r>
            <w:r>
              <w:rPr>
                <w:sz w:val="18"/>
                <w:szCs w:val="18"/>
              </w:rPr>
              <w:t xml:space="preserve"> million),</w:t>
            </w:r>
            <w:r w:rsidRPr="00507BF5">
              <w:rPr>
                <w:sz w:val="18"/>
                <w:szCs w:val="18"/>
              </w:rPr>
              <w:t> </w:t>
            </w:r>
            <w:r w:rsidRPr="00507BF5">
              <w:rPr>
                <w:sz w:val="18"/>
                <w:szCs w:val="18"/>
                <w:lang w:val="en-US"/>
              </w:rPr>
              <w:t>representing approximately 27% of the overall level of the gross regular and operational budget of €233.9</w:t>
            </w:r>
            <w:r>
              <w:rPr>
                <w:sz w:val="18"/>
                <w:szCs w:val="18"/>
                <w:lang w:val="en-US"/>
              </w:rPr>
              <w:t xml:space="preserve"> million</w:t>
            </w:r>
            <w:r w:rsidRPr="00507BF5">
              <w:rPr>
                <w:sz w:val="18"/>
                <w:szCs w:val="18"/>
                <w:lang w:val="en-US"/>
              </w:rPr>
              <w:t> </w:t>
            </w:r>
            <w:r w:rsidRPr="00507BF5">
              <w:rPr>
                <w:sz w:val="18"/>
                <w:szCs w:val="18"/>
              </w:rPr>
              <w:t>(CHF 211.18</w:t>
            </w:r>
            <w:r>
              <w:rPr>
                <w:sz w:val="18"/>
                <w:szCs w:val="18"/>
              </w:rPr>
              <w:t xml:space="preserve"> million</w:t>
            </w:r>
            <w:r w:rsidRPr="00507BF5">
              <w:rPr>
                <w:sz w:val="18"/>
                <w:szCs w:val="18"/>
              </w:rPr>
              <w:t>). </w:t>
            </w:r>
          </w:p>
          <w:p w14:paraId="0544FC05" w14:textId="4013BE64" w:rsidR="00E345BD" w:rsidRPr="00986D12" w:rsidRDefault="00E345BD" w:rsidP="00E345BD">
            <w:pPr>
              <w:spacing w:before="40" w:after="40"/>
              <w:rPr>
                <w:rFonts w:asciiTheme="minorHAnsi" w:eastAsia="Bookman Old Style" w:hAnsiTheme="minorHAnsi" w:cstheme="minorHAnsi"/>
                <w:sz w:val="18"/>
                <w:szCs w:val="18"/>
              </w:rPr>
            </w:pPr>
            <w:r w:rsidRPr="00507BF5">
              <w:rPr>
                <w:sz w:val="18"/>
                <w:szCs w:val="18"/>
              </w:rPr>
              <w:t> </w:t>
            </w:r>
          </w:p>
        </w:tc>
      </w:tr>
      <w:tr w:rsidR="00E345BD" w:rsidRPr="00986D12" w14:paraId="04DBBD74" w14:textId="77777777" w:rsidTr="5C69BC08">
        <w:trPr>
          <w:trHeight w:val="600"/>
        </w:trPr>
        <w:tc>
          <w:tcPr>
            <w:tcW w:w="1545" w:type="dxa"/>
            <w:tcBorders>
              <w:top w:val="single" w:sz="6" w:space="0" w:color="auto"/>
              <w:bottom w:val="single" w:sz="6" w:space="0" w:color="auto"/>
              <w:right w:val="single" w:sz="6" w:space="0" w:color="auto"/>
            </w:tcBorders>
          </w:tcPr>
          <w:p w14:paraId="317C83DA" w14:textId="77777777" w:rsidR="00E345BD" w:rsidRPr="00986D12" w:rsidRDefault="00E345BD" w:rsidP="00E345BD">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WIPO</w:t>
            </w:r>
          </w:p>
        </w:tc>
        <w:tc>
          <w:tcPr>
            <w:tcW w:w="1559" w:type="dxa"/>
            <w:tcBorders>
              <w:top w:val="single" w:sz="6" w:space="0" w:color="auto"/>
              <w:left w:val="single" w:sz="6" w:space="0" w:color="auto"/>
              <w:bottom w:val="single" w:sz="6" w:space="0" w:color="auto"/>
              <w:right w:val="single" w:sz="6" w:space="0" w:color="auto"/>
            </w:tcBorders>
          </w:tcPr>
          <w:p w14:paraId="10DB11FF" w14:textId="5D0135A9"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7 External Offices; no country offices</w:t>
            </w:r>
            <w:r w:rsidR="00FF1A7F">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r w:rsidRPr="00986D12">
              <w:rPr>
                <w:rStyle w:val="FootnoteReference"/>
                <w:rFonts w:asciiTheme="minorHAnsi" w:eastAsia="Bookman Old Style" w:hAnsiTheme="minorHAnsi" w:cstheme="minorHAnsi"/>
                <w:szCs w:val="18"/>
              </w:rPr>
              <w:footnoteReference w:id="38"/>
            </w:r>
          </w:p>
        </w:tc>
        <w:tc>
          <w:tcPr>
            <w:tcW w:w="2551" w:type="dxa"/>
            <w:tcBorders>
              <w:top w:val="single" w:sz="6" w:space="0" w:color="auto"/>
              <w:left w:val="single" w:sz="6" w:space="0" w:color="auto"/>
              <w:bottom w:val="single" w:sz="6" w:space="0" w:color="auto"/>
              <w:right w:val="single" w:sz="6" w:space="0" w:color="auto"/>
            </w:tcBorders>
          </w:tcPr>
          <w:p w14:paraId="3F4E2845" w14:textId="3F99E0F0"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 xml:space="preserve">Total of </w:t>
            </w:r>
            <w:proofErr w:type="spellStart"/>
            <w:r w:rsidRPr="00986D12">
              <w:rPr>
                <w:rFonts w:asciiTheme="minorHAnsi" w:eastAsia="Bookman Old Style" w:hAnsiTheme="minorHAnsi" w:cstheme="minorHAnsi"/>
                <w:sz w:val="18"/>
                <w:szCs w:val="18"/>
              </w:rPr>
              <w:t>1,232staff</w:t>
            </w:r>
            <w:proofErr w:type="spellEnd"/>
            <w:r w:rsidRPr="00986D12">
              <w:rPr>
                <w:rFonts w:asciiTheme="minorHAnsi" w:eastAsia="Bookman Old Style" w:hAnsiTheme="minorHAnsi" w:cstheme="minorHAnsi"/>
                <w:sz w:val="18"/>
                <w:szCs w:val="18"/>
              </w:rPr>
              <w:t xml:space="preserve"> with 1.8% based outside HQ</w:t>
            </w:r>
            <w:r w:rsidR="00FF1A7F">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p>
        </w:tc>
        <w:tc>
          <w:tcPr>
            <w:tcW w:w="2552" w:type="dxa"/>
            <w:tcBorders>
              <w:top w:val="single" w:sz="6" w:space="0" w:color="auto"/>
              <w:left w:val="single" w:sz="6" w:space="0" w:color="auto"/>
              <w:bottom w:val="single" w:sz="6" w:space="0" w:color="auto"/>
              <w:right w:val="single" w:sz="6" w:space="0" w:color="auto"/>
            </w:tcBorders>
          </w:tcPr>
          <w:p w14:paraId="346BC798" w14:textId="77777777" w:rsidR="00E345BD" w:rsidRPr="00986D12" w:rsidRDefault="00E345BD" w:rsidP="00E345BD">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 xml:space="preserve">IP technical </w:t>
            </w:r>
          </w:p>
          <w:p w14:paraId="25D4D49B" w14:textId="0D573DB1" w:rsidR="00E345BD" w:rsidRPr="00986D12" w:rsidRDefault="00E345BD" w:rsidP="00E345BD">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lastRenderedPageBreak/>
              <w:t>assistance and capacity-building support</w:t>
            </w:r>
            <w:r w:rsidR="00FF1A7F">
              <w:rPr>
                <w:rFonts w:asciiTheme="minorHAnsi" w:eastAsia="Bookman Old Style" w:hAnsiTheme="minorHAnsi" w:cstheme="minorHAnsi"/>
                <w:sz w:val="18"/>
                <w:szCs w:val="18"/>
              </w:rPr>
              <w:t>.</w:t>
            </w:r>
            <w:r w:rsidRPr="00986D12">
              <w:rPr>
                <w:rStyle w:val="FootnoteReference"/>
                <w:rFonts w:asciiTheme="minorHAnsi" w:eastAsia="Bookman Old Style" w:hAnsiTheme="minorHAnsi" w:cstheme="minorHAnsi"/>
                <w:szCs w:val="18"/>
              </w:rPr>
              <w:footnoteReference w:id="39"/>
            </w:r>
          </w:p>
        </w:tc>
        <w:tc>
          <w:tcPr>
            <w:tcW w:w="2268" w:type="dxa"/>
            <w:tcBorders>
              <w:top w:val="single" w:sz="6" w:space="0" w:color="auto"/>
              <w:left w:val="single" w:sz="6" w:space="0" w:color="auto"/>
              <w:bottom w:val="single" w:sz="6" w:space="0" w:color="auto"/>
              <w:right w:val="single" w:sz="6" w:space="0" w:color="auto"/>
            </w:tcBorders>
          </w:tcPr>
          <w:p w14:paraId="70ED1599" w14:textId="66E6755B"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lastRenderedPageBreak/>
              <w:t>WIPO Convention (Art. 3): promote IP protection worldwide</w:t>
            </w:r>
            <w:r w:rsidR="00FF1A7F">
              <w:rPr>
                <w:rFonts w:asciiTheme="minorHAnsi" w:eastAsia="Bookman Old Style" w:hAnsiTheme="minorHAnsi" w:cstheme="minorHAnsi"/>
                <w:sz w:val="18"/>
                <w:szCs w:val="18"/>
              </w:rPr>
              <w:t>.</w:t>
            </w:r>
            <w:r w:rsidRPr="00986D12">
              <w:rPr>
                <w:rStyle w:val="FootnoteReference"/>
                <w:rFonts w:asciiTheme="minorHAnsi" w:eastAsia="Bookman Old Style" w:hAnsiTheme="minorHAnsi" w:cstheme="minorHAnsi"/>
                <w:szCs w:val="18"/>
              </w:rPr>
              <w:footnoteReference w:id="40"/>
            </w:r>
          </w:p>
        </w:tc>
        <w:tc>
          <w:tcPr>
            <w:tcW w:w="3402" w:type="dxa"/>
            <w:tcBorders>
              <w:top w:val="single" w:sz="6" w:space="0" w:color="auto"/>
              <w:left w:val="single" w:sz="6" w:space="0" w:color="auto"/>
              <w:bottom w:val="single" w:sz="6" w:space="0" w:color="auto"/>
            </w:tcBorders>
          </w:tcPr>
          <w:p w14:paraId="52627FDF" w14:textId="77777777"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 xml:space="preserve">Total budget is CHF </w:t>
            </w:r>
          </w:p>
          <w:p w14:paraId="27D0806E" w14:textId="32311DE5"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885 million with 1% allocated to offices outside HQ</w:t>
            </w:r>
            <w:r w:rsidR="00FF1A7F">
              <w:rPr>
                <w:rFonts w:asciiTheme="minorHAnsi" w:eastAsia="Bookman Old Style" w:hAnsiTheme="minorHAnsi" w:cstheme="minorHAnsi"/>
                <w:sz w:val="18"/>
                <w:szCs w:val="18"/>
              </w:rPr>
              <w:t>.</w:t>
            </w:r>
          </w:p>
        </w:tc>
      </w:tr>
      <w:tr w:rsidR="00E345BD" w:rsidRPr="00986D12" w14:paraId="13DED79B" w14:textId="77777777" w:rsidTr="5C69BC08">
        <w:trPr>
          <w:trHeight w:val="1245"/>
        </w:trPr>
        <w:tc>
          <w:tcPr>
            <w:tcW w:w="1545" w:type="dxa"/>
            <w:tcBorders>
              <w:top w:val="single" w:sz="6" w:space="0" w:color="auto"/>
              <w:bottom w:val="single" w:sz="6" w:space="0" w:color="auto"/>
              <w:right w:val="single" w:sz="6" w:space="0" w:color="auto"/>
            </w:tcBorders>
          </w:tcPr>
          <w:p w14:paraId="7CFFB52C" w14:textId="77777777" w:rsidR="00E345BD" w:rsidRPr="00986D12" w:rsidRDefault="00E345BD" w:rsidP="00E345BD">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b/>
                <w:bCs/>
                <w:sz w:val="18"/>
                <w:szCs w:val="18"/>
              </w:rPr>
              <w:t>WMO</w:t>
            </w:r>
          </w:p>
        </w:tc>
        <w:tc>
          <w:tcPr>
            <w:tcW w:w="1559" w:type="dxa"/>
            <w:tcBorders>
              <w:top w:val="single" w:sz="6" w:space="0" w:color="auto"/>
              <w:left w:val="single" w:sz="6" w:space="0" w:color="auto"/>
              <w:bottom w:val="single" w:sz="6" w:space="0" w:color="auto"/>
              <w:right w:val="single" w:sz="6" w:space="0" w:color="auto"/>
            </w:tcBorders>
          </w:tcPr>
          <w:p w14:paraId="78D6555D" w14:textId="2459A7AD"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6 Regional Associations</w:t>
            </w:r>
            <w:r w:rsidRPr="00986D12">
              <w:rPr>
                <w:rStyle w:val="FootnoteReference"/>
                <w:rFonts w:asciiTheme="minorHAnsi" w:eastAsia="Bookman Old Style" w:hAnsiTheme="minorHAnsi" w:cstheme="minorHAnsi"/>
                <w:szCs w:val="18"/>
              </w:rPr>
              <w:footnoteReference w:id="41"/>
            </w:r>
            <w:r w:rsidRPr="00986D12">
              <w:rPr>
                <w:rFonts w:asciiTheme="minorHAnsi" w:eastAsia="Bookman Old Style" w:hAnsiTheme="minorHAnsi" w:cstheme="minorHAnsi"/>
                <w:sz w:val="18"/>
                <w:szCs w:val="18"/>
              </w:rPr>
              <w:t>; and Representative Offices</w:t>
            </w:r>
            <w:r w:rsidR="00FF1A7F">
              <w:rPr>
                <w:rFonts w:asciiTheme="minorHAnsi" w:eastAsia="Bookman Old Style" w:hAnsiTheme="minorHAnsi" w:cstheme="minorHAnsi"/>
                <w:sz w:val="18"/>
                <w:szCs w:val="18"/>
              </w:rPr>
              <w:t>.</w:t>
            </w:r>
            <w:r w:rsidRPr="00986D12">
              <w:rPr>
                <w:rFonts w:asciiTheme="minorHAnsi" w:eastAsia="Bookman Old Style" w:hAnsiTheme="minorHAnsi" w:cstheme="minorHAnsi"/>
                <w:sz w:val="18"/>
                <w:szCs w:val="18"/>
              </w:rPr>
              <w:t xml:space="preserve"> </w:t>
            </w:r>
          </w:p>
        </w:tc>
        <w:tc>
          <w:tcPr>
            <w:tcW w:w="2551" w:type="dxa"/>
            <w:tcBorders>
              <w:top w:val="single" w:sz="6" w:space="0" w:color="auto"/>
              <w:left w:val="single" w:sz="6" w:space="0" w:color="auto"/>
              <w:bottom w:val="single" w:sz="6" w:space="0" w:color="auto"/>
              <w:right w:val="single" w:sz="6" w:space="0" w:color="auto"/>
            </w:tcBorders>
          </w:tcPr>
          <w:p w14:paraId="5195BEB4" w14:textId="77777777" w:rsidR="00E345BD" w:rsidRPr="00986D12" w:rsidRDefault="00E345BD" w:rsidP="00E345BD">
            <w:pPr>
              <w:spacing w:before="40" w:after="40"/>
              <w:rPr>
                <w:rFonts w:asciiTheme="minorHAnsi" w:hAnsiTheme="minorHAnsi" w:cstheme="minorHAnsi"/>
                <w:sz w:val="18"/>
                <w:szCs w:val="18"/>
              </w:rPr>
            </w:pPr>
            <w:r w:rsidRPr="00986D12">
              <w:rPr>
                <w:rFonts w:asciiTheme="minorHAnsi" w:hAnsiTheme="minorHAnsi" w:cstheme="minorHAnsi"/>
                <w:sz w:val="18"/>
                <w:szCs w:val="18"/>
              </w:rPr>
              <w:t>The total staff number of staff is 295, of which 18% are outside of Geneva.</w:t>
            </w:r>
          </w:p>
          <w:p w14:paraId="78C1EB36" w14:textId="77777777" w:rsidR="00E345BD" w:rsidRPr="00986D12" w:rsidRDefault="00E345BD" w:rsidP="00E345BD">
            <w:pPr>
              <w:pStyle w:val="WMOBodyText"/>
              <w:spacing w:before="40" w:after="40"/>
              <w:rPr>
                <w:rFonts w:asciiTheme="minorHAnsi" w:hAnsiTheme="minorHAnsi" w:cstheme="minorHAnsi"/>
                <w:sz w:val="18"/>
                <w:szCs w:val="18"/>
                <w:lang w:eastAsia="en-US"/>
              </w:rPr>
            </w:pPr>
          </w:p>
        </w:tc>
        <w:tc>
          <w:tcPr>
            <w:tcW w:w="2552" w:type="dxa"/>
            <w:tcBorders>
              <w:top w:val="single" w:sz="6" w:space="0" w:color="auto"/>
              <w:left w:val="single" w:sz="6" w:space="0" w:color="auto"/>
              <w:bottom w:val="single" w:sz="6" w:space="0" w:color="auto"/>
              <w:right w:val="single" w:sz="6" w:space="0" w:color="auto"/>
            </w:tcBorders>
          </w:tcPr>
          <w:p w14:paraId="42695F11" w14:textId="45CB53C6" w:rsidR="00E345BD" w:rsidRPr="00986D12" w:rsidRDefault="00E345BD" w:rsidP="00E345BD">
            <w:pPr>
              <w:spacing w:before="40" w:after="40"/>
              <w:rPr>
                <w:rFonts w:asciiTheme="minorHAnsi" w:eastAsia="Bookman Old Style" w:hAnsiTheme="minorHAnsi" w:cstheme="minorHAnsi"/>
                <w:sz w:val="18"/>
                <w:szCs w:val="18"/>
                <w:vertAlign w:val="superscript"/>
              </w:rPr>
            </w:pPr>
            <w:r w:rsidRPr="00986D12">
              <w:rPr>
                <w:rFonts w:asciiTheme="minorHAnsi" w:eastAsia="Bookman Old Style" w:hAnsiTheme="minorHAnsi" w:cstheme="minorHAnsi"/>
                <w:sz w:val="18"/>
                <w:szCs w:val="18"/>
              </w:rPr>
              <w:t>Regional meteorological coordination; climate &amp; early warning systems</w:t>
            </w:r>
            <w:r w:rsidR="00FF1A7F">
              <w:rPr>
                <w:rFonts w:asciiTheme="minorHAnsi" w:eastAsia="Bookman Old Style" w:hAnsiTheme="minorHAnsi" w:cstheme="minorHAnsi"/>
                <w:sz w:val="18"/>
                <w:szCs w:val="18"/>
              </w:rPr>
              <w:t>.</w:t>
            </w:r>
            <w:r w:rsidRPr="00986D12">
              <w:rPr>
                <w:rStyle w:val="FootnoteReference"/>
                <w:rFonts w:asciiTheme="minorHAnsi" w:eastAsia="Bookman Old Style" w:hAnsiTheme="minorHAnsi" w:cstheme="minorHAnsi"/>
                <w:szCs w:val="18"/>
              </w:rPr>
              <w:footnoteReference w:id="42"/>
            </w:r>
          </w:p>
        </w:tc>
        <w:tc>
          <w:tcPr>
            <w:tcW w:w="2268" w:type="dxa"/>
            <w:tcBorders>
              <w:top w:val="single" w:sz="6" w:space="0" w:color="auto"/>
              <w:left w:val="single" w:sz="6" w:space="0" w:color="auto"/>
              <w:bottom w:val="single" w:sz="6" w:space="0" w:color="auto"/>
              <w:right w:val="single" w:sz="6" w:space="0" w:color="auto"/>
            </w:tcBorders>
          </w:tcPr>
          <w:p w14:paraId="5F70F11B" w14:textId="21549B02" w:rsidR="00E345BD" w:rsidRPr="00986D12" w:rsidRDefault="00E345BD" w:rsidP="00E345BD">
            <w:pPr>
              <w:spacing w:before="40" w:after="40"/>
              <w:rPr>
                <w:rStyle w:val="EndnoteReference"/>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Facilitate worldwide cooperation in meteorology, climatology &amp; hydrology</w:t>
            </w:r>
            <w:r w:rsidR="00FF1A7F">
              <w:rPr>
                <w:rFonts w:asciiTheme="minorHAnsi" w:eastAsia="Bookman Old Style" w:hAnsiTheme="minorHAnsi" w:cstheme="minorHAnsi"/>
                <w:sz w:val="18"/>
                <w:szCs w:val="18"/>
              </w:rPr>
              <w:t>.</w:t>
            </w:r>
            <w:r w:rsidRPr="00986D12">
              <w:rPr>
                <w:rStyle w:val="FootnoteReference"/>
                <w:rFonts w:asciiTheme="minorHAnsi" w:eastAsia="Bookman Old Style" w:hAnsiTheme="minorHAnsi" w:cstheme="minorHAnsi"/>
                <w:szCs w:val="18"/>
              </w:rPr>
              <w:footnoteReference w:id="43"/>
            </w:r>
          </w:p>
        </w:tc>
        <w:tc>
          <w:tcPr>
            <w:tcW w:w="3402" w:type="dxa"/>
            <w:tcBorders>
              <w:top w:val="single" w:sz="6" w:space="0" w:color="auto"/>
              <w:left w:val="single" w:sz="6" w:space="0" w:color="auto"/>
              <w:bottom w:val="single" w:sz="6" w:space="0" w:color="auto"/>
            </w:tcBorders>
          </w:tcPr>
          <w:p w14:paraId="0ADE8229" w14:textId="77777777" w:rsidR="00E345BD" w:rsidRPr="00986D12" w:rsidRDefault="00E345BD" w:rsidP="00E345BD">
            <w:pPr>
              <w:spacing w:before="40" w:after="40"/>
              <w:rPr>
                <w:rFonts w:asciiTheme="minorHAnsi" w:eastAsia="Bookman Old Style" w:hAnsiTheme="minorHAnsi" w:cstheme="minorHAnsi"/>
                <w:sz w:val="18"/>
                <w:szCs w:val="18"/>
              </w:rPr>
            </w:pPr>
            <w:r w:rsidRPr="00986D12">
              <w:rPr>
                <w:rFonts w:asciiTheme="minorHAnsi" w:eastAsia="Bookman Old Style" w:hAnsiTheme="minorHAnsi" w:cstheme="minorHAnsi"/>
                <w:sz w:val="18"/>
                <w:szCs w:val="18"/>
              </w:rPr>
              <w:t>CHF 80 million</w:t>
            </w:r>
            <w:r w:rsidRPr="00986D12">
              <w:rPr>
                <w:rStyle w:val="FootnoteReference"/>
                <w:rFonts w:asciiTheme="minorHAnsi" w:eastAsia="Bookman Old Style" w:hAnsiTheme="minorHAnsi" w:cstheme="minorHAnsi"/>
                <w:szCs w:val="18"/>
              </w:rPr>
              <w:footnoteReference w:id="44"/>
            </w:r>
          </w:p>
          <w:p w14:paraId="15342136" w14:textId="54FFF5C5" w:rsidR="00E345BD" w:rsidRPr="00986D12" w:rsidRDefault="00E345BD" w:rsidP="00E345BD">
            <w:pPr>
              <w:spacing w:before="40" w:after="40"/>
              <w:rPr>
                <w:rFonts w:asciiTheme="minorHAnsi" w:hAnsiTheme="minorHAnsi" w:cstheme="minorHAnsi"/>
                <w:sz w:val="18"/>
                <w:szCs w:val="18"/>
              </w:rPr>
            </w:pPr>
            <w:r w:rsidRPr="00986D12">
              <w:rPr>
                <w:rFonts w:asciiTheme="minorHAnsi" w:hAnsiTheme="minorHAnsi" w:cstheme="minorHAnsi"/>
                <w:sz w:val="18"/>
                <w:szCs w:val="18"/>
              </w:rPr>
              <w:t>The total budget of the organization, and the percentage allocated to offices outside H</w:t>
            </w:r>
            <w:r>
              <w:rPr>
                <w:rFonts w:asciiTheme="minorHAnsi" w:hAnsiTheme="minorHAnsi" w:cstheme="minorHAnsi"/>
                <w:sz w:val="18"/>
                <w:szCs w:val="18"/>
              </w:rPr>
              <w:t>Q</w:t>
            </w:r>
            <w:r w:rsidRPr="00986D12">
              <w:rPr>
                <w:rFonts w:asciiTheme="minorHAnsi" w:hAnsiTheme="minorHAnsi" w:cstheme="minorHAnsi"/>
                <w:sz w:val="18"/>
                <w:szCs w:val="18"/>
              </w:rPr>
              <w:t>.</w:t>
            </w:r>
          </w:p>
          <w:p w14:paraId="0BEABE95" w14:textId="55EA2F4F" w:rsidR="00E345BD" w:rsidRPr="00986D12" w:rsidRDefault="00E345BD" w:rsidP="00E345BD">
            <w:pPr>
              <w:spacing w:before="40" w:after="40"/>
              <w:rPr>
                <w:rFonts w:asciiTheme="minorHAnsi" w:hAnsiTheme="minorHAnsi" w:cstheme="minorHAnsi"/>
                <w:sz w:val="18"/>
                <w:szCs w:val="18"/>
              </w:rPr>
            </w:pPr>
            <w:r w:rsidRPr="00986D12">
              <w:rPr>
                <w:rFonts w:asciiTheme="minorHAnsi" w:hAnsiTheme="minorHAnsi" w:cstheme="minorHAnsi"/>
                <w:sz w:val="18"/>
                <w:szCs w:val="18"/>
              </w:rPr>
              <w:t>The total budget for 2026 is CHF 69</w:t>
            </w:r>
            <w:r>
              <w:rPr>
                <w:rFonts w:asciiTheme="minorHAnsi" w:hAnsiTheme="minorHAnsi" w:cstheme="minorHAnsi"/>
                <w:sz w:val="18"/>
                <w:szCs w:val="18"/>
              </w:rPr>
              <w:t>.</w:t>
            </w:r>
            <w:r w:rsidRPr="00986D12">
              <w:rPr>
                <w:rFonts w:asciiTheme="minorHAnsi" w:hAnsiTheme="minorHAnsi" w:cstheme="minorHAnsi"/>
                <w:sz w:val="18"/>
                <w:szCs w:val="18"/>
              </w:rPr>
              <w:t>96</w:t>
            </w:r>
            <w:r>
              <w:rPr>
                <w:rFonts w:asciiTheme="minorHAnsi" w:hAnsiTheme="minorHAnsi" w:cstheme="minorHAnsi"/>
                <w:sz w:val="18"/>
                <w:szCs w:val="18"/>
              </w:rPr>
              <w:t xml:space="preserve"> million</w:t>
            </w:r>
            <w:r w:rsidRPr="00986D12">
              <w:rPr>
                <w:rFonts w:asciiTheme="minorHAnsi" w:hAnsiTheme="minorHAnsi" w:cstheme="minorHAnsi"/>
                <w:sz w:val="18"/>
                <w:szCs w:val="18"/>
              </w:rPr>
              <w:t xml:space="preserve"> and the budget allocated outside of </w:t>
            </w:r>
            <w:r>
              <w:rPr>
                <w:rFonts w:asciiTheme="minorHAnsi" w:hAnsiTheme="minorHAnsi" w:cstheme="minorHAnsi"/>
                <w:sz w:val="18"/>
                <w:szCs w:val="18"/>
              </w:rPr>
              <w:t>HQ</w:t>
            </w:r>
            <w:r w:rsidRPr="00986D12">
              <w:rPr>
                <w:rFonts w:asciiTheme="minorHAnsi" w:hAnsiTheme="minorHAnsi" w:cstheme="minorHAnsi"/>
                <w:sz w:val="18"/>
                <w:szCs w:val="18"/>
              </w:rPr>
              <w:t xml:space="preserve"> is 7.3%.</w:t>
            </w:r>
          </w:p>
          <w:p w14:paraId="479E02D1" w14:textId="77777777" w:rsidR="00E345BD" w:rsidRPr="00986D12" w:rsidRDefault="00E345BD" w:rsidP="00E345BD">
            <w:pPr>
              <w:pStyle w:val="WMOBodyText"/>
              <w:spacing w:before="40" w:after="40"/>
              <w:rPr>
                <w:rFonts w:asciiTheme="minorHAnsi" w:hAnsiTheme="minorHAnsi" w:cstheme="minorHAnsi"/>
                <w:sz w:val="18"/>
                <w:szCs w:val="18"/>
                <w:lang w:eastAsia="en-US"/>
              </w:rPr>
            </w:pPr>
          </w:p>
        </w:tc>
      </w:tr>
    </w:tbl>
    <w:p w14:paraId="67021A51" w14:textId="77777777" w:rsidR="00250529" w:rsidRPr="00986D12" w:rsidRDefault="00250529" w:rsidP="00507BF5">
      <w:pPr>
        <w:rPr>
          <w:rFonts w:asciiTheme="minorHAnsi" w:eastAsia="Bookman Old Style" w:hAnsiTheme="minorHAnsi" w:cstheme="minorHAnsi"/>
          <w:b/>
          <w:color w:val="000000" w:themeColor="text1"/>
        </w:rPr>
        <w:sectPr w:rsidR="00250529" w:rsidRPr="00986D12" w:rsidSect="00C3333A">
          <w:headerReference w:type="first" r:id="rId139"/>
          <w:pgSz w:w="16840" w:h="11907" w:orient="landscape" w:code="9"/>
          <w:pgMar w:top="1134" w:right="1134" w:bottom="1134" w:left="1134" w:header="567" w:footer="567" w:gutter="0"/>
          <w:cols w:space="720"/>
          <w:docGrid w:linePitch="326"/>
        </w:sectPr>
      </w:pPr>
    </w:p>
    <w:p w14:paraId="56B87A6E" w14:textId="3BB172C0" w:rsidR="00250529" w:rsidRPr="00507BF5" w:rsidRDefault="00250529" w:rsidP="00507BF5">
      <w:pPr>
        <w:pStyle w:val="WMOBodyText"/>
        <w:spacing w:line="276" w:lineRule="auto"/>
        <w:rPr>
          <w:rFonts w:asciiTheme="minorHAnsi" w:eastAsia="Bookman Old Style" w:hAnsiTheme="minorHAnsi" w:cstheme="minorHAnsi"/>
          <w:b/>
          <w:color w:val="000000" w:themeColor="text1"/>
          <w:sz w:val="24"/>
          <w:szCs w:val="24"/>
          <w:lang w:eastAsia="en-US"/>
        </w:rPr>
      </w:pPr>
      <w:r w:rsidRPr="00507BF5">
        <w:rPr>
          <w:rFonts w:asciiTheme="minorHAnsi" w:eastAsia="Bookman Old Style" w:hAnsiTheme="minorHAnsi" w:cstheme="minorHAnsi"/>
          <w:b/>
          <w:color w:val="000000" w:themeColor="text1"/>
          <w:sz w:val="24"/>
          <w:szCs w:val="24"/>
          <w:lang w:eastAsia="en-US"/>
        </w:rPr>
        <w:lastRenderedPageBreak/>
        <w:t xml:space="preserve">Conclusion and </w:t>
      </w:r>
      <w:r w:rsidR="001F2A97">
        <w:rPr>
          <w:rFonts w:asciiTheme="minorHAnsi" w:eastAsia="Bookman Old Style" w:hAnsiTheme="minorHAnsi" w:cstheme="minorHAnsi"/>
          <w:b/>
          <w:color w:val="000000" w:themeColor="text1"/>
          <w:sz w:val="24"/>
          <w:szCs w:val="24"/>
          <w:lang w:eastAsia="en-US"/>
        </w:rPr>
        <w:t>Emerging priorities for consideration</w:t>
      </w:r>
    </w:p>
    <w:p w14:paraId="7E3DA21A" w14:textId="77777777" w:rsidR="00250529" w:rsidRPr="00986D12" w:rsidRDefault="00250529" w:rsidP="00C9333F">
      <w:pPr>
        <w:jc w:val="both"/>
        <w:rPr>
          <w:rFonts w:asciiTheme="minorHAnsi" w:hAnsiTheme="minorHAnsi" w:cstheme="minorHAnsi"/>
        </w:rPr>
      </w:pPr>
      <w:r w:rsidRPr="00986D12">
        <w:rPr>
          <w:rFonts w:asciiTheme="minorHAnsi" w:hAnsiTheme="minorHAnsi" w:cstheme="minorHAnsi"/>
        </w:rPr>
        <w:t>The benchmarking analysis highlights several key observations regarding ITU’s regional structure in comparison with other UN specialized agencies.</w:t>
      </w:r>
    </w:p>
    <w:p w14:paraId="1D80BEFA" w14:textId="74B96361" w:rsidR="00250529" w:rsidRPr="00507BF5" w:rsidRDefault="008C431B" w:rsidP="008C431B">
      <w:pPr>
        <w:pStyle w:val="Bulletlist"/>
        <w:numPr>
          <w:ilvl w:val="0"/>
          <w:numId w:val="0"/>
        </w:numPr>
        <w:ind w:left="720" w:hanging="360"/>
        <w:jc w:val="both"/>
        <w:rPr>
          <w:rFonts w:asciiTheme="minorHAnsi" w:hAnsiTheme="minorHAnsi" w:cstheme="minorHAnsi"/>
          <w:sz w:val="24"/>
          <w:szCs w:val="24"/>
        </w:rPr>
      </w:pPr>
      <w:r w:rsidRPr="00507BF5">
        <w:rPr>
          <w:rFonts w:ascii="Symbol" w:hAnsi="Symbol" w:cstheme="minorHAnsi"/>
          <w:sz w:val="24"/>
          <w:szCs w:val="24"/>
        </w:rPr>
        <w:t></w:t>
      </w:r>
      <w:r w:rsidRPr="00507BF5">
        <w:rPr>
          <w:rFonts w:ascii="Symbol" w:hAnsi="Symbol" w:cstheme="minorHAnsi"/>
          <w:sz w:val="24"/>
          <w:szCs w:val="24"/>
        </w:rPr>
        <w:tab/>
      </w:r>
      <w:r w:rsidR="00250529" w:rsidRPr="00507BF5">
        <w:rPr>
          <w:rFonts w:asciiTheme="minorHAnsi" w:hAnsiTheme="minorHAnsi" w:cstheme="minorHAnsi"/>
          <w:sz w:val="24"/>
          <w:szCs w:val="24"/>
        </w:rPr>
        <w:t xml:space="preserve">First, ITU maintains a balanced but modest regional footprint, positioned between highly centralized organizations such as IMO and highly decentralized operational agencies such as </w:t>
      </w:r>
      <w:proofErr w:type="spellStart"/>
      <w:r w:rsidR="00250529" w:rsidRPr="00507BF5">
        <w:rPr>
          <w:rFonts w:asciiTheme="minorHAnsi" w:hAnsiTheme="minorHAnsi" w:cstheme="minorHAnsi"/>
          <w:sz w:val="24"/>
          <w:szCs w:val="24"/>
        </w:rPr>
        <w:t>UNIDO</w:t>
      </w:r>
      <w:proofErr w:type="spellEnd"/>
      <w:r w:rsidR="00250529" w:rsidRPr="00507BF5">
        <w:rPr>
          <w:rFonts w:asciiTheme="minorHAnsi" w:hAnsiTheme="minorHAnsi" w:cstheme="minorHAnsi"/>
          <w:sz w:val="24"/>
          <w:szCs w:val="24"/>
        </w:rPr>
        <w:t>. While the current structure provides global coverage through six regional offices and several area offices, the overall staff footprint and budget allocation to field operations remain comparatively limited.</w:t>
      </w:r>
    </w:p>
    <w:p w14:paraId="6F2B364A" w14:textId="41B5C0FC" w:rsidR="00250529" w:rsidRPr="00507BF5" w:rsidRDefault="008C431B" w:rsidP="008C431B">
      <w:pPr>
        <w:pStyle w:val="Bulletlist"/>
        <w:numPr>
          <w:ilvl w:val="0"/>
          <w:numId w:val="0"/>
        </w:numPr>
        <w:ind w:left="720" w:hanging="360"/>
        <w:jc w:val="both"/>
        <w:rPr>
          <w:rFonts w:asciiTheme="minorHAnsi" w:hAnsiTheme="minorHAnsi" w:cstheme="minorHAnsi"/>
          <w:sz w:val="24"/>
          <w:szCs w:val="24"/>
        </w:rPr>
      </w:pPr>
      <w:r w:rsidRPr="00507BF5">
        <w:rPr>
          <w:rFonts w:ascii="Symbol" w:hAnsi="Symbol" w:cstheme="minorHAnsi"/>
          <w:sz w:val="24"/>
          <w:szCs w:val="24"/>
        </w:rPr>
        <w:t></w:t>
      </w:r>
      <w:r w:rsidRPr="00507BF5">
        <w:rPr>
          <w:rFonts w:ascii="Symbol" w:hAnsi="Symbol" w:cstheme="minorHAnsi"/>
          <w:sz w:val="24"/>
          <w:szCs w:val="24"/>
        </w:rPr>
        <w:tab/>
      </w:r>
      <w:r w:rsidR="00250529" w:rsidRPr="00507BF5">
        <w:rPr>
          <w:rFonts w:asciiTheme="minorHAnsi" w:hAnsiTheme="minorHAnsi" w:cstheme="minorHAnsi"/>
          <w:sz w:val="24"/>
          <w:szCs w:val="24"/>
        </w:rPr>
        <w:t>Second, the functional roles of ITU’s regional offices align closely with those of other technical agencies, focusing primarily on capacity building, regional cooperation, and policy support. However, the limited number of staff in regional and area offices may constrain the organization’s ability to respond effectively to the increasing demand for support from member states on digital transformation regulatory guidance, and connectivity development.</w:t>
      </w:r>
    </w:p>
    <w:p w14:paraId="67CE9AEF" w14:textId="6BAC07D7" w:rsidR="00250529" w:rsidRPr="00507BF5" w:rsidRDefault="008C431B" w:rsidP="008C431B">
      <w:pPr>
        <w:pStyle w:val="Bulletlist"/>
        <w:numPr>
          <w:ilvl w:val="0"/>
          <w:numId w:val="0"/>
        </w:numPr>
        <w:ind w:left="720" w:hanging="360"/>
        <w:jc w:val="both"/>
        <w:rPr>
          <w:rFonts w:asciiTheme="minorHAnsi" w:hAnsiTheme="minorHAnsi" w:cstheme="minorHAnsi"/>
          <w:sz w:val="24"/>
          <w:szCs w:val="24"/>
        </w:rPr>
      </w:pPr>
      <w:r w:rsidRPr="00507BF5">
        <w:rPr>
          <w:rFonts w:ascii="Symbol" w:hAnsi="Symbol" w:cstheme="minorHAnsi"/>
          <w:sz w:val="24"/>
          <w:szCs w:val="24"/>
        </w:rPr>
        <w:t></w:t>
      </w:r>
      <w:r w:rsidRPr="00507BF5">
        <w:rPr>
          <w:rFonts w:ascii="Symbol" w:hAnsi="Symbol" w:cstheme="minorHAnsi"/>
          <w:sz w:val="24"/>
          <w:szCs w:val="24"/>
        </w:rPr>
        <w:tab/>
      </w:r>
      <w:r w:rsidR="00250529" w:rsidRPr="00507BF5">
        <w:rPr>
          <w:rFonts w:asciiTheme="minorHAnsi" w:hAnsiTheme="minorHAnsi" w:cstheme="minorHAnsi"/>
          <w:sz w:val="24"/>
          <w:szCs w:val="24"/>
        </w:rPr>
        <w:t xml:space="preserve">Third, financial benchmarking suggests that although ITU dedicates a moderate share of its budget to regional operations, organizations with stronger operational mandates—such as </w:t>
      </w:r>
      <w:proofErr w:type="spellStart"/>
      <w:r w:rsidR="00250529" w:rsidRPr="00507BF5">
        <w:rPr>
          <w:rFonts w:asciiTheme="minorHAnsi" w:hAnsiTheme="minorHAnsi" w:cstheme="minorHAnsi"/>
          <w:sz w:val="24"/>
          <w:szCs w:val="24"/>
        </w:rPr>
        <w:t>UNIDO</w:t>
      </w:r>
      <w:proofErr w:type="spellEnd"/>
      <w:r w:rsidR="00250529" w:rsidRPr="00507BF5">
        <w:rPr>
          <w:rFonts w:asciiTheme="minorHAnsi" w:hAnsiTheme="minorHAnsi" w:cstheme="minorHAnsi"/>
          <w:sz w:val="24"/>
          <w:szCs w:val="24"/>
        </w:rPr>
        <w:t>—allocate significantly higher proportions of resources to field activities.</w:t>
      </w:r>
    </w:p>
    <w:p w14:paraId="7C1AABF2" w14:textId="77777777" w:rsidR="00250529" w:rsidRPr="00986D12" w:rsidRDefault="00250529" w:rsidP="00C9333F">
      <w:pPr>
        <w:jc w:val="both"/>
        <w:rPr>
          <w:rFonts w:asciiTheme="minorHAnsi" w:hAnsiTheme="minorHAnsi" w:cstheme="minorHAnsi"/>
        </w:rPr>
      </w:pPr>
      <w:r w:rsidRPr="00986D12">
        <w:rPr>
          <w:rFonts w:asciiTheme="minorHAnsi" w:hAnsiTheme="minorHAnsi" w:cstheme="minorHAnsi"/>
        </w:rPr>
        <w:t>Based on these findings, several areas for improvement emerge:</w:t>
      </w:r>
    </w:p>
    <w:p w14:paraId="26435D0D" w14:textId="0BB64CC6" w:rsidR="00250529" w:rsidRPr="00507BF5" w:rsidRDefault="008C431B" w:rsidP="008C431B">
      <w:pPr>
        <w:pStyle w:val="WMOBodyText"/>
        <w:spacing w:before="60" w:after="60"/>
        <w:ind w:left="850" w:hanging="493"/>
        <w:jc w:val="both"/>
        <w:rPr>
          <w:rFonts w:asciiTheme="minorHAnsi" w:eastAsia="Bookman Old Style" w:hAnsiTheme="minorHAnsi" w:cstheme="minorHAnsi"/>
          <w:color w:val="000000" w:themeColor="text1"/>
          <w:sz w:val="24"/>
          <w:szCs w:val="24"/>
          <w:lang w:eastAsia="en-US"/>
        </w:rPr>
      </w:pPr>
      <w:r w:rsidRPr="00507BF5">
        <w:rPr>
          <w:rFonts w:asciiTheme="minorHAnsi" w:eastAsia="Bookman Old Style" w:hAnsiTheme="minorHAnsi" w:cstheme="minorHAnsi"/>
          <w:color w:val="000000" w:themeColor="text1"/>
          <w:sz w:val="24"/>
          <w:szCs w:val="24"/>
          <w:lang w:eastAsia="en-US"/>
        </w:rPr>
        <w:t>1.</w:t>
      </w:r>
      <w:r w:rsidRPr="00507BF5">
        <w:rPr>
          <w:rFonts w:asciiTheme="minorHAnsi" w:eastAsia="Bookman Old Style" w:hAnsiTheme="minorHAnsi" w:cstheme="minorHAnsi"/>
          <w:color w:val="000000" w:themeColor="text1"/>
          <w:sz w:val="24"/>
          <w:szCs w:val="24"/>
          <w:lang w:eastAsia="en-US"/>
        </w:rPr>
        <w:tab/>
      </w:r>
      <w:r w:rsidR="00250529" w:rsidRPr="00507BF5">
        <w:rPr>
          <w:rFonts w:asciiTheme="minorHAnsi" w:eastAsia="Bookman Old Style" w:hAnsiTheme="minorHAnsi" w:cstheme="minorHAnsi"/>
          <w:color w:val="000000" w:themeColor="text1"/>
          <w:sz w:val="24"/>
          <w:szCs w:val="24"/>
          <w:lang w:eastAsia="en-US"/>
        </w:rPr>
        <w:t>Strengthen the regional staffing footprint to enhance technical support and policy engagement with member states, particularly in regions experiencing rapid digital development challenges.</w:t>
      </w:r>
    </w:p>
    <w:p w14:paraId="01557233" w14:textId="0D9E447E" w:rsidR="00250529" w:rsidRPr="00507BF5" w:rsidRDefault="008C431B" w:rsidP="008C431B">
      <w:pPr>
        <w:pStyle w:val="WMOBodyText"/>
        <w:spacing w:before="60" w:after="60"/>
        <w:ind w:left="850" w:hanging="493"/>
        <w:jc w:val="both"/>
        <w:rPr>
          <w:rFonts w:asciiTheme="minorHAnsi" w:eastAsia="Bookman Old Style" w:hAnsiTheme="minorHAnsi" w:cstheme="minorHAnsi"/>
          <w:color w:val="000000" w:themeColor="text1"/>
          <w:sz w:val="24"/>
          <w:szCs w:val="24"/>
          <w:lang w:eastAsia="en-US"/>
        </w:rPr>
      </w:pPr>
      <w:r w:rsidRPr="00507BF5">
        <w:rPr>
          <w:rFonts w:asciiTheme="minorHAnsi" w:eastAsia="Bookman Old Style" w:hAnsiTheme="minorHAnsi" w:cstheme="minorHAnsi"/>
          <w:color w:val="000000" w:themeColor="text1"/>
          <w:sz w:val="24"/>
          <w:szCs w:val="24"/>
          <w:lang w:eastAsia="en-US"/>
        </w:rPr>
        <w:t>2.</w:t>
      </w:r>
      <w:r w:rsidRPr="00507BF5">
        <w:rPr>
          <w:rFonts w:asciiTheme="minorHAnsi" w:eastAsia="Bookman Old Style" w:hAnsiTheme="minorHAnsi" w:cstheme="minorHAnsi"/>
          <w:color w:val="000000" w:themeColor="text1"/>
          <w:sz w:val="24"/>
          <w:szCs w:val="24"/>
          <w:lang w:eastAsia="en-US"/>
        </w:rPr>
        <w:tab/>
      </w:r>
      <w:r w:rsidR="00250529" w:rsidRPr="00507BF5">
        <w:rPr>
          <w:rFonts w:asciiTheme="minorHAnsi" w:eastAsia="Bookman Old Style" w:hAnsiTheme="minorHAnsi" w:cstheme="minorHAnsi"/>
          <w:color w:val="000000" w:themeColor="text1"/>
          <w:sz w:val="24"/>
          <w:szCs w:val="24"/>
          <w:lang w:eastAsia="en-US"/>
        </w:rPr>
        <w:t>Review the allocation of financial resources to ensure regional offices have sufficient operational capacity to implement ITU initiatives effectively.</w:t>
      </w:r>
    </w:p>
    <w:p w14:paraId="460AC407" w14:textId="29B1307F" w:rsidR="00250529" w:rsidRPr="00507BF5" w:rsidRDefault="008C431B" w:rsidP="008C431B">
      <w:pPr>
        <w:pStyle w:val="WMOBodyText"/>
        <w:spacing w:before="60" w:after="60"/>
        <w:ind w:left="850" w:hanging="493"/>
        <w:jc w:val="both"/>
        <w:rPr>
          <w:rFonts w:asciiTheme="minorHAnsi" w:eastAsia="Bookman Old Style" w:hAnsiTheme="minorHAnsi" w:cstheme="minorHAnsi"/>
          <w:color w:val="000000" w:themeColor="text1"/>
          <w:sz w:val="24"/>
          <w:szCs w:val="24"/>
          <w:lang w:eastAsia="en-US"/>
        </w:rPr>
      </w:pPr>
      <w:r w:rsidRPr="00507BF5">
        <w:rPr>
          <w:rFonts w:asciiTheme="minorHAnsi" w:eastAsia="Bookman Old Style" w:hAnsiTheme="minorHAnsi" w:cstheme="minorHAnsi"/>
          <w:color w:val="000000" w:themeColor="text1"/>
          <w:sz w:val="24"/>
          <w:szCs w:val="24"/>
          <w:lang w:eastAsia="en-US"/>
        </w:rPr>
        <w:t>3.</w:t>
      </w:r>
      <w:r w:rsidRPr="00507BF5">
        <w:rPr>
          <w:rFonts w:asciiTheme="minorHAnsi" w:eastAsia="Bookman Old Style" w:hAnsiTheme="minorHAnsi" w:cstheme="minorHAnsi"/>
          <w:color w:val="000000" w:themeColor="text1"/>
          <w:sz w:val="24"/>
          <w:szCs w:val="24"/>
          <w:lang w:eastAsia="en-US"/>
        </w:rPr>
        <w:tab/>
      </w:r>
      <w:r w:rsidR="00250529" w:rsidRPr="00507BF5">
        <w:rPr>
          <w:rFonts w:asciiTheme="minorHAnsi" w:eastAsia="Bookman Old Style" w:hAnsiTheme="minorHAnsi" w:cstheme="minorHAnsi"/>
          <w:color w:val="000000" w:themeColor="text1"/>
          <w:sz w:val="24"/>
          <w:szCs w:val="24"/>
          <w:lang w:eastAsia="en-US"/>
        </w:rPr>
        <w:t>Promote stronger collaboration with other UN agencies at the regional level, leveraging existing regional coordination mechanisms to maximize impact.</w:t>
      </w:r>
    </w:p>
    <w:p w14:paraId="0DC61434" w14:textId="4DBA894C" w:rsidR="00C9333F" w:rsidRDefault="00250529" w:rsidP="00C9333F">
      <w:pPr>
        <w:jc w:val="both"/>
        <w:rPr>
          <w:rFonts w:asciiTheme="minorHAnsi" w:hAnsiTheme="minorHAnsi" w:cstheme="minorHAnsi"/>
        </w:rPr>
      </w:pPr>
      <w:r w:rsidRPr="00986D12">
        <w:rPr>
          <w:rFonts w:asciiTheme="minorHAnsi" w:hAnsiTheme="minorHAnsi" w:cstheme="minorHAnsi"/>
        </w:rPr>
        <w:t>Overall, the benchmarking suggests that while ITU’s current regional structure is broadly aligned with the practices of comparable UN organizations, targeted strengthening of regional capacity could enhance the organization’s ability to deliver on its mandate of universal and affordable access to ICTs worldwide.</w:t>
      </w:r>
    </w:p>
    <w:p w14:paraId="0371F1FC" w14:textId="77777777" w:rsidR="00C9333F" w:rsidRDefault="00C9333F" w:rsidP="00C9333F">
      <w:pPr>
        <w:jc w:val="both"/>
        <w:rPr>
          <w:rFonts w:asciiTheme="minorHAnsi" w:hAnsiTheme="minorHAnsi" w:cstheme="minorHAnsi"/>
        </w:rPr>
      </w:pPr>
    </w:p>
    <w:p w14:paraId="1D562182" w14:textId="77777777" w:rsidR="00C9333F" w:rsidRPr="00C9333F" w:rsidRDefault="00C9333F" w:rsidP="00C9333F">
      <w:pPr>
        <w:jc w:val="both"/>
        <w:rPr>
          <w:rFonts w:asciiTheme="minorHAnsi" w:hAnsiTheme="minorHAnsi" w:cstheme="minorHAnsi"/>
        </w:rPr>
      </w:pPr>
    </w:p>
    <w:p w14:paraId="702670E6" w14:textId="5B93BCB0" w:rsidR="00C9333F" w:rsidRPr="00C9333F" w:rsidRDefault="00C9333F" w:rsidP="00C9333F">
      <w:pPr>
        <w:jc w:val="center"/>
      </w:pPr>
      <w:r>
        <w:t>______________</w:t>
      </w:r>
    </w:p>
    <w:sectPr w:rsidR="00C9333F" w:rsidRPr="00C9333F" w:rsidSect="003A2AB2">
      <w:headerReference w:type="even" r:id="rId140"/>
      <w:footerReference w:type="even" r:id="rId141"/>
      <w:footerReference w:type="default" r:id="rId142"/>
      <w:headerReference w:type="first" r:id="rId143"/>
      <w:footerReference w:type="first" r:id="rId144"/>
      <w:pgSz w:w="11907" w:h="16834"/>
      <w:pgMar w:top="1418" w:right="1418" w:bottom="1418" w:left="1418" w:header="720" w:footer="720" w:gutter="0"/>
      <w:paperSrc w:first="286" w:other="28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DA02C" w14:textId="77777777" w:rsidR="003E1BE4" w:rsidRDefault="003E1BE4">
      <w:r>
        <w:separator/>
      </w:r>
    </w:p>
  </w:endnote>
  <w:endnote w:type="continuationSeparator" w:id="0">
    <w:p w14:paraId="186BFB2F" w14:textId="77777777" w:rsidR="003E1BE4" w:rsidRDefault="003E1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xt2 W1G,Segoe U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xt2 W1G">
    <w:panose1 w:val="020B0503020202020204"/>
    <w:charset w:val="00"/>
    <w:family w:val="swiss"/>
    <w:notTrueType/>
    <w:pitch w:val="variable"/>
    <w:sig w:usb0="A00002EF" w:usb1="00000003" w:usb2="00000000" w:usb3="00000000" w:csb0="0000019F" w:csb1="00000000"/>
  </w:font>
  <w:font w:name="Aptos">
    <w:charset w:val="00"/>
    <w:family w:val="swiss"/>
    <w:pitch w:val="variable"/>
    <w:sig w:usb0="20000287" w:usb1="00000003" w:usb2="00000000" w:usb3="00000000" w:csb0="0000019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5002EFF" w:usb1="C2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C2460C" w:rsidRPr="00C2460C" w14:paraId="5D8DFB3F" w14:textId="77777777">
      <w:trPr>
        <w:jc w:val="center"/>
      </w:trPr>
      <w:tc>
        <w:tcPr>
          <w:tcW w:w="1803" w:type="dxa"/>
          <w:vAlign w:val="center"/>
        </w:tcPr>
        <w:p w14:paraId="2909FF4B" w14:textId="19A50B5D" w:rsidR="00C2460C" w:rsidRPr="00C2460C" w:rsidRDefault="00C2460C" w:rsidP="00C2460C">
          <w:pPr>
            <w:pStyle w:val="Footer"/>
            <w:rPr>
              <w:rFonts w:eastAsia="Times New Roman" w:cs="Times New Roman"/>
              <w:szCs w:val="20"/>
            </w:rPr>
          </w:pPr>
        </w:p>
      </w:tc>
      <w:tc>
        <w:tcPr>
          <w:tcW w:w="8261" w:type="dxa"/>
        </w:tcPr>
        <w:p w14:paraId="7F93A0D5" w14:textId="74169AC8" w:rsidR="00C2460C" w:rsidRPr="00C2460C" w:rsidRDefault="00C2460C" w:rsidP="006704DF">
          <w:pPr>
            <w:pStyle w:val="Footer"/>
            <w:tabs>
              <w:tab w:val="clear" w:pos="5954"/>
              <w:tab w:val="left" w:pos="6448"/>
            </w:tabs>
            <w:rPr>
              <w:rFonts w:eastAsia="Times New Roman" w:cs="Times New Roman"/>
              <w:b/>
              <w:bCs/>
              <w:szCs w:val="20"/>
            </w:rPr>
          </w:pPr>
          <w:r w:rsidRPr="00C2460C">
            <w:rPr>
              <w:rFonts w:eastAsia="Times New Roman" w:cs="Times New Roman"/>
              <w:bCs/>
              <w:szCs w:val="20"/>
            </w:rPr>
            <w:tab/>
            <w:t>C26/</w:t>
          </w:r>
          <w:r>
            <w:rPr>
              <w:rFonts w:eastAsia="Times New Roman" w:cs="Times New Roman"/>
              <w:bCs/>
              <w:szCs w:val="20"/>
            </w:rPr>
            <w:t>I</w:t>
          </w:r>
          <w:r>
            <w:rPr>
              <w:rFonts w:cs="Times New Roman"/>
              <w:bCs/>
              <w:szCs w:val="20"/>
            </w:rPr>
            <w:t>NF/</w:t>
          </w:r>
          <w:r>
            <w:rPr>
              <w:rFonts w:eastAsia="Times New Roman" w:cs="Times New Roman"/>
              <w:bCs/>
              <w:szCs w:val="20"/>
            </w:rPr>
            <w:t>10</w:t>
          </w:r>
          <w:r w:rsidRPr="00C2460C">
            <w:rPr>
              <w:rFonts w:eastAsia="Times New Roman" w:cs="Times New Roman"/>
              <w:bCs/>
              <w:szCs w:val="20"/>
            </w:rPr>
            <w:t>-E</w:t>
          </w:r>
          <w:r w:rsidRPr="00C2460C">
            <w:rPr>
              <w:rFonts w:eastAsia="Times New Roman" w:cs="Times New Roman"/>
              <w:bCs/>
              <w:szCs w:val="20"/>
            </w:rPr>
            <w:tab/>
          </w:r>
          <w:r w:rsidRPr="00C2460C">
            <w:fldChar w:fldCharType="begin"/>
          </w:r>
          <w:r w:rsidRPr="00C2460C">
            <w:rPr>
              <w:rFonts w:eastAsia="Times New Roman" w:cs="Times New Roman"/>
              <w:szCs w:val="20"/>
            </w:rPr>
            <w:instrText>PAGE</w:instrText>
          </w:r>
          <w:r w:rsidRPr="00C2460C">
            <w:fldChar w:fldCharType="separate"/>
          </w:r>
          <w:r w:rsidRPr="00C2460C">
            <w:rPr>
              <w:rFonts w:eastAsia="Times New Roman" w:cs="Times New Roman"/>
              <w:szCs w:val="20"/>
            </w:rPr>
            <w:t>1</w:t>
          </w:r>
          <w:r w:rsidRPr="00C2460C">
            <w:fldChar w:fldCharType="end"/>
          </w:r>
        </w:p>
      </w:tc>
    </w:tr>
  </w:tbl>
  <w:p w14:paraId="0CF45331" w14:textId="77777777" w:rsidR="009C6B21" w:rsidRDefault="009C6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9C6B21" w:rsidRPr="009C6B21" w14:paraId="2D3979A5" w14:textId="77777777">
      <w:trPr>
        <w:jc w:val="center"/>
      </w:trPr>
      <w:tc>
        <w:tcPr>
          <w:tcW w:w="1803" w:type="dxa"/>
          <w:vAlign w:val="center"/>
        </w:tcPr>
        <w:p w14:paraId="68DF5029" w14:textId="581FB643" w:rsidR="009C6B21" w:rsidRPr="009C6B21" w:rsidRDefault="006704DF" w:rsidP="009C6B21">
          <w:pPr>
            <w:pStyle w:val="Footer"/>
            <w:rPr>
              <w:rFonts w:eastAsia="Times New Roman" w:cs="Times New Roman"/>
              <w:szCs w:val="20"/>
            </w:rPr>
          </w:pPr>
          <w:hyperlink r:id="rId1" w:history="1">
            <w:r w:rsidRPr="009C6B21">
              <w:rPr>
                <w:rStyle w:val="Hyperlink"/>
                <w:caps w:val="0"/>
              </w:rPr>
              <w:t>council.itu.int/2026</w:t>
            </w:r>
          </w:hyperlink>
        </w:p>
      </w:tc>
      <w:tc>
        <w:tcPr>
          <w:tcW w:w="8261" w:type="dxa"/>
        </w:tcPr>
        <w:p w14:paraId="5A133086" w14:textId="45CCB892" w:rsidR="009C6B21" w:rsidRPr="009C6B21" w:rsidRDefault="009C6B21" w:rsidP="006704DF">
          <w:pPr>
            <w:pStyle w:val="Footer"/>
            <w:tabs>
              <w:tab w:val="clear" w:pos="5954"/>
              <w:tab w:val="left" w:pos="6448"/>
            </w:tabs>
            <w:rPr>
              <w:rFonts w:eastAsia="Times New Roman" w:cs="Times New Roman"/>
              <w:b/>
              <w:bCs/>
              <w:szCs w:val="20"/>
            </w:rPr>
          </w:pPr>
          <w:r w:rsidRPr="009C6B21">
            <w:rPr>
              <w:rFonts w:eastAsia="Times New Roman" w:cs="Times New Roman"/>
              <w:bCs/>
              <w:szCs w:val="20"/>
            </w:rPr>
            <w:tab/>
            <w:t>C26/</w:t>
          </w:r>
          <w:r>
            <w:rPr>
              <w:rFonts w:eastAsia="Times New Roman" w:cs="Times New Roman"/>
              <w:bCs/>
              <w:szCs w:val="20"/>
            </w:rPr>
            <w:t>INF/</w:t>
          </w:r>
          <w:r w:rsidR="00C2460C">
            <w:rPr>
              <w:rFonts w:eastAsia="Times New Roman" w:cs="Times New Roman"/>
              <w:bCs/>
              <w:szCs w:val="20"/>
            </w:rPr>
            <w:t>10</w:t>
          </w:r>
          <w:r w:rsidRPr="009C6B21">
            <w:rPr>
              <w:rFonts w:eastAsia="Times New Roman" w:cs="Times New Roman"/>
              <w:bCs/>
              <w:szCs w:val="20"/>
            </w:rPr>
            <w:t>-E</w:t>
          </w:r>
          <w:r w:rsidRPr="009C6B21">
            <w:rPr>
              <w:rFonts w:eastAsia="Times New Roman" w:cs="Times New Roman"/>
              <w:bCs/>
              <w:szCs w:val="20"/>
            </w:rPr>
            <w:tab/>
          </w:r>
          <w:r w:rsidRPr="009C6B21">
            <w:fldChar w:fldCharType="begin"/>
          </w:r>
          <w:r w:rsidRPr="009C6B21">
            <w:rPr>
              <w:rFonts w:eastAsia="Times New Roman" w:cs="Times New Roman"/>
              <w:szCs w:val="20"/>
            </w:rPr>
            <w:instrText>PAGE</w:instrText>
          </w:r>
          <w:r w:rsidRPr="009C6B21">
            <w:fldChar w:fldCharType="separate"/>
          </w:r>
          <w:r w:rsidRPr="009C6B21">
            <w:rPr>
              <w:rFonts w:eastAsia="Times New Roman" w:cs="Times New Roman"/>
              <w:szCs w:val="20"/>
            </w:rPr>
            <w:t>1</w:t>
          </w:r>
          <w:r w:rsidRPr="009C6B21">
            <w:fldChar w:fldCharType="end"/>
          </w:r>
        </w:p>
      </w:tc>
    </w:tr>
  </w:tbl>
  <w:p w14:paraId="15641113" w14:textId="77777777" w:rsidR="009C6B21" w:rsidRDefault="009C6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424A" w14:textId="77777777" w:rsidR="004976F7" w:rsidRDefault="004976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24CBF7F2" w14:textId="77777777">
      <w:trPr>
        <w:jc w:val="center"/>
      </w:trPr>
      <w:tc>
        <w:tcPr>
          <w:tcW w:w="1803" w:type="dxa"/>
          <w:vAlign w:val="center"/>
        </w:tcPr>
        <w:p w14:paraId="77C2BEA6" w14:textId="77777777" w:rsidR="00EE49E8" w:rsidRDefault="00C6520B" w:rsidP="00EE49E8">
          <w:pPr>
            <w:pStyle w:val="Header"/>
            <w:jc w:val="left"/>
            <w:rPr>
              <w:noProof/>
            </w:rPr>
          </w:pPr>
          <w:r>
            <w:rPr>
              <w:noProof/>
            </w:rPr>
            <w:t>gDoc #</w:t>
          </w:r>
        </w:p>
      </w:tc>
      <w:tc>
        <w:tcPr>
          <w:tcW w:w="8261" w:type="dxa"/>
        </w:tcPr>
        <w:p w14:paraId="0518D5BA" w14:textId="632040E8" w:rsidR="00EE49E8" w:rsidRPr="00E06FD5" w:rsidRDefault="00EE49E8" w:rsidP="001F5569">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w:t>
          </w:r>
          <w:r w:rsidR="00DE532B">
            <w:rPr>
              <w:bCs/>
            </w:rPr>
            <w:t>6</w:t>
          </w:r>
          <w:proofErr w:type="spellEnd"/>
          <w:r w:rsidRPr="00623AE3">
            <w:rPr>
              <w:bCs/>
            </w:rPr>
            <w:t>/</w:t>
          </w:r>
          <w:r w:rsidR="004976F7">
            <w:rPr>
              <w:bCs/>
            </w:rPr>
            <w:t>X</w:t>
          </w:r>
          <w:r w:rsidRPr="00623AE3">
            <w:rPr>
              <w:bCs/>
            </w:rPr>
            <w:t>-E</w:t>
          </w:r>
          <w:r>
            <w:rPr>
              <w:bCs/>
            </w:rPr>
            <w:tab/>
          </w:r>
          <w:r>
            <w:fldChar w:fldCharType="begin"/>
          </w:r>
          <w:r>
            <w:instrText>PAGE</w:instrText>
          </w:r>
          <w:r>
            <w:fldChar w:fldCharType="separate"/>
          </w:r>
          <w:r>
            <w:t>1</w:t>
          </w:r>
          <w:r>
            <w:rPr>
              <w:noProof/>
            </w:rPr>
            <w:fldChar w:fldCharType="end"/>
          </w:r>
        </w:p>
      </w:tc>
    </w:tr>
  </w:tbl>
  <w:p w14:paraId="3FF3BB4E" w14:textId="77777777" w:rsidR="00EE49E8" w:rsidRPr="00DB1936" w:rsidRDefault="00EE49E8" w:rsidP="00EE49E8">
    <w:pPr>
      <w:pStyle w:val="Header"/>
      <w:tabs>
        <w:tab w:val="left" w:pos="8080"/>
        <w:tab w:val="right" w:pos="9072"/>
      </w:tabs>
      <w:jc w:val="left"/>
      <w:rPr>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EE49E8" w:rsidRPr="00784011" w14:paraId="002A0665" w14:textId="77777777" w:rsidTr="006B77F1">
      <w:trPr>
        <w:jc w:val="center"/>
      </w:trPr>
      <w:tc>
        <w:tcPr>
          <w:tcW w:w="1803" w:type="dxa"/>
          <w:vAlign w:val="center"/>
        </w:tcPr>
        <w:p w14:paraId="56534B3F" w14:textId="77777777" w:rsidR="00EE49E8" w:rsidRPr="006B77F1" w:rsidRDefault="00DE532B" w:rsidP="00EE49E8">
          <w:pPr>
            <w:pStyle w:val="Header"/>
            <w:jc w:val="left"/>
            <w:rPr>
              <w:noProof/>
            </w:rPr>
          </w:pPr>
          <w:hyperlink r:id="rId1" w:history="1">
            <w:proofErr w:type="spellStart"/>
            <w:r>
              <w:rPr>
                <w:rStyle w:val="Hyperlink"/>
                <w:u w:val="none"/>
              </w:rPr>
              <w:t>council.itu.int</w:t>
            </w:r>
            <w:proofErr w:type="spellEnd"/>
            <w:r>
              <w:rPr>
                <w:rStyle w:val="Hyperlink"/>
                <w:u w:val="none"/>
              </w:rPr>
              <w:t>/2026</w:t>
            </w:r>
          </w:hyperlink>
        </w:p>
      </w:tc>
      <w:tc>
        <w:tcPr>
          <w:tcW w:w="8261" w:type="dxa"/>
        </w:tcPr>
        <w:p w14:paraId="547AA573" w14:textId="42C1C791" w:rsidR="00EE49E8" w:rsidRPr="00E06FD5" w:rsidRDefault="00EE49E8" w:rsidP="001F5569">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w:t>
          </w:r>
          <w:r w:rsidR="00DE532B">
            <w:rPr>
              <w:bCs/>
            </w:rPr>
            <w:t>6</w:t>
          </w:r>
          <w:proofErr w:type="spellEnd"/>
          <w:r w:rsidRPr="00623AE3">
            <w:rPr>
              <w:bCs/>
            </w:rPr>
            <w:t>/</w:t>
          </w:r>
          <w:r w:rsidR="003A4769">
            <w:rPr>
              <w:bCs/>
            </w:rPr>
            <w:t>X</w:t>
          </w:r>
          <w:r w:rsidRPr="00623AE3">
            <w:rPr>
              <w:bCs/>
            </w:rPr>
            <w:t>-E</w:t>
          </w:r>
          <w:r>
            <w:rPr>
              <w:bCs/>
            </w:rPr>
            <w:tab/>
          </w:r>
          <w:r>
            <w:fldChar w:fldCharType="begin"/>
          </w:r>
          <w:r>
            <w:instrText>PAGE</w:instrText>
          </w:r>
          <w:r>
            <w:fldChar w:fldCharType="separate"/>
          </w:r>
          <w:r>
            <w:t>1</w:t>
          </w:r>
          <w:r>
            <w:rPr>
              <w:noProof/>
            </w:rPr>
            <w:fldChar w:fldCharType="end"/>
          </w:r>
        </w:p>
      </w:tc>
    </w:tr>
  </w:tbl>
  <w:p w14:paraId="67440D75" w14:textId="77777777" w:rsidR="00A514A4" w:rsidRPr="00623AE3" w:rsidRDefault="00A514A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49DD" w14:textId="77777777" w:rsidR="003E1BE4" w:rsidRDefault="003E1BE4">
      <w:r>
        <w:t>____________________</w:t>
      </w:r>
    </w:p>
  </w:footnote>
  <w:footnote w:type="continuationSeparator" w:id="0">
    <w:p w14:paraId="5D0CB770" w14:textId="77777777" w:rsidR="003E1BE4" w:rsidRDefault="003E1BE4">
      <w:r>
        <w:continuationSeparator/>
      </w:r>
    </w:p>
  </w:footnote>
  <w:footnote w:id="1">
    <w:p w14:paraId="7A600102" w14:textId="00E73777" w:rsidR="009B6AEA" w:rsidRPr="009B6AEA" w:rsidRDefault="009B6AEA">
      <w:pPr>
        <w:pStyle w:val="FootnoteText"/>
      </w:pPr>
      <w:r>
        <w:rPr>
          <w:rStyle w:val="FootnoteReference"/>
        </w:rPr>
        <w:footnoteRef/>
      </w:r>
      <w:r>
        <w:t xml:space="preserve"> </w:t>
      </w:r>
      <w:r w:rsidR="00A122F7">
        <w:t>See Annex B f</w:t>
      </w:r>
      <w:r>
        <w:t>or detail</w:t>
      </w:r>
      <w:r w:rsidR="00A122F7">
        <w:t xml:space="preserve">s </w:t>
      </w:r>
      <w:r w:rsidR="00811000">
        <w:t xml:space="preserve">about </w:t>
      </w:r>
      <w:r>
        <w:t>the Membership survey</w:t>
      </w:r>
      <w:r w:rsidR="00811000">
        <w:t>.</w:t>
      </w:r>
    </w:p>
  </w:footnote>
  <w:footnote w:id="2">
    <w:p w14:paraId="3A14E11B" w14:textId="010A0219" w:rsidR="004577E1" w:rsidRPr="004577E1" w:rsidRDefault="004577E1">
      <w:pPr>
        <w:pStyle w:val="FootnoteText"/>
      </w:pPr>
      <w:r>
        <w:rPr>
          <w:rStyle w:val="FootnoteReference"/>
        </w:rPr>
        <w:footnoteRef/>
      </w:r>
      <w:r>
        <w:t xml:space="preserve"> See Annex C2 for more information </w:t>
      </w:r>
      <w:r w:rsidR="00FB5DDB">
        <w:t>on the Internal Assessment Survey.</w:t>
      </w:r>
    </w:p>
  </w:footnote>
  <w:footnote w:id="3">
    <w:p w14:paraId="0C209253" w14:textId="77777777" w:rsidR="00250529" w:rsidRPr="005D49E0" w:rsidRDefault="00250529" w:rsidP="00507BF5">
      <w:pPr>
        <w:pStyle w:val="Footnotes"/>
      </w:pPr>
      <w:r w:rsidRPr="005D49E0">
        <w:rPr>
          <w:rStyle w:val="FootnoteReference"/>
          <w:rFonts w:ascii="Avenir Nxt2 W1G" w:hAnsi="Avenir Nxt2 W1G"/>
        </w:rPr>
        <w:footnoteRef/>
      </w:r>
      <w:r w:rsidRPr="005D49E0">
        <w:t xml:space="preserve">   Council-25 Document </w:t>
      </w:r>
      <w:hyperlink r:id="rId1" w:history="1">
        <w:r w:rsidRPr="005D49E0">
          <w:rPr>
            <w:rStyle w:val="Hyperlink"/>
          </w:rPr>
          <w:t>C25/105</w:t>
        </w:r>
      </w:hyperlink>
      <w:r w:rsidRPr="005D49E0">
        <w:br/>
        <w:t xml:space="preserve">- Annex H contains the “Recommendation on Regional Presence”, </w:t>
      </w:r>
      <w:r w:rsidRPr="005D49E0">
        <w:br/>
        <w:t xml:space="preserve">- Annex A contains the “Terms of Reference and Scope of Work for the review of ITU Regional Presence” </w:t>
      </w:r>
      <w:r w:rsidRPr="005D49E0">
        <w:br/>
        <w:t>- Annex 1 contains the 27 “Key performance indicators and evaluation criteria to be considered in undertaking the review of the ITU’s Regional Presence”</w:t>
      </w:r>
    </w:p>
  </w:footnote>
  <w:footnote w:id="4">
    <w:p w14:paraId="589A327F" w14:textId="77777777" w:rsidR="00250529" w:rsidRPr="005D49E0" w:rsidRDefault="00250529" w:rsidP="00507BF5">
      <w:pPr>
        <w:pStyle w:val="Footnotes"/>
      </w:pPr>
      <w:r w:rsidRPr="005D49E0">
        <w:rPr>
          <w:rStyle w:val="FootnoteReference"/>
          <w:rFonts w:ascii="Avenir Nxt2 W1G" w:hAnsi="Avenir Nxt2 W1G"/>
        </w:rPr>
        <w:footnoteRef/>
      </w:r>
      <w:r w:rsidRPr="005D49E0">
        <w:t xml:space="preserve"> </w:t>
      </w:r>
      <w:r w:rsidRPr="005D49E0">
        <w:rPr>
          <w:rFonts w:eastAsia="Segoe UI"/>
        </w:rPr>
        <w:t>Percentages are rounded to the nearest integer and may therefore not add up to 100 per cent.</w:t>
      </w:r>
    </w:p>
  </w:footnote>
  <w:footnote w:id="5">
    <w:p w14:paraId="2E9022C1" w14:textId="77777777" w:rsidR="00250529" w:rsidRPr="005D49E0" w:rsidRDefault="00250529" w:rsidP="00507BF5">
      <w:pPr>
        <w:pStyle w:val="Footnotes"/>
        <w:rPr>
          <w:rFonts w:eastAsia="Yu Gothic Light"/>
        </w:rPr>
      </w:pPr>
      <w:r w:rsidRPr="005D49E0">
        <w:rPr>
          <w:rStyle w:val="FootnoteReference"/>
          <w:rFonts w:ascii="Avenir Nxt2 W1G" w:eastAsia="Aptos" w:hAnsi="Avenir Nxt2 W1G"/>
        </w:rPr>
        <w:footnoteRef/>
      </w:r>
      <w:r w:rsidRPr="005D49E0">
        <w:t xml:space="preserve"> T</w:t>
      </w:r>
      <w:r w:rsidRPr="005D49E0">
        <w:rPr>
          <w:rFonts w:eastAsia="Yu Gothic Light"/>
        </w:rPr>
        <w:t>his information is provided by ITU-HR-ODR Division.</w:t>
      </w:r>
    </w:p>
  </w:footnote>
  <w:footnote w:id="6">
    <w:p w14:paraId="6A92202D"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ITU events registration dashboard (internal).</w:t>
      </w:r>
    </w:p>
  </w:footnote>
  <w:footnote w:id="7">
    <w:p w14:paraId="02E944EE"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Ibid.</w:t>
      </w:r>
    </w:p>
  </w:footnote>
  <w:footnote w:id="8">
    <w:p w14:paraId="4A060520"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Analysis of information collected from selected staff who organized events in the regions.</w:t>
      </w:r>
    </w:p>
  </w:footnote>
  <w:footnote w:id="9">
    <w:p w14:paraId="63FF6BF9"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Ibid.</w:t>
      </w:r>
    </w:p>
  </w:footnote>
  <w:footnote w:id="10">
    <w:p w14:paraId="58DE2E02"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Ibid.</w:t>
      </w:r>
    </w:p>
  </w:footnote>
  <w:footnote w:id="11">
    <w:p w14:paraId="5E97FAE9" w14:textId="77777777" w:rsidR="00250529" w:rsidRPr="005D49E0" w:rsidRDefault="00250529" w:rsidP="00507BF5">
      <w:pPr>
        <w:pStyle w:val="Footnotes"/>
        <w:rPr>
          <w:rFonts w:eastAsia="Malgun Gothic"/>
        </w:rPr>
      </w:pPr>
      <w:r w:rsidRPr="005D49E0">
        <w:rPr>
          <w:rStyle w:val="FootnoteReference"/>
          <w:rFonts w:ascii="Avenir Nxt2 W1G" w:eastAsia="Aptos" w:hAnsi="Avenir Nxt2 W1G"/>
        </w:rPr>
        <w:footnoteRef/>
      </w:r>
      <w:r w:rsidRPr="005D49E0">
        <w:t xml:space="preserve"> </w:t>
      </w:r>
      <w:r w:rsidRPr="005D49E0">
        <w:rPr>
          <w:rFonts w:eastAsia="Malgun Gothic"/>
        </w:rPr>
        <w:t>ITU events registration dashboard (internal).</w:t>
      </w:r>
    </w:p>
  </w:footnote>
  <w:footnote w:id="12">
    <w:p w14:paraId="0781A3F9"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Annex 1 to </w:t>
      </w:r>
      <w:hyperlink r:id="rId2">
        <w:r w:rsidRPr="005D49E0">
          <w:rPr>
            <w:rStyle w:val="Hyperlink"/>
            <w:rFonts w:eastAsia="Aptos"/>
          </w:rPr>
          <w:t>Resolution 71 (Rev. Bucharest, 2022)</w:t>
        </w:r>
      </w:hyperlink>
      <w:r w:rsidRPr="005D49E0">
        <w:t xml:space="preserve"> of the Plenipotentiary Conference.</w:t>
      </w:r>
    </w:p>
  </w:footnote>
  <w:footnote w:id="13">
    <w:p w14:paraId="137C4D71"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Linking ITU strategic, financial and operational plans (</w:t>
      </w:r>
      <w:hyperlink r:id="rId3" w:history="1">
        <w:r w:rsidRPr="005D49E0">
          <w:rPr>
            <w:rStyle w:val="Hyperlink"/>
          </w:rPr>
          <w:t>CWG-SFP-3/6</w:t>
        </w:r>
      </w:hyperlink>
      <w:r w:rsidRPr="005D49E0">
        <w:t>).</w:t>
      </w:r>
    </w:p>
  </w:footnote>
  <w:footnote w:id="14">
    <w:p w14:paraId="22B3B48E"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Strengthening ITU's regional presence (</w:t>
      </w:r>
      <w:hyperlink r:id="rId4" w:history="1">
        <w:r w:rsidRPr="005D49E0">
          <w:rPr>
            <w:rStyle w:val="Hyperlink"/>
          </w:rPr>
          <w:t>C25/25</w:t>
        </w:r>
      </w:hyperlink>
      <w:r w:rsidRPr="005D49E0">
        <w:t>).</w:t>
      </w:r>
    </w:p>
  </w:footnote>
  <w:footnote w:id="15">
    <w:p w14:paraId="63227085"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Strengthening ITU's regional presence</w:t>
      </w:r>
      <w:r w:rsidRPr="005D49E0">
        <w:rPr>
          <w:rFonts w:eastAsia="Malgun Gothic"/>
        </w:rPr>
        <w:t xml:space="preserve"> (</w:t>
      </w:r>
      <w:hyperlink r:id="rId5" w:history="1">
        <w:r w:rsidRPr="005D49E0">
          <w:rPr>
            <w:rStyle w:val="Hyperlink"/>
          </w:rPr>
          <w:t>C25/25</w:t>
        </w:r>
      </w:hyperlink>
      <w:r w:rsidRPr="005D49E0">
        <w:rPr>
          <w:rFonts w:eastAsia="Malgun Gothic"/>
        </w:rPr>
        <w:t xml:space="preserve">) and </w:t>
      </w:r>
      <w:r w:rsidRPr="005D49E0">
        <w:t xml:space="preserve">Report on the implementation of the Kigali Action Plan </w:t>
      </w:r>
      <w:r w:rsidRPr="005D49E0">
        <w:rPr>
          <w:rFonts w:eastAsia="Malgun Gothic"/>
        </w:rPr>
        <w:t>(</w:t>
      </w:r>
      <w:hyperlink r:id="rId6" w:history="1">
        <w:r w:rsidRPr="005D49E0">
          <w:rPr>
            <w:rStyle w:val="Hyperlink"/>
          </w:rPr>
          <w:t>WTDC-25/2</w:t>
        </w:r>
      </w:hyperlink>
      <w:r w:rsidRPr="005D49E0">
        <w:rPr>
          <w:rFonts w:eastAsia="Malgun Gothic"/>
        </w:rPr>
        <w:t>).</w:t>
      </w:r>
    </w:p>
  </w:footnote>
  <w:footnote w:id="16">
    <w:p w14:paraId="3B437C5A"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ITU-R draft operational plan for 2026-2029 and 2024 performance report, </w:t>
      </w:r>
      <w:hyperlink r:id="rId7">
        <w:r w:rsidRPr="005D49E0">
          <w:rPr>
            <w:rStyle w:val="Hyperlink"/>
          </w:rPr>
          <w:t>RAG/37</w:t>
        </w:r>
      </w:hyperlink>
    </w:p>
  </w:footnote>
  <w:footnote w:id="17">
    <w:p w14:paraId="270660F6"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ITU-T draft operational plan for 2026-2029 and 2024 performance report, </w:t>
      </w:r>
      <w:hyperlink r:id="rId8" w:history="1">
        <w:r w:rsidRPr="005D49E0">
          <w:rPr>
            <w:rStyle w:val="Hyperlink"/>
          </w:rPr>
          <w:t>TSAG-TD137</w:t>
        </w:r>
      </w:hyperlink>
    </w:p>
  </w:footnote>
  <w:footnote w:id="18">
    <w:p w14:paraId="3AC29628"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ITU-D draft operational plan for 2026-2029 and 2024 performance report, </w:t>
      </w:r>
      <w:hyperlink r:id="rId9" w:history="1">
        <w:r w:rsidRPr="005D49E0">
          <w:rPr>
            <w:rStyle w:val="Hyperlink"/>
          </w:rPr>
          <w:t>TDAG-25/40</w:t>
        </w:r>
      </w:hyperlink>
    </w:p>
  </w:footnote>
  <w:footnote w:id="19">
    <w:p w14:paraId="56075FBC"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Initial draft performance indicators for strategic plan 2028, </w:t>
      </w:r>
      <w:hyperlink r:id="rId10">
        <w:r w:rsidRPr="005D49E0">
          <w:rPr>
            <w:rStyle w:val="Hyperlink"/>
            <w:rFonts w:eastAsia="Aptos"/>
          </w:rPr>
          <w:t>CWG-SFP-3/7</w:t>
        </w:r>
      </w:hyperlink>
    </w:p>
  </w:footnote>
  <w:footnote w:id="20">
    <w:p w14:paraId="73F09C04"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w:t>
      </w:r>
      <w:hyperlink r:id="rId11" w:history="1">
        <w:r w:rsidRPr="005D49E0">
          <w:rPr>
            <w:rStyle w:val="Hyperlink"/>
          </w:rPr>
          <w:t>Policy for awarding fellowships for events and activities funded through the ITU regular budget</w:t>
        </w:r>
      </w:hyperlink>
      <w:r w:rsidRPr="005D49E0">
        <w:t>, Service Order No. 21/02.</w:t>
      </w:r>
    </w:p>
  </w:footnote>
  <w:footnote w:id="21">
    <w:p w14:paraId="709E34CB"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Data provided by the ITU Fellowships Team.</w:t>
      </w:r>
    </w:p>
  </w:footnote>
  <w:footnote w:id="22">
    <w:p w14:paraId="005C4CF5"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Ibid.</w:t>
      </w:r>
    </w:p>
  </w:footnote>
  <w:footnote w:id="23">
    <w:p w14:paraId="7000F432"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Multi-country contribution - Measures to improve, promote and strengthen ITU fellowships: </w:t>
      </w:r>
      <w:hyperlink r:id="rId12" w:tgtFrame="_blank" w:history="1">
        <w:r w:rsidRPr="005D49E0">
          <w:rPr>
            <w:rStyle w:val="Hyperlink"/>
          </w:rPr>
          <w:t>C24/100</w:t>
        </w:r>
      </w:hyperlink>
    </w:p>
  </w:footnote>
  <w:footnote w:id="24">
    <w:p w14:paraId="6FA50DE9" w14:textId="77777777" w:rsidR="00250529" w:rsidRPr="005D49E0" w:rsidRDefault="00250529" w:rsidP="00507BF5">
      <w:pPr>
        <w:pStyle w:val="Footnotes"/>
      </w:pPr>
      <w:r w:rsidRPr="005D49E0">
        <w:rPr>
          <w:rStyle w:val="FootnoteReference"/>
          <w:rFonts w:ascii="Avenir Nxt2 W1G" w:eastAsia="Aptos" w:hAnsi="Avenir Nxt2 W1G"/>
        </w:rPr>
        <w:footnoteRef/>
      </w:r>
      <w:r w:rsidRPr="005D49E0">
        <w:t xml:space="preserve"> Ibid.</w:t>
      </w:r>
    </w:p>
  </w:footnote>
  <w:footnote w:id="25">
    <w:p w14:paraId="2A139384" w14:textId="77777777" w:rsidR="00250529" w:rsidRPr="00E50729" w:rsidRDefault="00250529" w:rsidP="00507BF5">
      <w:pPr>
        <w:pStyle w:val="Footnotes"/>
        <w:rPr>
          <w:rStyle w:val="Hyperlink"/>
          <w:rFonts w:ascii="Aptos" w:eastAsiaTheme="majorEastAsia" w:hAnsi="Aptos"/>
        </w:rPr>
      </w:pPr>
      <w:r w:rsidRPr="00DB6583">
        <w:rPr>
          <w:rStyle w:val="FootnoteReference"/>
          <w:rFonts w:ascii="Aptos" w:hAnsi="Aptos"/>
          <w:u w:val="single"/>
        </w:rPr>
        <w:footnoteRef/>
      </w:r>
      <w:r w:rsidRPr="00DB6583">
        <w:rPr>
          <w:rFonts w:ascii="Aptos" w:hAnsi="Aptos"/>
          <w:u w:val="single"/>
        </w:rPr>
        <w:t xml:space="preserve"> </w:t>
      </w:r>
      <w:r w:rsidRPr="00DB6583">
        <w:rPr>
          <w:rStyle w:val="Hyperlink"/>
          <w:rFonts w:ascii="Aptos" w:eastAsiaTheme="majorEastAsia" w:hAnsi="Aptos"/>
          <w:color w:val="000000" w:themeColor="text1"/>
        </w:rPr>
        <w:t>UN Specialized Agencies, available at:</w:t>
      </w:r>
      <w:r w:rsidRPr="00E50729">
        <w:rPr>
          <w:rStyle w:val="Hyperlink"/>
          <w:rFonts w:ascii="Aptos" w:eastAsiaTheme="majorEastAsia" w:hAnsi="Aptos"/>
          <w:color w:val="000000" w:themeColor="text1"/>
        </w:rPr>
        <w:t xml:space="preserve"> </w:t>
      </w:r>
      <w:hyperlink r:id="rId13" w:history="1">
        <w:r w:rsidRPr="00E50729">
          <w:rPr>
            <w:rStyle w:val="Hyperlink"/>
            <w:rFonts w:ascii="Aptos" w:eastAsiaTheme="majorEastAsia" w:hAnsi="Aptos"/>
          </w:rPr>
          <w:t>https://www.un.org/en/about-us/un-system</w:t>
        </w:r>
      </w:hyperlink>
      <w:r w:rsidRPr="00E50729">
        <w:rPr>
          <w:rStyle w:val="Hyperlink"/>
          <w:rFonts w:ascii="Aptos" w:eastAsiaTheme="majorEastAsia" w:hAnsi="Aptos"/>
        </w:rPr>
        <w:t xml:space="preserve"> </w:t>
      </w:r>
    </w:p>
  </w:footnote>
  <w:footnote w:id="26">
    <w:p w14:paraId="4C0EE9C5" w14:textId="77777777" w:rsidR="00250529" w:rsidRPr="00E50729" w:rsidRDefault="00250529"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w:t>
      </w:r>
      <w:hyperlink r:id="rId14" w:history="1">
        <w:r w:rsidRPr="00E50729">
          <w:rPr>
            <w:rStyle w:val="Hyperlink"/>
            <w:rFonts w:ascii="Aptos" w:eastAsiaTheme="majorEastAsia" w:hAnsi="Aptos"/>
          </w:rPr>
          <w:t>Review of ITU Regional Presence – Report by PWC, July 2020</w:t>
        </w:r>
      </w:hyperlink>
    </w:p>
  </w:footnote>
  <w:footnote w:id="27">
    <w:p w14:paraId="732B1AF5" w14:textId="77777777" w:rsidR="00250529" w:rsidRPr="00E50729" w:rsidRDefault="00250529"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International Civil Aviation Organization (ICAO), </w:t>
      </w:r>
      <w:r w:rsidRPr="00E50729">
        <w:rPr>
          <w:rFonts w:ascii="Aptos" w:eastAsia="Calibri" w:hAnsi="Aptos" w:cs="Calibri"/>
          <w:i/>
        </w:rPr>
        <w:t>Strategic Objectives</w:t>
      </w:r>
      <w:r w:rsidRPr="00E50729">
        <w:rPr>
          <w:rFonts w:ascii="Aptos" w:eastAsia="Calibri" w:hAnsi="Aptos" w:cs="Calibri"/>
        </w:rPr>
        <w:t xml:space="preserve">, Montreal. URL: </w:t>
      </w:r>
      <w:hyperlink r:id="rId15">
        <w:r w:rsidRPr="00E50729">
          <w:rPr>
            <w:rStyle w:val="Hyperlink"/>
            <w:rFonts w:ascii="Aptos" w:eastAsia="Calibri" w:hAnsi="Aptos" w:cs="Calibri"/>
            <w:color w:val="467886"/>
          </w:rPr>
          <w:t>https://www.icao.int/strategic-objectives</w:t>
        </w:r>
      </w:hyperlink>
    </w:p>
  </w:footnote>
  <w:footnote w:id="28">
    <w:p w14:paraId="57B61486" w14:textId="77777777" w:rsidR="00250529" w:rsidRPr="00E50729" w:rsidRDefault="00250529"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IMO launches Regional Presence Office for the MENA region in Alexandria, Egypt: available at: </w:t>
      </w:r>
      <w:hyperlink r:id="rId16" w:history="1">
        <w:r w:rsidRPr="00E50729">
          <w:rPr>
            <w:rStyle w:val="Hyperlink"/>
            <w:rFonts w:ascii="Aptos" w:eastAsiaTheme="majorEastAsia" w:hAnsi="Aptos"/>
          </w:rPr>
          <w:t>https://www.imo.org/en/mediacentre/pressbriefings/pages/imo-launches-rpo-in-egypt.aspx</w:t>
        </w:r>
      </w:hyperlink>
      <w:r w:rsidRPr="00E50729">
        <w:rPr>
          <w:rFonts w:ascii="Aptos" w:hAnsi="Aptos"/>
        </w:rPr>
        <w:t xml:space="preserve"> </w:t>
      </w:r>
    </w:p>
  </w:footnote>
  <w:footnote w:id="29">
    <w:p w14:paraId="7F3E4BB1" w14:textId="77777777" w:rsidR="00250529" w:rsidRPr="00E50729" w:rsidRDefault="00250529"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IMO Regional Presence Scheme, available at: </w:t>
      </w:r>
      <w:hyperlink r:id="rId17" w:history="1">
        <w:r w:rsidRPr="00E50729">
          <w:rPr>
            <w:rStyle w:val="Hyperlink"/>
            <w:rFonts w:ascii="Aptos" w:eastAsiaTheme="majorEastAsia" w:hAnsi="Aptos"/>
          </w:rPr>
          <w:t>https://www.imo.org/en/ourwork/technicalcooperation/pages/geo-coverage.aspx</w:t>
        </w:r>
      </w:hyperlink>
      <w:r w:rsidRPr="00E50729">
        <w:rPr>
          <w:rFonts w:ascii="Aptos" w:hAnsi="Aptos"/>
        </w:rPr>
        <w:t xml:space="preserve"> </w:t>
      </w:r>
    </w:p>
  </w:footnote>
  <w:footnote w:id="30">
    <w:p w14:paraId="13EABE8A" w14:textId="77777777" w:rsidR="00250529" w:rsidRPr="00BA162E" w:rsidRDefault="00250529"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hAnsi="Aptos"/>
          <w:lang w:val="en-US"/>
        </w:rPr>
        <w:t xml:space="preserve">International Telecommunication Union (ITU), Regional Presence (ITU-D), Geneva. </w:t>
      </w:r>
      <w:r w:rsidRPr="00BA162E">
        <w:rPr>
          <w:rFonts w:ascii="Aptos" w:hAnsi="Aptos"/>
          <w:lang w:val="pl-PL"/>
        </w:rPr>
        <w:t xml:space="preserve">URL: </w:t>
      </w:r>
      <w:hyperlink r:id="rId18" w:history="1">
        <w:r w:rsidRPr="00BA162E">
          <w:rPr>
            <w:rStyle w:val="Hyperlink"/>
            <w:rFonts w:ascii="Aptos" w:eastAsiaTheme="majorEastAsia" w:hAnsi="Aptos"/>
            <w:lang w:val="pl-PL"/>
          </w:rPr>
          <w:t>https://www.itu.int/en/ITU-D/pages/regional-presence.aspx</w:t>
        </w:r>
      </w:hyperlink>
      <w:r w:rsidRPr="00BA162E">
        <w:rPr>
          <w:rFonts w:ascii="Aptos" w:hAnsi="Aptos"/>
          <w:lang w:val="pl-PL"/>
        </w:rPr>
        <w:t xml:space="preserve"> </w:t>
      </w:r>
    </w:p>
  </w:footnote>
  <w:footnote w:id="31">
    <w:p w14:paraId="2F9C63B7" w14:textId="77777777" w:rsidR="00250529" w:rsidRPr="00E50729" w:rsidRDefault="00250529"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Meteorological Organization (WMO), </w:t>
      </w:r>
      <w:r w:rsidRPr="00E50729">
        <w:rPr>
          <w:rFonts w:ascii="Aptos" w:eastAsia="Calibri" w:hAnsi="Aptos" w:cs="Calibri"/>
          <w:i/>
        </w:rPr>
        <w:t>Regional Associations</w:t>
      </w:r>
      <w:r w:rsidRPr="00E50729">
        <w:rPr>
          <w:rFonts w:ascii="Aptos" w:eastAsia="Calibri" w:hAnsi="Aptos" w:cs="Calibri"/>
        </w:rPr>
        <w:t xml:space="preserve"> (WMO Regions), Geneva. URL: </w:t>
      </w:r>
      <w:hyperlink r:id="rId19">
        <w:r w:rsidRPr="00E50729">
          <w:rPr>
            <w:rStyle w:val="Hyperlink"/>
            <w:rFonts w:ascii="Aptos" w:eastAsia="Calibri" w:hAnsi="Aptos" w:cs="Calibri"/>
            <w:color w:val="467886"/>
          </w:rPr>
          <w:t>https://wmo.int/about-wmo/regions/regional-associations</w:t>
        </w:r>
      </w:hyperlink>
    </w:p>
  </w:footnote>
  <w:footnote w:id="32">
    <w:p w14:paraId="1DAA2412" w14:textId="77777777" w:rsidR="00250529" w:rsidRPr="00BA162E" w:rsidRDefault="00250529" w:rsidP="00507BF5">
      <w:pPr>
        <w:pStyle w:val="Footnotes"/>
        <w:rPr>
          <w:rFonts w:ascii="Aptos" w:eastAsia="Calibri" w:hAnsi="Aptos" w:cs="Calibri"/>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International Telecommunication Union (ITU), </w:t>
      </w:r>
      <w:r w:rsidRPr="00E50729">
        <w:rPr>
          <w:rFonts w:ascii="Aptos" w:eastAsia="Calibri" w:hAnsi="Aptos" w:cs="Calibri"/>
          <w:i/>
        </w:rPr>
        <w:t>Regional Presence</w:t>
      </w:r>
      <w:r w:rsidRPr="00E50729">
        <w:rPr>
          <w:rFonts w:ascii="Aptos" w:eastAsia="Calibri" w:hAnsi="Aptos" w:cs="Calibri"/>
        </w:rPr>
        <w:t xml:space="preserve"> (ITU-D), Geneva. </w:t>
      </w:r>
      <w:r w:rsidRPr="00BA162E">
        <w:rPr>
          <w:rFonts w:ascii="Aptos" w:eastAsia="Calibri" w:hAnsi="Aptos" w:cs="Calibri"/>
          <w:lang w:val="pl-PL"/>
        </w:rPr>
        <w:t>URL:</w:t>
      </w:r>
      <w:r w:rsidRPr="00BA162E">
        <w:rPr>
          <w:rFonts w:ascii="Aptos" w:eastAsia="Calibri" w:hAnsi="Aptos" w:cs="Calibri"/>
          <w:b/>
          <w:lang w:val="pl-PL"/>
        </w:rPr>
        <w:t xml:space="preserve"> </w:t>
      </w:r>
      <w:hyperlink r:id="rId20">
        <w:r w:rsidRPr="00BA162E">
          <w:rPr>
            <w:rStyle w:val="Hyperlink"/>
            <w:rFonts w:ascii="Aptos" w:eastAsia="Calibri" w:hAnsi="Aptos" w:cs="Calibri"/>
            <w:b/>
            <w:color w:val="467886"/>
            <w:lang w:val="pl-PL"/>
          </w:rPr>
          <w:t>https://www.itu.int/en/ITU-D/pages/regional-presence.aspx</w:t>
        </w:r>
      </w:hyperlink>
      <w:r w:rsidRPr="00BA162E">
        <w:rPr>
          <w:rFonts w:ascii="Aptos" w:hAnsi="Aptos"/>
          <w:lang w:val="pl-PL"/>
        </w:rPr>
        <w:t xml:space="preserve"> </w:t>
      </w:r>
    </w:p>
  </w:footnote>
  <w:footnote w:id="33">
    <w:p w14:paraId="2336900C" w14:textId="77777777" w:rsidR="00250529" w:rsidRPr="00E50729" w:rsidRDefault="00250529" w:rsidP="00507BF5">
      <w:pPr>
        <w:pStyle w:val="Footnotes"/>
        <w:rPr>
          <w:rFonts w:ascii="Aptos" w:hAnsi="Aptos"/>
          <w:lang w:val="en-US"/>
        </w:rPr>
      </w:pPr>
      <w:r w:rsidRPr="00E50729">
        <w:rPr>
          <w:rStyle w:val="FootnoteReference"/>
          <w:rFonts w:ascii="Aptos" w:hAnsi="Aptos"/>
        </w:rPr>
        <w:footnoteRef/>
      </w:r>
      <w:r w:rsidRPr="00E50729">
        <w:rPr>
          <w:rFonts w:ascii="Aptos" w:hAnsi="Aptos"/>
        </w:rPr>
        <w:t xml:space="preserve"> International Telecommunication Union (ITU), </w:t>
      </w:r>
      <w:r w:rsidRPr="00E50729">
        <w:rPr>
          <w:rFonts w:ascii="Aptos" w:hAnsi="Aptos"/>
          <w:i/>
        </w:rPr>
        <w:t>Council Dashboard: Human Resources Report</w:t>
      </w:r>
      <w:r w:rsidRPr="00E50729">
        <w:rPr>
          <w:rFonts w:ascii="Aptos" w:hAnsi="Aptos"/>
        </w:rPr>
        <w:t xml:space="preserve">, available at: </w:t>
      </w:r>
      <w:hyperlink r:id="rId21">
        <w:r w:rsidRPr="00E50729">
          <w:rPr>
            <w:rStyle w:val="Hyperlink"/>
            <w:rFonts w:ascii="Aptos" w:eastAsiaTheme="majorEastAsia" w:hAnsi="Aptos"/>
          </w:rPr>
          <w:t>https://www.itu.int/en/council/dashboard/Pages/HumanResourcesReport.aspx</w:t>
        </w:r>
      </w:hyperlink>
      <w:r w:rsidRPr="00E50729">
        <w:rPr>
          <w:rFonts w:ascii="Aptos" w:hAnsi="Aptos"/>
        </w:rPr>
        <w:t xml:space="preserve"> (accessed 4 March 2026).</w:t>
      </w:r>
    </w:p>
  </w:footnote>
  <w:footnote w:id="34">
    <w:p w14:paraId="7F40D71A" w14:textId="77777777" w:rsidR="00250529" w:rsidRPr="00BA162E" w:rsidRDefault="00250529"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International Telecommunication Union (ITU), </w:t>
      </w:r>
      <w:r w:rsidRPr="00E50729">
        <w:rPr>
          <w:rFonts w:ascii="Aptos" w:eastAsia="Calibri" w:hAnsi="Aptos" w:cs="Calibri"/>
          <w:i/>
        </w:rPr>
        <w:t>Regional Presence</w:t>
      </w:r>
      <w:r w:rsidRPr="00E50729">
        <w:rPr>
          <w:rFonts w:ascii="Aptos" w:eastAsia="Calibri" w:hAnsi="Aptos" w:cs="Calibri"/>
        </w:rPr>
        <w:t xml:space="preserve"> (ITU-D), Geneva. </w:t>
      </w:r>
      <w:r w:rsidRPr="00BA162E">
        <w:rPr>
          <w:rFonts w:ascii="Aptos" w:eastAsia="Calibri" w:hAnsi="Aptos" w:cs="Calibri"/>
          <w:lang w:val="pl-PL"/>
        </w:rPr>
        <w:t xml:space="preserve">URL: </w:t>
      </w:r>
      <w:hyperlink r:id="rId22">
        <w:r w:rsidRPr="00BA162E">
          <w:rPr>
            <w:rStyle w:val="Hyperlink"/>
            <w:rFonts w:ascii="Aptos" w:eastAsia="Calibri" w:hAnsi="Aptos" w:cs="Calibri"/>
            <w:color w:val="467886"/>
            <w:lang w:val="pl-PL"/>
          </w:rPr>
          <w:t>https://www.itu.int/en/ITU-D/pages/regional-presence.aspx</w:t>
        </w:r>
      </w:hyperlink>
    </w:p>
  </w:footnote>
  <w:footnote w:id="35">
    <w:p w14:paraId="7588E9DE" w14:textId="77777777" w:rsidR="00250529" w:rsidRPr="00BA162E" w:rsidRDefault="00250529"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International Telecommunication Union (ITU), </w:t>
      </w:r>
      <w:r w:rsidRPr="00E50729">
        <w:rPr>
          <w:rFonts w:ascii="Aptos" w:eastAsia="Calibri" w:hAnsi="Aptos" w:cs="Calibri"/>
          <w:i/>
        </w:rPr>
        <w:t>ITU Strategic Plan 2024–2027: Vision and Mission</w:t>
      </w:r>
      <w:r w:rsidRPr="00E50729">
        <w:rPr>
          <w:rFonts w:ascii="Aptos" w:eastAsia="Calibri" w:hAnsi="Aptos" w:cs="Calibri"/>
        </w:rPr>
        <w:t xml:space="preserve">, Geneva. </w:t>
      </w:r>
      <w:r w:rsidRPr="00BA162E">
        <w:rPr>
          <w:rFonts w:ascii="Aptos" w:eastAsia="Calibri" w:hAnsi="Aptos" w:cs="Calibri"/>
          <w:lang w:val="pl-PL"/>
        </w:rPr>
        <w:t xml:space="preserve">URL: </w:t>
      </w:r>
      <w:hyperlink r:id="rId23">
        <w:r w:rsidRPr="00BA162E">
          <w:rPr>
            <w:rStyle w:val="Hyperlink"/>
            <w:rFonts w:ascii="Aptos" w:eastAsia="Calibri" w:hAnsi="Aptos" w:cs="Calibri"/>
            <w:color w:val="467886"/>
            <w:lang w:val="pl-PL"/>
          </w:rPr>
          <w:t>https://www.itu.int/en/council/planning/Documents/ITU-Strategic-Plan-2024-2027-Vision%26Mission.pdf</w:t>
        </w:r>
      </w:hyperlink>
    </w:p>
  </w:footnote>
  <w:footnote w:id="36">
    <w:p w14:paraId="2080D95E" w14:textId="77777777" w:rsidR="00250529" w:rsidRPr="00E50729" w:rsidRDefault="00250529"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International Civil Aviation Organization (ICAO), </w:t>
      </w:r>
      <w:r w:rsidRPr="00E50729">
        <w:rPr>
          <w:rFonts w:ascii="Aptos" w:eastAsia="Calibri" w:hAnsi="Aptos" w:cs="Calibri"/>
          <w:i/>
        </w:rPr>
        <w:t>Regional Offices</w:t>
      </w:r>
      <w:r w:rsidRPr="00E50729">
        <w:rPr>
          <w:rFonts w:ascii="Aptos" w:eastAsia="Calibri" w:hAnsi="Aptos" w:cs="Calibri"/>
        </w:rPr>
        <w:t xml:space="preserve">, Montreal. URL: </w:t>
      </w:r>
      <w:hyperlink r:id="rId24">
        <w:r w:rsidRPr="00E50729">
          <w:rPr>
            <w:rStyle w:val="Hyperlink"/>
            <w:rFonts w:ascii="Aptos" w:eastAsia="Calibri" w:hAnsi="Aptos" w:cs="Calibri"/>
            <w:color w:val="467886"/>
          </w:rPr>
          <w:t>https://www.icao.int/secretariat/RegionalOffice</w:t>
        </w:r>
      </w:hyperlink>
    </w:p>
  </w:footnote>
  <w:footnote w:id="37">
    <w:p w14:paraId="0A1FBE66" w14:textId="77777777" w:rsidR="00250529" w:rsidRPr="00E50729" w:rsidRDefault="00250529" w:rsidP="00507BF5">
      <w:pPr>
        <w:pStyle w:val="Footnotes"/>
        <w:rPr>
          <w:rFonts w:ascii="Aptos" w:hAnsi="Aptos"/>
          <w:lang w:val="en-U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International Civil Aviation Organization (ICAO), </w:t>
      </w:r>
      <w:r w:rsidRPr="00E50729">
        <w:rPr>
          <w:rFonts w:ascii="Aptos" w:eastAsia="Calibri" w:hAnsi="Aptos" w:cs="Calibri"/>
          <w:i/>
        </w:rPr>
        <w:t>Strategic Objectives</w:t>
      </w:r>
      <w:r w:rsidRPr="00E50729">
        <w:rPr>
          <w:rFonts w:ascii="Aptos" w:eastAsia="Calibri" w:hAnsi="Aptos" w:cs="Calibri"/>
        </w:rPr>
        <w:t xml:space="preserve">, Montreal. URL: </w:t>
      </w:r>
      <w:hyperlink r:id="rId25">
        <w:r w:rsidRPr="00E50729">
          <w:rPr>
            <w:rStyle w:val="Hyperlink"/>
            <w:rFonts w:ascii="Aptos" w:eastAsia="Calibri" w:hAnsi="Aptos" w:cs="Calibri"/>
            <w:color w:val="467886"/>
          </w:rPr>
          <w:t>https://www.icao.int/strategic-objectives</w:t>
        </w:r>
      </w:hyperlink>
    </w:p>
  </w:footnote>
  <w:footnote w:id="38">
    <w:p w14:paraId="7ED7FAF6" w14:textId="77777777" w:rsidR="00E345BD" w:rsidRPr="00E50729" w:rsidRDefault="00E345BD"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Intellectual Property Organization (WIPO), </w:t>
      </w:r>
      <w:r w:rsidRPr="00E50729">
        <w:rPr>
          <w:rFonts w:ascii="Aptos" w:eastAsia="Calibri" w:hAnsi="Aptos" w:cs="Calibri"/>
          <w:i/>
        </w:rPr>
        <w:t>WIPO External Offices</w:t>
      </w:r>
      <w:r w:rsidRPr="00E50729">
        <w:rPr>
          <w:rFonts w:ascii="Aptos" w:eastAsia="Calibri" w:hAnsi="Aptos" w:cs="Calibri"/>
        </w:rPr>
        <w:t xml:space="preserve">, Geneva. URL: </w:t>
      </w:r>
      <w:hyperlink r:id="rId26">
        <w:r w:rsidRPr="00E50729">
          <w:rPr>
            <w:rStyle w:val="Hyperlink"/>
            <w:rFonts w:ascii="Aptos" w:eastAsia="Calibri" w:hAnsi="Aptos" w:cs="Calibri"/>
            <w:color w:val="467886"/>
          </w:rPr>
          <w:t>https://www.wipo.int/en/web/about-wipo/offices</w:t>
        </w:r>
      </w:hyperlink>
    </w:p>
  </w:footnote>
  <w:footnote w:id="39">
    <w:p w14:paraId="3EC39A24" w14:textId="77777777" w:rsidR="00E345BD" w:rsidRPr="00BA162E" w:rsidRDefault="00E345BD"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Intellectual Property Organization (WIPO), </w:t>
      </w:r>
      <w:r w:rsidRPr="00E50729">
        <w:rPr>
          <w:rFonts w:ascii="Aptos" w:eastAsia="Calibri" w:hAnsi="Aptos" w:cs="Calibri"/>
          <w:i/>
        </w:rPr>
        <w:t>Program of Work and Budget for 2024/25</w:t>
      </w:r>
      <w:r w:rsidRPr="00E50729">
        <w:rPr>
          <w:rFonts w:ascii="Aptos" w:eastAsia="Calibri" w:hAnsi="Aptos" w:cs="Calibri"/>
        </w:rPr>
        <w:t xml:space="preserve"> (Geneva). </w:t>
      </w:r>
      <w:r w:rsidRPr="00BA162E">
        <w:rPr>
          <w:rFonts w:ascii="Aptos" w:eastAsia="Calibri" w:hAnsi="Aptos" w:cs="Calibri"/>
          <w:lang w:val="pl-PL"/>
        </w:rPr>
        <w:t xml:space="preserve">URL: </w:t>
      </w:r>
      <w:hyperlink r:id="rId27">
        <w:r w:rsidRPr="00BA162E">
          <w:rPr>
            <w:rStyle w:val="Hyperlink"/>
            <w:rFonts w:ascii="Aptos" w:eastAsia="Calibri" w:hAnsi="Aptos" w:cs="Calibri"/>
            <w:color w:val="467886"/>
            <w:lang w:val="pl-PL"/>
          </w:rPr>
          <w:t>https://tind.wipo.int/record/48247/files/wipo-pub-360-pb24-25-en-wipo-program-of-work-and-budget-for-2024-2025.pdf</w:t>
        </w:r>
      </w:hyperlink>
    </w:p>
  </w:footnote>
  <w:footnote w:id="40">
    <w:p w14:paraId="70FD2AC5" w14:textId="77777777" w:rsidR="00E345BD" w:rsidRPr="00E50729" w:rsidRDefault="00E345BD" w:rsidP="00507BF5">
      <w:pPr>
        <w:pStyle w:val="Footnotes"/>
        <w:rPr>
          <w:rFonts w:ascii="Aptos" w:hAnsi="Apto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Intellectual Property Organization (WIPO), </w:t>
      </w:r>
      <w:r w:rsidRPr="00E50729">
        <w:rPr>
          <w:rFonts w:ascii="Aptos" w:eastAsia="Calibri" w:hAnsi="Aptos" w:cs="Calibri"/>
          <w:i/>
        </w:rPr>
        <w:t>Convention Establishing the World Intellectual Property Organization</w:t>
      </w:r>
      <w:r w:rsidRPr="00E50729">
        <w:rPr>
          <w:rFonts w:ascii="Aptos" w:eastAsia="Calibri" w:hAnsi="Aptos" w:cs="Calibri"/>
        </w:rPr>
        <w:t xml:space="preserve">, Art. 3 (Objectives of the Organization) (WIPO Lex). URL: </w:t>
      </w:r>
      <w:hyperlink r:id="rId28">
        <w:r w:rsidRPr="00E50729">
          <w:rPr>
            <w:rStyle w:val="Hyperlink"/>
            <w:rFonts w:ascii="Aptos" w:eastAsia="Calibri" w:hAnsi="Aptos" w:cs="Calibri"/>
            <w:color w:val="467886"/>
          </w:rPr>
          <w:t>https://www.wipo.int/wipolex/en/text/283854</w:t>
        </w:r>
      </w:hyperlink>
    </w:p>
  </w:footnote>
  <w:footnote w:id="41">
    <w:p w14:paraId="3B5EC3A6" w14:textId="77777777" w:rsidR="00E345BD" w:rsidRPr="00E50729" w:rsidRDefault="00E345BD" w:rsidP="00507BF5">
      <w:pPr>
        <w:pStyle w:val="Footnotes"/>
        <w:rPr>
          <w:rFonts w:ascii="Aptos" w:hAnsi="Aptos"/>
          <w:lang w:val="en-US"/>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Meteorological Organization (WMO), </w:t>
      </w:r>
      <w:r w:rsidRPr="00E50729">
        <w:rPr>
          <w:rFonts w:ascii="Aptos" w:eastAsia="Calibri" w:hAnsi="Aptos" w:cs="Calibri"/>
          <w:i/>
        </w:rPr>
        <w:t>Regional Associations</w:t>
      </w:r>
      <w:r w:rsidRPr="00E50729">
        <w:rPr>
          <w:rFonts w:ascii="Aptos" w:eastAsia="Calibri" w:hAnsi="Aptos" w:cs="Calibri"/>
        </w:rPr>
        <w:t xml:space="preserve"> (WMO Regions), Geneva. URL: </w:t>
      </w:r>
      <w:hyperlink r:id="rId29">
        <w:r w:rsidRPr="00E50729">
          <w:rPr>
            <w:rStyle w:val="Hyperlink"/>
            <w:rFonts w:ascii="Aptos" w:eastAsia="Calibri" w:hAnsi="Aptos" w:cs="Calibri"/>
            <w:color w:val="467886"/>
          </w:rPr>
          <w:t>https://wmo.int/about-wmo/regions/regional-associations</w:t>
        </w:r>
      </w:hyperlink>
    </w:p>
  </w:footnote>
  <w:footnote w:id="42">
    <w:p w14:paraId="3D84895A" w14:textId="77777777" w:rsidR="00E345BD" w:rsidRPr="00BA162E" w:rsidRDefault="00E345BD"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Meteorological Organization (WMO), </w:t>
      </w:r>
      <w:r w:rsidRPr="00E50729">
        <w:rPr>
          <w:rFonts w:ascii="Aptos" w:eastAsia="Calibri" w:hAnsi="Aptos" w:cs="Calibri"/>
          <w:i/>
        </w:rPr>
        <w:t>WMO Strategic Plan 2024–2027</w:t>
      </w:r>
      <w:r w:rsidRPr="00E50729">
        <w:rPr>
          <w:rFonts w:ascii="Aptos" w:eastAsia="Calibri" w:hAnsi="Aptos" w:cs="Calibri"/>
        </w:rPr>
        <w:t xml:space="preserve"> (Geneva). </w:t>
      </w:r>
      <w:r w:rsidRPr="00BA162E">
        <w:rPr>
          <w:rFonts w:ascii="Aptos" w:eastAsia="Calibri" w:hAnsi="Aptos" w:cs="Calibri"/>
          <w:lang w:val="pl-PL"/>
        </w:rPr>
        <w:t>URL: https://library.wmo.int/records/item/69132-wmo-strategic-plan-2024-2027</w:t>
      </w:r>
    </w:p>
  </w:footnote>
  <w:footnote w:id="43">
    <w:p w14:paraId="20961791" w14:textId="77777777" w:rsidR="00E345BD" w:rsidRPr="00BA162E" w:rsidRDefault="00E345BD"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Meteorological Organization (WMO), </w:t>
      </w:r>
      <w:r w:rsidRPr="00E50729">
        <w:rPr>
          <w:rFonts w:ascii="Aptos" w:eastAsia="Calibri" w:hAnsi="Aptos" w:cs="Calibri"/>
          <w:i/>
        </w:rPr>
        <w:t>Basic Documents</w:t>
      </w:r>
      <w:r w:rsidRPr="00E50729">
        <w:rPr>
          <w:rFonts w:ascii="Aptos" w:eastAsia="Calibri" w:hAnsi="Aptos" w:cs="Calibri"/>
        </w:rPr>
        <w:t xml:space="preserve"> (Convention of the World Meteorological Organization, Art. 2, Purposes), Geneva. </w:t>
      </w:r>
      <w:r w:rsidRPr="00BA162E">
        <w:rPr>
          <w:rFonts w:ascii="Aptos" w:eastAsia="Calibri" w:hAnsi="Aptos" w:cs="Calibri"/>
          <w:lang w:val="pl-PL"/>
        </w:rPr>
        <w:t xml:space="preserve">URL: </w:t>
      </w:r>
      <w:hyperlink r:id="rId30">
        <w:r w:rsidRPr="00BA162E">
          <w:rPr>
            <w:rStyle w:val="Hyperlink"/>
            <w:rFonts w:ascii="Aptos" w:eastAsia="Calibri" w:hAnsi="Aptos" w:cs="Calibri"/>
            <w:color w:val="467886"/>
            <w:lang w:val="pl-PL"/>
          </w:rPr>
          <w:t>https://www.doj.gov.hk/sc/external/pdf/lawdoc/wmo_15-2012_en.pdf</w:t>
        </w:r>
      </w:hyperlink>
    </w:p>
  </w:footnote>
  <w:footnote w:id="44">
    <w:p w14:paraId="3912CF4C" w14:textId="77777777" w:rsidR="00E345BD" w:rsidRPr="00BA162E" w:rsidRDefault="00E345BD" w:rsidP="00507BF5">
      <w:pPr>
        <w:pStyle w:val="Footnotes"/>
        <w:rPr>
          <w:rFonts w:ascii="Aptos" w:hAnsi="Aptos"/>
          <w:lang w:val="pl-PL"/>
        </w:rPr>
      </w:pPr>
      <w:r w:rsidRPr="00E50729">
        <w:rPr>
          <w:rStyle w:val="FootnoteReference"/>
          <w:rFonts w:ascii="Aptos" w:hAnsi="Aptos"/>
        </w:rPr>
        <w:footnoteRef/>
      </w:r>
      <w:r w:rsidRPr="00E50729">
        <w:rPr>
          <w:rFonts w:ascii="Aptos" w:hAnsi="Aptos"/>
        </w:rPr>
        <w:t xml:space="preserve"> </w:t>
      </w:r>
      <w:r w:rsidRPr="00E50729">
        <w:rPr>
          <w:rFonts w:ascii="Aptos" w:eastAsia="Calibri" w:hAnsi="Aptos" w:cs="Calibri"/>
        </w:rPr>
        <w:t xml:space="preserve">World Meteorological Organization (WMO), “World Meteorological Congress sets new strategic priorities…” (Congress-approved regular budget for 2024–2027 financial period), Media Centre, Geneva. </w:t>
      </w:r>
      <w:r w:rsidRPr="00BA162E">
        <w:rPr>
          <w:rFonts w:ascii="Aptos" w:eastAsia="Calibri" w:hAnsi="Aptos" w:cs="Calibri"/>
          <w:lang w:val="pl-PL"/>
        </w:rPr>
        <w:t xml:space="preserve">URL: </w:t>
      </w:r>
      <w:hyperlink r:id="rId31">
        <w:r w:rsidRPr="00BA162E">
          <w:rPr>
            <w:rStyle w:val="Hyperlink"/>
            <w:rFonts w:ascii="Aptos" w:eastAsia="Calibri" w:hAnsi="Aptos" w:cs="Calibri"/>
            <w:color w:val="467886"/>
            <w:lang w:val="pl-PL"/>
          </w:rPr>
          <w:t>https://wmo.int/news/media-centre/world-meteorological-congress-sets-new-strategic-priorities-era-of-rapid-climate-societal-and</w:t>
        </w:r>
      </w:hyperlink>
    </w:p>
    <w:p w14:paraId="21A7643D" w14:textId="77777777" w:rsidR="00E345BD" w:rsidRPr="00BA162E" w:rsidRDefault="00E345BD" w:rsidP="00507BF5">
      <w:pPr>
        <w:pStyle w:val="Footnotes"/>
        <w:rPr>
          <w:rFonts w:ascii="Aptos" w:hAnsi="Aptos"/>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819C" w14:textId="77777777" w:rsidR="00E7661A" w:rsidRPr="00492791" w:rsidRDefault="00E7661A" w:rsidP="00507BF5">
    <w:pPr>
      <w:pBdr>
        <w:bottom w:val="single" w:sz="4" w:space="1" w:color="auto"/>
      </w:pBdr>
      <w:jc w:val="center"/>
      <w:rPr>
        <w:sz w:val="20"/>
      </w:rPr>
    </w:pPr>
    <w:r w:rsidRPr="00067E55">
      <w:rPr>
        <w:sz w:val="20"/>
      </w:rPr>
      <w:t>Review of the ITU Regional Presence</w:t>
    </w:r>
    <w:r>
      <w:rPr>
        <w:sz w:val="20"/>
      </w:rPr>
      <w:br/>
    </w:r>
    <w:r>
      <w:rPr>
        <w:noProof/>
      </w:rPr>
      <mc:AlternateContent>
        <mc:Choice Requires="wps">
          <w:drawing>
            <wp:anchor distT="0" distB="0" distL="114300" distR="114300" simplePos="0" relativeHeight="251658277" behindDoc="0" locked="0" layoutInCell="1" allowOverlap="1" wp14:anchorId="57BF3EFF" wp14:editId="5EE0AA41">
              <wp:simplePos x="0" y="0"/>
              <wp:positionH relativeFrom="column">
                <wp:posOffset>0</wp:posOffset>
              </wp:positionH>
              <wp:positionV relativeFrom="paragraph">
                <wp:posOffset>0</wp:posOffset>
              </wp:positionV>
              <wp:extent cx="635000" cy="635000"/>
              <wp:effectExtent l="0" t="0" r="3175" b="3175"/>
              <wp:wrapNone/>
              <wp:docPr id="1524529999"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334EA" id="Rectangle 48" o:spid="_x0000_s1026" style="position:absolute;margin-left:0;margin-top:0;width:50pt;height:50pt;z-index:25165827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8" behindDoc="0" locked="0" layoutInCell="1" allowOverlap="1" wp14:anchorId="6BF075D9" wp14:editId="02E5F7CD">
              <wp:simplePos x="0" y="0"/>
              <wp:positionH relativeFrom="column">
                <wp:posOffset>0</wp:posOffset>
              </wp:positionH>
              <wp:positionV relativeFrom="paragraph">
                <wp:posOffset>0</wp:posOffset>
              </wp:positionV>
              <wp:extent cx="635000" cy="635000"/>
              <wp:effectExtent l="0" t="0" r="3175" b="3175"/>
              <wp:wrapNone/>
              <wp:docPr id="1273339155"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4D21" id="Rectangle 47" o:spid="_x0000_s1026" style="position:absolute;margin-left:0;margin-top:0;width:50pt;height:50pt;z-index:25165827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5" behindDoc="0" locked="0" layoutInCell="1" allowOverlap="1" wp14:anchorId="4B603196" wp14:editId="445B3796">
              <wp:simplePos x="0" y="0"/>
              <wp:positionH relativeFrom="column">
                <wp:posOffset>0</wp:posOffset>
              </wp:positionH>
              <wp:positionV relativeFrom="paragraph">
                <wp:posOffset>0</wp:posOffset>
              </wp:positionV>
              <wp:extent cx="635000" cy="635000"/>
              <wp:effectExtent l="0" t="0" r="3175" b="3175"/>
              <wp:wrapNone/>
              <wp:docPr id="103854866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85AC6" id="Rectangle 46" o:spid="_x0000_s1026" style="position:absolute;margin-left:0;margin-top:0;width:50pt;height:50pt;z-index:25165827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6" behindDoc="0" locked="0" layoutInCell="1" allowOverlap="1" wp14:anchorId="7A705C24" wp14:editId="438BCB70">
              <wp:simplePos x="0" y="0"/>
              <wp:positionH relativeFrom="column">
                <wp:posOffset>0</wp:posOffset>
              </wp:positionH>
              <wp:positionV relativeFrom="paragraph">
                <wp:posOffset>0</wp:posOffset>
              </wp:positionV>
              <wp:extent cx="635000" cy="635000"/>
              <wp:effectExtent l="0" t="0" r="3175" b="3175"/>
              <wp:wrapNone/>
              <wp:docPr id="103721688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577F4" id="Rectangle 45" o:spid="_x0000_s1026" style="position:absolute;margin-left:0;margin-top:0;width:50pt;height:50pt;z-index:2516582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3" behindDoc="0" locked="0" layoutInCell="1" allowOverlap="1" wp14:anchorId="650852FD" wp14:editId="0B64A2CF">
              <wp:simplePos x="0" y="0"/>
              <wp:positionH relativeFrom="column">
                <wp:posOffset>0</wp:posOffset>
              </wp:positionH>
              <wp:positionV relativeFrom="paragraph">
                <wp:posOffset>0</wp:posOffset>
              </wp:positionV>
              <wp:extent cx="635000" cy="635000"/>
              <wp:effectExtent l="0" t="0" r="3175" b="3175"/>
              <wp:wrapNone/>
              <wp:docPr id="732287869"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BE139" id="Rectangle 44" o:spid="_x0000_s1026" style="position:absolute;margin-left:0;margin-top:0;width:50pt;height:50pt;z-index:25165827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4" behindDoc="0" locked="0" layoutInCell="1" allowOverlap="1" wp14:anchorId="2EC68C15" wp14:editId="11F8D3E7">
              <wp:simplePos x="0" y="0"/>
              <wp:positionH relativeFrom="column">
                <wp:posOffset>0</wp:posOffset>
              </wp:positionH>
              <wp:positionV relativeFrom="paragraph">
                <wp:posOffset>0</wp:posOffset>
              </wp:positionV>
              <wp:extent cx="635000" cy="635000"/>
              <wp:effectExtent l="0" t="0" r="3175" b="3175"/>
              <wp:wrapNone/>
              <wp:docPr id="212255567"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D8E6F" id="Rectangle 43" o:spid="_x0000_s1026" style="position:absolute;margin-left:0;margin-top:0;width:50pt;height:50pt;z-index:25165827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1" behindDoc="0" locked="0" layoutInCell="1" allowOverlap="1" wp14:anchorId="11E60955" wp14:editId="4100AF23">
              <wp:simplePos x="0" y="0"/>
              <wp:positionH relativeFrom="column">
                <wp:posOffset>0</wp:posOffset>
              </wp:positionH>
              <wp:positionV relativeFrom="paragraph">
                <wp:posOffset>0</wp:posOffset>
              </wp:positionV>
              <wp:extent cx="635000" cy="635000"/>
              <wp:effectExtent l="0" t="0" r="3175" b="3175"/>
              <wp:wrapNone/>
              <wp:docPr id="440402856"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7845" id="Rectangle 42" o:spid="_x0000_s1026" style="position:absolute;margin-left:0;margin-top:0;width:50pt;height:50pt;z-index:25165827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2" behindDoc="0" locked="0" layoutInCell="1" allowOverlap="1" wp14:anchorId="524BA077" wp14:editId="3A57CB66">
              <wp:simplePos x="0" y="0"/>
              <wp:positionH relativeFrom="column">
                <wp:posOffset>0</wp:posOffset>
              </wp:positionH>
              <wp:positionV relativeFrom="paragraph">
                <wp:posOffset>0</wp:posOffset>
              </wp:positionV>
              <wp:extent cx="635000" cy="635000"/>
              <wp:effectExtent l="0" t="0" r="3175" b="3175"/>
              <wp:wrapNone/>
              <wp:docPr id="87365725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EC9D" id="Rectangle 41" o:spid="_x0000_s1026" style="position:absolute;margin-left:0;margin-top:0;width:50pt;height:50pt;z-index:2516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9" behindDoc="0" locked="0" layoutInCell="1" allowOverlap="1" wp14:anchorId="5522DD8C" wp14:editId="359A275D">
              <wp:simplePos x="0" y="0"/>
              <wp:positionH relativeFrom="column">
                <wp:posOffset>0</wp:posOffset>
              </wp:positionH>
              <wp:positionV relativeFrom="paragraph">
                <wp:posOffset>0</wp:posOffset>
              </wp:positionV>
              <wp:extent cx="635000" cy="635000"/>
              <wp:effectExtent l="0" t="0" r="3175" b="3175"/>
              <wp:wrapNone/>
              <wp:docPr id="786453262"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16CF6" id="Rectangle 40" o:spid="_x0000_s1026" style="position:absolute;margin-left:0;margin-top:0;width:50pt;height:50pt;z-index:25165826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70" behindDoc="0" locked="0" layoutInCell="1" allowOverlap="1" wp14:anchorId="75E4FD03" wp14:editId="6CCB614F">
              <wp:simplePos x="0" y="0"/>
              <wp:positionH relativeFrom="column">
                <wp:posOffset>0</wp:posOffset>
              </wp:positionH>
              <wp:positionV relativeFrom="paragraph">
                <wp:posOffset>0</wp:posOffset>
              </wp:positionV>
              <wp:extent cx="635000" cy="635000"/>
              <wp:effectExtent l="0" t="0" r="3175" b="3175"/>
              <wp:wrapNone/>
              <wp:docPr id="1983380633"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7B823" id="Rectangle 39" o:spid="_x0000_s1026" style="position:absolute;margin-left:0;margin-top:0;width:50pt;height:50pt;z-index:25165827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7" behindDoc="0" locked="0" layoutInCell="1" allowOverlap="1" wp14:anchorId="51611267" wp14:editId="140BD941">
              <wp:simplePos x="0" y="0"/>
              <wp:positionH relativeFrom="column">
                <wp:posOffset>0</wp:posOffset>
              </wp:positionH>
              <wp:positionV relativeFrom="paragraph">
                <wp:posOffset>0</wp:posOffset>
              </wp:positionV>
              <wp:extent cx="635000" cy="635000"/>
              <wp:effectExtent l="0" t="0" r="3175" b="3175"/>
              <wp:wrapNone/>
              <wp:docPr id="146227897"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7799D" id="Rectangle 38" o:spid="_x0000_s1026" style="position:absolute;margin-left:0;margin-top:0;width:50pt;height:50pt;z-index:25165826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8" behindDoc="0" locked="0" layoutInCell="1" allowOverlap="1" wp14:anchorId="259A524E" wp14:editId="2C543CF3">
              <wp:simplePos x="0" y="0"/>
              <wp:positionH relativeFrom="column">
                <wp:posOffset>0</wp:posOffset>
              </wp:positionH>
              <wp:positionV relativeFrom="paragraph">
                <wp:posOffset>0</wp:posOffset>
              </wp:positionV>
              <wp:extent cx="635000" cy="635000"/>
              <wp:effectExtent l="0" t="0" r="3175" b="3175"/>
              <wp:wrapNone/>
              <wp:docPr id="1268365031"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5CC0" id="Rectangle 37" o:spid="_x0000_s1026" style="position:absolute;margin-left:0;margin-top:0;width:50pt;height:50pt;z-index:2516582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5" behindDoc="0" locked="0" layoutInCell="1" allowOverlap="1" wp14:anchorId="36B2FC1D" wp14:editId="0B7EA31B">
              <wp:simplePos x="0" y="0"/>
              <wp:positionH relativeFrom="column">
                <wp:posOffset>0</wp:posOffset>
              </wp:positionH>
              <wp:positionV relativeFrom="paragraph">
                <wp:posOffset>0</wp:posOffset>
              </wp:positionV>
              <wp:extent cx="635000" cy="635000"/>
              <wp:effectExtent l="0" t="0" r="3175" b="3175"/>
              <wp:wrapNone/>
              <wp:docPr id="1668380031"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5292" id="Rectangle 36" o:spid="_x0000_s1026" style="position:absolute;margin-left:0;margin-top:0;width:50pt;height:50pt;z-index:25165826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6" behindDoc="0" locked="0" layoutInCell="1" allowOverlap="1" wp14:anchorId="1443E9A0" wp14:editId="0C66560D">
              <wp:simplePos x="0" y="0"/>
              <wp:positionH relativeFrom="column">
                <wp:posOffset>0</wp:posOffset>
              </wp:positionH>
              <wp:positionV relativeFrom="paragraph">
                <wp:posOffset>0</wp:posOffset>
              </wp:positionV>
              <wp:extent cx="635000" cy="635000"/>
              <wp:effectExtent l="0" t="0" r="3175" b="3175"/>
              <wp:wrapNone/>
              <wp:docPr id="1058836897"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7A8F" id="Rectangle 35" o:spid="_x0000_s1026" style="position:absolute;margin-left:0;margin-top:0;width:50pt;height:50pt;z-index:25165826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3" behindDoc="0" locked="0" layoutInCell="1" allowOverlap="1" wp14:anchorId="4CFFE9AB" wp14:editId="10B420C3">
              <wp:simplePos x="0" y="0"/>
              <wp:positionH relativeFrom="column">
                <wp:posOffset>0</wp:posOffset>
              </wp:positionH>
              <wp:positionV relativeFrom="paragraph">
                <wp:posOffset>0</wp:posOffset>
              </wp:positionV>
              <wp:extent cx="635000" cy="635000"/>
              <wp:effectExtent l="0" t="0" r="3175" b="3175"/>
              <wp:wrapNone/>
              <wp:docPr id="1488697378"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E7A4" id="Rectangle 34" o:spid="_x0000_s1026" style="position:absolute;margin-left:0;margin-top:0;width:50pt;height:50pt;z-index:25165826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4" behindDoc="0" locked="0" layoutInCell="1" allowOverlap="1" wp14:anchorId="695991EF" wp14:editId="2C406766">
              <wp:simplePos x="0" y="0"/>
              <wp:positionH relativeFrom="column">
                <wp:posOffset>0</wp:posOffset>
              </wp:positionH>
              <wp:positionV relativeFrom="paragraph">
                <wp:posOffset>0</wp:posOffset>
              </wp:positionV>
              <wp:extent cx="635000" cy="635000"/>
              <wp:effectExtent l="0" t="0" r="3175" b="3175"/>
              <wp:wrapNone/>
              <wp:docPr id="563331515"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29355" id="Rectangle 33" o:spid="_x0000_s1026" style="position:absolute;margin-left:0;margin-top:0;width:50pt;height:50pt;z-index:251658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1" behindDoc="0" locked="0" layoutInCell="1" allowOverlap="1" wp14:anchorId="3DCB8B46" wp14:editId="44AAC064">
              <wp:simplePos x="0" y="0"/>
              <wp:positionH relativeFrom="column">
                <wp:posOffset>0</wp:posOffset>
              </wp:positionH>
              <wp:positionV relativeFrom="paragraph">
                <wp:posOffset>0</wp:posOffset>
              </wp:positionV>
              <wp:extent cx="635000" cy="635000"/>
              <wp:effectExtent l="0" t="0" r="3175" b="3175"/>
              <wp:wrapNone/>
              <wp:docPr id="1376159201"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3CF72" id="Rectangle 32" o:spid="_x0000_s1026" style="position:absolute;margin-left:0;margin-top:0;width:50pt;height:50pt;z-index:25165826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2" behindDoc="0" locked="0" layoutInCell="1" allowOverlap="1" wp14:anchorId="65A38C80" wp14:editId="4E51F1FA">
              <wp:simplePos x="0" y="0"/>
              <wp:positionH relativeFrom="column">
                <wp:posOffset>0</wp:posOffset>
              </wp:positionH>
              <wp:positionV relativeFrom="paragraph">
                <wp:posOffset>0</wp:posOffset>
              </wp:positionV>
              <wp:extent cx="635000" cy="635000"/>
              <wp:effectExtent l="0" t="0" r="3175" b="3175"/>
              <wp:wrapNone/>
              <wp:docPr id="66903817"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4E6C7" id="Rectangle 31" o:spid="_x0000_s1026" style="position:absolute;margin-left:0;margin-top:0;width:50pt;height:50pt;z-index:25165826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9" behindDoc="0" locked="0" layoutInCell="1" allowOverlap="1" wp14:anchorId="38BCD7BE" wp14:editId="3FAD5849">
              <wp:simplePos x="0" y="0"/>
              <wp:positionH relativeFrom="column">
                <wp:posOffset>0</wp:posOffset>
              </wp:positionH>
              <wp:positionV relativeFrom="paragraph">
                <wp:posOffset>0</wp:posOffset>
              </wp:positionV>
              <wp:extent cx="635000" cy="635000"/>
              <wp:effectExtent l="0" t="0" r="3175" b="3175"/>
              <wp:wrapNone/>
              <wp:docPr id="934406211"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9975D" id="Rectangle 30" o:spid="_x0000_s1026" style="position:absolute;margin-left:0;margin-top:0;width:50pt;height:50pt;z-index:25165825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0" behindDoc="0" locked="0" layoutInCell="1" allowOverlap="1" wp14:anchorId="7820AE33" wp14:editId="18C7D7E3">
              <wp:simplePos x="0" y="0"/>
              <wp:positionH relativeFrom="column">
                <wp:posOffset>0</wp:posOffset>
              </wp:positionH>
              <wp:positionV relativeFrom="paragraph">
                <wp:posOffset>0</wp:posOffset>
              </wp:positionV>
              <wp:extent cx="635000" cy="635000"/>
              <wp:effectExtent l="0" t="0" r="3175" b="3175"/>
              <wp:wrapNone/>
              <wp:docPr id="1760269380"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2F551" id="Rectangle 29" o:spid="_x0000_s1026" style="position:absolute;margin-left:0;margin-top:0;width:50pt;height:50pt;z-index:2516582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9F85" w14:textId="52F1B65F" w:rsidR="009C6B21" w:rsidRDefault="009C6B21">
    <w:pPr>
      <w:pStyle w:val="Header"/>
    </w:pPr>
    <w:r>
      <w:rPr>
        <w:noProof/>
      </w:rPr>
      <w:drawing>
        <wp:inline distT="0" distB="0" distL="0" distR="0" wp14:anchorId="1DEE4D61" wp14:editId="0D2280EA">
          <wp:extent cx="5760085" cy="840740"/>
          <wp:effectExtent l="0" t="0" r="0" b="0"/>
          <wp:docPr id="99879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91133" name="Picture 998791133"/>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FF67" w14:textId="77777777" w:rsidR="00250529" w:rsidRDefault="00250529">
    <w:pPr>
      <w:pStyle w:val="Header"/>
    </w:pPr>
    <w:r>
      <w:rPr>
        <w:noProof/>
      </w:rPr>
      <mc:AlternateContent>
        <mc:Choice Requires="wps">
          <w:drawing>
            <wp:anchor distT="0" distB="0" distL="114300" distR="114300" simplePos="0" relativeHeight="251658240" behindDoc="0" locked="0" layoutInCell="1" allowOverlap="1" wp14:anchorId="192FDC63" wp14:editId="5C2671D8">
              <wp:simplePos x="0" y="0"/>
              <wp:positionH relativeFrom="column">
                <wp:posOffset>0</wp:posOffset>
              </wp:positionH>
              <wp:positionV relativeFrom="paragraph">
                <wp:posOffset>0</wp:posOffset>
              </wp:positionV>
              <wp:extent cx="635000" cy="635000"/>
              <wp:effectExtent l="0" t="0" r="3175" b="3175"/>
              <wp:wrapNone/>
              <wp:docPr id="1506905290" name="Rectangl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39F36" id="Rectangle 6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1" behindDoc="0" locked="0" layoutInCell="1" allowOverlap="1" wp14:anchorId="49EA47EE" wp14:editId="3BD654D8">
              <wp:simplePos x="0" y="0"/>
              <wp:positionH relativeFrom="column">
                <wp:posOffset>0</wp:posOffset>
              </wp:positionH>
              <wp:positionV relativeFrom="paragraph">
                <wp:posOffset>0</wp:posOffset>
              </wp:positionV>
              <wp:extent cx="635000" cy="635000"/>
              <wp:effectExtent l="0" t="0" r="3175" b="3175"/>
              <wp:wrapNone/>
              <wp:docPr id="1536512444" name="Rectangle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3EBD1" id="Rectangle 66" o:spid="_x0000_s1026"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2" behindDoc="0" locked="0" layoutInCell="1" allowOverlap="1" wp14:anchorId="2881C513" wp14:editId="1572453E">
              <wp:simplePos x="0" y="0"/>
              <wp:positionH relativeFrom="column">
                <wp:posOffset>0</wp:posOffset>
              </wp:positionH>
              <wp:positionV relativeFrom="paragraph">
                <wp:posOffset>0</wp:posOffset>
              </wp:positionV>
              <wp:extent cx="635000" cy="635000"/>
              <wp:effectExtent l="0" t="0" r="3175" b="3175"/>
              <wp:wrapNone/>
              <wp:docPr id="892577541" name="Rectangl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9F4F7" id="Rectangle 65" o:spid="_x0000_s1026" style="position:absolute;margin-left:0;margin-top:0;width:50pt;height:50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3" behindDoc="0" locked="0" layoutInCell="1" allowOverlap="1" wp14:anchorId="5BD71F1B" wp14:editId="66D148DD">
              <wp:simplePos x="0" y="0"/>
              <wp:positionH relativeFrom="column">
                <wp:posOffset>0</wp:posOffset>
              </wp:positionH>
              <wp:positionV relativeFrom="paragraph">
                <wp:posOffset>0</wp:posOffset>
              </wp:positionV>
              <wp:extent cx="635000" cy="635000"/>
              <wp:effectExtent l="0" t="0" r="3175" b="3175"/>
              <wp:wrapNone/>
              <wp:docPr id="81182547" name="Rectangle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7D4B2" id="Rectangle 64" o:spid="_x0000_s1026" style="position:absolute;margin-left:0;margin-top:0;width:50pt;height:50pt;z-index:25165824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4" behindDoc="0" locked="0" layoutInCell="1" allowOverlap="1" wp14:anchorId="05E5425F" wp14:editId="472FE232">
              <wp:simplePos x="0" y="0"/>
              <wp:positionH relativeFrom="column">
                <wp:posOffset>0</wp:posOffset>
              </wp:positionH>
              <wp:positionV relativeFrom="paragraph">
                <wp:posOffset>0</wp:posOffset>
              </wp:positionV>
              <wp:extent cx="635000" cy="635000"/>
              <wp:effectExtent l="0" t="0" r="3175" b="3175"/>
              <wp:wrapNone/>
              <wp:docPr id="35844688"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55FA" id="Rectangle 63" o:spid="_x0000_s1026" style="position:absolute;margin-left:0;margin-top:0;width:50pt;height:50pt;z-index:2516582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5" behindDoc="0" locked="0" layoutInCell="1" allowOverlap="1" wp14:anchorId="13056E09" wp14:editId="525B08E3">
              <wp:simplePos x="0" y="0"/>
              <wp:positionH relativeFrom="column">
                <wp:posOffset>0</wp:posOffset>
              </wp:positionH>
              <wp:positionV relativeFrom="paragraph">
                <wp:posOffset>0</wp:posOffset>
              </wp:positionV>
              <wp:extent cx="635000" cy="635000"/>
              <wp:effectExtent l="0" t="0" r="3175" b="3175"/>
              <wp:wrapNone/>
              <wp:docPr id="427188369"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E816F" id="Rectangle 62" o:spid="_x0000_s1026" style="position:absolute;margin-left:0;margin-top:0;width:50pt;height:50pt;z-index:25165824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6" behindDoc="0" locked="0" layoutInCell="1" allowOverlap="1" wp14:anchorId="0970E075" wp14:editId="4A5FA2DF">
              <wp:simplePos x="0" y="0"/>
              <wp:positionH relativeFrom="column">
                <wp:posOffset>0</wp:posOffset>
              </wp:positionH>
              <wp:positionV relativeFrom="paragraph">
                <wp:posOffset>0</wp:posOffset>
              </wp:positionV>
              <wp:extent cx="635000" cy="635000"/>
              <wp:effectExtent l="0" t="0" r="3175" b="3175"/>
              <wp:wrapNone/>
              <wp:docPr id="913110199"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CB57" id="Rectangle 61" o:spid="_x0000_s1026" style="position:absolute;margin-left:0;margin-top:0;width:50pt;height:50pt;z-index:2516582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7" behindDoc="0" locked="0" layoutInCell="1" allowOverlap="1" wp14:anchorId="51F831F5" wp14:editId="39A161E4">
              <wp:simplePos x="0" y="0"/>
              <wp:positionH relativeFrom="column">
                <wp:posOffset>0</wp:posOffset>
              </wp:positionH>
              <wp:positionV relativeFrom="paragraph">
                <wp:posOffset>0</wp:posOffset>
              </wp:positionV>
              <wp:extent cx="635000" cy="635000"/>
              <wp:effectExtent l="0" t="0" r="3175" b="3175"/>
              <wp:wrapNone/>
              <wp:docPr id="292429915"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AC8B5" id="Rectangle 60" o:spid="_x0000_s1026" style="position:absolute;margin-left:0;margin-top:0;width:50pt;height:50pt;z-index:25165824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8" behindDoc="0" locked="0" layoutInCell="1" allowOverlap="1" wp14:anchorId="7F353227" wp14:editId="36D20990">
              <wp:simplePos x="0" y="0"/>
              <wp:positionH relativeFrom="column">
                <wp:posOffset>0</wp:posOffset>
              </wp:positionH>
              <wp:positionV relativeFrom="paragraph">
                <wp:posOffset>0</wp:posOffset>
              </wp:positionV>
              <wp:extent cx="635000" cy="635000"/>
              <wp:effectExtent l="0" t="0" r="3175" b="3175"/>
              <wp:wrapNone/>
              <wp:docPr id="1510321770"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5D0DA" id="Rectangle 59" o:spid="_x0000_s1026" style="position:absolute;margin-left:0;margin-top:0;width:50pt;height:50pt;z-index:251658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9" behindDoc="0" locked="0" layoutInCell="1" allowOverlap="1" wp14:anchorId="32C5BBD8" wp14:editId="66C421D6">
              <wp:simplePos x="0" y="0"/>
              <wp:positionH relativeFrom="column">
                <wp:posOffset>0</wp:posOffset>
              </wp:positionH>
              <wp:positionV relativeFrom="paragraph">
                <wp:posOffset>0</wp:posOffset>
              </wp:positionV>
              <wp:extent cx="635000" cy="635000"/>
              <wp:effectExtent l="0" t="0" r="3175" b="3175"/>
              <wp:wrapNone/>
              <wp:docPr id="1511412325"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5408" id="Rectangle 58" o:spid="_x0000_s1026" style="position:absolute;margin-left:0;margin-top:0;width:50pt;height:50pt;z-index:25165824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0" behindDoc="0" locked="0" layoutInCell="1" allowOverlap="1" wp14:anchorId="0D52FCD1" wp14:editId="43B98AE2">
              <wp:simplePos x="0" y="0"/>
              <wp:positionH relativeFrom="column">
                <wp:posOffset>0</wp:posOffset>
              </wp:positionH>
              <wp:positionV relativeFrom="paragraph">
                <wp:posOffset>0</wp:posOffset>
              </wp:positionV>
              <wp:extent cx="635000" cy="635000"/>
              <wp:effectExtent l="0" t="0" r="3175" b="3175"/>
              <wp:wrapNone/>
              <wp:docPr id="662028583"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63E34" id="Rectangle 57" o:spid="_x0000_s1026" style="position:absolute;margin-left:0;margin-top:0;width:50pt;height:50pt;z-index:25165825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1" behindDoc="0" locked="0" layoutInCell="1" allowOverlap="1" wp14:anchorId="4011D957" wp14:editId="07CBC543">
              <wp:simplePos x="0" y="0"/>
              <wp:positionH relativeFrom="column">
                <wp:posOffset>0</wp:posOffset>
              </wp:positionH>
              <wp:positionV relativeFrom="paragraph">
                <wp:posOffset>0</wp:posOffset>
              </wp:positionV>
              <wp:extent cx="635000" cy="635000"/>
              <wp:effectExtent l="0" t="0" r="3175" b="3175"/>
              <wp:wrapNone/>
              <wp:docPr id="1202214588"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CDBD0" id="Rectangle 56" o:spid="_x0000_s1026" style="position:absolute;margin-left:0;margin-top:0;width:50pt;height:50pt;z-index:25165825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2" behindDoc="0" locked="0" layoutInCell="1" allowOverlap="1" wp14:anchorId="2F5B48F9" wp14:editId="5C0B43AF">
              <wp:simplePos x="0" y="0"/>
              <wp:positionH relativeFrom="column">
                <wp:posOffset>0</wp:posOffset>
              </wp:positionH>
              <wp:positionV relativeFrom="paragraph">
                <wp:posOffset>0</wp:posOffset>
              </wp:positionV>
              <wp:extent cx="635000" cy="635000"/>
              <wp:effectExtent l="0" t="0" r="3175" b="3175"/>
              <wp:wrapNone/>
              <wp:docPr id="210095620"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FA1F7" id="Rectangle 55" o:spid="_x0000_s1026" style="position:absolute;margin-left:0;margin-top:0;width:50pt;height:50pt;z-index:2516582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3" behindDoc="0" locked="0" layoutInCell="1" allowOverlap="1" wp14:anchorId="37307880" wp14:editId="598B9DDD">
              <wp:simplePos x="0" y="0"/>
              <wp:positionH relativeFrom="column">
                <wp:posOffset>0</wp:posOffset>
              </wp:positionH>
              <wp:positionV relativeFrom="paragraph">
                <wp:posOffset>0</wp:posOffset>
              </wp:positionV>
              <wp:extent cx="635000" cy="635000"/>
              <wp:effectExtent l="0" t="0" r="3175" b="3175"/>
              <wp:wrapNone/>
              <wp:docPr id="1493981746"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CCEAF" id="Rectangle 54" o:spid="_x0000_s1026" style="position:absolute;margin-left:0;margin-top:0;width:50pt;height:50pt;z-index:25165825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4" behindDoc="0" locked="0" layoutInCell="1" allowOverlap="1" wp14:anchorId="5C341F8B" wp14:editId="56AB05CA">
              <wp:simplePos x="0" y="0"/>
              <wp:positionH relativeFrom="column">
                <wp:posOffset>0</wp:posOffset>
              </wp:positionH>
              <wp:positionV relativeFrom="paragraph">
                <wp:posOffset>0</wp:posOffset>
              </wp:positionV>
              <wp:extent cx="635000" cy="635000"/>
              <wp:effectExtent l="0" t="0" r="3175" b="3175"/>
              <wp:wrapNone/>
              <wp:docPr id="212880685"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3598" id="Rectangle 53" o:spid="_x0000_s1026" style="position:absolute;margin-left:0;margin-top:0;width:50pt;height:50pt;z-index:25165825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5" behindDoc="0" locked="0" layoutInCell="1" allowOverlap="1" wp14:anchorId="7A09FE9B" wp14:editId="6C79738C">
              <wp:simplePos x="0" y="0"/>
              <wp:positionH relativeFrom="column">
                <wp:posOffset>0</wp:posOffset>
              </wp:positionH>
              <wp:positionV relativeFrom="paragraph">
                <wp:posOffset>0</wp:posOffset>
              </wp:positionV>
              <wp:extent cx="635000" cy="635000"/>
              <wp:effectExtent l="0" t="0" r="3175" b="3175"/>
              <wp:wrapNone/>
              <wp:docPr id="1473361341"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F322" id="Rectangle 52" o:spid="_x0000_s1026" style="position:absolute;margin-left:0;margin-top:0;width:50pt;height:50pt;z-index:25165825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6" behindDoc="0" locked="0" layoutInCell="1" allowOverlap="1" wp14:anchorId="0A52A9CA" wp14:editId="20485B77">
              <wp:simplePos x="0" y="0"/>
              <wp:positionH relativeFrom="column">
                <wp:posOffset>0</wp:posOffset>
              </wp:positionH>
              <wp:positionV relativeFrom="paragraph">
                <wp:posOffset>0</wp:posOffset>
              </wp:positionV>
              <wp:extent cx="635000" cy="635000"/>
              <wp:effectExtent l="0" t="0" r="3175" b="3175"/>
              <wp:wrapNone/>
              <wp:docPr id="577797090"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0AB2" id="Rectangle 51" o:spid="_x0000_s1026" style="position:absolute;margin-left:0;margin-top:0;width:50pt;height:50pt;z-index:25165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7" behindDoc="0" locked="0" layoutInCell="1" allowOverlap="1" wp14:anchorId="12E996BC" wp14:editId="26486E1C">
              <wp:simplePos x="0" y="0"/>
              <wp:positionH relativeFrom="column">
                <wp:posOffset>0</wp:posOffset>
              </wp:positionH>
              <wp:positionV relativeFrom="paragraph">
                <wp:posOffset>0</wp:posOffset>
              </wp:positionV>
              <wp:extent cx="635000" cy="635000"/>
              <wp:effectExtent l="0" t="0" r="3175" b="3175"/>
              <wp:wrapNone/>
              <wp:docPr id="35958703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035F" id="Rectangle 50" o:spid="_x0000_s1026" style="position:absolute;margin-left:0;margin-top:0;width:50pt;height:50pt;z-index:25165825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8" behindDoc="0" locked="0" layoutInCell="1" allowOverlap="1" wp14:anchorId="43B4EA69" wp14:editId="0E918781">
              <wp:simplePos x="0" y="0"/>
              <wp:positionH relativeFrom="column">
                <wp:posOffset>0</wp:posOffset>
              </wp:positionH>
              <wp:positionV relativeFrom="paragraph">
                <wp:posOffset>0</wp:posOffset>
              </wp:positionV>
              <wp:extent cx="635000" cy="635000"/>
              <wp:effectExtent l="0" t="0" r="3175" b="3175"/>
              <wp:wrapNone/>
              <wp:docPr id="980989158"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A1AA" id="Rectangle 49" o:spid="_x0000_s1026" style="position:absolute;margin-left:0;margin-top:0;width:50pt;height:50pt;z-index:25165825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1D0F" w14:textId="77777777" w:rsidR="004976F7" w:rsidRDefault="004976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AA61" w14:textId="56C5B91C" w:rsidR="00AD3606" w:rsidRPr="003A2AB2" w:rsidRDefault="00AD3606" w:rsidP="003A2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2E52"/>
    <w:multiLevelType w:val="multilevel"/>
    <w:tmpl w:val="884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70275"/>
    <w:multiLevelType w:val="hybridMultilevel"/>
    <w:tmpl w:val="5C082C4E"/>
    <w:lvl w:ilvl="0" w:tplc="0688E482">
      <w:start w:val="1"/>
      <w:numFmt w:val="lowerLetter"/>
      <w:lvlText w:val="%1."/>
      <w:lvlJc w:val="left"/>
      <w:pPr>
        <w:ind w:left="720" w:hanging="360"/>
      </w:pPr>
      <w:rPr>
        <w:rFonts w:ascii="Avenir Nxt2 W1G,Segoe UI" w:hAnsi="Avenir Nxt2 W1G,Segoe UI" w:hint="default"/>
      </w:rPr>
    </w:lvl>
    <w:lvl w:ilvl="1" w:tplc="10BA00B8">
      <w:start w:val="1"/>
      <w:numFmt w:val="lowerLetter"/>
      <w:lvlText w:val="%2."/>
      <w:lvlJc w:val="left"/>
      <w:pPr>
        <w:ind w:left="1440" w:hanging="360"/>
      </w:pPr>
    </w:lvl>
    <w:lvl w:ilvl="2" w:tplc="0EBEF6C0">
      <w:start w:val="1"/>
      <w:numFmt w:val="lowerRoman"/>
      <w:lvlText w:val="%3."/>
      <w:lvlJc w:val="right"/>
      <w:pPr>
        <w:ind w:left="2160" w:hanging="180"/>
      </w:pPr>
    </w:lvl>
    <w:lvl w:ilvl="3" w:tplc="ACA6E1BC">
      <w:start w:val="1"/>
      <w:numFmt w:val="decimal"/>
      <w:lvlText w:val="%4."/>
      <w:lvlJc w:val="left"/>
      <w:pPr>
        <w:ind w:left="2880" w:hanging="360"/>
      </w:pPr>
    </w:lvl>
    <w:lvl w:ilvl="4" w:tplc="A5568494">
      <w:start w:val="1"/>
      <w:numFmt w:val="lowerLetter"/>
      <w:lvlText w:val="%5."/>
      <w:lvlJc w:val="left"/>
      <w:pPr>
        <w:ind w:left="3600" w:hanging="360"/>
      </w:pPr>
    </w:lvl>
    <w:lvl w:ilvl="5" w:tplc="93465C06">
      <w:start w:val="1"/>
      <w:numFmt w:val="lowerRoman"/>
      <w:lvlText w:val="%6."/>
      <w:lvlJc w:val="right"/>
      <w:pPr>
        <w:ind w:left="4320" w:hanging="180"/>
      </w:pPr>
    </w:lvl>
    <w:lvl w:ilvl="6" w:tplc="C55AB496">
      <w:start w:val="1"/>
      <w:numFmt w:val="decimal"/>
      <w:lvlText w:val="%7."/>
      <w:lvlJc w:val="left"/>
      <w:pPr>
        <w:ind w:left="5040" w:hanging="360"/>
      </w:pPr>
    </w:lvl>
    <w:lvl w:ilvl="7" w:tplc="556EDCB2">
      <w:start w:val="1"/>
      <w:numFmt w:val="lowerLetter"/>
      <w:lvlText w:val="%8."/>
      <w:lvlJc w:val="left"/>
      <w:pPr>
        <w:ind w:left="5760" w:hanging="360"/>
      </w:pPr>
    </w:lvl>
    <w:lvl w:ilvl="8" w:tplc="456251E2">
      <w:start w:val="1"/>
      <w:numFmt w:val="lowerRoman"/>
      <w:lvlText w:val="%9."/>
      <w:lvlJc w:val="right"/>
      <w:pPr>
        <w:ind w:left="6480" w:hanging="180"/>
      </w:pPr>
    </w:lvl>
  </w:abstractNum>
  <w:abstractNum w:abstractNumId="2" w15:restartNumberingAfterBreak="0">
    <w:nsid w:val="026A8248"/>
    <w:multiLevelType w:val="hybridMultilevel"/>
    <w:tmpl w:val="B4302A60"/>
    <w:lvl w:ilvl="0" w:tplc="05F4DDD8">
      <w:start w:val="1"/>
      <w:numFmt w:val="decimal"/>
      <w:pStyle w:val="TitleKPI"/>
      <w:lvlText w:val="%1."/>
      <w:lvlJc w:val="left"/>
      <w:pPr>
        <w:ind w:left="1077" w:hanging="360"/>
      </w:pPr>
    </w:lvl>
    <w:lvl w:ilvl="1" w:tplc="007CE8FC">
      <w:start w:val="1"/>
      <w:numFmt w:val="lowerLetter"/>
      <w:lvlText w:val="%2."/>
      <w:lvlJc w:val="left"/>
      <w:pPr>
        <w:ind w:left="1797" w:hanging="360"/>
      </w:pPr>
    </w:lvl>
    <w:lvl w:ilvl="2" w:tplc="AF5251C4">
      <w:start w:val="1"/>
      <w:numFmt w:val="lowerRoman"/>
      <w:lvlText w:val="%3."/>
      <w:lvlJc w:val="right"/>
      <w:pPr>
        <w:ind w:left="2517" w:hanging="180"/>
      </w:pPr>
    </w:lvl>
    <w:lvl w:ilvl="3" w:tplc="30E65786">
      <w:start w:val="1"/>
      <w:numFmt w:val="decimal"/>
      <w:lvlText w:val="%4."/>
      <w:lvlJc w:val="left"/>
      <w:pPr>
        <w:ind w:left="3237" w:hanging="360"/>
      </w:pPr>
    </w:lvl>
    <w:lvl w:ilvl="4" w:tplc="3A2AE164">
      <w:start w:val="1"/>
      <w:numFmt w:val="lowerLetter"/>
      <w:lvlText w:val="%5."/>
      <w:lvlJc w:val="left"/>
      <w:pPr>
        <w:ind w:left="3957" w:hanging="360"/>
      </w:pPr>
    </w:lvl>
    <w:lvl w:ilvl="5" w:tplc="7638B8D6">
      <w:start w:val="1"/>
      <w:numFmt w:val="lowerRoman"/>
      <w:lvlText w:val="%6."/>
      <w:lvlJc w:val="right"/>
      <w:pPr>
        <w:ind w:left="4677" w:hanging="180"/>
      </w:pPr>
    </w:lvl>
    <w:lvl w:ilvl="6" w:tplc="A1B2AF6A">
      <w:start w:val="1"/>
      <w:numFmt w:val="decimal"/>
      <w:lvlText w:val="%7."/>
      <w:lvlJc w:val="left"/>
      <w:pPr>
        <w:ind w:left="5397" w:hanging="360"/>
      </w:pPr>
    </w:lvl>
    <w:lvl w:ilvl="7" w:tplc="2C54111C">
      <w:start w:val="1"/>
      <w:numFmt w:val="lowerLetter"/>
      <w:lvlText w:val="%8."/>
      <w:lvlJc w:val="left"/>
      <w:pPr>
        <w:ind w:left="6117" w:hanging="360"/>
      </w:pPr>
    </w:lvl>
    <w:lvl w:ilvl="8" w:tplc="D71CD948">
      <w:start w:val="1"/>
      <w:numFmt w:val="lowerRoman"/>
      <w:lvlText w:val="%9."/>
      <w:lvlJc w:val="right"/>
      <w:pPr>
        <w:ind w:left="6837" w:hanging="180"/>
      </w:pPr>
    </w:lvl>
  </w:abstractNum>
  <w:abstractNum w:abstractNumId="3" w15:restartNumberingAfterBreak="0">
    <w:nsid w:val="04FE42B3"/>
    <w:multiLevelType w:val="multilevel"/>
    <w:tmpl w:val="009CD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23F30"/>
    <w:multiLevelType w:val="multilevel"/>
    <w:tmpl w:val="C108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6A41A6"/>
    <w:multiLevelType w:val="hybridMultilevel"/>
    <w:tmpl w:val="7FD4705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B86442"/>
    <w:multiLevelType w:val="multilevel"/>
    <w:tmpl w:val="EFFA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B1284D"/>
    <w:multiLevelType w:val="multilevel"/>
    <w:tmpl w:val="9DFE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76793"/>
    <w:multiLevelType w:val="hybridMultilevel"/>
    <w:tmpl w:val="8A8E03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E1C14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BD699D"/>
    <w:multiLevelType w:val="multilevel"/>
    <w:tmpl w:val="FFFFFFFF"/>
    <w:lvl w:ilvl="0">
      <w:start w:val="2"/>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517C90"/>
    <w:multiLevelType w:val="multilevel"/>
    <w:tmpl w:val="F31A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8001FC"/>
    <w:multiLevelType w:val="multilevel"/>
    <w:tmpl w:val="C250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C27975"/>
    <w:multiLevelType w:val="multilevel"/>
    <w:tmpl w:val="4A04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FA66BE"/>
    <w:multiLevelType w:val="multilevel"/>
    <w:tmpl w:val="9250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3E7FE5"/>
    <w:multiLevelType w:val="multilevel"/>
    <w:tmpl w:val="7B08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9F3EB1"/>
    <w:multiLevelType w:val="multilevel"/>
    <w:tmpl w:val="FFFFFFFF"/>
    <w:lvl w:ilvl="0">
      <w:start w:val="5"/>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1D402E"/>
    <w:multiLevelType w:val="multilevel"/>
    <w:tmpl w:val="A9D84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D375A3"/>
    <w:multiLevelType w:val="hybridMultilevel"/>
    <w:tmpl w:val="E3480656"/>
    <w:lvl w:ilvl="0" w:tplc="596AA38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tentative="1">
      <w:start w:val="1"/>
      <w:numFmt w:val="lowerRoman"/>
      <w:pStyle w:val="AnnexHeading3"/>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FB21734"/>
    <w:multiLevelType w:val="hybridMultilevel"/>
    <w:tmpl w:val="C312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1A7F1A"/>
    <w:multiLevelType w:val="multilevel"/>
    <w:tmpl w:val="F140E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21F378"/>
    <w:multiLevelType w:val="multilevel"/>
    <w:tmpl w:val="FFFFFFFF"/>
    <w:lvl w:ilvl="0">
      <w:start w:val="4"/>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FC57C9"/>
    <w:multiLevelType w:val="multilevel"/>
    <w:tmpl w:val="E94A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DB2570"/>
    <w:multiLevelType w:val="multilevel"/>
    <w:tmpl w:val="F75C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1C509A"/>
    <w:multiLevelType w:val="multilevel"/>
    <w:tmpl w:val="4A04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7FBFEA"/>
    <w:multiLevelType w:val="hybridMultilevel"/>
    <w:tmpl w:val="31004956"/>
    <w:lvl w:ilvl="0" w:tplc="EB9EC31E">
      <w:start w:val="1"/>
      <w:numFmt w:val="lowerLetter"/>
      <w:lvlText w:val="%1."/>
      <w:lvlJc w:val="left"/>
      <w:pPr>
        <w:ind w:left="720" w:hanging="360"/>
      </w:pPr>
    </w:lvl>
    <w:lvl w:ilvl="1" w:tplc="DA9E64CC">
      <w:start w:val="1"/>
      <w:numFmt w:val="lowerLetter"/>
      <w:lvlText w:val="%2."/>
      <w:lvlJc w:val="left"/>
      <w:pPr>
        <w:ind w:left="1440" w:hanging="360"/>
      </w:pPr>
    </w:lvl>
    <w:lvl w:ilvl="2" w:tplc="6058744E">
      <w:start w:val="1"/>
      <w:numFmt w:val="lowerRoman"/>
      <w:lvlText w:val="%3."/>
      <w:lvlJc w:val="right"/>
      <w:pPr>
        <w:ind w:left="2160" w:hanging="180"/>
      </w:pPr>
    </w:lvl>
    <w:lvl w:ilvl="3" w:tplc="3DA69748">
      <w:start w:val="1"/>
      <w:numFmt w:val="decimal"/>
      <w:lvlText w:val="%4."/>
      <w:lvlJc w:val="left"/>
      <w:pPr>
        <w:ind w:left="2880" w:hanging="360"/>
      </w:pPr>
    </w:lvl>
    <w:lvl w:ilvl="4" w:tplc="26F4D152">
      <w:start w:val="1"/>
      <w:numFmt w:val="lowerLetter"/>
      <w:lvlText w:val="%5."/>
      <w:lvlJc w:val="left"/>
      <w:pPr>
        <w:ind w:left="3600" w:hanging="360"/>
      </w:pPr>
    </w:lvl>
    <w:lvl w:ilvl="5" w:tplc="BFDA914E">
      <w:start w:val="1"/>
      <w:numFmt w:val="lowerRoman"/>
      <w:lvlText w:val="%6."/>
      <w:lvlJc w:val="right"/>
      <w:pPr>
        <w:ind w:left="4320" w:hanging="180"/>
      </w:pPr>
    </w:lvl>
    <w:lvl w:ilvl="6" w:tplc="F61AF6C6">
      <w:start w:val="1"/>
      <w:numFmt w:val="decimal"/>
      <w:lvlText w:val="%7."/>
      <w:lvlJc w:val="left"/>
      <w:pPr>
        <w:ind w:left="5040" w:hanging="360"/>
      </w:pPr>
    </w:lvl>
    <w:lvl w:ilvl="7" w:tplc="C284B746">
      <w:start w:val="1"/>
      <w:numFmt w:val="lowerLetter"/>
      <w:lvlText w:val="%8."/>
      <w:lvlJc w:val="left"/>
      <w:pPr>
        <w:ind w:left="5760" w:hanging="360"/>
      </w:pPr>
    </w:lvl>
    <w:lvl w:ilvl="8" w:tplc="AA96EAE2">
      <w:start w:val="1"/>
      <w:numFmt w:val="lowerRoman"/>
      <w:lvlText w:val="%9."/>
      <w:lvlJc w:val="right"/>
      <w:pPr>
        <w:ind w:left="6480" w:hanging="180"/>
      </w:pPr>
    </w:lvl>
  </w:abstractNum>
  <w:abstractNum w:abstractNumId="26" w15:restartNumberingAfterBreak="0">
    <w:nsid w:val="26820E90"/>
    <w:multiLevelType w:val="multilevel"/>
    <w:tmpl w:val="009CD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0433CE"/>
    <w:multiLevelType w:val="hybridMultilevel"/>
    <w:tmpl w:val="5DAE54CA"/>
    <w:lvl w:ilvl="0" w:tplc="051AF7DC">
      <w:start w:val="1"/>
      <w:numFmt w:val="lowerLetter"/>
      <w:lvlText w:val="%1)"/>
      <w:lvlJc w:val="left"/>
      <w:pPr>
        <w:ind w:left="720" w:hanging="360"/>
      </w:pPr>
    </w:lvl>
    <w:lvl w:ilvl="1" w:tplc="4758742E">
      <w:start w:val="1"/>
      <w:numFmt w:val="lowerLetter"/>
      <w:lvlText w:val="%2."/>
      <w:lvlJc w:val="left"/>
      <w:pPr>
        <w:ind w:left="1440" w:hanging="360"/>
      </w:pPr>
    </w:lvl>
    <w:lvl w:ilvl="2" w:tplc="8BA6C240">
      <w:start w:val="4"/>
      <w:numFmt w:val="bullet"/>
      <w:lvlText w:val="–"/>
      <w:lvlJc w:val="left"/>
      <w:pPr>
        <w:ind w:left="2700" w:hanging="720"/>
      </w:pPr>
      <w:rPr>
        <w:rFonts w:ascii="Avenir Nxt2 W1G" w:hAnsi="Avenir Nxt2 W1G" w:hint="default"/>
      </w:rPr>
    </w:lvl>
    <w:lvl w:ilvl="3" w:tplc="990E48D0">
      <w:start w:val="4"/>
      <w:numFmt w:val="bullet"/>
      <w:lvlText w:val="•"/>
      <w:lvlJc w:val="left"/>
      <w:pPr>
        <w:ind w:left="2880" w:hanging="360"/>
      </w:pPr>
      <w:rPr>
        <w:rFonts w:ascii="Avenir Nxt2 W1G" w:hAnsi="Avenir Nxt2 W1G" w:hint="default"/>
      </w:rPr>
    </w:lvl>
    <w:lvl w:ilvl="4" w:tplc="EAB82016" w:tentative="1">
      <w:start w:val="1"/>
      <w:numFmt w:val="lowerLetter"/>
      <w:lvlText w:val="%5."/>
      <w:lvlJc w:val="left"/>
      <w:pPr>
        <w:ind w:left="3600" w:hanging="360"/>
      </w:pPr>
    </w:lvl>
    <w:lvl w:ilvl="5" w:tplc="5E24F062" w:tentative="1">
      <w:start w:val="1"/>
      <w:numFmt w:val="lowerRoman"/>
      <w:lvlText w:val="%6."/>
      <w:lvlJc w:val="right"/>
      <w:pPr>
        <w:ind w:left="4320" w:hanging="180"/>
      </w:pPr>
    </w:lvl>
    <w:lvl w:ilvl="6" w:tplc="7980BBBA" w:tentative="1">
      <w:start w:val="1"/>
      <w:numFmt w:val="decimal"/>
      <w:lvlText w:val="%7."/>
      <w:lvlJc w:val="left"/>
      <w:pPr>
        <w:ind w:left="5040" w:hanging="360"/>
      </w:pPr>
    </w:lvl>
    <w:lvl w:ilvl="7" w:tplc="5492FFF6" w:tentative="1">
      <w:start w:val="1"/>
      <w:numFmt w:val="lowerLetter"/>
      <w:lvlText w:val="%8."/>
      <w:lvlJc w:val="left"/>
      <w:pPr>
        <w:ind w:left="5760" w:hanging="360"/>
      </w:pPr>
    </w:lvl>
    <w:lvl w:ilvl="8" w:tplc="13BC600C" w:tentative="1">
      <w:start w:val="1"/>
      <w:numFmt w:val="lowerRoman"/>
      <w:lvlText w:val="%9."/>
      <w:lvlJc w:val="right"/>
      <w:pPr>
        <w:ind w:left="6480" w:hanging="180"/>
      </w:pPr>
    </w:lvl>
  </w:abstractNum>
  <w:abstractNum w:abstractNumId="28" w15:restartNumberingAfterBreak="0">
    <w:nsid w:val="2A7051AC"/>
    <w:multiLevelType w:val="multilevel"/>
    <w:tmpl w:val="F29C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81C59A"/>
    <w:multiLevelType w:val="multilevel"/>
    <w:tmpl w:val="FFFFFFFF"/>
    <w:lvl w:ilvl="0">
      <w:start w:val="8"/>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AC74DBE"/>
    <w:multiLevelType w:val="multilevel"/>
    <w:tmpl w:val="ADA6584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ptos" w:eastAsia="Batang"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B823F9"/>
    <w:multiLevelType w:val="hybridMultilevel"/>
    <w:tmpl w:val="C7E432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E024E62"/>
    <w:multiLevelType w:val="multilevel"/>
    <w:tmpl w:val="BC5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192253"/>
    <w:multiLevelType w:val="multilevel"/>
    <w:tmpl w:val="28AC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8242BD"/>
    <w:multiLevelType w:val="hybridMultilevel"/>
    <w:tmpl w:val="25FA6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E254FB"/>
    <w:multiLevelType w:val="hybridMultilevel"/>
    <w:tmpl w:val="CBD08FD2"/>
    <w:lvl w:ilvl="0" w:tplc="FE883820">
      <w:start w:val="1"/>
      <w:numFmt w:val="lowerLetter"/>
      <w:lvlText w:val="%1."/>
      <w:lvlJc w:val="left"/>
      <w:pPr>
        <w:ind w:left="720" w:hanging="360"/>
      </w:pPr>
    </w:lvl>
    <w:lvl w:ilvl="1" w:tplc="80B638EA">
      <w:start w:val="1"/>
      <w:numFmt w:val="lowerLetter"/>
      <w:lvlText w:val="%2."/>
      <w:lvlJc w:val="left"/>
      <w:pPr>
        <w:ind w:left="1440" w:hanging="360"/>
      </w:pPr>
    </w:lvl>
    <w:lvl w:ilvl="2" w:tplc="C7D497C2">
      <w:start w:val="1"/>
      <w:numFmt w:val="lowerRoman"/>
      <w:lvlText w:val="%3."/>
      <w:lvlJc w:val="right"/>
      <w:pPr>
        <w:ind w:left="2160" w:hanging="180"/>
      </w:pPr>
    </w:lvl>
    <w:lvl w:ilvl="3" w:tplc="5492F9DA">
      <w:start w:val="1"/>
      <w:numFmt w:val="decimal"/>
      <w:lvlText w:val="%4."/>
      <w:lvlJc w:val="left"/>
      <w:pPr>
        <w:ind w:left="2880" w:hanging="360"/>
      </w:pPr>
    </w:lvl>
    <w:lvl w:ilvl="4" w:tplc="B762C564">
      <w:start w:val="1"/>
      <w:numFmt w:val="lowerLetter"/>
      <w:lvlText w:val="%5."/>
      <w:lvlJc w:val="left"/>
      <w:pPr>
        <w:ind w:left="3600" w:hanging="360"/>
      </w:pPr>
    </w:lvl>
    <w:lvl w:ilvl="5" w:tplc="425656E2">
      <w:start w:val="1"/>
      <w:numFmt w:val="lowerRoman"/>
      <w:lvlText w:val="%6."/>
      <w:lvlJc w:val="right"/>
      <w:pPr>
        <w:ind w:left="4320" w:hanging="180"/>
      </w:pPr>
    </w:lvl>
    <w:lvl w:ilvl="6" w:tplc="70EEEC02">
      <w:start w:val="1"/>
      <w:numFmt w:val="decimal"/>
      <w:lvlText w:val="%7."/>
      <w:lvlJc w:val="left"/>
      <w:pPr>
        <w:ind w:left="5040" w:hanging="360"/>
      </w:pPr>
    </w:lvl>
    <w:lvl w:ilvl="7" w:tplc="A5B6A888">
      <w:start w:val="1"/>
      <w:numFmt w:val="lowerLetter"/>
      <w:lvlText w:val="%8."/>
      <w:lvlJc w:val="left"/>
      <w:pPr>
        <w:ind w:left="5760" w:hanging="360"/>
      </w:pPr>
    </w:lvl>
    <w:lvl w:ilvl="8" w:tplc="1436A372">
      <w:start w:val="1"/>
      <w:numFmt w:val="lowerRoman"/>
      <w:lvlText w:val="%9."/>
      <w:lvlJc w:val="right"/>
      <w:pPr>
        <w:ind w:left="6480" w:hanging="180"/>
      </w:pPr>
    </w:lvl>
  </w:abstractNum>
  <w:abstractNum w:abstractNumId="36" w15:restartNumberingAfterBreak="0">
    <w:nsid w:val="31C957E6"/>
    <w:multiLevelType w:val="multilevel"/>
    <w:tmpl w:val="FFFFFFFF"/>
    <w:lvl w:ilvl="0">
      <w:start w:val="2"/>
      <w:numFmt w:val="lowerLetter"/>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2CB6567"/>
    <w:multiLevelType w:val="multilevel"/>
    <w:tmpl w:val="C94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A92075"/>
    <w:multiLevelType w:val="multilevel"/>
    <w:tmpl w:val="B530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AE96DD"/>
    <w:multiLevelType w:val="hybridMultilevel"/>
    <w:tmpl w:val="FFFFFFFF"/>
    <w:lvl w:ilvl="0" w:tplc="FBA45D86">
      <w:start w:val="1"/>
      <w:numFmt w:val="lowerLetter"/>
      <w:lvlText w:val="%1."/>
      <w:lvlJc w:val="left"/>
      <w:pPr>
        <w:ind w:left="720" w:hanging="360"/>
      </w:pPr>
    </w:lvl>
    <w:lvl w:ilvl="1" w:tplc="4E3EF558">
      <w:start w:val="1"/>
      <w:numFmt w:val="lowerLetter"/>
      <w:lvlText w:val="%2."/>
      <w:lvlJc w:val="left"/>
      <w:pPr>
        <w:ind w:left="1440" w:hanging="360"/>
      </w:pPr>
    </w:lvl>
    <w:lvl w:ilvl="2" w:tplc="B7863DCA">
      <w:start w:val="1"/>
      <w:numFmt w:val="lowerRoman"/>
      <w:lvlText w:val="%3."/>
      <w:lvlJc w:val="right"/>
      <w:pPr>
        <w:ind w:left="2160" w:hanging="180"/>
      </w:pPr>
    </w:lvl>
    <w:lvl w:ilvl="3" w:tplc="F9EA3CC2">
      <w:start w:val="1"/>
      <w:numFmt w:val="decimal"/>
      <w:lvlText w:val="%4."/>
      <w:lvlJc w:val="left"/>
      <w:pPr>
        <w:ind w:left="2880" w:hanging="360"/>
      </w:pPr>
    </w:lvl>
    <w:lvl w:ilvl="4" w:tplc="41769FC6">
      <w:start w:val="1"/>
      <w:numFmt w:val="lowerLetter"/>
      <w:lvlText w:val="%5."/>
      <w:lvlJc w:val="left"/>
      <w:pPr>
        <w:ind w:left="3600" w:hanging="360"/>
      </w:pPr>
    </w:lvl>
    <w:lvl w:ilvl="5" w:tplc="0C8A659C">
      <w:start w:val="1"/>
      <w:numFmt w:val="lowerRoman"/>
      <w:lvlText w:val="%6."/>
      <w:lvlJc w:val="right"/>
      <w:pPr>
        <w:ind w:left="4320" w:hanging="180"/>
      </w:pPr>
    </w:lvl>
    <w:lvl w:ilvl="6" w:tplc="9918C378">
      <w:start w:val="1"/>
      <w:numFmt w:val="decimal"/>
      <w:lvlText w:val="%7."/>
      <w:lvlJc w:val="left"/>
      <w:pPr>
        <w:ind w:left="5040" w:hanging="360"/>
      </w:pPr>
    </w:lvl>
    <w:lvl w:ilvl="7" w:tplc="6E68289C">
      <w:start w:val="1"/>
      <w:numFmt w:val="lowerLetter"/>
      <w:lvlText w:val="%8."/>
      <w:lvlJc w:val="left"/>
      <w:pPr>
        <w:ind w:left="5760" w:hanging="360"/>
      </w:pPr>
    </w:lvl>
    <w:lvl w:ilvl="8" w:tplc="70C6CDEC">
      <w:start w:val="1"/>
      <w:numFmt w:val="lowerRoman"/>
      <w:lvlText w:val="%9."/>
      <w:lvlJc w:val="right"/>
      <w:pPr>
        <w:ind w:left="6480" w:hanging="180"/>
      </w:pPr>
    </w:lvl>
  </w:abstractNum>
  <w:abstractNum w:abstractNumId="40" w15:restartNumberingAfterBreak="0">
    <w:nsid w:val="348F0EC6"/>
    <w:multiLevelType w:val="hybridMultilevel"/>
    <w:tmpl w:val="D23AA332"/>
    <w:lvl w:ilvl="0" w:tplc="667E7782">
      <w:start w:val="1"/>
      <w:numFmt w:val="lowerLetter"/>
      <w:lvlText w:val="%1)"/>
      <w:lvlJc w:val="left"/>
      <w:pPr>
        <w:ind w:left="1020" w:hanging="360"/>
      </w:pPr>
    </w:lvl>
    <w:lvl w:ilvl="1" w:tplc="318C4B1C">
      <w:start w:val="1"/>
      <w:numFmt w:val="lowerLetter"/>
      <w:lvlText w:val="%2)"/>
      <w:lvlJc w:val="left"/>
      <w:pPr>
        <w:ind w:left="1020" w:hanging="360"/>
      </w:pPr>
    </w:lvl>
    <w:lvl w:ilvl="2" w:tplc="D224373E">
      <w:start w:val="1"/>
      <w:numFmt w:val="lowerLetter"/>
      <w:lvlText w:val="%3)"/>
      <w:lvlJc w:val="left"/>
      <w:pPr>
        <w:ind w:left="1020" w:hanging="360"/>
      </w:pPr>
    </w:lvl>
    <w:lvl w:ilvl="3" w:tplc="C6D6A464">
      <w:start w:val="1"/>
      <w:numFmt w:val="lowerLetter"/>
      <w:lvlText w:val="%4)"/>
      <w:lvlJc w:val="left"/>
      <w:pPr>
        <w:ind w:left="1020" w:hanging="360"/>
      </w:pPr>
    </w:lvl>
    <w:lvl w:ilvl="4" w:tplc="372265BE">
      <w:start w:val="1"/>
      <w:numFmt w:val="lowerLetter"/>
      <w:lvlText w:val="%5)"/>
      <w:lvlJc w:val="left"/>
      <w:pPr>
        <w:ind w:left="1020" w:hanging="360"/>
      </w:pPr>
    </w:lvl>
    <w:lvl w:ilvl="5" w:tplc="AE3815A4">
      <w:start w:val="1"/>
      <w:numFmt w:val="lowerLetter"/>
      <w:lvlText w:val="%6)"/>
      <w:lvlJc w:val="left"/>
      <w:pPr>
        <w:ind w:left="1020" w:hanging="360"/>
      </w:pPr>
    </w:lvl>
    <w:lvl w:ilvl="6" w:tplc="B7EEC3DA">
      <w:start w:val="1"/>
      <w:numFmt w:val="lowerLetter"/>
      <w:lvlText w:val="%7)"/>
      <w:lvlJc w:val="left"/>
      <w:pPr>
        <w:ind w:left="1020" w:hanging="360"/>
      </w:pPr>
    </w:lvl>
    <w:lvl w:ilvl="7" w:tplc="21CA8FBE">
      <w:start w:val="1"/>
      <w:numFmt w:val="lowerLetter"/>
      <w:lvlText w:val="%8)"/>
      <w:lvlJc w:val="left"/>
      <w:pPr>
        <w:ind w:left="1020" w:hanging="360"/>
      </w:pPr>
    </w:lvl>
    <w:lvl w:ilvl="8" w:tplc="13449332">
      <w:start w:val="1"/>
      <w:numFmt w:val="lowerLetter"/>
      <w:lvlText w:val="%9)"/>
      <w:lvlJc w:val="left"/>
      <w:pPr>
        <w:ind w:left="1020" w:hanging="360"/>
      </w:pPr>
    </w:lvl>
  </w:abstractNum>
  <w:abstractNum w:abstractNumId="41" w15:restartNumberingAfterBreak="0">
    <w:nsid w:val="39F94D13"/>
    <w:multiLevelType w:val="hybridMultilevel"/>
    <w:tmpl w:val="D63EC7AC"/>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3B9215F1"/>
    <w:multiLevelType w:val="multilevel"/>
    <w:tmpl w:val="C2364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D34DBD"/>
    <w:multiLevelType w:val="hybridMultilevel"/>
    <w:tmpl w:val="F3D4A262"/>
    <w:lvl w:ilvl="0" w:tplc="1DDE1946">
      <w:start w:val="1"/>
      <w:numFmt w:val="lowerLetter"/>
      <w:pStyle w:val="Bulleta"/>
      <w:lvlText w:val="%1)"/>
      <w:lvlJc w:val="left"/>
      <w:pPr>
        <w:ind w:left="720" w:hanging="360"/>
      </w:pPr>
    </w:lvl>
    <w:lvl w:ilvl="1" w:tplc="FBF483B4">
      <w:start w:val="1"/>
      <w:numFmt w:val="lowerLetter"/>
      <w:lvlText w:val="%2."/>
      <w:lvlJc w:val="left"/>
      <w:pPr>
        <w:ind w:left="1440" w:hanging="360"/>
      </w:pPr>
    </w:lvl>
    <w:lvl w:ilvl="2" w:tplc="06BCA238">
      <w:start w:val="4"/>
      <w:numFmt w:val="bullet"/>
      <w:lvlText w:val="–"/>
      <w:lvlJc w:val="left"/>
      <w:pPr>
        <w:ind w:left="2700" w:hanging="720"/>
      </w:pPr>
      <w:rPr>
        <w:rFonts w:ascii="Avenir Nxt2 W1G" w:hAnsi="Avenir Nxt2 W1G" w:hint="default"/>
      </w:rPr>
    </w:lvl>
    <w:lvl w:ilvl="3" w:tplc="DC32E5F6">
      <w:start w:val="4"/>
      <w:numFmt w:val="bullet"/>
      <w:lvlText w:val="•"/>
      <w:lvlJc w:val="left"/>
      <w:pPr>
        <w:ind w:left="2880" w:hanging="360"/>
      </w:pPr>
      <w:rPr>
        <w:rFonts w:ascii="Avenir Nxt2 W1G" w:hAnsi="Avenir Nxt2 W1G" w:hint="default"/>
      </w:rPr>
    </w:lvl>
    <w:lvl w:ilvl="4" w:tplc="BD74C0BC" w:tentative="1">
      <w:start w:val="1"/>
      <w:numFmt w:val="lowerLetter"/>
      <w:lvlText w:val="%5."/>
      <w:lvlJc w:val="left"/>
      <w:pPr>
        <w:ind w:left="3600" w:hanging="360"/>
      </w:pPr>
    </w:lvl>
    <w:lvl w:ilvl="5" w:tplc="940E8936" w:tentative="1">
      <w:start w:val="1"/>
      <w:numFmt w:val="lowerRoman"/>
      <w:lvlText w:val="%6."/>
      <w:lvlJc w:val="right"/>
      <w:pPr>
        <w:ind w:left="4320" w:hanging="180"/>
      </w:pPr>
    </w:lvl>
    <w:lvl w:ilvl="6" w:tplc="5052ABF4" w:tentative="1">
      <w:start w:val="1"/>
      <w:numFmt w:val="decimal"/>
      <w:lvlText w:val="%7."/>
      <w:lvlJc w:val="left"/>
      <w:pPr>
        <w:ind w:left="5040" w:hanging="360"/>
      </w:pPr>
    </w:lvl>
    <w:lvl w:ilvl="7" w:tplc="2984216E" w:tentative="1">
      <w:start w:val="1"/>
      <w:numFmt w:val="lowerLetter"/>
      <w:lvlText w:val="%8."/>
      <w:lvlJc w:val="left"/>
      <w:pPr>
        <w:ind w:left="5760" w:hanging="360"/>
      </w:pPr>
    </w:lvl>
    <w:lvl w:ilvl="8" w:tplc="C804C0CE" w:tentative="1">
      <w:start w:val="1"/>
      <w:numFmt w:val="lowerRoman"/>
      <w:lvlText w:val="%9."/>
      <w:lvlJc w:val="right"/>
      <w:pPr>
        <w:ind w:left="6480" w:hanging="180"/>
      </w:pPr>
    </w:lvl>
  </w:abstractNum>
  <w:abstractNum w:abstractNumId="44" w15:restartNumberingAfterBreak="0">
    <w:nsid w:val="3C4C7020"/>
    <w:multiLevelType w:val="hybridMultilevel"/>
    <w:tmpl w:val="B5AC1F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D8BA894"/>
    <w:multiLevelType w:val="hybridMultilevel"/>
    <w:tmpl w:val="FFFFFFFF"/>
    <w:lvl w:ilvl="0" w:tplc="77F44642">
      <w:start w:val="1"/>
      <w:numFmt w:val="bullet"/>
      <w:lvlText w:val=""/>
      <w:lvlJc w:val="left"/>
      <w:pPr>
        <w:ind w:left="720" w:hanging="360"/>
      </w:pPr>
      <w:rPr>
        <w:rFonts w:ascii="Symbol" w:hAnsi="Symbol" w:hint="default"/>
      </w:rPr>
    </w:lvl>
    <w:lvl w:ilvl="1" w:tplc="9DD218CE">
      <w:start w:val="1"/>
      <w:numFmt w:val="bullet"/>
      <w:lvlText w:val="o"/>
      <w:lvlJc w:val="left"/>
      <w:pPr>
        <w:ind w:left="1440" w:hanging="360"/>
      </w:pPr>
      <w:rPr>
        <w:rFonts w:ascii="Courier New" w:hAnsi="Courier New" w:hint="default"/>
      </w:rPr>
    </w:lvl>
    <w:lvl w:ilvl="2" w:tplc="DE4E0BE6">
      <w:start w:val="1"/>
      <w:numFmt w:val="bullet"/>
      <w:lvlText w:val=""/>
      <w:lvlJc w:val="left"/>
      <w:pPr>
        <w:ind w:left="2160" w:hanging="360"/>
      </w:pPr>
      <w:rPr>
        <w:rFonts w:ascii="Wingdings" w:hAnsi="Wingdings" w:hint="default"/>
      </w:rPr>
    </w:lvl>
    <w:lvl w:ilvl="3" w:tplc="EE78FF7A">
      <w:start w:val="1"/>
      <w:numFmt w:val="bullet"/>
      <w:lvlText w:val=""/>
      <w:lvlJc w:val="left"/>
      <w:pPr>
        <w:ind w:left="2880" w:hanging="360"/>
      </w:pPr>
      <w:rPr>
        <w:rFonts w:ascii="Symbol" w:hAnsi="Symbol" w:hint="default"/>
      </w:rPr>
    </w:lvl>
    <w:lvl w:ilvl="4" w:tplc="894234F0">
      <w:start w:val="1"/>
      <w:numFmt w:val="bullet"/>
      <w:lvlText w:val="o"/>
      <w:lvlJc w:val="left"/>
      <w:pPr>
        <w:ind w:left="3600" w:hanging="360"/>
      </w:pPr>
      <w:rPr>
        <w:rFonts w:ascii="Courier New" w:hAnsi="Courier New" w:hint="default"/>
      </w:rPr>
    </w:lvl>
    <w:lvl w:ilvl="5" w:tplc="35F435BC">
      <w:start w:val="1"/>
      <w:numFmt w:val="bullet"/>
      <w:lvlText w:val=""/>
      <w:lvlJc w:val="left"/>
      <w:pPr>
        <w:ind w:left="4320" w:hanging="360"/>
      </w:pPr>
      <w:rPr>
        <w:rFonts w:ascii="Wingdings" w:hAnsi="Wingdings" w:hint="default"/>
      </w:rPr>
    </w:lvl>
    <w:lvl w:ilvl="6" w:tplc="D1FADD78">
      <w:start w:val="1"/>
      <w:numFmt w:val="bullet"/>
      <w:lvlText w:val=""/>
      <w:lvlJc w:val="left"/>
      <w:pPr>
        <w:ind w:left="5040" w:hanging="360"/>
      </w:pPr>
      <w:rPr>
        <w:rFonts w:ascii="Symbol" w:hAnsi="Symbol" w:hint="default"/>
      </w:rPr>
    </w:lvl>
    <w:lvl w:ilvl="7" w:tplc="F438D202">
      <w:start w:val="1"/>
      <w:numFmt w:val="bullet"/>
      <w:lvlText w:val="o"/>
      <w:lvlJc w:val="left"/>
      <w:pPr>
        <w:ind w:left="5760" w:hanging="360"/>
      </w:pPr>
      <w:rPr>
        <w:rFonts w:ascii="Courier New" w:hAnsi="Courier New" w:hint="default"/>
      </w:rPr>
    </w:lvl>
    <w:lvl w:ilvl="8" w:tplc="1E481A86">
      <w:start w:val="1"/>
      <w:numFmt w:val="bullet"/>
      <w:lvlText w:val=""/>
      <w:lvlJc w:val="left"/>
      <w:pPr>
        <w:ind w:left="6480" w:hanging="360"/>
      </w:pPr>
      <w:rPr>
        <w:rFonts w:ascii="Wingdings" w:hAnsi="Wingdings" w:hint="default"/>
      </w:rPr>
    </w:lvl>
  </w:abstractNum>
  <w:abstractNum w:abstractNumId="46" w15:restartNumberingAfterBreak="0">
    <w:nsid w:val="41506329"/>
    <w:multiLevelType w:val="multilevel"/>
    <w:tmpl w:val="E6C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17443EA"/>
    <w:multiLevelType w:val="hybridMultilevel"/>
    <w:tmpl w:val="45CE7856"/>
    <w:lvl w:ilvl="0" w:tplc="FE303C7A">
      <w:start w:val="1"/>
      <w:numFmt w:val="bullet"/>
      <w:lvlText w:val=""/>
      <w:lvlJc w:val="left"/>
      <w:pPr>
        <w:ind w:left="720" w:hanging="360"/>
      </w:pPr>
      <w:rPr>
        <w:rFonts w:ascii="Symbol" w:hAnsi="Symbol" w:hint="default"/>
      </w:rPr>
    </w:lvl>
    <w:lvl w:ilvl="1" w:tplc="7EAACC5C">
      <w:start w:val="1"/>
      <w:numFmt w:val="bullet"/>
      <w:lvlText w:val="o"/>
      <w:lvlJc w:val="left"/>
      <w:pPr>
        <w:ind w:left="1440" w:hanging="360"/>
      </w:pPr>
      <w:rPr>
        <w:rFonts w:ascii="Courier New" w:hAnsi="Courier New" w:hint="default"/>
      </w:rPr>
    </w:lvl>
    <w:lvl w:ilvl="2" w:tplc="635AC8A0">
      <w:start w:val="1"/>
      <w:numFmt w:val="bullet"/>
      <w:lvlText w:val=""/>
      <w:lvlJc w:val="left"/>
      <w:pPr>
        <w:ind w:left="2160" w:hanging="360"/>
      </w:pPr>
      <w:rPr>
        <w:rFonts w:ascii="Wingdings" w:hAnsi="Wingdings" w:hint="default"/>
      </w:rPr>
    </w:lvl>
    <w:lvl w:ilvl="3" w:tplc="1AD83D2C">
      <w:start w:val="1"/>
      <w:numFmt w:val="bullet"/>
      <w:lvlText w:val=""/>
      <w:lvlJc w:val="left"/>
      <w:pPr>
        <w:ind w:left="2880" w:hanging="360"/>
      </w:pPr>
      <w:rPr>
        <w:rFonts w:ascii="Symbol" w:hAnsi="Symbol" w:hint="default"/>
      </w:rPr>
    </w:lvl>
    <w:lvl w:ilvl="4" w:tplc="0FD47D74" w:tentative="1">
      <w:start w:val="1"/>
      <w:numFmt w:val="bullet"/>
      <w:lvlText w:val="o"/>
      <w:lvlJc w:val="left"/>
      <w:pPr>
        <w:ind w:left="3600" w:hanging="360"/>
      </w:pPr>
      <w:rPr>
        <w:rFonts w:ascii="Courier New" w:hAnsi="Courier New" w:hint="default"/>
      </w:rPr>
    </w:lvl>
    <w:lvl w:ilvl="5" w:tplc="6440782C" w:tentative="1">
      <w:start w:val="1"/>
      <w:numFmt w:val="bullet"/>
      <w:lvlText w:val=""/>
      <w:lvlJc w:val="left"/>
      <w:pPr>
        <w:ind w:left="4320" w:hanging="360"/>
      </w:pPr>
      <w:rPr>
        <w:rFonts w:ascii="Wingdings" w:hAnsi="Wingdings" w:hint="default"/>
      </w:rPr>
    </w:lvl>
    <w:lvl w:ilvl="6" w:tplc="BC163326" w:tentative="1">
      <w:start w:val="1"/>
      <w:numFmt w:val="bullet"/>
      <w:lvlText w:val=""/>
      <w:lvlJc w:val="left"/>
      <w:pPr>
        <w:ind w:left="5040" w:hanging="360"/>
      </w:pPr>
      <w:rPr>
        <w:rFonts w:ascii="Symbol" w:hAnsi="Symbol" w:hint="default"/>
      </w:rPr>
    </w:lvl>
    <w:lvl w:ilvl="7" w:tplc="88767FDE" w:tentative="1">
      <w:start w:val="1"/>
      <w:numFmt w:val="bullet"/>
      <w:lvlText w:val="o"/>
      <w:lvlJc w:val="left"/>
      <w:pPr>
        <w:ind w:left="5760" w:hanging="360"/>
      </w:pPr>
      <w:rPr>
        <w:rFonts w:ascii="Courier New" w:hAnsi="Courier New" w:hint="default"/>
      </w:rPr>
    </w:lvl>
    <w:lvl w:ilvl="8" w:tplc="FCA6282A" w:tentative="1">
      <w:start w:val="1"/>
      <w:numFmt w:val="bullet"/>
      <w:lvlText w:val=""/>
      <w:lvlJc w:val="left"/>
      <w:pPr>
        <w:ind w:left="6480" w:hanging="360"/>
      </w:pPr>
      <w:rPr>
        <w:rFonts w:ascii="Wingdings" w:hAnsi="Wingdings" w:hint="default"/>
      </w:rPr>
    </w:lvl>
  </w:abstractNum>
  <w:abstractNum w:abstractNumId="48" w15:restartNumberingAfterBreak="0">
    <w:nsid w:val="42C03367"/>
    <w:multiLevelType w:val="multilevel"/>
    <w:tmpl w:val="FFFFFFFF"/>
    <w:lvl w:ilvl="0">
      <w:start w:val="7"/>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3039BE4"/>
    <w:multiLevelType w:val="multilevel"/>
    <w:tmpl w:val="301287A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33167C6"/>
    <w:multiLevelType w:val="hybridMultilevel"/>
    <w:tmpl w:val="A45CE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409412D"/>
    <w:multiLevelType w:val="multilevel"/>
    <w:tmpl w:val="278ED1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2801D9"/>
    <w:multiLevelType w:val="hybridMultilevel"/>
    <w:tmpl w:val="3D0074D0"/>
    <w:lvl w:ilvl="0" w:tplc="C59EE580">
      <w:start w:val="1"/>
      <w:numFmt w:val="lowerLetter"/>
      <w:lvlText w:val="%1)"/>
      <w:lvlJc w:val="left"/>
      <w:pPr>
        <w:ind w:left="1020" w:hanging="360"/>
      </w:pPr>
    </w:lvl>
    <w:lvl w:ilvl="1" w:tplc="E7ECF8C8">
      <w:start w:val="1"/>
      <w:numFmt w:val="lowerLetter"/>
      <w:lvlText w:val="%2)"/>
      <w:lvlJc w:val="left"/>
      <w:pPr>
        <w:ind w:left="1020" w:hanging="360"/>
      </w:pPr>
    </w:lvl>
    <w:lvl w:ilvl="2" w:tplc="D164A096">
      <w:start w:val="1"/>
      <w:numFmt w:val="lowerLetter"/>
      <w:lvlText w:val="%3)"/>
      <w:lvlJc w:val="left"/>
      <w:pPr>
        <w:ind w:left="1020" w:hanging="360"/>
      </w:pPr>
    </w:lvl>
    <w:lvl w:ilvl="3" w:tplc="040EED6C">
      <w:start w:val="1"/>
      <w:numFmt w:val="lowerLetter"/>
      <w:lvlText w:val="%4)"/>
      <w:lvlJc w:val="left"/>
      <w:pPr>
        <w:ind w:left="1020" w:hanging="360"/>
      </w:pPr>
    </w:lvl>
    <w:lvl w:ilvl="4" w:tplc="EA3CA582">
      <w:start w:val="1"/>
      <w:numFmt w:val="lowerLetter"/>
      <w:lvlText w:val="%5)"/>
      <w:lvlJc w:val="left"/>
      <w:pPr>
        <w:ind w:left="1020" w:hanging="360"/>
      </w:pPr>
    </w:lvl>
    <w:lvl w:ilvl="5" w:tplc="F66648C6">
      <w:start w:val="1"/>
      <w:numFmt w:val="lowerLetter"/>
      <w:lvlText w:val="%6)"/>
      <w:lvlJc w:val="left"/>
      <w:pPr>
        <w:ind w:left="1020" w:hanging="360"/>
      </w:pPr>
    </w:lvl>
    <w:lvl w:ilvl="6" w:tplc="30E06006">
      <w:start w:val="1"/>
      <w:numFmt w:val="lowerLetter"/>
      <w:lvlText w:val="%7)"/>
      <w:lvlJc w:val="left"/>
      <w:pPr>
        <w:ind w:left="1020" w:hanging="360"/>
      </w:pPr>
    </w:lvl>
    <w:lvl w:ilvl="7" w:tplc="26A040F0">
      <w:start w:val="1"/>
      <w:numFmt w:val="lowerLetter"/>
      <w:lvlText w:val="%8)"/>
      <w:lvlJc w:val="left"/>
      <w:pPr>
        <w:ind w:left="1020" w:hanging="360"/>
      </w:pPr>
    </w:lvl>
    <w:lvl w:ilvl="8" w:tplc="912600DA">
      <w:start w:val="1"/>
      <w:numFmt w:val="lowerLetter"/>
      <w:lvlText w:val="%9)"/>
      <w:lvlJc w:val="left"/>
      <w:pPr>
        <w:ind w:left="1020" w:hanging="360"/>
      </w:pPr>
    </w:lvl>
  </w:abstractNum>
  <w:abstractNum w:abstractNumId="53" w15:restartNumberingAfterBreak="0">
    <w:nsid w:val="495F47B4"/>
    <w:multiLevelType w:val="hybridMultilevel"/>
    <w:tmpl w:val="FFFFFFFF"/>
    <w:lvl w:ilvl="0" w:tplc="3C9EC866">
      <w:start w:val="1"/>
      <w:numFmt w:val="decimal"/>
      <w:lvlText w:val="%1."/>
      <w:lvlJc w:val="left"/>
      <w:pPr>
        <w:ind w:left="720" w:hanging="360"/>
      </w:pPr>
      <w:rPr>
        <w:rFonts w:ascii="Avenir Nxt2 W1G" w:hAnsi="Avenir Nxt2 W1G" w:hint="default"/>
      </w:rPr>
    </w:lvl>
    <w:lvl w:ilvl="1" w:tplc="9EC8020E">
      <w:start w:val="1"/>
      <w:numFmt w:val="lowerLetter"/>
      <w:lvlText w:val="%2."/>
      <w:lvlJc w:val="left"/>
      <w:pPr>
        <w:ind w:left="1440" w:hanging="360"/>
      </w:pPr>
    </w:lvl>
    <w:lvl w:ilvl="2" w:tplc="365CE444">
      <w:start w:val="1"/>
      <w:numFmt w:val="lowerRoman"/>
      <w:lvlText w:val="%3."/>
      <w:lvlJc w:val="right"/>
      <w:pPr>
        <w:ind w:left="2160" w:hanging="180"/>
      </w:pPr>
    </w:lvl>
    <w:lvl w:ilvl="3" w:tplc="830844B2">
      <w:start w:val="1"/>
      <w:numFmt w:val="decimal"/>
      <w:lvlText w:val="%4."/>
      <w:lvlJc w:val="left"/>
      <w:pPr>
        <w:ind w:left="2880" w:hanging="360"/>
      </w:pPr>
    </w:lvl>
    <w:lvl w:ilvl="4" w:tplc="DE002D62">
      <w:start w:val="1"/>
      <w:numFmt w:val="lowerLetter"/>
      <w:lvlText w:val="%5."/>
      <w:lvlJc w:val="left"/>
      <w:pPr>
        <w:ind w:left="3600" w:hanging="360"/>
      </w:pPr>
    </w:lvl>
    <w:lvl w:ilvl="5" w:tplc="7ADA6D32">
      <w:start w:val="1"/>
      <w:numFmt w:val="lowerRoman"/>
      <w:lvlText w:val="%6."/>
      <w:lvlJc w:val="right"/>
      <w:pPr>
        <w:ind w:left="4320" w:hanging="180"/>
      </w:pPr>
    </w:lvl>
    <w:lvl w:ilvl="6" w:tplc="A35EDF46">
      <w:start w:val="1"/>
      <w:numFmt w:val="decimal"/>
      <w:lvlText w:val="%7."/>
      <w:lvlJc w:val="left"/>
      <w:pPr>
        <w:ind w:left="5040" w:hanging="360"/>
      </w:pPr>
    </w:lvl>
    <w:lvl w:ilvl="7" w:tplc="1DF808D0">
      <w:start w:val="1"/>
      <w:numFmt w:val="lowerLetter"/>
      <w:lvlText w:val="%8."/>
      <w:lvlJc w:val="left"/>
      <w:pPr>
        <w:ind w:left="5760" w:hanging="360"/>
      </w:pPr>
    </w:lvl>
    <w:lvl w:ilvl="8" w:tplc="6E040DD2">
      <w:start w:val="1"/>
      <w:numFmt w:val="lowerRoman"/>
      <w:lvlText w:val="%9."/>
      <w:lvlJc w:val="right"/>
      <w:pPr>
        <w:ind w:left="6480" w:hanging="180"/>
      </w:pPr>
    </w:lvl>
  </w:abstractNum>
  <w:abstractNum w:abstractNumId="54" w15:restartNumberingAfterBreak="0">
    <w:nsid w:val="4A015432"/>
    <w:multiLevelType w:val="hybridMultilevel"/>
    <w:tmpl w:val="7DB85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A6B2F33"/>
    <w:multiLevelType w:val="hybridMultilevel"/>
    <w:tmpl w:val="D806ED76"/>
    <w:lvl w:ilvl="0" w:tplc="FFFFFFFF">
      <w:start w:val="1"/>
      <w:numFmt w:val="bullet"/>
      <w:lvlText w:val=""/>
      <w:lvlJc w:val="left"/>
      <w:pPr>
        <w:ind w:left="717" w:hanging="360"/>
      </w:pPr>
      <w:rPr>
        <w:rFonts w:ascii="Symbol" w:hAnsi="Symbol" w:hint="default"/>
      </w:rPr>
    </w:lvl>
    <w:lvl w:ilvl="1" w:tplc="08090001">
      <w:start w:val="1"/>
      <w:numFmt w:val="bullet"/>
      <w:lvlText w:val=""/>
      <w:lvlJc w:val="left"/>
      <w:pPr>
        <w:ind w:left="1437" w:hanging="360"/>
      </w:pPr>
      <w:rPr>
        <w:rFonts w:ascii="Symbol" w:hAnsi="Symbol" w:hint="default"/>
      </w:rPr>
    </w:lvl>
    <w:lvl w:ilvl="2" w:tplc="FFFFFFFF">
      <w:start w:val="1"/>
      <w:numFmt w:val="bullet"/>
      <w:lvlText w:val=""/>
      <w:lvlJc w:val="left"/>
      <w:pPr>
        <w:ind w:left="2157" w:hanging="360"/>
      </w:pPr>
      <w:rPr>
        <w:rFonts w:ascii="Wingdings" w:hAnsi="Wingdings" w:hint="default"/>
      </w:rPr>
    </w:lvl>
    <w:lvl w:ilvl="3" w:tplc="FFFFFFFF">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6" w15:restartNumberingAfterBreak="0">
    <w:nsid w:val="4D372256"/>
    <w:multiLevelType w:val="hybridMultilevel"/>
    <w:tmpl w:val="FFFFFFFF"/>
    <w:lvl w:ilvl="0" w:tplc="57C0DF10">
      <w:start w:val="1"/>
      <w:numFmt w:val="bullet"/>
      <w:lvlText w:val=""/>
      <w:lvlJc w:val="left"/>
      <w:pPr>
        <w:ind w:left="720" w:hanging="360"/>
      </w:pPr>
      <w:rPr>
        <w:rFonts w:ascii="Symbol" w:hAnsi="Symbol" w:hint="default"/>
      </w:rPr>
    </w:lvl>
    <w:lvl w:ilvl="1" w:tplc="0E94BB2A">
      <w:start w:val="1"/>
      <w:numFmt w:val="bullet"/>
      <w:lvlText w:val="o"/>
      <w:lvlJc w:val="left"/>
      <w:pPr>
        <w:ind w:left="1440" w:hanging="360"/>
      </w:pPr>
      <w:rPr>
        <w:rFonts w:ascii="Courier New" w:hAnsi="Courier New" w:hint="default"/>
      </w:rPr>
    </w:lvl>
    <w:lvl w:ilvl="2" w:tplc="A95E0E32">
      <w:start w:val="1"/>
      <w:numFmt w:val="bullet"/>
      <w:lvlText w:val=""/>
      <w:lvlJc w:val="left"/>
      <w:pPr>
        <w:ind w:left="2160" w:hanging="360"/>
      </w:pPr>
      <w:rPr>
        <w:rFonts w:ascii="Wingdings" w:hAnsi="Wingdings" w:hint="default"/>
      </w:rPr>
    </w:lvl>
    <w:lvl w:ilvl="3" w:tplc="E1FAD654">
      <w:start w:val="1"/>
      <w:numFmt w:val="bullet"/>
      <w:lvlText w:val=""/>
      <w:lvlJc w:val="left"/>
      <w:pPr>
        <w:ind w:left="2880" w:hanging="360"/>
      </w:pPr>
      <w:rPr>
        <w:rFonts w:ascii="Symbol" w:hAnsi="Symbol" w:hint="default"/>
      </w:rPr>
    </w:lvl>
    <w:lvl w:ilvl="4" w:tplc="CFEAE4FC">
      <w:start w:val="1"/>
      <w:numFmt w:val="bullet"/>
      <w:lvlText w:val="o"/>
      <w:lvlJc w:val="left"/>
      <w:pPr>
        <w:ind w:left="3600" w:hanging="360"/>
      </w:pPr>
      <w:rPr>
        <w:rFonts w:ascii="Courier New" w:hAnsi="Courier New" w:hint="default"/>
      </w:rPr>
    </w:lvl>
    <w:lvl w:ilvl="5" w:tplc="378C6E4A">
      <w:start w:val="1"/>
      <w:numFmt w:val="bullet"/>
      <w:lvlText w:val=""/>
      <w:lvlJc w:val="left"/>
      <w:pPr>
        <w:ind w:left="4320" w:hanging="360"/>
      </w:pPr>
      <w:rPr>
        <w:rFonts w:ascii="Wingdings" w:hAnsi="Wingdings" w:hint="default"/>
      </w:rPr>
    </w:lvl>
    <w:lvl w:ilvl="6" w:tplc="999C75B8">
      <w:start w:val="1"/>
      <w:numFmt w:val="bullet"/>
      <w:lvlText w:val=""/>
      <w:lvlJc w:val="left"/>
      <w:pPr>
        <w:ind w:left="5040" w:hanging="360"/>
      </w:pPr>
      <w:rPr>
        <w:rFonts w:ascii="Symbol" w:hAnsi="Symbol" w:hint="default"/>
      </w:rPr>
    </w:lvl>
    <w:lvl w:ilvl="7" w:tplc="82961440">
      <w:start w:val="1"/>
      <w:numFmt w:val="bullet"/>
      <w:lvlText w:val="o"/>
      <w:lvlJc w:val="left"/>
      <w:pPr>
        <w:ind w:left="5760" w:hanging="360"/>
      </w:pPr>
      <w:rPr>
        <w:rFonts w:ascii="Courier New" w:hAnsi="Courier New" w:hint="default"/>
      </w:rPr>
    </w:lvl>
    <w:lvl w:ilvl="8" w:tplc="3E34DB22">
      <w:start w:val="1"/>
      <w:numFmt w:val="bullet"/>
      <w:lvlText w:val=""/>
      <w:lvlJc w:val="left"/>
      <w:pPr>
        <w:ind w:left="6480" w:hanging="360"/>
      </w:pPr>
      <w:rPr>
        <w:rFonts w:ascii="Wingdings" w:hAnsi="Wingdings" w:hint="default"/>
      </w:rPr>
    </w:lvl>
  </w:abstractNum>
  <w:abstractNum w:abstractNumId="57" w15:restartNumberingAfterBreak="0">
    <w:nsid w:val="4E3746AB"/>
    <w:multiLevelType w:val="hybridMultilevel"/>
    <w:tmpl w:val="AD1A6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19348D"/>
    <w:multiLevelType w:val="hybridMultilevel"/>
    <w:tmpl w:val="8D3E0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FE559D5"/>
    <w:multiLevelType w:val="hybridMultilevel"/>
    <w:tmpl w:val="E0BAF15A"/>
    <w:lvl w:ilvl="0" w:tplc="D2CEB158">
      <w:start w:val="1"/>
      <w:numFmt w:val="bullet"/>
      <w:pStyle w:val="Tablelist"/>
      <w:lvlText w:val=""/>
      <w:lvlJc w:val="left"/>
      <w:pPr>
        <w:ind w:left="360" w:hanging="360"/>
      </w:pPr>
      <w:rPr>
        <w:rFonts w:ascii="Symbol" w:hAnsi="Symbol" w:hint="default"/>
      </w:rPr>
    </w:lvl>
    <w:lvl w:ilvl="1" w:tplc="3828AC4C" w:tentative="1">
      <w:start w:val="1"/>
      <w:numFmt w:val="bullet"/>
      <w:lvlText w:val="o"/>
      <w:lvlJc w:val="left"/>
      <w:pPr>
        <w:ind w:left="1080" w:hanging="360"/>
      </w:pPr>
      <w:rPr>
        <w:rFonts w:ascii="Courier New" w:hAnsi="Courier New" w:hint="default"/>
      </w:rPr>
    </w:lvl>
    <w:lvl w:ilvl="2" w:tplc="6068ECF8" w:tentative="1">
      <w:start w:val="1"/>
      <w:numFmt w:val="bullet"/>
      <w:lvlText w:val=""/>
      <w:lvlJc w:val="left"/>
      <w:pPr>
        <w:ind w:left="1800" w:hanging="360"/>
      </w:pPr>
      <w:rPr>
        <w:rFonts w:ascii="Wingdings" w:hAnsi="Wingdings" w:hint="default"/>
      </w:rPr>
    </w:lvl>
    <w:lvl w:ilvl="3" w:tplc="882A394C" w:tentative="1">
      <w:start w:val="1"/>
      <w:numFmt w:val="bullet"/>
      <w:lvlText w:val=""/>
      <w:lvlJc w:val="left"/>
      <w:pPr>
        <w:ind w:left="2520" w:hanging="360"/>
      </w:pPr>
      <w:rPr>
        <w:rFonts w:ascii="Symbol" w:hAnsi="Symbol" w:hint="default"/>
      </w:rPr>
    </w:lvl>
    <w:lvl w:ilvl="4" w:tplc="8CD2B700" w:tentative="1">
      <w:start w:val="1"/>
      <w:numFmt w:val="bullet"/>
      <w:lvlText w:val="o"/>
      <w:lvlJc w:val="left"/>
      <w:pPr>
        <w:ind w:left="3240" w:hanging="360"/>
      </w:pPr>
      <w:rPr>
        <w:rFonts w:ascii="Courier New" w:hAnsi="Courier New" w:hint="default"/>
      </w:rPr>
    </w:lvl>
    <w:lvl w:ilvl="5" w:tplc="167CE7BE" w:tentative="1">
      <w:start w:val="1"/>
      <w:numFmt w:val="bullet"/>
      <w:lvlText w:val=""/>
      <w:lvlJc w:val="left"/>
      <w:pPr>
        <w:ind w:left="3960" w:hanging="360"/>
      </w:pPr>
      <w:rPr>
        <w:rFonts w:ascii="Wingdings" w:hAnsi="Wingdings" w:hint="default"/>
      </w:rPr>
    </w:lvl>
    <w:lvl w:ilvl="6" w:tplc="24DA2E68" w:tentative="1">
      <w:start w:val="1"/>
      <w:numFmt w:val="bullet"/>
      <w:lvlText w:val=""/>
      <w:lvlJc w:val="left"/>
      <w:pPr>
        <w:ind w:left="4680" w:hanging="360"/>
      </w:pPr>
      <w:rPr>
        <w:rFonts w:ascii="Symbol" w:hAnsi="Symbol" w:hint="default"/>
      </w:rPr>
    </w:lvl>
    <w:lvl w:ilvl="7" w:tplc="B7E8DE9C" w:tentative="1">
      <w:start w:val="1"/>
      <w:numFmt w:val="bullet"/>
      <w:lvlText w:val="o"/>
      <w:lvlJc w:val="left"/>
      <w:pPr>
        <w:ind w:left="5400" w:hanging="360"/>
      </w:pPr>
      <w:rPr>
        <w:rFonts w:ascii="Courier New" w:hAnsi="Courier New" w:hint="default"/>
      </w:rPr>
    </w:lvl>
    <w:lvl w:ilvl="8" w:tplc="B8842E24" w:tentative="1">
      <w:start w:val="1"/>
      <w:numFmt w:val="bullet"/>
      <w:lvlText w:val=""/>
      <w:lvlJc w:val="left"/>
      <w:pPr>
        <w:ind w:left="6120" w:hanging="360"/>
      </w:pPr>
      <w:rPr>
        <w:rFonts w:ascii="Wingdings" w:hAnsi="Wingdings" w:hint="default"/>
      </w:rPr>
    </w:lvl>
  </w:abstractNum>
  <w:abstractNum w:abstractNumId="60" w15:restartNumberingAfterBreak="0">
    <w:nsid w:val="507F5A21"/>
    <w:multiLevelType w:val="hybridMultilevel"/>
    <w:tmpl w:val="A5369168"/>
    <w:styleLink w:val="CurrentList1"/>
    <w:lvl w:ilvl="0" w:tplc="FFFFFFF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0C55610"/>
    <w:multiLevelType w:val="hybridMultilevel"/>
    <w:tmpl w:val="E528C2D0"/>
    <w:lvl w:ilvl="0" w:tplc="FFFFFFFF">
      <w:start w:val="1"/>
      <w:numFmt w:val="decimal"/>
      <w:lvlText w:val="%1."/>
      <w:lvlJc w:val="left"/>
      <w:pPr>
        <w:ind w:left="720" w:hanging="360"/>
      </w:pPr>
      <w:rPr>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1625A22"/>
    <w:multiLevelType w:val="hybridMultilevel"/>
    <w:tmpl w:val="044E7C74"/>
    <w:lvl w:ilvl="0" w:tplc="F86ABA12">
      <w:start w:val="1"/>
      <w:numFmt w:val="bullet"/>
      <w:pStyle w:val="Bulletlist"/>
      <w:lvlText w:val=""/>
      <w:lvlJc w:val="left"/>
      <w:pPr>
        <w:ind w:left="720" w:hanging="360"/>
      </w:pPr>
      <w:rPr>
        <w:rFonts w:ascii="Symbol" w:hAnsi="Symbol" w:hint="default"/>
      </w:rPr>
    </w:lvl>
    <w:lvl w:ilvl="1" w:tplc="B1242E82">
      <w:start w:val="1"/>
      <w:numFmt w:val="bullet"/>
      <w:lvlText w:val="o"/>
      <w:lvlJc w:val="left"/>
      <w:pPr>
        <w:ind w:left="1440" w:hanging="360"/>
      </w:pPr>
      <w:rPr>
        <w:rFonts w:ascii="Courier New" w:hAnsi="Courier New" w:hint="default"/>
      </w:rPr>
    </w:lvl>
    <w:lvl w:ilvl="2" w:tplc="92CE69BA">
      <w:start w:val="1"/>
      <w:numFmt w:val="bullet"/>
      <w:lvlText w:val=""/>
      <w:lvlJc w:val="left"/>
      <w:pPr>
        <w:ind w:left="2160" w:hanging="360"/>
      </w:pPr>
      <w:rPr>
        <w:rFonts w:ascii="Wingdings" w:hAnsi="Wingdings" w:hint="default"/>
      </w:rPr>
    </w:lvl>
    <w:lvl w:ilvl="3" w:tplc="923C992E" w:tentative="1">
      <w:start w:val="1"/>
      <w:numFmt w:val="bullet"/>
      <w:lvlText w:val=""/>
      <w:lvlJc w:val="left"/>
      <w:pPr>
        <w:ind w:left="2880" w:hanging="360"/>
      </w:pPr>
      <w:rPr>
        <w:rFonts w:ascii="Symbol" w:hAnsi="Symbol" w:hint="default"/>
      </w:rPr>
    </w:lvl>
    <w:lvl w:ilvl="4" w:tplc="E7BA5332" w:tentative="1">
      <w:start w:val="1"/>
      <w:numFmt w:val="bullet"/>
      <w:lvlText w:val="o"/>
      <w:lvlJc w:val="left"/>
      <w:pPr>
        <w:ind w:left="3600" w:hanging="360"/>
      </w:pPr>
      <w:rPr>
        <w:rFonts w:ascii="Courier New" w:hAnsi="Courier New" w:hint="default"/>
      </w:rPr>
    </w:lvl>
    <w:lvl w:ilvl="5" w:tplc="0FA80F5E" w:tentative="1">
      <w:start w:val="1"/>
      <w:numFmt w:val="bullet"/>
      <w:lvlText w:val=""/>
      <w:lvlJc w:val="left"/>
      <w:pPr>
        <w:ind w:left="4320" w:hanging="360"/>
      </w:pPr>
      <w:rPr>
        <w:rFonts w:ascii="Wingdings" w:hAnsi="Wingdings" w:hint="default"/>
      </w:rPr>
    </w:lvl>
    <w:lvl w:ilvl="6" w:tplc="D6506A2A" w:tentative="1">
      <w:start w:val="1"/>
      <w:numFmt w:val="bullet"/>
      <w:lvlText w:val=""/>
      <w:lvlJc w:val="left"/>
      <w:pPr>
        <w:ind w:left="5040" w:hanging="360"/>
      </w:pPr>
      <w:rPr>
        <w:rFonts w:ascii="Symbol" w:hAnsi="Symbol" w:hint="default"/>
      </w:rPr>
    </w:lvl>
    <w:lvl w:ilvl="7" w:tplc="504839D6" w:tentative="1">
      <w:start w:val="1"/>
      <w:numFmt w:val="bullet"/>
      <w:lvlText w:val="o"/>
      <w:lvlJc w:val="left"/>
      <w:pPr>
        <w:ind w:left="5760" w:hanging="360"/>
      </w:pPr>
      <w:rPr>
        <w:rFonts w:ascii="Courier New" w:hAnsi="Courier New" w:hint="default"/>
      </w:rPr>
    </w:lvl>
    <w:lvl w:ilvl="8" w:tplc="25521D66" w:tentative="1">
      <w:start w:val="1"/>
      <w:numFmt w:val="bullet"/>
      <w:lvlText w:val=""/>
      <w:lvlJc w:val="left"/>
      <w:pPr>
        <w:ind w:left="6480" w:hanging="360"/>
      </w:pPr>
      <w:rPr>
        <w:rFonts w:ascii="Wingdings" w:hAnsi="Wingdings" w:hint="default"/>
      </w:rPr>
    </w:lvl>
  </w:abstractNum>
  <w:abstractNum w:abstractNumId="63" w15:restartNumberingAfterBreak="0">
    <w:nsid w:val="53842E5D"/>
    <w:multiLevelType w:val="multilevel"/>
    <w:tmpl w:val="DD1E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4B45461"/>
    <w:multiLevelType w:val="multilevel"/>
    <w:tmpl w:val="6CE05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0D1D7F"/>
    <w:multiLevelType w:val="hybridMultilevel"/>
    <w:tmpl w:val="79DA0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8EE7054"/>
    <w:multiLevelType w:val="hybridMultilevel"/>
    <w:tmpl w:val="DC24CB8A"/>
    <w:lvl w:ilvl="0" w:tplc="194CFB48">
      <w:start w:val="1"/>
      <w:numFmt w:val="decimal"/>
      <w:pStyle w:val="Annex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A023D8E"/>
    <w:multiLevelType w:val="multilevel"/>
    <w:tmpl w:val="DA882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A083586"/>
    <w:multiLevelType w:val="multilevel"/>
    <w:tmpl w:val="1076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A0E5D41"/>
    <w:multiLevelType w:val="multilevel"/>
    <w:tmpl w:val="FFFFFFFF"/>
    <w:lvl w:ilvl="0">
      <w:start w:val="1"/>
      <w:numFmt w:val="lowerLetter"/>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BBCE2F3"/>
    <w:multiLevelType w:val="multilevel"/>
    <w:tmpl w:val="FFFFFFFF"/>
    <w:lvl w:ilvl="0">
      <w:start w:val="6"/>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F82537C"/>
    <w:multiLevelType w:val="multilevel"/>
    <w:tmpl w:val="EA1E3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971C480"/>
    <w:multiLevelType w:val="hybridMultilevel"/>
    <w:tmpl w:val="FAC4EE02"/>
    <w:lvl w:ilvl="0" w:tplc="7AB4AE00">
      <w:start w:val="1"/>
      <w:numFmt w:val="decimal"/>
      <w:pStyle w:val="ListParagraph"/>
      <w:lvlText w:val="%1."/>
      <w:lvlJc w:val="left"/>
      <w:pPr>
        <w:ind w:left="720" w:hanging="360"/>
      </w:pPr>
      <w:rPr>
        <w:rFonts w:hint="default"/>
      </w:rPr>
    </w:lvl>
    <w:lvl w:ilvl="1" w:tplc="AC663F1C">
      <w:start w:val="1"/>
      <w:numFmt w:val="lowerLetter"/>
      <w:lvlText w:val="%2."/>
      <w:lvlJc w:val="left"/>
      <w:pPr>
        <w:ind w:left="1440" w:hanging="360"/>
      </w:pPr>
    </w:lvl>
    <w:lvl w:ilvl="2" w:tplc="891C7182">
      <w:start w:val="1"/>
      <w:numFmt w:val="lowerRoman"/>
      <w:lvlText w:val="%3."/>
      <w:lvlJc w:val="right"/>
      <w:pPr>
        <w:ind w:left="2160" w:hanging="180"/>
      </w:pPr>
    </w:lvl>
    <w:lvl w:ilvl="3" w:tplc="23F845DC">
      <w:start w:val="1"/>
      <w:numFmt w:val="decimal"/>
      <w:lvlText w:val="%4."/>
      <w:lvlJc w:val="left"/>
      <w:pPr>
        <w:ind w:left="2880" w:hanging="360"/>
      </w:pPr>
    </w:lvl>
    <w:lvl w:ilvl="4" w:tplc="6E2048E8">
      <w:start w:val="1"/>
      <w:numFmt w:val="lowerLetter"/>
      <w:lvlText w:val="%5."/>
      <w:lvlJc w:val="left"/>
      <w:pPr>
        <w:ind w:left="3600" w:hanging="360"/>
      </w:pPr>
    </w:lvl>
    <w:lvl w:ilvl="5" w:tplc="5CC0BCCE">
      <w:start w:val="1"/>
      <w:numFmt w:val="lowerRoman"/>
      <w:lvlText w:val="%6."/>
      <w:lvlJc w:val="right"/>
      <w:pPr>
        <w:ind w:left="4320" w:hanging="180"/>
      </w:pPr>
    </w:lvl>
    <w:lvl w:ilvl="6" w:tplc="D722AB1C">
      <w:start w:val="1"/>
      <w:numFmt w:val="decimal"/>
      <w:lvlText w:val="%7."/>
      <w:lvlJc w:val="left"/>
      <w:pPr>
        <w:ind w:left="5040" w:hanging="360"/>
      </w:pPr>
    </w:lvl>
    <w:lvl w:ilvl="7" w:tplc="D806136A">
      <w:start w:val="1"/>
      <w:numFmt w:val="lowerLetter"/>
      <w:lvlText w:val="%8."/>
      <w:lvlJc w:val="left"/>
      <w:pPr>
        <w:ind w:left="5760" w:hanging="360"/>
      </w:pPr>
    </w:lvl>
    <w:lvl w:ilvl="8" w:tplc="41FE1332">
      <w:start w:val="1"/>
      <w:numFmt w:val="lowerRoman"/>
      <w:lvlText w:val="%9."/>
      <w:lvlJc w:val="right"/>
      <w:pPr>
        <w:ind w:left="6480" w:hanging="180"/>
      </w:pPr>
    </w:lvl>
  </w:abstractNum>
  <w:abstractNum w:abstractNumId="73" w15:restartNumberingAfterBreak="0">
    <w:nsid w:val="6A6B4C63"/>
    <w:multiLevelType w:val="multilevel"/>
    <w:tmpl w:val="009CD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B555A0E"/>
    <w:multiLevelType w:val="hybridMultilevel"/>
    <w:tmpl w:val="18EA2236"/>
    <w:lvl w:ilvl="0" w:tplc="BFF6BB5A">
      <w:start w:val="1"/>
      <w:numFmt w:val="decimal"/>
      <w:lvlText w:val="%1."/>
      <w:lvlJc w:val="left"/>
      <w:pPr>
        <w:ind w:left="1490" w:hanging="11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CE32896"/>
    <w:multiLevelType w:val="multilevel"/>
    <w:tmpl w:val="FFFFFFFF"/>
    <w:lvl w:ilvl="0">
      <w:start w:val="3"/>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19412D7"/>
    <w:multiLevelType w:val="multilevel"/>
    <w:tmpl w:val="DA882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4E368B"/>
    <w:multiLevelType w:val="hybridMultilevel"/>
    <w:tmpl w:val="45DEA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3C80085"/>
    <w:multiLevelType w:val="multilevel"/>
    <w:tmpl w:val="F08A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4530AD0"/>
    <w:multiLevelType w:val="multilevel"/>
    <w:tmpl w:val="FFFFFFFF"/>
    <w:lvl w:ilvl="0">
      <w:start w:val="1"/>
      <w:numFmt w:val="decimal"/>
      <w:lvlText w:val="%1."/>
      <w:lvlJc w:val="left"/>
      <w:pPr>
        <w:ind w:left="720" w:hanging="360"/>
      </w:pPr>
      <w:rPr>
        <w:rFonts w:ascii="Avenir Nxt2 W1G" w:hAnsi="Avenir Nxt2 W1G"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B88E79D"/>
    <w:multiLevelType w:val="hybridMultilevel"/>
    <w:tmpl w:val="D6FC1D4C"/>
    <w:lvl w:ilvl="0" w:tplc="56E87C8C">
      <w:start w:val="1"/>
      <w:numFmt w:val="lowerLetter"/>
      <w:lvlText w:val="%1."/>
      <w:lvlJc w:val="left"/>
      <w:pPr>
        <w:ind w:left="720" w:hanging="360"/>
      </w:pPr>
    </w:lvl>
    <w:lvl w:ilvl="1" w:tplc="99609586">
      <w:start w:val="1"/>
      <w:numFmt w:val="lowerLetter"/>
      <w:lvlText w:val="%2."/>
      <w:lvlJc w:val="left"/>
      <w:pPr>
        <w:ind w:left="1440" w:hanging="360"/>
      </w:pPr>
    </w:lvl>
    <w:lvl w:ilvl="2" w:tplc="A4280BF8">
      <w:start w:val="1"/>
      <w:numFmt w:val="lowerRoman"/>
      <w:lvlText w:val="%3."/>
      <w:lvlJc w:val="right"/>
      <w:pPr>
        <w:ind w:left="2160" w:hanging="180"/>
      </w:pPr>
    </w:lvl>
    <w:lvl w:ilvl="3" w:tplc="776C0712">
      <w:start w:val="1"/>
      <w:numFmt w:val="decimal"/>
      <w:lvlText w:val="%4."/>
      <w:lvlJc w:val="left"/>
      <w:pPr>
        <w:ind w:left="2880" w:hanging="360"/>
      </w:pPr>
    </w:lvl>
    <w:lvl w:ilvl="4" w:tplc="AC6E70F2">
      <w:start w:val="1"/>
      <w:numFmt w:val="lowerLetter"/>
      <w:lvlText w:val="%5."/>
      <w:lvlJc w:val="left"/>
      <w:pPr>
        <w:ind w:left="3600" w:hanging="360"/>
      </w:pPr>
    </w:lvl>
    <w:lvl w:ilvl="5" w:tplc="917251E8">
      <w:start w:val="1"/>
      <w:numFmt w:val="lowerRoman"/>
      <w:lvlText w:val="%6."/>
      <w:lvlJc w:val="right"/>
      <w:pPr>
        <w:ind w:left="4320" w:hanging="180"/>
      </w:pPr>
    </w:lvl>
    <w:lvl w:ilvl="6" w:tplc="86109380">
      <w:start w:val="1"/>
      <w:numFmt w:val="decimal"/>
      <w:lvlText w:val="%7."/>
      <w:lvlJc w:val="left"/>
      <w:pPr>
        <w:ind w:left="5040" w:hanging="360"/>
      </w:pPr>
    </w:lvl>
    <w:lvl w:ilvl="7" w:tplc="16505068">
      <w:start w:val="1"/>
      <w:numFmt w:val="lowerLetter"/>
      <w:lvlText w:val="%8."/>
      <w:lvlJc w:val="left"/>
      <w:pPr>
        <w:ind w:left="5760" w:hanging="360"/>
      </w:pPr>
    </w:lvl>
    <w:lvl w:ilvl="8" w:tplc="260C221A">
      <w:start w:val="1"/>
      <w:numFmt w:val="lowerRoman"/>
      <w:lvlText w:val="%9."/>
      <w:lvlJc w:val="right"/>
      <w:pPr>
        <w:ind w:left="6480" w:hanging="180"/>
      </w:pPr>
    </w:lvl>
  </w:abstractNum>
  <w:abstractNum w:abstractNumId="81" w15:restartNumberingAfterBreak="0">
    <w:nsid w:val="7EF768B5"/>
    <w:multiLevelType w:val="hybridMultilevel"/>
    <w:tmpl w:val="FFFFFFFF"/>
    <w:lvl w:ilvl="0" w:tplc="FE3874CE">
      <w:start w:val="1"/>
      <w:numFmt w:val="decimal"/>
      <w:lvlText w:val="%1."/>
      <w:lvlJc w:val="left"/>
      <w:pPr>
        <w:ind w:left="720" w:hanging="360"/>
      </w:pPr>
    </w:lvl>
    <w:lvl w:ilvl="1" w:tplc="750CE236">
      <w:start w:val="1"/>
      <w:numFmt w:val="lowerLetter"/>
      <w:lvlText w:val="%2."/>
      <w:lvlJc w:val="left"/>
      <w:pPr>
        <w:ind w:left="1440" w:hanging="360"/>
      </w:pPr>
    </w:lvl>
    <w:lvl w:ilvl="2" w:tplc="C1BCBFF6">
      <w:start w:val="1"/>
      <w:numFmt w:val="lowerRoman"/>
      <w:lvlText w:val="%3."/>
      <w:lvlJc w:val="right"/>
      <w:pPr>
        <w:ind w:left="2160" w:hanging="180"/>
      </w:pPr>
    </w:lvl>
    <w:lvl w:ilvl="3" w:tplc="E8FA4E08">
      <w:start w:val="1"/>
      <w:numFmt w:val="decimal"/>
      <w:lvlText w:val="%4."/>
      <w:lvlJc w:val="left"/>
      <w:pPr>
        <w:ind w:left="2880" w:hanging="360"/>
      </w:pPr>
    </w:lvl>
    <w:lvl w:ilvl="4" w:tplc="1116DA5E">
      <w:start w:val="1"/>
      <w:numFmt w:val="lowerLetter"/>
      <w:lvlText w:val="%5."/>
      <w:lvlJc w:val="left"/>
      <w:pPr>
        <w:ind w:left="3600" w:hanging="360"/>
      </w:pPr>
    </w:lvl>
    <w:lvl w:ilvl="5" w:tplc="E478844C">
      <w:start w:val="1"/>
      <w:numFmt w:val="lowerRoman"/>
      <w:lvlText w:val="%6."/>
      <w:lvlJc w:val="right"/>
      <w:pPr>
        <w:ind w:left="4320" w:hanging="180"/>
      </w:pPr>
    </w:lvl>
    <w:lvl w:ilvl="6" w:tplc="BB2876FE">
      <w:start w:val="1"/>
      <w:numFmt w:val="decimal"/>
      <w:lvlText w:val="%7."/>
      <w:lvlJc w:val="left"/>
      <w:pPr>
        <w:ind w:left="5040" w:hanging="360"/>
      </w:pPr>
    </w:lvl>
    <w:lvl w:ilvl="7" w:tplc="8DB02ED6">
      <w:start w:val="1"/>
      <w:numFmt w:val="lowerLetter"/>
      <w:lvlText w:val="%8."/>
      <w:lvlJc w:val="left"/>
      <w:pPr>
        <w:ind w:left="5760" w:hanging="360"/>
      </w:pPr>
    </w:lvl>
    <w:lvl w:ilvl="8" w:tplc="2758C2E8">
      <w:start w:val="1"/>
      <w:numFmt w:val="lowerRoman"/>
      <w:lvlText w:val="%9."/>
      <w:lvlJc w:val="right"/>
      <w:pPr>
        <w:ind w:left="6480" w:hanging="180"/>
      </w:pPr>
    </w:lvl>
  </w:abstractNum>
  <w:num w:numId="1" w16cid:durableId="821848429">
    <w:abstractNumId w:val="66"/>
  </w:num>
  <w:num w:numId="2" w16cid:durableId="57363552">
    <w:abstractNumId w:val="43"/>
  </w:num>
  <w:num w:numId="3" w16cid:durableId="460803774">
    <w:abstractNumId w:val="59"/>
  </w:num>
  <w:num w:numId="4" w16cid:durableId="2028024136">
    <w:abstractNumId w:val="62"/>
  </w:num>
  <w:num w:numId="5" w16cid:durableId="679045145">
    <w:abstractNumId w:val="47"/>
  </w:num>
  <w:num w:numId="6" w16cid:durableId="1110663453">
    <w:abstractNumId w:val="53"/>
  </w:num>
  <w:num w:numId="7" w16cid:durableId="1519737824">
    <w:abstractNumId w:val="45"/>
  </w:num>
  <w:num w:numId="8" w16cid:durableId="56369836">
    <w:abstractNumId w:val="56"/>
  </w:num>
  <w:num w:numId="9" w16cid:durableId="1696733488">
    <w:abstractNumId w:val="72"/>
  </w:num>
  <w:num w:numId="10" w16cid:durableId="1144927542">
    <w:abstractNumId w:val="29"/>
  </w:num>
  <w:num w:numId="11" w16cid:durableId="1050764177">
    <w:abstractNumId w:val="48"/>
  </w:num>
  <w:num w:numId="12" w16cid:durableId="435754369">
    <w:abstractNumId w:val="36"/>
  </w:num>
  <w:num w:numId="13" w16cid:durableId="57023181">
    <w:abstractNumId w:val="69"/>
  </w:num>
  <w:num w:numId="14" w16cid:durableId="1477726716">
    <w:abstractNumId w:val="70"/>
  </w:num>
  <w:num w:numId="15" w16cid:durableId="1267614423">
    <w:abstractNumId w:val="16"/>
  </w:num>
  <w:num w:numId="16" w16cid:durableId="2090230253">
    <w:abstractNumId w:val="21"/>
  </w:num>
  <w:num w:numId="17" w16cid:durableId="1673725937">
    <w:abstractNumId w:val="75"/>
  </w:num>
  <w:num w:numId="18" w16cid:durableId="776563813">
    <w:abstractNumId w:val="10"/>
  </w:num>
  <w:num w:numId="19" w16cid:durableId="1740981420">
    <w:abstractNumId w:val="79"/>
  </w:num>
  <w:num w:numId="20" w16cid:durableId="521287874">
    <w:abstractNumId w:val="81"/>
  </w:num>
  <w:num w:numId="21" w16cid:durableId="655037225">
    <w:abstractNumId w:val="27"/>
  </w:num>
  <w:num w:numId="22" w16cid:durableId="859389097">
    <w:abstractNumId w:val="71"/>
  </w:num>
  <w:num w:numId="23" w16cid:durableId="1258515391">
    <w:abstractNumId w:val="17"/>
  </w:num>
  <w:num w:numId="24" w16cid:durableId="2090419108">
    <w:abstractNumId w:val="51"/>
  </w:num>
  <w:num w:numId="25" w16cid:durableId="2034576157">
    <w:abstractNumId w:val="20"/>
  </w:num>
  <w:num w:numId="26" w16cid:durableId="967857696">
    <w:abstractNumId w:val="42"/>
  </w:num>
  <w:num w:numId="27" w16cid:durableId="1709142444">
    <w:abstractNumId w:val="11"/>
  </w:num>
  <w:num w:numId="28" w16cid:durableId="1323001802">
    <w:abstractNumId w:val="23"/>
  </w:num>
  <w:num w:numId="29" w16cid:durableId="1806311974">
    <w:abstractNumId w:val="0"/>
  </w:num>
  <w:num w:numId="30" w16cid:durableId="239483976">
    <w:abstractNumId w:val="57"/>
  </w:num>
  <w:num w:numId="31" w16cid:durableId="274558052">
    <w:abstractNumId w:val="5"/>
  </w:num>
  <w:num w:numId="32" w16cid:durableId="1450319482">
    <w:abstractNumId w:val="68"/>
  </w:num>
  <w:num w:numId="33" w16cid:durableId="734163299">
    <w:abstractNumId w:val="63"/>
  </w:num>
  <w:num w:numId="34" w16cid:durableId="1843473919">
    <w:abstractNumId w:val="37"/>
  </w:num>
  <w:num w:numId="35" w16cid:durableId="1323662667">
    <w:abstractNumId w:val="46"/>
  </w:num>
  <w:num w:numId="36" w16cid:durableId="621617193">
    <w:abstractNumId w:val="1"/>
  </w:num>
  <w:num w:numId="37" w16cid:durableId="173082471">
    <w:abstractNumId w:val="3"/>
  </w:num>
  <w:num w:numId="38" w16cid:durableId="1463110829">
    <w:abstractNumId w:val="12"/>
  </w:num>
  <w:num w:numId="39" w16cid:durableId="825509526">
    <w:abstractNumId w:val="6"/>
  </w:num>
  <w:num w:numId="40" w16cid:durableId="1794251467">
    <w:abstractNumId w:val="30"/>
  </w:num>
  <w:num w:numId="41" w16cid:durableId="108669408">
    <w:abstractNumId w:val="28"/>
  </w:num>
  <w:num w:numId="42" w16cid:durableId="2061635407">
    <w:abstractNumId w:val="76"/>
  </w:num>
  <w:num w:numId="43" w16cid:durableId="1355614086">
    <w:abstractNumId w:val="67"/>
  </w:num>
  <w:num w:numId="44" w16cid:durableId="1581480168">
    <w:abstractNumId w:val="49"/>
  </w:num>
  <w:num w:numId="45" w16cid:durableId="478764314">
    <w:abstractNumId w:val="19"/>
  </w:num>
  <w:num w:numId="46" w16cid:durableId="1076902712">
    <w:abstractNumId w:val="31"/>
  </w:num>
  <w:num w:numId="47" w16cid:durableId="1962151191">
    <w:abstractNumId w:val="58"/>
  </w:num>
  <w:num w:numId="48" w16cid:durableId="1540897696">
    <w:abstractNumId w:val="24"/>
  </w:num>
  <w:num w:numId="49" w16cid:durableId="293098491">
    <w:abstractNumId w:val="13"/>
  </w:num>
  <w:num w:numId="50" w16cid:durableId="1459763515">
    <w:abstractNumId w:val="26"/>
  </w:num>
  <w:num w:numId="51" w16cid:durableId="427506165">
    <w:abstractNumId w:val="25"/>
  </w:num>
  <w:num w:numId="52" w16cid:durableId="394814775">
    <w:abstractNumId w:val="2"/>
  </w:num>
  <w:num w:numId="53" w16cid:durableId="852232847">
    <w:abstractNumId w:val="35"/>
  </w:num>
  <w:num w:numId="54" w16cid:durableId="1401514758">
    <w:abstractNumId w:val="33"/>
  </w:num>
  <w:num w:numId="55" w16cid:durableId="289092872">
    <w:abstractNumId w:val="14"/>
  </w:num>
  <w:num w:numId="56" w16cid:durableId="129443663">
    <w:abstractNumId w:val="38"/>
  </w:num>
  <w:num w:numId="57" w16cid:durableId="1451045894">
    <w:abstractNumId w:val="32"/>
  </w:num>
  <w:num w:numId="58" w16cid:durableId="1728916266">
    <w:abstractNumId w:val="7"/>
  </w:num>
  <w:num w:numId="59" w16cid:durableId="1856580417">
    <w:abstractNumId w:val="22"/>
  </w:num>
  <w:num w:numId="60" w16cid:durableId="2011829415">
    <w:abstractNumId w:val="15"/>
  </w:num>
  <w:num w:numId="61" w16cid:durableId="1330912712">
    <w:abstractNumId w:val="4"/>
  </w:num>
  <w:num w:numId="62" w16cid:durableId="1628510391">
    <w:abstractNumId w:val="55"/>
  </w:num>
  <w:num w:numId="63" w16cid:durableId="1270745980">
    <w:abstractNumId w:val="64"/>
  </w:num>
  <w:num w:numId="64" w16cid:durableId="654378124">
    <w:abstractNumId w:val="80"/>
  </w:num>
  <w:num w:numId="65" w16cid:durableId="2106346136">
    <w:abstractNumId w:val="9"/>
  </w:num>
  <w:num w:numId="66" w16cid:durableId="1944530051">
    <w:abstractNumId w:val="60"/>
  </w:num>
  <w:num w:numId="67" w16cid:durableId="1534807057">
    <w:abstractNumId w:val="39"/>
  </w:num>
  <w:num w:numId="68" w16cid:durableId="178282146">
    <w:abstractNumId w:val="44"/>
  </w:num>
  <w:num w:numId="69" w16cid:durableId="93405126">
    <w:abstractNumId w:val="65"/>
  </w:num>
  <w:num w:numId="70" w16cid:durableId="1086001565">
    <w:abstractNumId w:val="77"/>
  </w:num>
  <w:num w:numId="71" w16cid:durableId="218900141">
    <w:abstractNumId w:val="41"/>
  </w:num>
  <w:num w:numId="72" w16cid:durableId="1669866725">
    <w:abstractNumId w:val="18"/>
  </w:num>
  <w:num w:numId="73" w16cid:durableId="1156457360">
    <w:abstractNumId w:val="73"/>
  </w:num>
  <w:num w:numId="74" w16cid:durableId="1653409249">
    <w:abstractNumId w:val="61"/>
  </w:num>
  <w:num w:numId="75" w16cid:durableId="1295987031">
    <w:abstractNumId w:val="8"/>
  </w:num>
  <w:num w:numId="76" w16cid:durableId="474955431">
    <w:abstractNumId w:val="74"/>
  </w:num>
  <w:num w:numId="77" w16cid:durableId="401564636">
    <w:abstractNumId w:val="34"/>
  </w:num>
  <w:num w:numId="78" w16cid:durableId="755319354">
    <w:abstractNumId w:val="78"/>
  </w:num>
  <w:num w:numId="79" w16cid:durableId="1886332541">
    <w:abstractNumId w:val="54"/>
  </w:num>
  <w:num w:numId="80" w16cid:durableId="1243443579">
    <w:abstractNumId w:val="50"/>
  </w:num>
  <w:num w:numId="81" w16cid:durableId="299771455">
    <w:abstractNumId w:val="52"/>
  </w:num>
  <w:num w:numId="82" w16cid:durableId="1153907923">
    <w:abstractNumId w:val="4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C09"/>
    <w:rsid w:val="00000AE1"/>
    <w:rsid w:val="000017AB"/>
    <w:rsid w:val="000019B1"/>
    <w:rsid w:val="00006A29"/>
    <w:rsid w:val="00007341"/>
    <w:rsid w:val="00007F08"/>
    <w:rsid w:val="00013B61"/>
    <w:rsid w:val="00013E80"/>
    <w:rsid w:val="000156E3"/>
    <w:rsid w:val="000175CD"/>
    <w:rsid w:val="00017CBC"/>
    <w:rsid w:val="000210D4"/>
    <w:rsid w:val="000210F6"/>
    <w:rsid w:val="000215DF"/>
    <w:rsid w:val="000238C6"/>
    <w:rsid w:val="0002467A"/>
    <w:rsid w:val="00025534"/>
    <w:rsid w:val="000264CF"/>
    <w:rsid w:val="00027EC2"/>
    <w:rsid w:val="00034D5E"/>
    <w:rsid w:val="00037DE2"/>
    <w:rsid w:val="00047014"/>
    <w:rsid w:val="00047550"/>
    <w:rsid w:val="000520B6"/>
    <w:rsid w:val="00052A59"/>
    <w:rsid w:val="00053E3C"/>
    <w:rsid w:val="00055831"/>
    <w:rsid w:val="000558CF"/>
    <w:rsid w:val="00056C08"/>
    <w:rsid w:val="00057B59"/>
    <w:rsid w:val="0006007D"/>
    <w:rsid w:val="00060632"/>
    <w:rsid w:val="0006176F"/>
    <w:rsid w:val="00062D21"/>
    <w:rsid w:val="00063016"/>
    <w:rsid w:val="00063472"/>
    <w:rsid w:val="00066623"/>
    <w:rsid w:val="00066795"/>
    <w:rsid w:val="00067DF4"/>
    <w:rsid w:val="00070355"/>
    <w:rsid w:val="000703B6"/>
    <w:rsid w:val="0007063E"/>
    <w:rsid w:val="000729A7"/>
    <w:rsid w:val="00073D9A"/>
    <w:rsid w:val="00076AF6"/>
    <w:rsid w:val="000807E1"/>
    <w:rsid w:val="00083C2A"/>
    <w:rsid w:val="00083D3D"/>
    <w:rsid w:val="000849DF"/>
    <w:rsid w:val="00085CF2"/>
    <w:rsid w:val="000869C1"/>
    <w:rsid w:val="00092319"/>
    <w:rsid w:val="000925BA"/>
    <w:rsid w:val="00093A4F"/>
    <w:rsid w:val="00094D7C"/>
    <w:rsid w:val="0009550F"/>
    <w:rsid w:val="0009624B"/>
    <w:rsid w:val="00097BD9"/>
    <w:rsid w:val="000A04D9"/>
    <w:rsid w:val="000A5AB6"/>
    <w:rsid w:val="000B0205"/>
    <w:rsid w:val="000B0D4B"/>
    <w:rsid w:val="000B1233"/>
    <w:rsid w:val="000B1705"/>
    <w:rsid w:val="000B1A79"/>
    <w:rsid w:val="000B21E8"/>
    <w:rsid w:val="000B26B1"/>
    <w:rsid w:val="000B292C"/>
    <w:rsid w:val="000C235A"/>
    <w:rsid w:val="000C28A3"/>
    <w:rsid w:val="000C305A"/>
    <w:rsid w:val="000C3D7C"/>
    <w:rsid w:val="000C6EF3"/>
    <w:rsid w:val="000C730F"/>
    <w:rsid w:val="000C762C"/>
    <w:rsid w:val="000D0144"/>
    <w:rsid w:val="000D2866"/>
    <w:rsid w:val="000D4860"/>
    <w:rsid w:val="000D5FB3"/>
    <w:rsid w:val="000D61CC"/>
    <w:rsid w:val="000D75B2"/>
    <w:rsid w:val="000D7783"/>
    <w:rsid w:val="000E12EC"/>
    <w:rsid w:val="000E1665"/>
    <w:rsid w:val="000E300D"/>
    <w:rsid w:val="000E372C"/>
    <w:rsid w:val="000E3762"/>
    <w:rsid w:val="000E49F5"/>
    <w:rsid w:val="000E4D38"/>
    <w:rsid w:val="000E6E44"/>
    <w:rsid w:val="000E7BD4"/>
    <w:rsid w:val="000F00C2"/>
    <w:rsid w:val="000F0B48"/>
    <w:rsid w:val="000F37B6"/>
    <w:rsid w:val="000F4F91"/>
    <w:rsid w:val="000F53F3"/>
    <w:rsid w:val="000F5DDB"/>
    <w:rsid w:val="000F7FD2"/>
    <w:rsid w:val="001014F5"/>
    <w:rsid w:val="00102698"/>
    <w:rsid w:val="00102D2E"/>
    <w:rsid w:val="001059DA"/>
    <w:rsid w:val="0010618F"/>
    <w:rsid w:val="00107D4C"/>
    <w:rsid w:val="00107F48"/>
    <w:rsid w:val="001109D0"/>
    <w:rsid w:val="00111665"/>
    <w:rsid w:val="00111EA4"/>
    <w:rsid w:val="001121F5"/>
    <w:rsid w:val="001123B4"/>
    <w:rsid w:val="00112588"/>
    <w:rsid w:val="00117EFD"/>
    <w:rsid w:val="00120BFC"/>
    <w:rsid w:val="00121CC7"/>
    <w:rsid w:val="00121D73"/>
    <w:rsid w:val="001226FF"/>
    <w:rsid w:val="00123647"/>
    <w:rsid w:val="0012465A"/>
    <w:rsid w:val="00130214"/>
    <w:rsid w:val="001309C4"/>
    <w:rsid w:val="00131D50"/>
    <w:rsid w:val="0013589B"/>
    <w:rsid w:val="001400DC"/>
    <w:rsid w:val="00140CE1"/>
    <w:rsid w:val="00140CED"/>
    <w:rsid w:val="001417C7"/>
    <w:rsid w:val="00142855"/>
    <w:rsid w:val="001437F8"/>
    <w:rsid w:val="00143D83"/>
    <w:rsid w:val="0014425D"/>
    <w:rsid w:val="001446AC"/>
    <w:rsid w:val="0014484D"/>
    <w:rsid w:val="0014654E"/>
    <w:rsid w:val="001472A0"/>
    <w:rsid w:val="0015189A"/>
    <w:rsid w:val="001523D1"/>
    <w:rsid w:val="001605D7"/>
    <w:rsid w:val="001664D7"/>
    <w:rsid w:val="00173DFD"/>
    <w:rsid w:val="0017487A"/>
    <w:rsid w:val="0017539C"/>
    <w:rsid w:val="00175AC2"/>
    <w:rsid w:val="0017609F"/>
    <w:rsid w:val="00176F47"/>
    <w:rsid w:val="00180C26"/>
    <w:rsid w:val="00185A91"/>
    <w:rsid w:val="00185CF4"/>
    <w:rsid w:val="00187AC1"/>
    <w:rsid w:val="00187BDE"/>
    <w:rsid w:val="0019046E"/>
    <w:rsid w:val="00190820"/>
    <w:rsid w:val="00194918"/>
    <w:rsid w:val="001950BE"/>
    <w:rsid w:val="00195589"/>
    <w:rsid w:val="001958E3"/>
    <w:rsid w:val="00195955"/>
    <w:rsid w:val="00197688"/>
    <w:rsid w:val="001A0432"/>
    <w:rsid w:val="001A0AB5"/>
    <w:rsid w:val="001A3154"/>
    <w:rsid w:val="001A4CF7"/>
    <w:rsid w:val="001A5A31"/>
    <w:rsid w:val="001A6BE8"/>
    <w:rsid w:val="001A7D19"/>
    <w:rsid w:val="001A7D1D"/>
    <w:rsid w:val="001B1D7D"/>
    <w:rsid w:val="001B4AAB"/>
    <w:rsid w:val="001B51C4"/>
    <w:rsid w:val="001B51DD"/>
    <w:rsid w:val="001B72E4"/>
    <w:rsid w:val="001B7C9F"/>
    <w:rsid w:val="001C0C02"/>
    <w:rsid w:val="001C1E2A"/>
    <w:rsid w:val="001C2305"/>
    <w:rsid w:val="001C45FE"/>
    <w:rsid w:val="001C54F6"/>
    <w:rsid w:val="001C628E"/>
    <w:rsid w:val="001C6958"/>
    <w:rsid w:val="001C7940"/>
    <w:rsid w:val="001D0BF3"/>
    <w:rsid w:val="001D1770"/>
    <w:rsid w:val="001D23EE"/>
    <w:rsid w:val="001D2913"/>
    <w:rsid w:val="001D5167"/>
    <w:rsid w:val="001D53BC"/>
    <w:rsid w:val="001D6621"/>
    <w:rsid w:val="001E0F7B"/>
    <w:rsid w:val="001E0FF5"/>
    <w:rsid w:val="001E18DA"/>
    <w:rsid w:val="001E2A8C"/>
    <w:rsid w:val="001E44DE"/>
    <w:rsid w:val="001E4E40"/>
    <w:rsid w:val="001F2A97"/>
    <w:rsid w:val="001F2ADD"/>
    <w:rsid w:val="001F5569"/>
    <w:rsid w:val="0020034D"/>
    <w:rsid w:val="00201802"/>
    <w:rsid w:val="0020487B"/>
    <w:rsid w:val="00205449"/>
    <w:rsid w:val="002058F0"/>
    <w:rsid w:val="00206D0A"/>
    <w:rsid w:val="002100D8"/>
    <w:rsid w:val="002119FD"/>
    <w:rsid w:val="0021200A"/>
    <w:rsid w:val="00212307"/>
    <w:rsid w:val="002130E0"/>
    <w:rsid w:val="0022006A"/>
    <w:rsid w:val="002213CB"/>
    <w:rsid w:val="00221800"/>
    <w:rsid w:val="00221D54"/>
    <w:rsid w:val="00221F46"/>
    <w:rsid w:val="00222F41"/>
    <w:rsid w:val="0022369D"/>
    <w:rsid w:val="00223994"/>
    <w:rsid w:val="00225625"/>
    <w:rsid w:val="002327CD"/>
    <w:rsid w:val="00233B2E"/>
    <w:rsid w:val="002353C0"/>
    <w:rsid w:val="002374E0"/>
    <w:rsid w:val="00237B50"/>
    <w:rsid w:val="00240BF8"/>
    <w:rsid w:val="0024302B"/>
    <w:rsid w:val="00244789"/>
    <w:rsid w:val="00244D74"/>
    <w:rsid w:val="00244E2D"/>
    <w:rsid w:val="00244FB1"/>
    <w:rsid w:val="00247D7D"/>
    <w:rsid w:val="00250529"/>
    <w:rsid w:val="002513B4"/>
    <w:rsid w:val="00251AD1"/>
    <w:rsid w:val="00252577"/>
    <w:rsid w:val="00252F3F"/>
    <w:rsid w:val="0025474F"/>
    <w:rsid w:val="00256147"/>
    <w:rsid w:val="00256CB8"/>
    <w:rsid w:val="00257E87"/>
    <w:rsid w:val="00260838"/>
    <w:rsid w:val="00261A8D"/>
    <w:rsid w:val="00264425"/>
    <w:rsid w:val="00265185"/>
    <w:rsid w:val="00265875"/>
    <w:rsid w:val="00267237"/>
    <w:rsid w:val="002713D4"/>
    <w:rsid w:val="002719D9"/>
    <w:rsid w:val="002724E8"/>
    <w:rsid w:val="00272521"/>
    <w:rsid w:val="0027303B"/>
    <w:rsid w:val="00275F38"/>
    <w:rsid w:val="002767D2"/>
    <w:rsid w:val="0027733A"/>
    <w:rsid w:val="00277DEA"/>
    <w:rsid w:val="0028088D"/>
    <w:rsid w:val="0028109B"/>
    <w:rsid w:val="002829D2"/>
    <w:rsid w:val="00285678"/>
    <w:rsid w:val="00287588"/>
    <w:rsid w:val="002916B4"/>
    <w:rsid w:val="002922F7"/>
    <w:rsid w:val="00293A45"/>
    <w:rsid w:val="002952B7"/>
    <w:rsid w:val="002962AC"/>
    <w:rsid w:val="002A0615"/>
    <w:rsid w:val="002A133E"/>
    <w:rsid w:val="002A2054"/>
    <w:rsid w:val="002A2188"/>
    <w:rsid w:val="002A6EC1"/>
    <w:rsid w:val="002A7BDE"/>
    <w:rsid w:val="002B106F"/>
    <w:rsid w:val="002B1F58"/>
    <w:rsid w:val="002B241A"/>
    <w:rsid w:val="002B3B9F"/>
    <w:rsid w:val="002B4EB7"/>
    <w:rsid w:val="002B7E01"/>
    <w:rsid w:val="002C02AC"/>
    <w:rsid w:val="002C1C7A"/>
    <w:rsid w:val="002C2BEF"/>
    <w:rsid w:val="002C3F32"/>
    <w:rsid w:val="002C4626"/>
    <w:rsid w:val="002C5475"/>
    <w:rsid w:val="002C54E2"/>
    <w:rsid w:val="002C5F11"/>
    <w:rsid w:val="002C6926"/>
    <w:rsid w:val="002D06E1"/>
    <w:rsid w:val="002D0EB7"/>
    <w:rsid w:val="002D2281"/>
    <w:rsid w:val="002D3036"/>
    <w:rsid w:val="002D5051"/>
    <w:rsid w:val="002D53D2"/>
    <w:rsid w:val="002D6191"/>
    <w:rsid w:val="002D6414"/>
    <w:rsid w:val="002D6F63"/>
    <w:rsid w:val="002E0D67"/>
    <w:rsid w:val="002E1718"/>
    <w:rsid w:val="002E235C"/>
    <w:rsid w:val="002E245E"/>
    <w:rsid w:val="002E2C10"/>
    <w:rsid w:val="002E2C91"/>
    <w:rsid w:val="002F04A6"/>
    <w:rsid w:val="002F0E42"/>
    <w:rsid w:val="002F2194"/>
    <w:rsid w:val="002F4150"/>
    <w:rsid w:val="003006AA"/>
    <w:rsid w:val="0030160F"/>
    <w:rsid w:val="00303FF4"/>
    <w:rsid w:val="00305C9B"/>
    <w:rsid w:val="00320223"/>
    <w:rsid w:val="00322D0D"/>
    <w:rsid w:val="003254CC"/>
    <w:rsid w:val="00331269"/>
    <w:rsid w:val="00332E82"/>
    <w:rsid w:val="00333D7D"/>
    <w:rsid w:val="00333E56"/>
    <w:rsid w:val="00334D6F"/>
    <w:rsid w:val="00334D8A"/>
    <w:rsid w:val="0033579C"/>
    <w:rsid w:val="00336FE2"/>
    <w:rsid w:val="003440EA"/>
    <w:rsid w:val="00344B47"/>
    <w:rsid w:val="00344D03"/>
    <w:rsid w:val="0035062E"/>
    <w:rsid w:val="00351D2B"/>
    <w:rsid w:val="0035283C"/>
    <w:rsid w:val="0035333C"/>
    <w:rsid w:val="00354D60"/>
    <w:rsid w:val="0035606C"/>
    <w:rsid w:val="00356C33"/>
    <w:rsid w:val="00361143"/>
    <w:rsid w:val="00361465"/>
    <w:rsid w:val="00361626"/>
    <w:rsid w:val="003626CB"/>
    <w:rsid w:val="00362BBA"/>
    <w:rsid w:val="00364CEF"/>
    <w:rsid w:val="003747E5"/>
    <w:rsid w:val="00375D0D"/>
    <w:rsid w:val="003761E4"/>
    <w:rsid w:val="003767F5"/>
    <w:rsid w:val="00377EBE"/>
    <w:rsid w:val="00383B6A"/>
    <w:rsid w:val="00384BB4"/>
    <w:rsid w:val="0038639D"/>
    <w:rsid w:val="003877F5"/>
    <w:rsid w:val="00392506"/>
    <w:rsid w:val="00392A72"/>
    <w:rsid w:val="00393519"/>
    <w:rsid w:val="003936D3"/>
    <w:rsid w:val="003939C6"/>
    <w:rsid w:val="003942D4"/>
    <w:rsid w:val="0039432C"/>
    <w:rsid w:val="003945EF"/>
    <w:rsid w:val="00395073"/>
    <w:rsid w:val="003958A8"/>
    <w:rsid w:val="00395A49"/>
    <w:rsid w:val="00395EEB"/>
    <w:rsid w:val="003A0C07"/>
    <w:rsid w:val="003A1247"/>
    <w:rsid w:val="003A1D06"/>
    <w:rsid w:val="003A2AB2"/>
    <w:rsid w:val="003A4769"/>
    <w:rsid w:val="003A57EB"/>
    <w:rsid w:val="003A5EA3"/>
    <w:rsid w:val="003A7376"/>
    <w:rsid w:val="003B0642"/>
    <w:rsid w:val="003B189D"/>
    <w:rsid w:val="003B29C2"/>
    <w:rsid w:val="003B38A0"/>
    <w:rsid w:val="003B4C8A"/>
    <w:rsid w:val="003B4FAF"/>
    <w:rsid w:val="003B6F3A"/>
    <w:rsid w:val="003C0CAC"/>
    <w:rsid w:val="003C2533"/>
    <w:rsid w:val="003C2550"/>
    <w:rsid w:val="003D1552"/>
    <w:rsid w:val="003D1D48"/>
    <w:rsid w:val="003D4A50"/>
    <w:rsid w:val="003D5A7F"/>
    <w:rsid w:val="003D6B41"/>
    <w:rsid w:val="003E00F8"/>
    <w:rsid w:val="003E1BE4"/>
    <w:rsid w:val="003E1E31"/>
    <w:rsid w:val="003E4B86"/>
    <w:rsid w:val="003E5AB2"/>
    <w:rsid w:val="003E5E05"/>
    <w:rsid w:val="003E5ECC"/>
    <w:rsid w:val="003E65B1"/>
    <w:rsid w:val="003F0228"/>
    <w:rsid w:val="003F0B4C"/>
    <w:rsid w:val="003F1A81"/>
    <w:rsid w:val="003F28BC"/>
    <w:rsid w:val="003F2CB6"/>
    <w:rsid w:val="003F5A23"/>
    <w:rsid w:val="003F6B77"/>
    <w:rsid w:val="003F7B2E"/>
    <w:rsid w:val="003F7BE7"/>
    <w:rsid w:val="0040435A"/>
    <w:rsid w:val="00404FD0"/>
    <w:rsid w:val="004100BD"/>
    <w:rsid w:val="004108DD"/>
    <w:rsid w:val="004156FF"/>
    <w:rsid w:val="00415D00"/>
    <w:rsid w:val="00416A24"/>
    <w:rsid w:val="00417730"/>
    <w:rsid w:val="00420DA4"/>
    <w:rsid w:val="00423DC0"/>
    <w:rsid w:val="004268AF"/>
    <w:rsid w:val="004279CD"/>
    <w:rsid w:val="00427F1E"/>
    <w:rsid w:val="0043004A"/>
    <w:rsid w:val="00430487"/>
    <w:rsid w:val="0043065F"/>
    <w:rsid w:val="00431688"/>
    <w:rsid w:val="00431828"/>
    <w:rsid w:val="00431D9E"/>
    <w:rsid w:val="004320BB"/>
    <w:rsid w:val="004330A1"/>
    <w:rsid w:val="00433924"/>
    <w:rsid w:val="00433CE8"/>
    <w:rsid w:val="004342D4"/>
    <w:rsid w:val="0043473F"/>
    <w:rsid w:val="00434A5C"/>
    <w:rsid w:val="004368A2"/>
    <w:rsid w:val="00436C31"/>
    <w:rsid w:val="00437BFA"/>
    <w:rsid w:val="004407EC"/>
    <w:rsid w:val="00441287"/>
    <w:rsid w:val="00441A4D"/>
    <w:rsid w:val="004434A2"/>
    <w:rsid w:val="00443DB2"/>
    <w:rsid w:val="00445D5D"/>
    <w:rsid w:val="00447133"/>
    <w:rsid w:val="0045188E"/>
    <w:rsid w:val="004523E2"/>
    <w:rsid w:val="004527B7"/>
    <w:rsid w:val="00453079"/>
    <w:rsid w:val="00453EC7"/>
    <w:rsid w:val="004544D9"/>
    <w:rsid w:val="004548EC"/>
    <w:rsid w:val="0045627C"/>
    <w:rsid w:val="0045671F"/>
    <w:rsid w:val="004577E1"/>
    <w:rsid w:val="00457A67"/>
    <w:rsid w:val="004605A2"/>
    <w:rsid w:val="00461501"/>
    <w:rsid w:val="00461AA0"/>
    <w:rsid w:val="00465B00"/>
    <w:rsid w:val="00465C35"/>
    <w:rsid w:val="00465EEC"/>
    <w:rsid w:val="0046663C"/>
    <w:rsid w:val="0046739B"/>
    <w:rsid w:val="00471429"/>
    <w:rsid w:val="00472661"/>
    <w:rsid w:val="00472BAD"/>
    <w:rsid w:val="00473E75"/>
    <w:rsid w:val="00481F0C"/>
    <w:rsid w:val="00484009"/>
    <w:rsid w:val="00484C79"/>
    <w:rsid w:val="0048665E"/>
    <w:rsid w:val="004867CE"/>
    <w:rsid w:val="00490A45"/>
    <w:rsid w:val="00490E72"/>
    <w:rsid w:val="00491157"/>
    <w:rsid w:val="00491BA9"/>
    <w:rsid w:val="004921C8"/>
    <w:rsid w:val="0049293C"/>
    <w:rsid w:val="00493478"/>
    <w:rsid w:val="0049369C"/>
    <w:rsid w:val="00494562"/>
    <w:rsid w:val="004948AB"/>
    <w:rsid w:val="00495615"/>
    <w:rsid w:val="00495731"/>
    <w:rsid w:val="00495B0B"/>
    <w:rsid w:val="00495B41"/>
    <w:rsid w:val="00497060"/>
    <w:rsid w:val="004971C1"/>
    <w:rsid w:val="004975F3"/>
    <w:rsid w:val="004976F7"/>
    <w:rsid w:val="004A18BD"/>
    <w:rsid w:val="004A1B8B"/>
    <w:rsid w:val="004B3D50"/>
    <w:rsid w:val="004B6988"/>
    <w:rsid w:val="004B6EBC"/>
    <w:rsid w:val="004C05F9"/>
    <w:rsid w:val="004C066D"/>
    <w:rsid w:val="004C0692"/>
    <w:rsid w:val="004C11CE"/>
    <w:rsid w:val="004C189C"/>
    <w:rsid w:val="004C5668"/>
    <w:rsid w:val="004D075A"/>
    <w:rsid w:val="004D0A01"/>
    <w:rsid w:val="004D1851"/>
    <w:rsid w:val="004D245D"/>
    <w:rsid w:val="004D3033"/>
    <w:rsid w:val="004D43C9"/>
    <w:rsid w:val="004D52F2"/>
    <w:rsid w:val="004D599D"/>
    <w:rsid w:val="004D7134"/>
    <w:rsid w:val="004E12FF"/>
    <w:rsid w:val="004E150D"/>
    <w:rsid w:val="004E2EA5"/>
    <w:rsid w:val="004E3AEB"/>
    <w:rsid w:val="004E4960"/>
    <w:rsid w:val="004E4C39"/>
    <w:rsid w:val="004E4E4C"/>
    <w:rsid w:val="004E55DA"/>
    <w:rsid w:val="004E6BA1"/>
    <w:rsid w:val="004E78F0"/>
    <w:rsid w:val="004F0CE4"/>
    <w:rsid w:val="004F2F9C"/>
    <w:rsid w:val="004F421F"/>
    <w:rsid w:val="004F4E24"/>
    <w:rsid w:val="004F4F5D"/>
    <w:rsid w:val="004F798A"/>
    <w:rsid w:val="00501394"/>
    <w:rsid w:val="00502079"/>
    <w:rsid w:val="0050223C"/>
    <w:rsid w:val="00502693"/>
    <w:rsid w:val="00503421"/>
    <w:rsid w:val="00503731"/>
    <w:rsid w:val="00503D62"/>
    <w:rsid w:val="00504FBA"/>
    <w:rsid w:val="00505DA1"/>
    <w:rsid w:val="0050621B"/>
    <w:rsid w:val="0050794A"/>
    <w:rsid w:val="00507BF5"/>
    <w:rsid w:val="00507C50"/>
    <w:rsid w:val="00511BEB"/>
    <w:rsid w:val="00512087"/>
    <w:rsid w:val="0051286A"/>
    <w:rsid w:val="00512910"/>
    <w:rsid w:val="005139AA"/>
    <w:rsid w:val="00516110"/>
    <w:rsid w:val="00523119"/>
    <w:rsid w:val="005243FF"/>
    <w:rsid w:val="005246C9"/>
    <w:rsid w:val="00524ED1"/>
    <w:rsid w:val="005265EF"/>
    <w:rsid w:val="00526B3A"/>
    <w:rsid w:val="0053270A"/>
    <w:rsid w:val="0053317F"/>
    <w:rsid w:val="00533CBC"/>
    <w:rsid w:val="0053503B"/>
    <w:rsid w:val="0054350C"/>
    <w:rsid w:val="00547C35"/>
    <w:rsid w:val="00550E8C"/>
    <w:rsid w:val="00551715"/>
    <w:rsid w:val="00553958"/>
    <w:rsid w:val="00554476"/>
    <w:rsid w:val="0055462C"/>
    <w:rsid w:val="00554D0B"/>
    <w:rsid w:val="00554E8C"/>
    <w:rsid w:val="0055565E"/>
    <w:rsid w:val="005561EE"/>
    <w:rsid w:val="005570D1"/>
    <w:rsid w:val="00557C4C"/>
    <w:rsid w:val="00560476"/>
    <w:rsid w:val="00560B47"/>
    <w:rsid w:val="00560D27"/>
    <w:rsid w:val="005615BD"/>
    <w:rsid w:val="005637D2"/>
    <w:rsid w:val="00564FBC"/>
    <w:rsid w:val="00566E7C"/>
    <w:rsid w:val="00566FD1"/>
    <w:rsid w:val="00567389"/>
    <w:rsid w:val="00567CAF"/>
    <w:rsid w:val="00570260"/>
    <w:rsid w:val="00570E66"/>
    <w:rsid w:val="00572BF8"/>
    <w:rsid w:val="00576225"/>
    <w:rsid w:val="005800BC"/>
    <w:rsid w:val="0058023E"/>
    <w:rsid w:val="00582442"/>
    <w:rsid w:val="00582B44"/>
    <w:rsid w:val="00583AE8"/>
    <w:rsid w:val="00587002"/>
    <w:rsid w:val="0059012C"/>
    <w:rsid w:val="005945EB"/>
    <w:rsid w:val="00594CE7"/>
    <w:rsid w:val="005A09FA"/>
    <w:rsid w:val="005A2882"/>
    <w:rsid w:val="005A358D"/>
    <w:rsid w:val="005A4D44"/>
    <w:rsid w:val="005A63BF"/>
    <w:rsid w:val="005A654F"/>
    <w:rsid w:val="005A6B10"/>
    <w:rsid w:val="005B1884"/>
    <w:rsid w:val="005B1F97"/>
    <w:rsid w:val="005B2474"/>
    <w:rsid w:val="005B2711"/>
    <w:rsid w:val="005B37E3"/>
    <w:rsid w:val="005B53C1"/>
    <w:rsid w:val="005B5E68"/>
    <w:rsid w:val="005B687E"/>
    <w:rsid w:val="005B7245"/>
    <w:rsid w:val="005B7FE9"/>
    <w:rsid w:val="005C10A5"/>
    <w:rsid w:val="005C12F0"/>
    <w:rsid w:val="005C2AC0"/>
    <w:rsid w:val="005C46EC"/>
    <w:rsid w:val="005C4EDD"/>
    <w:rsid w:val="005C5123"/>
    <w:rsid w:val="005C5837"/>
    <w:rsid w:val="005C5B9A"/>
    <w:rsid w:val="005C61FC"/>
    <w:rsid w:val="005D4700"/>
    <w:rsid w:val="005D4E90"/>
    <w:rsid w:val="005D5B6A"/>
    <w:rsid w:val="005E24F1"/>
    <w:rsid w:val="005E29B9"/>
    <w:rsid w:val="005E33A3"/>
    <w:rsid w:val="005E4DE5"/>
    <w:rsid w:val="005E519C"/>
    <w:rsid w:val="005E5EB8"/>
    <w:rsid w:val="005E7484"/>
    <w:rsid w:val="005F1245"/>
    <w:rsid w:val="005F2217"/>
    <w:rsid w:val="005F3269"/>
    <w:rsid w:val="005F3AD0"/>
    <w:rsid w:val="005F5F86"/>
    <w:rsid w:val="005F6847"/>
    <w:rsid w:val="006001E1"/>
    <w:rsid w:val="00600C97"/>
    <w:rsid w:val="00600EFA"/>
    <w:rsid w:val="00601430"/>
    <w:rsid w:val="00604FE1"/>
    <w:rsid w:val="0061071E"/>
    <w:rsid w:val="00612E4C"/>
    <w:rsid w:val="00612E99"/>
    <w:rsid w:val="00614BD7"/>
    <w:rsid w:val="00615356"/>
    <w:rsid w:val="00616963"/>
    <w:rsid w:val="0062233E"/>
    <w:rsid w:val="00623AE3"/>
    <w:rsid w:val="00626E7D"/>
    <w:rsid w:val="00627EF8"/>
    <w:rsid w:val="00630690"/>
    <w:rsid w:val="006317C3"/>
    <w:rsid w:val="00632AD7"/>
    <w:rsid w:val="00635CE1"/>
    <w:rsid w:val="00636F57"/>
    <w:rsid w:val="00642D1B"/>
    <w:rsid w:val="00642E2B"/>
    <w:rsid w:val="00644C40"/>
    <w:rsid w:val="00646A67"/>
    <w:rsid w:val="00646FD7"/>
    <w:rsid w:val="0064737F"/>
    <w:rsid w:val="006473C1"/>
    <w:rsid w:val="00647D90"/>
    <w:rsid w:val="006509B0"/>
    <w:rsid w:val="00651BEF"/>
    <w:rsid w:val="006535F1"/>
    <w:rsid w:val="00653883"/>
    <w:rsid w:val="00654F11"/>
    <w:rsid w:val="0065557D"/>
    <w:rsid w:val="00655E1C"/>
    <w:rsid w:val="00656CE7"/>
    <w:rsid w:val="00656F9D"/>
    <w:rsid w:val="00660596"/>
    <w:rsid w:val="00660D50"/>
    <w:rsid w:val="00661511"/>
    <w:rsid w:val="00661E4E"/>
    <w:rsid w:val="00662984"/>
    <w:rsid w:val="00662D16"/>
    <w:rsid w:val="006631B2"/>
    <w:rsid w:val="00663B02"/>
    <w:rsid w:val="00664A40"/>
    <w:rsid w:val="00665171"/>
    <w:rsid w:val="00665640"/>
    <w:rsid w:val="00665690"/>
    <w:rsid w:val="00667052"/>
    <w:rsid w:val="006704DF"/>
    <w:rsid w:val="00670E3F"/>
    <w:rsid w:val="00671653"/>
    <w:rsid w:val="006716BB"/>
    <w:rsid w:val="00672CBB"/>
    <w:rsid w:val="00672DAF"/>
    <w:rsid w:val="006772B7"/>
    <w:rsid w:val="0067763E"/>
    <w:rsid w:val="00677B24"/>
    <w:rsid w:val="00680583"/>
    <w:rsid w:val="006830B4"/>
    <w:rsid w:val="0068454E"/>
    <w:rsid w:val="00685828"/>
    <w:rsid w:val="0068744C"/>
    <w:rsid w:val="00692468"/>
    <w:rsid w:val="00694BC4"/>
    <w:rsid w:val="006961D7"/>
    <w:rsid w:val="006966DE"/>
    <w:rsid w:val="006979E1"/>
    <w:rsid w:val="006A2312"/>
    <w:rsid w:val="006A2F4B"/>
    <w:rsid w:val="006A3226"/>
    <w:rsid w:val="006A3B8C"/>
    <w:rsid w:val="006A4104"/>
    <w:rsid w:val="006A4EC4"/>
    <w:rsid w:val="006A5DA5"/>
    <w:rsid w:val="006B0F37"/>
    <w:rsid w:val="006B1859"/>
    <w:rsid w:val="006B1ADD"/>
    <w:rsid w:val="006B20EB"/>
    <w:rsid w:val="006B26CE"/>
    <w:rsid w:val="006B2E7D"/>
    <w:rsid w:val="006B57F7"/>
    <w:rsid w:val="006B6680"/>
    <w:rsid w:val="006B6D3A"/>
    <w:rsid w:val="006B6DCC"/>
    <w:rsid w:val="006B77F1"/>
    <w:rsid w:val="006B7C23"/>
    <w:rsid w:val="006C047E"/>
    <w:rsid w:val="006C0DA9"/>
    <w:rsid w:val="006C353B"/>
    <w:rsid w:val="006C44A6"/>
    <w:rsid w:val="006C74BB"/>
    <w:rsid w:val="006C7F13"/>
    <w:rsid w:val="006D4595"/>
    <w:rsid w:val="006E5160"/>
    <w:rsid w:val="006E5484"/>
    <w:rsid w:val="006E7C56"/>
    <w:rsid w:val="006F3426"/>
    <w:rsid w:val="006F4AEB"/>
    <w:rsid w:val="006F79B1"/>
    <w:rsid w:val="00700381"/>
    <w:rsid w:val="00700FD0"/>
    <w:rsid w:val="00701C9D"/>
    <w:rsid w:val="007028D4"/>
    <w:rsid w:val="007028FF"/>
    <w:rsid w:val="00702DEF"/>
    <w:rsid w:val="00706100"/>
    <w:rsid w:val="00706861"/>
    <w:rsid w:val="0070706F"/>
    <w:rsid w:val="0070744C"/>
    <w:rsid w:val="007107AA"/>
    <w:rsid w:val="007116D8"/>
    <w:rsid w:val="00711C33"/>
    <w:rsid w:val="00711C82"/>
    <w:rsid w:val="007120D5"/>
    <w:rsid w:val="00712BF2"/>
    <w:rsid w:val="00713CE8"/>
    <w:rsid w:val="00714B94"/>
    <w:rsid w:val="007163FA"/>
    <w:rsid w:val="00720631"/>
    <w:rsid w:val="00720686"/>
    <w:rsid w:val="00721251"/>
    <w:rsid w:val="00721305"/>
    <w:rsid w:val="00722551"/>
    <w:rsid w:val="00723742"/>
    <w:rsid w:val="0072494B"/>
    <w:rsid w:val="00731911"/>
    <w:rsid w:val="00731CF1"/>
    <w:rsid w:val="00732502"/>
    <w:rsid w:val="00733B7E"/>
    <w:rsid w:val="00733DB7"/>
    <w:rsid w:val="00736E09"/>
    <w:rsid w:val="00740FC6"/>
    <w:rsid w:val="00741F09"/>
    <w:rsid w:val="00742D16"/>
    <w:rsid w:val="00745EFD"/>
    <w:rsid w:val="00746311"/>
    <w:rsid w:val="0074697E"/>
    <w:rsid w:val="00747404"/>
    <w:rsid w:val="00747CE4"/>
    <w:rsid w:val="0075051B"/>
    <w:rsid w:val="00751508"/>
    <w:rsid w:val="0075637D"/>
    <w:rsid w:val="007573DF"/>
    <w:rsid w:val="00757BE9"/>
    <w:rsid w:val="007619EA"/>
    <w:rsid w:val="00763070"/>
    <w:rsid w:val="00763899"/>
    <w:rsid w:val="00765C89"/>
    <w:rsid w:val="0076735C"/>
    <w:rsid w:val="007674DD"/>
    <w:rsid w:val="00767DDF"/>
    <w:rsid w:val="007702FB"/>
    <w:rsid w:val="00770343"/>
    <w:rsid w:val="00770717"/>
    <w:rsid w:val="00770E57"/>
    <w:rsid w:val="0077110E"/>
    <w:rsid w:val="00772905"/>
    <w:rsid w:val="00772A7B"/>
    <w:rsid w:val="00773796"/>
    <w:rsid w:val="00773A25"/>
    <w:rsid w:val="00774233"/>
    <w:rsid w:val="007753BC"/>
    <w:rsid w:val="00776E6E"/>
    <w:rsid w:val="0078046D"/>
    <w:rsid w:val="007814B2"/>
    <w:rsid w:val="00784A9B"/>
    <w:rsid w:val="0078586E"/>
    <w:rsid w:val="007874B3"/>
    <w:rsid w:val="00787D24"/>
    <w:rsid w:val="00792522"/>
    <w:rsid w:val="00793031"/>
    <w:rsid w:val="00793188"/>
    <w:rsid w:val="00794B46"/>
    <w:rsid w:val="00794D34"/>
    <w:rsid w:val="007A020C"/>
    <w:rsid w:val="007A2E24"/>
    <w:rsid w:val="007A33FE"/>
    <w:rsid w:val="007A3C03"/>
    <w:rsid w:val="007A3FCD"/>
    <w:rsid w:val="007A460D"/>
    <w:rsid w:val="007A5C8F"/>
    <w:rsid w:val="007A6013"/>
    <w:rsid w:val="007B19CF"/>
    <w:rsid w:val="007B203E"/>
    <w:rsid w:val="007B2205"/>
    <w:rsid w:val="007B3DF7"/>
    <w:rsid w:val="007B4C42"/>
    <w:rsid w:val="007B500B"/>
    <w:rsid w:val="007B7656"/>
    <w:rsid w:val="007C00A6"/>
    <w:rsid w:val="007C2A97"/>
    <w:rsid w:val="007C4587"/>
    <w:rsid w:val="007D01AF"/>
    <w:rsid w:val="007D0AF3"/>
    <w:rsid w:val="007D0FD8"/>
    <w:rsid w:val="007D1CC8"/>
    <w:rsid w:val="007D1CFE"/>
    <w:rsid w:val="007D4F18"/>
    <w:rsid w:val="007D5AA2"/>
    <w:rsid w:val="007D5EAA"/>
    <w:rsid w:val="007D6157"/>
    <w:rsid w:val="007D6368"/>
    <w:rsid w:val="007D6D18"/>
    <w:rsid w:val="007D7BDC"/>
    <w:rsid w:val="007E093A"/>
    <w:rsid w:val="007E2807"/>
    <w:rsid w:val="007E32E3"/>
    <w:rsid w:val="007E53B8"/>
    <w:rsid w:val="007E5F20"/>
    <w:rsid w:val="007E703A"/>
    <w:rsid w:val="007E7AEE"/>
    <w:rsid w:val="007F10F4"/>
    <w:rsid w:val="007F23A0"/>
    <w:rsid w:val="007F412D"/>
    <w:rsid w:val="007F59C3"/>
    <w:rsid w:val="007F7162"/>
    <w:rsid w:val="007F7BC5"/>
    <w:rsid w:val="008014B8"/>
    <w:rsid w:val="008017F2"/>
    <w:rsid w:val="00805A5A"/>
    <w:rsid w:val="00806AD3"/>
    <w:rsid w:val="00806D5D"/>
    <w:rsid w:val="008102A8"/>
    <w:rsid w:val="00811000"/>
    <w:rsid w:val="0081110A"/>
    <w:rsid w:val="00813928"/>
    <w:rsid w:val="00813E5E"/>
    <w:rsid w:val="00815523"/>
    <w:rsid w:val="0081608E"/>
    <w:rsid w:val="00820ED8"/>
    <w:rsid w:val="00821641"/>
    <w:rsid w:val="008216CD"/>
    <w:rsid w:val="00823153"/>
    <w:rsid w:val="008239E9"/>
    <w:rsid w:val="0082419B"/>
    <w:rsid w:val="0082463B"/>
    <w:rsid w:val="00824DE6"/>
    <w:rsid w:val="00824E89"/>
    <w:rsid w:val="0083013D"/>
    <w:rsid w:val="00834F7F"/>
    <w:rsid w:val="0083581B"/>
    <w:rsid w:val="00835D95"/>
    <w:rsid w:val="008415F6"/>
    <w:rsid w:val="008439AC"/>
    <w:rsid w:val="00843D7D"/>
    <w:rsid w:val="00844E39"/>
    <w:rsid w:val="0084546D"/>
    <w:rsid w:val="00847510"/>
    <w:rsid w:val="008477D7"/>
    <w:rsid w:val="008527B3"/>
    <w:rsid w:val="008531A4"/>
    <w:rsid w:val="008537B1"/>
    <w:rsid w:val="00853DDE"/>
    <w:rsid w:val="00857197"/>
    <w:rsid w:val="00857F90"/>
    <w:rsid w:val="00860B90"/>
    <w:rsid w:val="00863463"/>
    <w:rsid w:val="00863874"/>
    <w:rsid w:val="00864AFF"/>
    <w:rsid w:val="00865925"/>
    <w:rsid w:val="00867407"/>
    <w:rsid w:val="00875437"/>
    <w:rsid w:val="008767B8"/>
    <w:rsid w:val="008771C9"/>
    <w:rsid w:val="008779C7"/>
    <w:rsid w:val="00880406"/>
    <w:rsid w:val="00886D34"/>
    <w:rsid w:val="008911E0"/>
    <w:rsid w:val="00893038"/>
    <w:rsid w:val="0089395F"/>
    <w:rsid w:val="00893F76"/>
    <w:rsid w:val="0089550A"/>
    <w:rsid w:val="0089600B"/>
    <w:rsid w:val="008974B1"/>
    <w:rsid w:val="008975D5"/>
    <w:rsid w:val="008A0256"/>
    <w:rsid w:val="008A1A4A"/>
    <w:rsid w:val="008A1F7E"/>
    <w:rsid w:val="008A2C9C"/>
    <w:rsid w:val="008A4A1F"/>
    <w:rsid w:val="008A4CBF"/>
    <w:rsid w:val="008A65B0"/>
    <w:rsid w:val="008B09AB"/>
    <w:rsid w:val="008B0C50"/>
    <w:rsid w:val="008B0D98"/>
    <w:rsid w:val="008B108E"/>
    <w:rsid w:val="008B1B90"/>
    <w:rsid w:val="008B2FFF"/>
    <w:rsid w:val="008B4A6A"/>
    <w:rsid w:val="008B6630"/>
    <w:rsid w:val="008B6840"/>
    <w:rsid w:val="008C1F3B"/>
    <w:rsid w:val="008C374C"/>
    <w:rsid w:val="008C431B"/>
    <w:rsid w:val="008C49B7"/>
    <w:rsid w:val="008C61B3"/>
    <w:rsid w:val="008C7E27"/>
    <w:rsid w:val="008C7F24"/>
    <w:rsid w:val="008D1629"/>
    <w:rsid w:val="008D1FE9"/>
    <w:rsid w:val="008D2B6E"/>
    <w:rsid w:val="008D411F"/>
    <w:rsid w:val="008D77D2"/>
    <w:rsid w:val="008E2938"/>
    <w:rsid w:val="008E4DD2"/>
    <w:rsid w:val="008E650F"/>
    <w:rsid w:val="008E6AD0"/>
    <w:rsid w:val="008F7448"/>
    <w:rsid w:val="008F753D"/>
    <w:rsid w:val="009005A5"/>
    <w:rsid w:val="0090147A"/>
    <w:rsid w:val="00901A7D"/>
    <w:rsid w:val="00902801"/>
    <w:rsid w:val="00902AD8"/>
    <w:rsid w:val="0090538D"/>
    <w:rsid w:val="0091095C"/>
    <w:rsid w:val="00911313"/>
    <w:rsid w:val="0091151F"/>
    <w:rsid w:val="0091215D"/>
    <w:rsid w:val="00914DDF"/>
    <w:rsid w:val="00916D60"/>
    <w:rsid w:val="009173EF"/>
    <w:rsid w:val="00920425"/>
    <w:rsid w:val="00922E2E"/>
    <w:rsid w:val="00923C08"/>
    <w:rsid w:val="00925C7D"/>
    <w:rsid w:val="00927DB5"/>
    <w:rsid w:val="00930910"/>
    <w:rsid w:val="00932906"/>
    <w:rsid w:val="0093344A"/>
    <w:rsid w:val="00934FBD"/>
    <w:rsid w:val="0093559C"/>
    <w:rsid w:val="0093670B"/>
    <w:rsid w:val="00940295"/>
    <w:rsid w:val="00940371"/>
    <w:rsid w:val="009454CB"/>
    <w:rsid w:val="0094674F"/>
    <w:rsid w:val="009470E2"/>
    <w:rsid w:val="00950827"/>
    <w:rsid w:val="00954C49"/>
    <w:rsid w:val="00955AF1"/>
    <w:rsid w:val="0096086D"/>
    <w:rsid w:val="00961A1E"/>
    <w:rsid w:val="00961B0B"/>
    <w:rsid w:val="00961D50"/>
    <w:rsid w:val="009626F0"/>
    <w:rsid w:val="00962812"/>
    <w:rsid w:val="00962D33"/>
    <w:rsid w:val="00965738"/>
    <w:rsid w:val="0096738C"/>
    <w:rsid w:val="0097156D"/>
    <w:rsid w:val="009719EF"/>
    <w:rsid w:val="00972CCE"/>
    <w:rsid w:val="00972E08"/>
    <w:rsid w:val="00972E0C"/>
    <w:rsid w:val="0097338E"/>
    <w:rsid w:val="00977AAE"/>
    <w:rsid w:val="00981B7E"/>
    <w:rsid w:val="0098275B"/>
    <w:rsid w:val="009842A1"/>
    <w:rsid w:val="00984623"/>
    <w:rsid w:val="009862AF"/>
    <w:rsid w:val="00986D12"/>
    <w:rsid w:val="00986DE1"/>
    <w:rsid w:val="00990608"/>
    <w:rsid w:val="0099118A"/>
    <w:rsid w:val="00994210"/>
    <w:rsid w:val="00996210"/>
    <w:rsid w:val="009962C2"/>
    <w:rsid w:val="009968D7"/>
    <w:rsid w:val="00997243"/>
    <w:rsid w:val="00997EBB"/>
    <w:rsid w:val="009A7220"/>
    <w:rsid w:val="009A76A8"/>
    <w:rsid w:val="009B2080"/>
    <w:rsid w:val="009B2997"/>
    <w:rsid w:val="009B38C3"/>
    <w:rsid w:val="009B4202"/>
    <w:rsid w:val="009B5593"/>
    <w:rsid w:val="009B6AEA"/>
    <w:rsid w:val="009C3596"/>
    <w:rsid w:val="009C509F"/>
    <w:rsid w:val="009C6B21"/>
    <w:rsid w:val="009D230B"/>
    <w:rsid w:val="009D38F6"/>
    <w:rsid w:val="009D6B72"/>
    <w:rsid w:val="009D71D0"/>
    <w:rsid w:val="009D7A27"/>
    <w:rsid w:val="009E17BD"/>
    <w:rsid w:val="009E3299"/>
    <w:rsid w:val="009E41C8"/>
    <w:rsid w:val="009E426B"/>
    <w:rsid w:val="009E485A"/>
    <w:rsid w:val="009E4A16"/>
    <w:rsid w:val="009E50F1"/>
    <w:rsid w:val="009E642C"/>
    <w:rsid w:val="009F10EB"/>
    <w:rsid w:val="009F152F"/>
    <w:rsid w:val="009F520C"/>
    <w:rsid w:val="009F5EC3"/>
    <w:rsid w:val="009F7761"/>
    <w:rsid w:val="00A00B70"/>
    <w:rsid w:val="00A04CEC"/>
    <w:rsid w:val="00A057D5"/>
    <w:rsid w:val="00A05FE8"/>
    <w:rsid w:val="00A06565"/>
    <w:rsid w:val="00A07D50"/>
    <w:rsid w:val="00A109AF"/>
    <w:rsid w:val="00A10F46"/>
    <w:rsid w:val="00A1140F"/>
    <w:rsid w:val="00A122F7"/>
    <w:rsid w:val="00A12FD9"/>
    <w:rsid w:val="00A20E3D"/>
    <w:rsid w:val="00A22311"/>
    <w:rsid w:val="00A2440A"/>
    <w:rsid w:val="00A260E5"/>
    <w:rsid w:val="00A27F92"/>
    <w:rsid w:val="00A317D2"/>
    <w:rsid w:val="00A32257"/>
    <w:rsid w:val="00A33AB1"/>
    <w:rsid w:val="00A33F7C"/>
    <w:rsid w:val="00A36D20"/>
    <w:rsid w:val="00A37CDB"/>
    <w:rsid w:val="00A407B3"/>
    <w:rsid w:val="00A41996"/>
    <w:rsid w:val="00A422E8"/>
    <w:rsid w:val="00A42C42"/>
    <w:rsid w:val="00A45E4E"/>
    <w:rsid w:val="00A50F2F"/>
    <w:rsid w:val="00A5121B"/>
    <w:rsid w:val="00A514A4"/>
    <w:rsid w:val="00A516F1"/>
    <w:rsid w:val="00A5442C"/>
    <w:rsid w:val="00A55622"/>
    <w:rsid w:val="00A55FEC"/>
    <w:rsid w:val="00A56628"/>
    <w:rsid w:val="00A60145"/>
    <w:rsid w:val="00A605BE"/>
    <w:rsid w:val="00A612FE"/>
    <w:rsid w:val="00A64461"/>
    <w:rsid w:val="00A64B92"/>
    <w:rsid w:val="00A67B5C"/>
    <w:rsid w:val="00A67D40"/>
    <w:rsid w:val="00A80728"/>
    <w:rsid w:val="00A83502"/>
    <w:rsid w:val="00A83A24"/>
    <w:rsid w:val="00A852F0"/>
    <w:rsid w:val="00A85FB9"/>
    <w:rsid w:val="00A872D8"/>
    <w:rsid w:val="00A900EE"/>
    <w:rsid w:val="00A92E42"/>
    <w:rsid w:val="00A93F86"/>
    <w:rsid w:val="00A9407E"/>
    <w:rsid w:val="00A94BAB"/>
    <w:rsid w:val="00A94C07"/>
    <w:rsid w:val="00A95DC6"/>
    <w:rsid w:val="00A95FB6"/>
    <w:rsid w:val="00AA1E81"/>
    <w:rsid w:val="00AA28D7"/>
    <w:rsid w:val="00AA6A98"/>
    <w:rsid w:val="00AB08DC"/>
    <w:rsid w:val="00AB0AA2"/>
    <w:rsid w:val="00AB4352"/>
    <w:rsid w:val="00AB74F9"/>
    <w:rsid w:val="00AC1075"/>
    <w:rsid w:val="00AC2EE5"/>
    <w:rsid w:val="00AC3001"/>
    <w:rsid w:val="00AC325E"/>
    <w:rsid w:val="00AC37C1"/>
    <w:rsid w:val="00AC461B"/>
    <w:rsid w:val="00AC4622"/>
    <w:rsid w:val="00AC650A"/>
    <w:rsid w:val="00AC6DB4"/>
    <w:rsid w:val="00AC7C1E"/>
    <w:rsid w:val="00AD064F"/>
    <w:rsid w:val="00AD15B3"/>
    <w:rsid w:val="00AD1AEF"/>
    <w:rsid w:val="00AD2684"/>
    <w:rsid w:val="00AD3606"/>
    <w:rsid w:val="00AD4A16"/>
    <w:rsid w:val="00AD4A3D"/>
    <w:rsid w:val="00AD59D4"/>
    <w:rsid w:val="00AD5AB9"/>
    <w:rsid w:val="00AE00D2"/>
    <w:rsid w:val="00AE0107"/>
    <w:rsid w:val="00AE2513"/>
    <w:rsid w:val="00AE3163"/>
    <w:rsid w:val="00AE36B5"/>
    <w:rsid w:val="00AE7C83"/>
    <w:rsid w:val="00AF0DFC"/>
    <w:rsid w:val="00AF1E4E"/>
    <w:rsid w:val="00AF470D"/>
    <w:rsid w:val="00AF55A9"/>
    <w:rsid w:val="00AF6E49"/>
    <w:rsid w:val="00B04A67"/>
    <w:rsid w:val="00B0583C"/>
    <w:rsid w:val="00B07306"/>
    <w:rsid w:val="00B074AB"/>
    <w:rsid w:val="00B12152"/>
    <w:rsid w:val="00B13D8D"/>
    <w:rsid w:val="00B1421B"/>
    <w:rsid w:val="00B14303"/>
    <w:rsid w:val="00B178B1"/>
    <w:rsid w:val="00B17B6F"/>
    <w:rsid w:val="00B21FD1"/>
    <w:rsid w:val="00B22DA4"/>
    <w:rsid w:val="00B22F51"/>
    <w:rsid w:val="00B23B25"/>
    <w:rsid w:val="00B23F6E"/>
    <w:rsid w:val="00B247FE"/>
    <w:rsid w:val="00B260C6"/>
    <w:rsid w:val="00B27595"/>
    <w:rsid w:val="00B30F27"/>
    <w:rsid w:val="00B312AC"/>
    <w:rsid w:val="00B31518"/>
    <w:rsid w:val="00B325B9"/>
    <w:rsid w:val="00B33218"/>
    <w:rsid w:val="00B33DAF"/>
    <w:rsid w:val="00B359CC"/>
    <w:rsid w:val="00B36636"/>
    <w:rsid w:val="00B40A81"/>
    <w:rsid w:val="00B41403"/>
    <w:rsid w:val="00B44910"/>
    <w:rsid w:val="00B451B4"/>
    <w:rsid w:val="00B46523"/>
    <w:rsid w:val="00B52052"/>
    <w:rsid w:val="00B52108"/>
    <w:rsid w:val="00B53A9C"/>
    <w:rsid w:val="00B53EAD"/>
    <w:rsid w:val="00B55DBF"/>
    <w:rsid w:val="00B55E15"/>
    <w:rsid w:val="00B56E9C"/>
    <w:rsid w:val="00B61A17"/>
    <w:rsid w:val="00B64B34"/>
    <w:rsid w:val="00B702CA"/>
    <w:rsid w:val="00B72267"/>
    <w:rsid w:val="00B72B68"/>
    <w:rsid w:val="00B74CAD"/>
    <w:rsid w:val="00B76165"/>
    <w:rsid w:val="00B76EB6"/>
    <w:rsid w:val="00B7737B"/>
    <w:rsid w:val="00B801CA"/>
    <w:rsid w:val="00B824C8"/>
    <w:rsid w:val="00B83259"/>
    <w:rsid w:val="00B84B9D"/>
    <w:rsid w:val="00B851D3"/>
    <w:rsid w:val="00B8716C"/>
    <w:rsid w:val="00B879CE"/>
    <w:rsid w:val="00B9131F"/>
    <w:rsid w:val="00B91353"/>
    <w:rsid w:val="00B92F7F"/>
    <w:rsid w:val="00B943D1"/>
    <w:rsid w:val="00B96D69"/>
    <w:rsid w:val="00BA02E3"/>
    <w:rsid w:val="00BA0E40"/>
    <w:rsid w:val="00BA199F"/>
    <w:rsid w:val="00BA2225"/>
    <w:rsid w:val="00BA2F27"/>
    <w:rsid w:val="00BA49AB"/>
    <w:rsid w:val="00BA4CB2"/>
    <w:rsid w:val="00BA7993"/>
    <w:rsid w:val="00BB028C"/>
    <w:rsid w:val="00BB0646"/>
    <w:rsid w:val="00BB1ECC"/>
    <w:rsid w:val="00BB5668"/>
    <w:rsid w:val="00BC082F"/>
    <w:rsid w:val="00BC107F"/>
    <w:rsid w:val="00BC251A"/>
    <w:rsid w:val="00BC3F83"/>
    <w:rsid w:val="00BC4A20"/>
    <w:rsid w:val="00BC5E16"/>
    <w:rsid w:val="00BC622D"/>
    <w:rsid w:val="00BC6388"/>
    <w:rsid w:val="00BD032B"/>
    <w:rsid w:val="00BD0CC9"/>
    <w:rsid w:val="00BD2A21"/>
    <w:rsid w:val="00BD3F6E"/>
    <w:rsid w:val="00BD3F90"/>
    <w:rsid w:val="00BD4784"/>
    <w:rsid w:val="00BD4A14"/>
    <w:rsid w:val="00BD5499"/>
    <w:rsid w:val="00BD5598"/>
    <w:rsid w:val="00BD7417"/>
    <w:rsid w:val="00BD7431"/>
    <w:rsid w:val="00BD7CC6"/>
    <w:rsid w:val="00BD7D51"/>
    <w:rsid w:val="00BE011C"/>
    <w:rsid w:val="00BE01C6"/>
    <w:rsid w:val="00BE2640"/>
    <w:rsid w:val="00BE2FE9"/>
    <w:rsid w:val="00BE5AA2"/>
    <w:rsid w:val="00BE5F23"/>
    <w:rsid w:val="00BE6764"/>
    <w:rsid w:val="00BE67F4"/>
    <w:rsid w:val="00BE6DA9"/>
    <w:rsid w:val="00BE7A95"/>
    <w:rsid w:val="00BF0407"/>
    <w:rsid w:val="00BF150E"/>
    <w:rsid w:val="00BF1FDE"/>
    <w:rsid w:val="00BF20E5"/>
    <w:rsid w:val="00BF2F53"/>
    <w:rsid w:val="00BF3249"/>
    <w:rsid w:val="00BF42B1"/>
    <w:rsid w:val="00BF5010"/>
    <w:rsid w:val="00BF55B7"/>
    <w:rsid w:val="00C01189"/>
    <w:rsid w:val="00C0458D"/>
    <w:rsid w:val="00C10710"/>
    <w:rsid w:val="00C11807"/>
    <w:rsid w:val="00C13DD0"/>
    <w:rsid w:val="00C159D1"/>
    <w:rsid w:val="00C16749"/>
    <w:rsid w:val="00C16B7A"/>
    <w:rsid w:val="00C21D15"/>
    <w:rsid w:val="00C22A01"/>
    <w:rsid w:val="00C23B9E"/>
    <w:rsid w:val="00C2441B"/>
    <w:rsid w:val="00C2460C"/>
    <w:rsid w:val="00C24D0C"/>
    <w:rsid w:val="00C25B9E"/>
    <w:rsid w:val="00C260A7"/>
    <w:rsid w:val="00C26271"/>
    <w:rsid w:val="00C26C4F"/>
    <w:rsid w:val="00C27504"/>
    <w:rsid w:val="00C3333A"/>
    <w:rsid w:val="00C358FD"/>
    <w:rsid w:val="00C36F8C"/>
    <w:rsid w:val="00C374DE"/>
    <w:rsid w:val="00C40E9C"/>
    <w:rsid w:val="00C411FE"/>
    <w:rsid w:val="00C44298"/>
    <w:rsid w:val="00C45DAE"/>
    <w:rsid w:val="00C46088"/>
    <w:rsid w:val="00C465C0"/>
    <w:rsid w:val="00C46915"/>
    <w:rsid w:val="00C47AD4"/>
    <w:rsid w:val="00C50D04"/>
    <w:rsid w:val="00C52D81"/>
    <w:rsid w:val="00C54CE2"/>
    <w:rsid w:val="00C55198"/>
    <w:rsid w:val="00C5605F"/>
    <w:rsid w:val="00C620BD"/>
    <w:rsid w:val="00C6279E"/>
    <w:rsid w:val="00C630CC"/>
    <w:rsid w:val="00C643E9"/>
    <w:rsid w:val="00C6520B"/>
    <w:rsid w:val="00C75AE5"/>
    <w:rsid w:val="00C75B3A"/>
    <w:rsid w:val="00C76D02"/>
    <w:rsid w:val="00C80776"/>
    <w:rsid w:val="00C80F0F"/>
    <w:rsid w:val="00C83C47"/>
    <w:rsid w:val="00C84A69"/>
    <w:rsid w:val="00C8711C"/>
    <w:rsid w:val="00C874F3"/>
    <w:rsid w:val="00C90226"/>
    <w:rsid w:val="00C92717"/>
    <w:rsid w:val="00C92862"/>
    <w:rsid w:val="00C92FA3"/>
    <w:rsid w:val="00C9310C"/>
    <w:rsid w:val="00C9333F"/>
    <w:rsid w:val="00C9637B"/>
    <w:rsid w:val="00CA0457"/>
    <w:rsid w:val="00CA0A4C"/>
    <w:rsid w:val="00CA34BB"/>
    <w:rsid w:val="00CA3506"/>
    <w:rsid w:val="00CA3BC0"/>
    <w:rsid w:val="00CA419B"/>
    <w:rsid w:val="00CA4BDD"/>
    <w:rsid w:val="00CA4FB2"/>
    <w:rsid w:val="00CA5CE5"/>
    <w:rsid w:val="00CA6393"/>
    <w:rsid w:val="00CA7439"/>
    <w:rsid w:val="00CA7995"/>
    <w:rsid w:val="00CA7A2F"/>
    <w:rsid w:val="00CB1236"/>
    <w:rsid w:val="00CB18FF"/>
    <w:rsid w:val="00CB2B3D"/>
    <w:rsid w:val="00CB32AF"/>
    <w:rsid w:val="00CB3E09"/>
    <w:rsid w:val="00CB4EF2"/>
    <w:rsid w:val="00CB5CF4"/>
    <w:rsid w:val="00CB7ED5"/>
    <w:rsid w:val="00CC2134"/>
    <w:rsid w:val="00CC3660"/>
    <w:rsid w:val="00CC39FA"/>
    <w:rsid w:val="00CC402F"/>
    <w:rsid w:val="00CC5FDB"/>
    <w:rsid w:val="00CD00FB"/>
    <w:rsid w:val="00CD024B"/>
    <w:rsid w:val="00CD0C08"/>
    <w:rsid w:val="00CD245B"/>
    <w:rsid w:val="00CD2C4D"/>
    <w:rsid w:val="00CD36D6"/>
    <w:rsid w:val="00CD3F3D"/>
    <w:rsid w:val="00CD768A"/>
    <w:rsid w:val="00CD7E2C"/>
    <w:rsid w:val="00CE03FB"/>
    <w:rsid w:val="00CE0E07"/>
    <w:rsid w:val="00CE433C"/>
    <w:rsid w:val="00CE4980"/>
    <w:rsid w:val="00CF0161"/>
    <w:rsid w:val="00CF2119"/>
    <w:rsid w:val="00CF2AF6"/>
    <w:rsid w:val="00CF2F5F"/>
    <w:rsid w:val="00CF33F3"/>
    <w:rsid w:val="00CF3447"/>
    <w:rsid w:val="00CF3C90"/>
    <w:rsid w:val="00CF4A2B"/>
    <w:rsid w:val="00CF50DB"/>
    <w:rsid w:val="00CF51C8"/>
    <w:rsid w:val="00CF7018"/>
    <w:rsid w:val="00CF7FC4"/>
    <w:rsid w:val="00D024CA"/>
    <w:rsid w:val="00D02A1E"/>
    <w:rsid w:val="00D0444D"/>
    <w:rsid w:val="00D0564D"/>
    <w:rsid w:val="00D06183"/>
    <w:rsid w:val="00D111A4"/>
    <w:rsid w:val="00D11553"/>
    <w:rsid w:val="00D1267B"/>
    <w:rsid w:val="00D15359"/>
    <w:rsid w:val="00D15A89"/>
    <w:rsid w:val="00D15B97"/>
    <w:rsid w:val="00D170F0"/>
    <w:rsid w:val="00D225A4"/>
    <w:rsid w:val="00D2271F"/>
    <w:rsid w:val="00D22C42"/>
    <w:rsid w:val="00D23CF2"/>
    <w:rsid w:val="00D247E9"/>
    <w:rsid w:val="00D24E60"/>
    <w:rsid w:val="00D2591F"/>
    <w:rsid w:val="00D2652D"/>
    <w:rsid w:val="00D27DEE"/>
    <w:rsid w:val="00D32E93"/>
    <w:rsid w:val="00D34E32"/>
    <w:rsid w:val="00D359B2"/>
    <w:rsid w:val="00D370F5"/>
    <w:rsid w:val="00D40D2E"/>
    <w:rsid w:val="00D432E3"/>
    <w:rsid w:val="00D43B23"/>
    <w:rsid w:val="00D44993"/>
    <w:rsid w:val="00D47C59"/>
    <w:rsid w:val="00D50245"/>
    <w:rsid w:val="00D52E32"/>
    <w:rsid w:val="00D52E43"/>
    <w:rsid w:val="00D53620"/>
    <w:rsid w:val="00D5629A"/>
    <w:rsid w:val="00D64F57"/>
    <w:rsid w:val="00D65041"/>
    <w:rsid w:val="00D66284"/>
    <w:rsid w:val="00D66B95"/>
    <w:rsid w:val="00D67559"/>
    <w:rsid w:val="00D71D3D"/>
    <w:rsid w:val="00D73E1D"/>
    <w:rsid w:val="00D746A0"/>
    <w:rsid w:val="00D747F3"/>
    <w:rsid w:val="00D74BC0"/>
    <w:rsid w:val="00D76169"/>
    <w:rsid w:val="00D83F70"/>
    <w:rsid w:val="00D84575"/>
    <w:rsid w:val="00D845C8"/>
    <w:rsid w:val="00D84BAB"/>
    <w:rsid w:val="00D85291"/>
    <w:rsid w:val="00D8651B"/>
    <w:rsid w:val="00D8702E"/>
    <w:rsid w:val="00D87E19"/>
    <w:rsid w:val="00D87EE7"/>
    <w:rsid w:val="00D90A19"/>
    <w:rsid w:val="00D90A65"/>
    <w:rsid w:val="00D9161A"/>
    <w:rsid w:val="00D93C05"/>
    <w:rsid w:val="00D967D4"/>
    <w:rsid w:val="00DA0852"/>
    <w:rsid w:val="00DA1EB0"/>
    <w:rsid w:val="00DA2725"/>
    <w:rsid w:val="00DA48FB"/>
    <w:rsid w:val="00DA6037"/>
    <w:rsid w:val="00DB0CC9"/>
    <w:rsid w:val="00DB0CF6"/>
    <w:rsid w:val="00DB1936"/>
    <w:rsid w:val="00DB384B"/>
    <w:rsid w:val="00DB3C9C"/>
    <w:rsid w:val="00DB4878"/>
    <w:rsid w:val="00DB60A0"/>
    <w:rsid w:val="00DB691E"/>
    <w:rsid w:val="00DB692C"/>
    <w:rsid w:val="00DC1CB6"/>
    <w:rsid w:val="00DC5D9F"/>
    <w:rsid w:val="00DC6D6E"/>
    <w:rsid w:val="00DC7240"/>
    <w:rsid w:val="00DD13C7"/>
    <w:rsid w:val="00DD1A88"/>
    <w:rsid w:val="00DE0B36"/>
    <w:rsid w:val="00DE0D07"/>
    <w:rsid w:val="00DE0D0A"/>
    <w:rsid w:val="00DE14D7"/>
    <w:rsid w:val="00DE532B"/>
    <w:rsid w:val="00DE74AF"/>
    <w:rsid w:val="00DE7D40"/>
    <w:rsid w:val="00DF0189"/>
    <w:rsid w:val="00DF042F"/>
    <w:rsid w:val="00DF12CA"/>
    <w:rsid w:val="00DF186C"/>
    <w:rsid w:val="00DF22BD"/>
    <w:rsid w:val="00DF63BF"/>
    <w:rsid w:val="00DF6B9E"/>
    <w:rsid w:val="00E01B64"/>
    <w:rsid w:val="00E01B78"/>
    <w:rsid w:val="00E02925"/>
    <w:rsid w:val="00E02F8E"/>
    <w:rsid w:val="00E042E0"/>
    <w:rsid w:val="00E0474A"/>
    <w:rsid w:val="00E0505F"/>
    <w:rsid w:val="00E055E7"/>
    <w:rsid w:val="00E06FD5"/>
    <w:rsid w:val="00E0734C"/>
    <w:rsid w:val="00E10E80"/>
    <w:rsid w:val="00E11612"/>
    <w:rsid w:val="00E11997"/>
    <w:rsid w:val="00E124F0"/>
    <w:rsid w:val="00E12C7C"/>
    <w:rsid w:val="00E165F2"/>
    <w:rsid w:val="00E16EBC"/>
    <w:rsid w:val="00E16FD3"/>
    <w:rsid w:val="00E17733"/>
    <w:rsid w:val="00E20005"/>
    <w:rsid w:val="00E205B7"/>
    <w:rsid w:val="00E206BF"/>
    <w:rsid w:val="00E20811"/>
    <w:rsid w:val="00E20B03"/>
    <w:rsid w:val="00E2109B"/>
    <w:rsid w:val="00E219AC"/>
    <w:rsid w:val="00E227F3"/>
    <w:rsid w:val="00E2371B"/>
    <w:rsid w:val="00E23FCC"/>
    <w:rsid w:val="00E24565"/>
    <w:rsid w:val="00E254B8"/>
    <w:rsid w:val="00E2670D"/>
    <w:rsid w:val="00E32434"/>
    <w:rsid w:val="00E32471"/>
    <w:rsid w:val="00E32649"/>
    <w:rsid w:val="00E327A6"/>
    <w:rsid w:val="00E345BD"/>
    <w:rsid w:val="00E34D61"/>
    <w:rsid w:val="00E34E12"/>
    <w:rsid w:val="00E37EAA"/>
    <w:rsid w:val="00E416E6"/>
    <w:rsid w:val="00E4506A"/>
    <w:rsid w:val="00E47C09"/>
    <w:rsid w:val="00E50714"/>
    <w:rsid w:val="00E509CB"/>
    <w:rsid w:val="00E51641"/>
    <w:rsid w:val="00E51A99"/>
    <w:rsid w:val="00E5242D"/>
    <w:rsid w:val="00E52F0B"/>
    <w:rsid w:val="00E545C6"/>
    <w:rsid w:val="00E57C62"/>
    <w:rsid w:val="00E60F04"/>
    <w:rsid w:val="00E615D3"/>
    <w:rsid w:val="00E644E2"/>
    <w:rsid w:val="00E654B6"/>
    <w:rsid w:val="00E65B24"/>
    <w:rsid w:val="00E65EF4"/>
    <w:rsid w:val="00E7182B"/>
    <w:rsid w:val="00E71BB6"/>
    <w:rsid w:val="00E7661A"/>
    <w:rsid w:val="00E8179A"/>
    <w:rsid w:val="00E8408B"/>
    <w:rsid w:val="00E848FA"/>
    <w:rsid w:val="00E854E4"/>
    <w:rsid w:val="00E85DB3"/>
    <w:rsid w:val="00E86DBF"/>
    <w:rsid w:val="00E87BD6"/>
    <w:rsid w:val="00E91F03"/>
    <w:rsid w:val="00E92098"/>
    <w:rsid w:val="00E92717"/>
    <w:rsid w:val="00E95CCD"/>
    <w:rsid w:val="00E969AF"/>
    <w:rsid w:val="00EA0107"/>
    <w:rsid w:val="00EA1BDC"/>
    <w:rsid w:val="00EA303F"/>
    <w:rsid w:val="00EA72B8"/>
    <w:rsid w:val="00EB0D6F"/>
    <w:rsid w:val="00EB2232"/>
    <w:rsid w:val="00EB5808"/>
    <w:rsid w:val="00EB7673"/>
    <w:rsid w:val="00EC3ED5"/>
    <w:rsid w:val="00EC41AF"/>
    <w:rsid w:val="00EC4EE2"/>
    <w:rsid w:val="00EC5337"/>
    <w:rsid w:val="00EC6E04"/>
    <w:rsid w:val="00ED172B"/>
    <w:rsid w:val="00ED417C"/>
    <w:rsid w:val="00ED6954"/>
    <w:rsid w:val="00ED707A"/>
    <w:rsid w:val="00EE112B"/>
    <w:rsid w:val="00EE2405"/>
    <w:rsid w:val="00EE2A3F"/>
    <w:rsid w:val="00EE382A"/>
    <w:rsid w:val="00EE4583"/>
    <w:rsid w:val="00EE4740"/>
    <w:rsid w:val="00EE49E8"/>
    <w:rsid w:val="00EE594C"/>
    <w:rsid w:val="00EE6645"/>
    <w:rsid w:val="00EE742A"/>
    <w:rsid w:val="00EF00A5"/>
    <w:rsid w:val="00EF10CA"/>
    <w:rsid w:val="00EF1584"/>
    <w:rsid w:val="00EF30D1"/>
    <w:rsid w:val="00EF7F29"/>
    <w:rsid w:val="00F01D84"/>
    <w:rsid w:val="00F05ED9"/>
    <w:rsid w:val="00F07639"/>
    <w:rsid w:val="00F07701"/>
    <w:rsid w:val="00F12DB6"/>
    <w:rsid w:val="00F1405A"/>
    <w:rsid w:val="00F1411E"/>
    <w:rsid w:val="00F14DF3"/>
    <w:rsid w:val="00F16BAB"/>
    <w:rsid w:val="00F17069"/>
    <w:rsid w:val="00F177BD"/>
    <w:rsid w:val="00F209AD"/>
    <w:rsid w:val="00F20B12"/>
    <w:rsid w:val="00F2150A"/>
    <w:rsid w:val="00F22EB6"/>
    <w:rsid w:val="00F231D8"/>
    <w:rsid w:val="00F245CF"/>
    <w:rsid w:val="00F27650"/>
    <w:rsid w:val="00F32029"/>
    <w:rsid w:val="00F329A1"/>
    <w:rsid w:val="00F3384C"/>
    <w:rsid w:val="00F36F28"/>
    <w:rsid w:val="00F37A70"/>
    <w:rsid w:val="00F43E83"/>
    <w:rsid w:val="00F449BD"/>
    <w:rsid w:val="00F44C00"/>
    <w:rsid w:val="00F45D2C"/>
    <w:rsid w:val="00F46C5F"/>
    <w:rsid w:val="00F4786D"/>
    <w:rsid w:val="00F55D22"/>
    <w:rsid w:val="00F57271"/>
    <w:rsid w:val="00F57284"/>
    <w:rsid w:val="00F5773E"/>
    <w:rsid w:val="00F601DA"/>
    <w:rsid w:val="00F627F3"/>
    <w:rsid w:val="00F632C0"/>
    <w:rsid w:val="00F63D95"/>
    <w:rsid w:val="00F641E1"/>
    <w:rsid w:val="00F66FA9"/>
    <w:rsid w:val="00F6785C"/>
    <w:rsid w:val="00F67B1D"/>
    <w:rsid w:val="00F67E9D"/>
    <w:rsid w:val="00F70DE8"/>
    <w:rsid w:val="00F71FB1"/>
    <w:rsid w:val="00F73335"/>
    <w:rsid w:val="00F73B0A"/>
    <w:rsid w:val="00F75AD9"/>
    <w:rsid w:val="00F76C45"/>
    <w:rsid w:val="00F77896"/>
    <w:rsid w:val="00F80C02"/>
    <w:rsid w:val="00F87CD3"/>
    <w:rsid w:val="00F87CE9"/>
    <w:rsid w:val="00F91508"/>
    <w:rsid w:val="00F94A63"/>
    <w:rsid w:val="00F97475"/>
    <w:rsid w:val="00F97C87"/>
    <w:rsid w:val="00FA1C28"/>
    <w:rsid w:val="00FA2D7B"/>
    <w:rsid w:val="00FA5FAC"/>
    <w:rsid w:val="00FA68B6"/>
    <w:rsid w:val="00FA7366"/>
    <w:rsid w:val="00FA7667"/>
    <w:rsid w:val="00FB0218"/>
    <w:rsid w:val="00FB0B6A"/>
    <w:rsid w:val="00FB1279"/>
    <w:rsid w:val="00FB5AA8"/>
    <w:rsid w:val="00FB5D01"/>
    <w:rsid w:val="00FB5DDB"/>
    <w:rsid w:val="00FB5F3E"/>
    <w:rsid w:val="00FB6B76"/>
    <w:rsid w:val="00FB7596"/>
    <w:rsid w:val="00FB79C8"/>
    <w:rsid w:val="00FC1433"/>
    <w:rsid w:val="00FC2577"/>
    <w:rsid w:val="00FC7E04"/>
    <w:rsid w:val="00FC7E64"/>
    <w:rsid w:val="00FD1F82"/>
    <w:rsid w:val="00FD3403"/>
    <w:rsid w:val="00FD451D"/>
    <w:rsid w:val="00FD5E41"/>
    <w:rsid w:val="00FD65F5"/>
    <w:rsid w:val="00FD7C41"/>
    <w:rsid w:val="00FE1A0C"/>
    <w:rsid w:val="00FE1F0C"/>
    <w:rsid w:val="00FE3BDA"/>
    <w:rsid w:val="00FE4077"/>
    <w:rsid w:val="00FE4E15"/>
    <w:rsid w:val="00FE500D"/>
    <w:rsid w:val="00FE51F8"/>
    <w:rsid w:val="00FE52D7"/>
    <w:rsid w:val="00FE545F"/>
    <w:rsid w:val="00FE6E1E"/>
    <w:rsid w:val="00FE77D2"/>
    <w:rsid w:val="00FF1A7F"/>
    <w:rsid w:val="00FF26ED"/>
    <w:rsid w:val="00FF2C13"/>
    <w:rsid w:val="00FF39B1"/>
    <w:rsid w:val="00FF453F"/>
    <w:rsid w:val="00FF466A"/>
    <w:rsid w:val="00FF4B90"/>
    <w:rsid w:val="00FF7DCB"/>
    <w:rsid w:val="0107B21B"/>
    <w:rsid w:val="0303FB1B"/>
    <w:rsid w:val="0332FE3B"/>
    <w:rsid w:val="04476C4E"/>
    <w:rsid w:val="04BDFD2F"/>
    <w:rsid w:val="0565C63D"/>
    <w:rsid w:val="08B442C0"/>
    <w:rsid w:val="0C10D157"/>
    <w:rsid w:val="0C1981DC"/>
    <w:rsid w:val="0CE7C984"/>
    <w:rsid w:val="0D2F74EF"/>
    <w:rsid w:val="0DD592E5"/>
    <w:rsid w:val="110417D8"/>
    <w:rsid w:val="12A930D6"/>
    <w:rsid w:val="14585F70"/>
    <w:rsid w:val="159FED1A"/>
    <w:rsid w:val="15F95DCC"/>
    <w:rsid w:val="166C4BB8"/>
    <w:rsid w:val="16D64F17"/>
    <w:rsid w:val="175A445C"/>
    <w:rsid w:val="1794DC9A"/>
    <w:rsid w:val="18E2ECB5"/>
    <w:rsid w:val="191F0A9E"/>
    <w:rsid w:val="192E875C"/>
    <w:rsid w:val="1A0002D9"/>
    <w:rsid w:val="1D375987"/>
    <w:rsid w:val="1D444C24"/>
    <w:rsid w:val="1D859A64"/>
    <w:rsid w:val="1EA0814A"/>
    <w:rsid w:val="20FC67AC"/>
    <w:rsid w:val="21CDE75C"/>
    <w:rsid w:val="21CFC570"/>
    <w:rsid w:val="23203FB5"/>
    <w:rsid w:val="2490D008"/>
    <w:rsid w:val="25104A80"/>
    <w:rsid w:val="26467700"/>
    <w:rsid w:val="26DFB8E0"/>
    <w:rsid w:val="26E6DFCB"/>
    <w:rsid w:val="27F71D2B"/>
    <w:rsid w:val="2AA6DFDD"/>
    <w:rsid w:val="2BE08EFF"/>
    <w:rsid w:val="2BF5F440"/>
    <w:rsid w:val="2C076BD4"/>
    <w:rsid w:val="2CF63D32"/>
    <w:rsid w:val="2DE4B4FB"/>
    <w:rsid w:val="2E3EC43C"/>
    <w:rsid w:val="2EA79D7A"/>
    <w:rsid w:val="2EE7F622"/>
    <w:rsid w:val="2FE0C373"/>
    <w:rsid w:val="313BD2BA"/>
    <w:rsid w:val="31841D4B"/>
    <w:rsid w:val="319D9DA8"/>
    <w:rsid w:val="32E20767"/>
    <w:rsid w:val="33B90289"/>
    <w:rsid w:val="3433F7AD"/>
    <w:rsid w:val="35C00FB8"/>
    <w:rsid w:val="35C2AE44"/>
    <w:rsid w:val="36A5536A"/>
    <w:rsid w:val="377608F4"/>
    <w:rsid w:val="38E9FE93"/>
    <w:rsid w:val="3957342D"/>
    <w:rsid w:val="39892D41"/>
    <w:rsid w:val="3A30A1F2"/>
    <w:rsid w:val="3A43277E"/>
    <w:rsid w:val="3AA0619D"/>
    <w:rsid w:val="3ABAAE00"/>
    <w:rsid w:val="3AD7FAD3"/>
    <w:rsid w:val="3C6A72E1"/>
    <w:rsid w:val="3D058F5A"/>
    <w:rsid w:val="3D3421ED"/>
    <w:rsid w:val="3E1E4AFF"/>
    <w:rsid w:val="3E25BB80"/>
    <w:rsid w:val="3E407A01"/>
    <w:rsid w:val="3EA89D06"/>
    <w:rsid w:val="3EC4DE10"/>
    <w:rsid w:val="3FE9C511"/>
    <w:rsid w:val="40E0CAEE"/>
    <w:rsid w:val="417304DD"/>
    <w:rsid w:val="438E5A5E"/>
    <w:rsid w:val="43C78912"/>
    <w:rsid w:val="43C9D361"/>
    <w:rsid w:val="450FB47F"/>
    <w:rsid w:val="460A7380"/>
    <w:rsid w:val="46678E85"/>
    <w:rsid w:val="4731628C"/>
    <w:rsid w:val="48A6F60E"/>
    <w:rsid w:val="48F4DEA9"/>
    <w:rsid w:val="4B0FEB4E"/>
    <w:rsid w:val="4B3CBB51"/>
    <w:rsid w:val="4BC5FE17"/>
    <w:rsid w:val="4BCC73B5"/>
    <w:rsid w:val="4C5F22E1"/>
    <w:rsid w:val="4C6562C3"/>
    <w:rsid w:val="4D7F44B4"/>
    <w:rsid w:val="4E3527D8"/>
    <w:rsid w:val="4FD6B2B5"/>
    <w:rsid w:val="5134404D"/>
    <w:rsid w:val="522CEC17"/>
    <w:rsid w:val="55A99704"/>
    <w:rsid w:val="55AD2978"/>
    <w:rsid w:val="564CD979"/>
    <w:rsid w:val="571B886E"/>
    <w:rsid w:val="572281B6"/>
    <w:rsid w:val="57FF18B9"/>
    <w:rsid w:val="58523A64"/>
    <w:rsid w:val="59A0FB9E"/>
    <w:rsid w:val="59C59342"/>
    <w:rsid w:val="59D5D3F0"/>
    <w:rsid w:val="5A58EF5A"/>
    <w:rsid w:val="5A6893B4"/>
    <w:rsid w:val="5B530091"/>
    <w:rsid w:val="5C25CD22"/>
    <w:rsid w:val="5C3B4AC1"/>
    <w:rsid w:val="5C69BC08"/>
    <w:rsid w:val="5D4C7B2D"/>
    <w:rsid w:val="5D5AD941"/>
    <w:rsid w:val="5E1EC89E"/>
    <w:rsid w:val="5E855080"/>
    <w:rsid w:val="5FCC011A"/>
    <w:rsid w:val="5FEF6728"/>
    <w:rsid w:val="60E4891A"/>
    <w:rsid w:val="60EF6B3A"/>
    <w:rsid w:val="628E6F87"/>
    <w:rsid w:val="63D9D780"/>
    <w:rsid w:val="64646F4E"/>
    <w:rsid w:val="647592D7"/>
    <w:rsid w:val="64C9BE76"/>
    <w:rsid w:val="6562F7C8"/>
    <w:rsid w:val="6671E7E0"/>
    <w:rsid w:val="669D4763"/>
    <w:rsid w:val="66ABE08B"/>
    <w:rsid w:val="688E0FFD"/>
    <w:rsid w:val="6913BCE1"/>
    <w:rsid w:val="696C8714"/>
    <w:rsid w:val="69A64747"/>
    <w:rsid w:val="6A2B730B"/>
    <w:rsid w:val="6AD7A31D"/>
    <w:rsid w:val="6BF16912"/>
    <w:rsid w:val="6C40E397"/>
    <w:rsid w:val="6D750E02"/>
    <w:rsid w:val="6E3C3856"/>
    <w:rsid w:val="6EC7F18C"/>
    <w:rsid w:val="6F6BE8D9"/>
    <w:rsid w:val="6F8B234F"/>
    <w:rsid w:val="6FE963C7"/>
    <w:rsid w:val="71889F63"/>
    <w:rsid w:val="71BE0B22"/>
    <w:rsid w:val="72F72B7E"/>
    <w:rsid w:val="73030202"/>
    <w:rsid w:val="74212EF8"/>
    <w:rsid w:val="744C6B5E"/>
    <w:rsid w:val="751DAC8F"/>
    <w:rsid w:val="755534CF"/>
    <w:rsid w:val="766D6D18"/>
    <w:rsid w:val="76DD9EF1"/>
    <w:rsid w:val="774AF6D0"/>
    <w:rsid w:val="79DB321D"/>
    <w:rsid w:val="7A0263F2"/>
    <w:rsid w:val="7AEB4DFC"/>
    <w:rsid w:val="7C2C26FE"/>
    <w:rsid w:val="7DEFC9E3"/>
    <w:rsid w:val="7EEC63F6"/>
    <w:rsid w:val="7F8ACC19"/>
    <w:rsid w:val="7F919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FFA73"/>
  <w15:docId w15:val="{7ABEE554-E1FC-4835-85E7-137D5993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B9131F"/>
    <w:pPr>
      <w:keepNext/>
      <w:keepLines/>
      <w:spacing w:before="360"/>
      <w:ind w:left="567" w:hanging="567"/>
      <w:outlineLvl w:val="0"/>
    </w:pPr>
    <w:rPr>
      <w:b/>
      <w:sz w:val="28"/>
    </w:rPr>
  </w:style>
  <w:style w:type="paragraph" w:styleId="Heading2">
    <w:name w:val="heading 2"/>
    <w:basedOn w:val="Heading1"/>
    <w:next w:val="Normal"/>
    <w:link w:val="Heading2Char"/>
    <w:uiPriority w:val="9"/>
    <w:qFormat/>
    <w:rsid w:val="00B9131F"/>
    <w:pPr>
      <w:spacing w:before="240"/>
      <w:outlineLvl w:val="1"/>
    </w:pPr>
    <w:rPr>
      <w:sz w:val="24"/>
    </w:rPr>
  </w:style>
  <w:style w:type="paragraph" w:styleId="Heading3">
    <w:name w:val="heading 3"/>
    <w:basedOn w:val="Heading1"/>
    <w:next w:val="Normal"/>
    <w:link w:val="Heading3Char"/>
    <w:uiPriority w:val="9"/>
    <w:qFormat/>
    <w:rsid w:val="00B9131F"/>
    <w:pPr>
      <w:spacing w:before="200"/>
      <w:outlineLvl w:val="2"/>
    </w:pPr>
    <w:rPr>
      <w:sz w:val="24"/>
    </w:rPr>
  </w:style>
  <w:style w:type="paragraph" w:styleId="Heading4">
    <w:name w:val="heading 4"/>
    <w:basedOn w:val="Heading3"/>
    <w:next w:val="Normal"/>
    <w:link w:val="Heading4Char"/>
    <w:uiPriority w:val="9"/>
    <w:qFormat/>
    <w:rsid w:val="00B9131F"/>
    <w:pPr>
      <w:ind w:left="1134" w:hanging="1134"/>
      <w:outlineLvl w:val="3"/>
    </w:pPr>
  </w:style>
  <w:style w:type="paragraph" w:styleId="Heading5">
    <w:name w:val="heading 5"/>
    <w:basedOn w:val="Heading4"/>
    <w:next w:val="Normal"/>
    <w:link w:val="Heading5Char"/>
    <w:uiPriority w:val="9"/>
    <w:qFormat/>
    <w:rsid w:val="00B9131F"/>
    <w:pPr>
      <w:outlineLvl w:val="4"/>
    </w:pPr>
  </w:style>
  <w:style w:type="paragraph" w:styleId="Heading6">
    <w:name w:val="heading 6"/>
    <w:basedOn w:val="Heading4"/>
    <w:next w:val="Normal"/>
    <w:link w:val="Heading6Char"/>
    <w:uiPriority w:val="9"/>
    <w:qFormat/>
    <w:rsid w:val="00B9131F"/>
    <w:pPr>
      <w:outlineLvl w:val="5"/>
    </w:pPr>
  </w:style>
  <w:style w:type="paragraph" w:styleId="Heading7">
    <w:name w:val="heading 7"/>
    <w:basedOn w:val="Heading4"/>
    <w:next w:val="Normal"/>
    <w:link w:val="Heading7Char"/>
    <w:uiPriority w:val="9"/>
    <w:qFormat/>
    <w:rsid w:val="00813E5E"/>
    <w:pPr>
      <w:ind w:left="1701" w:hanging="1701"/>
      <w:outlineLvl w:val="6"/>
    </w:pPr>
  </w:style>
  <w:style w:type="paragraph" w:styleId="Heading8">
    <w:name w:val="heading 8"/>
    <w:basedOn w:val="Heading4"/>
    <w:next w:val="Normal"/>
    <w:link w:val="Heading8Char"/>
    <w:uiPriority w:val="9"/>
    <w:qFormat/>
    <w:rsid w:val="00B9131F"/>
    <w:pPr>
      <w:ind w:left="1701" w:hanging="1701"/>
      <w:outlineLvl w:val="7"/>
    </w:pPr>
  </w:style>
  <w:style w:type="paragraph" w:styleId="Heading9">
    <w:name w:val="heading 9"/>
    <w:basedOn w:val="Heading4"/>
    <w:next w:val="Normal"/>
    <w:link w:val="Heading9Char"/>
    <w:uiPriority w:val="9"/>
    <w:qFormat/>
    <w:rsid w:val="00B9131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813E5E"/>
    <w:pPr>
      <w:tabs>
        <w:tab w:val="clear" w:pos="567"/>
        <w:tab w:val="clear" w:pos="1134"/>
        <w:tab w:val="clear" w:pos="1701"/>
        <w:tab w:val="clear" w:pos="2268"/>
        <w:tab w:val="clear" w:pos="2835"/>
      </w:tabs>
      <w:spacing w:before="0"/>
      <w:ind w:left="1440"/>
    </w:pPr>
    <w:rPr>
      <w:rFonts w:asciiTheme="minorHAnsi" w:hAnsiTheme="minorHAnsi" w:cstheme="minorHAnsi"/>
      <w:sz w:val="20"/>
    </w:rPr>
  </w:style>
  <w:style w:type="paragraph" w:styleId="TOC4">
    <w:name w:val="toc 4"/>
    <w:basedOn w:val="Normal"/>
    <w:next w:val="Normal"/>
    <w:uiPriority w:val="39"/>
    <w:rsid w:val="00813E5E"/>
    <w:pPr>
      <w:tabs>
        <w:tab w:val="clear" w:pos="567"/>
        <w:tab w:val="clear" w:pos="1134"/>
        <w:tab w:val="clear" w:pos="1701"/>
        <w:tab w:val="clear" w:pos="2268"/>
        <w:tab w:val="clear" w:pos="2835"/>
      </w:tabs>
      <w:spacing w:before="0"/>
      <w:ind w:left="480"/>
    </w:pPr>
    <w:rPr>
      <w:rFonts w:asciiTheme="minorHAnsi" w:hAnsiTheme="minorHAnsi" w:cstheme="minorHAnsi"/>
      <w:sz w:val="20"/>
    </w:rPr>
  </w:style>
  <w:style w:type="paragraph" w:styleId="TOC3">
    <w:name w:val="toc 3"/>
    <w:basedOn w:val="TOC2"/>
    <w:next w:val="Normal"/>
    <w:uiPriority w:val="39"/>
    <w:rsid w:val="00CA4FB2"/>
    <w:pPr>
      <w:spacing w:before="0"/>
    </w:pPr>
    <w:rPr>
      <w:b w:val="0"/>
      <w:bCs/>
    </w:rPr>
  </w:style>
  <w:style w:type="paragraph" w:styleId="TOC2">
    <w:name w:val="toc 2"/>
    <w:basedOn w:val="TOC1"/>
    <w:next w:val="Normal"/>
    <w:uiPriority w:val="39"/>
    <w:rsid w:val="00D967D4"/>
    <w:pPr>
      <w:spacing w:before="60"/>
    </w:pPr>
    <w:rPr>
      <w:rFonts w:cstheme="minorHAnsi"/>
      <w:bCs w:val="0"/>
      <w:sz w:val="22"/>
    </w:rPr>
  </w:style>
  <w:style w:type="paragraph" w:styleId="TOC1">
    <w:name w:val="toc 1"/>
    <w:basedOn w:val="Normal"/>
    <w:uiPriority w:val="39"/>
    <w:rsid w:val="008E2938"/>
    <w:pPr>
      <w:tabs>
        <w:tab w:val="clear" w:pos="567"/>
        <w:tab w:val="clear" w:pos="1134"/>
        <w:tab w:val="clear" w:pos="1701"/>
        <w:tab w:val="clear" w:pos="2268"/>
        <w:tab w:val="clear" w:pos="2835"/>
      </w:tabs>
      <w:spacing w:before="240"/>
    </w:pPr>
    <w:rPr>
      <w:rFonts w:asciiTheme="minorHAnsi" w:hAnsiTheme="minorHAnsi"/>
      <w:b/>
      <w:bCs/>
      <w:szCs w:val="24"/>
    </w:rPr>
  </w:style>
  <w:style w:type="paragraph" w:styleId="TOC7">
    <w:name w:val="toc 7"/>
    <w:basedOn w:val="Normal"/>
    <w:next w:val="Normal"/>
    <w:uiPriority w:val="39"/>
    <w:rsid w:val="00813E5E"/>
    <w:pPr>
      <w:tabs>
        <w:tab w:val="clear" w:pos="567"/>
        <w:tab w:val="clear" w:pos="1134"/>
        <w:tab w:val="clear" w:pos="1701"/>
        <w:tab w:val="clear" w:pos="2268"/>
        <w:tab w:val="clear" w:pos="2835"/>
      </w:tabs>
      <w:spacing w:before="0"/>
      <w:ind w:left="1200"/>
    </w:pPr>
    <w:rPr>
      <w:rFonts w:asciiTheme="minorHAnsi" w:hAnsiTheme="minorHAnsi" w:cstheme="minorHAnsi"/>
      <w:sz w:val="20"/>
    </w:rPr>
  </w:style>
  <w:style w:type="paragraph" w:styleId="TOC6">
    <w:name w:val="toc 6"/>
    <w:basedOn w:val="Normal"/>
    <w:next w:val="Normal"/>
    <w:uiPriority w:val="39"/>
    <w:rsid w:val="00813E5E"/>
    <w:pPr>
      <w:tabs>
        <w:tab w:val="clear" w:pos="567"/>
        <w:tab w:val="clear" w:pos="1134"/>
        <w:tab w:val="clear" w:pos="1701"/>
        <w:tab w:val="clear" w:pos="2268"/>
        <w:tab w:val="clear" w:pos="2835"/>
      </w:tabs>
      <w:spacing w:before="0"/>
      <w:ind w:left="960"/>
    </w:pPr>
    <w:rPr>
      <w:rFonts w:asciiTheme="minorHAnsi" w:hAnsiTheme="minorHAnsi" w:cstheme="minorHAnsi"/>
      <w:sz w:val="20"/>
    </w:rPr>
  </w:style>
  <w:style w:type="paragraph" w:styleId="TOC5">
    <w:name w:val="toc 5"/>
    <w:basedOn w:val="Normal"/>
    <w:next w:val="Normal"/>
    <w:uiPriority w:val="39"/>
    <w:rsid w:val="00813E5E"/>
    <w:pPr>
      <w:tabs>
        <w:tab w:val="clear" w:pos="567"/>
        <w:tab w:val="clear" w:pos="1134"/>
        <w:tab w:val="clear" w:pos="1701"/>
        <w:tab w:val="clear" w:pos="2268"/>
        <w:tab w:val="clear" w:pos="2835"/>
      </w:tabs>
      <w:spacing w:before="0"/>
      <w:ind w:left="720"/>
    </w:pPr>
    <w:rPr>
      <w:rFonts w:asciiTheme="minorHAnsi" w:hAnsiTheme="minorHAnsi" w:cstheme="minorHAnsi"/>
      <w:sz w:val="20"/>
    </w:r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B9131F"/>
    <w:rPr>
      <w:rFonts w:asciiTheme="minorHAnsi" w:hAnsiTheme="minorHAnsi"/>
      <w:sz w:val="24"/>
    </w:rPr>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uiPriority w:val="99"/>
    <w:rsid w:val="00813E5E"/>
    <w:rPr>
      <w:rFonts w:ascii="Calibri" w:hAnsi="Calibri"/>
      <w:position w:val="6"/>
      <w:sz w:val="16"/>
    </w:rPr>
  </w:style>
  <w:style w:type="paragraph" w:styleId="FootnoteText">
    <w:name w:val="footnote text"/>
    <w:basedOn w:val="Normal"/>
    <w:link w:val="FootnoteTextChar"/>
    <w:uiPriority w:val="99"/>
    <w:rsid w:val="00D024CA"/>
    <w:pPr>
      <w:keepLines/>
      <w:tabs>
        <w:tab w:val="left" w:pos="284"/>
      </w:tabs>
      <w:ind w:left="284" w:hanging="284"/>
    </w:pPr>
    <w:rPr>
      <w:sz w:val="22"/>
    </w:rPr>
  </w:style>
  <w:style w:type="paragraph" w:styleId="NormalIndent">
    <w:name w:val="Normal Indent"/>
    <w:basedOn w:val="Normal"/>
    <w:rsid w:val="00813E5E"/>
    <w:pPr>
      <w:ind w:left="567"/>
    </w:pPr>
  </w:style>
  <w:style w:type="paragraph" w:customStyle="1" w:styleId="enumlev1">
    <w:name w:val="enumlev1"/>
    <w:basedOn w:val="Normal"/>
    <w:qFormat/>
    <w:rsid w:val="001A3154"/>
    <w:pPr>
      <w:spacing w:before="80"/>
      <w:ind w:left="567" w:hanging="567"/>
    </w:pPr>
  </w:style>
  <w:style w:type="paragraph" w:customStyle="1" w:styleId="enumlev2">
    <w:name w:val="enumlev2"/>
    <w:basedOn w:val="enumlev1"/>
    <w:qFormat/>
    <w:rsid w:val="001A3154"/>
    <w:pPr>
      <w:ind w:left="1134"/>
    </w:pPr>
  </w:style>
  <w:style w:type="paragraph" w:customStyle="1" w:styleId="enumlev3">
    <w:name w:val="enumlev3"/>
    <w:basedOn w:val="enumlev2"/>
    <w:qFormat/>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2C54E2"/>
    <w:pPr>
      <w:framePr w:hSpace="180" w:wrap="around" w:vAnchor="page" w:hAnchor="margin" w:y="2101"/>
      <w:spacing w:before="840"/>
    </w:pPr>
    <w:rPr>
      <w:b/>
      <w:sz w:val="34"/>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9131F"/>
    <w:rPr>
      <w:color w:val="4F81BD" w:themeColor="accent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uiPriority w:val="39"/>
    <w:rsid w:val="004D1851"/>
    <w:pPr>
      <w:ind w:left="1680"/>
    </w:pPr>
  </w:style>
  <w:style w:type="paragraph" w:customStyle="1" w:styleId="Headingb">
    <w:name w:val="Heading_b"/>
    <w:basedOn w:val="Heading3"/>
    <w:next w:val="Normal"/>
    <w:rsid w:val="00B9131F"/>
    <w:pPr>
      <w:spacing w:before="160"/>
      <w:ind w:left="0" w:firstLine="0"/>
      <w:outlineLvl w:val="0"/>
    </w:pPr>
  </w:style>
  <w:style w:type="character" w:styleId="FollowedHyperlink">
    <w:name w:val="FollowedHyperlink"/>
    <w:basedOn w:val="DefaultParagraphFont"/>
    <w:uiPriority w:val="99"/>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rsid w:val="00221F46"/>
    <w:pPr>
      <w:keepNext/>
      <w:keepLines/>
      <w:spacing w:before="720"/>
      <w:jc w:val="center"/>
    </w:pPr>
    <w:rPr>
      <w:caps/>
      <w:sz w:val="28"/>
    </w:rPr>
  </w:style>
  <w:style w:type="paragraph" w:customStyle="1" w:styleId="Annextitle">
    <w:name w:val="Annex_title"/>
    <w:basedOn w:val="Normal"/>
    <w:next w:val="Normal"/>
    <w:qFormat/>
    <w:rsid w:val="00221F46"/>
    <w:pPr>
      <w:keepNext/>
      <w:keepLines/>
      <w:spacing w:after="240"/>
      <w:jc w:val="center"/>
    </w:pPr>
    <w:rPr>
      <w:b/>
      <w:sz w:val="28"/>
    </w:rPr>
  </w:style>
  <w:style w:type="paragraph" w:customStyle="1" w:styleId="Annexref">
    <w:name w:val="Annex_ref"/>
    <w:basedOn w:val="Normal"/>
    <w:next w:val="Annextitle"/>
    <w:qFormat/>
    <w:rsid w:val="00221F46"/>
    <w:pPr>
      <w:keepNext/>
      <w:keepLines/>
      <w:jc w:val="center"/>
    </w:pPr>
  </w:style>
  <w:style w:type="paragraph" w:customStyle="1" w:styleId="Call">
    <w:name w:val="Call"/>
    <w:basedOn w:val="Normal"/>
    <w:next w:val="Normal"/>
    <w:qFormat/>
    <w:rsid w:val="00F641E1"/>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176F47"/>
    <w:pPr>
      <w:framePr w:wrap="around" w:vAnchor="margin" w:hAnchor="page" w:x="1821" w:y="2317"/>
      <w:spacing w:before="120" w:after="120"/>
    </w:pPr>
    <w:rPr>
      <w:sz w:val="32"/>
      <w:szCs w:val="32"/>
    </w:rPr>
  </w:style>
  <w:style w:type="paragraph" w:customStyle="1" w:styleId="Figure">
    <w:name w:val="Figure"/>
    <w:basedOn w:val="Normal"/>
    <w:next w:val="Figuretitle"/>
    <w:qFormat/>
    <w:rsid w:val="001A3154"/>
    <w:pPr>
      <w:spacing w:after="240"/>
      <w:jc w:val="center"/>
    </w:pPr>
  </w:style>
  <w:style w:type="paragraph" w:customStyle="1" w:styleId="Figuretitle">
    <w:name w:val="Figure_title"/>
    <w:basedOn w:val="Tabletitle"/>
    <w:next w:val="Normalaftertitle"/>
    <w:qFormat/>
    <w:rsid w:val="001A3154"/>
    <w:pPr>
      <w:spacing w:before="120" w:after="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4F798A"/>
    <w:pPr>
      <w:keepNext/>
      <w:spacing w:before="560" w:after="120"/>
      <w:jc w:val="center"/>
    </w:pPr>
    <w:rPr>
      <w:rFonts w:eastAsia="SimSun"/>
      <w:caps/>
      <w:sz w:val="22"/>
      <w:szCs w:val="22"/>
    </w:rPr>
  </w:style>
  <w:style w:type="paragraph" w:customStyle="1" w:styleId="Tabletext">
    <w:name w:val="Table_text"/>
    <w:basedOn w:val="Normal"/>
    <w:rsid w:val="002A2054"/>
    <w:pPr>
      <w:tabs>
        <w:tab w:val="clear" w:pos="567"/>
        <w:tab w:val="clear" w:pos="1134"/>
        <w:tab w:val="clear" w:pos="1701"/>
        <w:tab w:val="clear" w:pos="2268"/>
        <w:tab w:val="clear" w:pos="2835"/>
      </w:tabs>
      <w:spacing w:before="40" w:after="40"/>
    </w:pPr>
    <w:rPr>
      <w:rFonts w:eastAsiaTheme="minorHAnsi" w:cstheme="minorBidi"/>
      <w:sz w:val="22"/>
      <w:szCs w:val="22"/>
    </w:rPr>
  </w:style>
  <w:style w:type="paragraph" w:customStyle="1" w:styleId="Figurelegend">
    <w:name w:val="Figure_legend"/>
    <w:basedOn w:val="Normal"/>
    <w:qFormat/>
    <w:rsid w:val="00B9131F"/>
    <w:pPr>
      <w:spacing w:before="20" w:after="240"/>
    </w:pPr>
    <w:rPr>
      <w:sz w:val="20"/>
    </w:rPr>
  </w:style>
  <w:style w:type="paragraph" w:customStyle="1" w:styleId="FigureNo">
    <w:name w:val="Figure_No"/>
    <w:basedOn w:val="Normal"/>
    <w:next w:val="Figuretitle"/>
    <w:qFormat/>
    <w:rsid w:val="001A3154"/>
    <w:pPr>
      <w:keepNext/>
      <w:keepLines/>
      <w:spacing w:before="480"/>
      <w:jc w:val="center"/>
    </w:pPr>
    <w:rPr>
      <w:caps/>
    </w:rPr>
  </w:style>
  <w:style w:type="paragraph" w:customStyle="1" w:styleId="Figurewithouttitle">
    <w:name w:val="Figure_without_title"/>
    <w:basedOn w:val="Figure"/>
    <w:next w:val="Normalaftertitle"/>
    <w:rsid w:val="001A3154"/>
  </w:style>
  <w:style w:type="paragraph" w:customStyle="1" w:styleId="Headingi">
    <w:name w:val="Heading_i"/>
    <w:basedOn w:val="Heading3"/>
    <w:next w:val="Normal"/>
    <w:rsid w:val="00B9131F"/>
    <w:pPr>
      <w:spacing w:before="160"/>
      <w:ind w:left="0" w:firstLine="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4F798A"/>
    <w:pPr>
      <w:spacing w:before="80" w:after="8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qFormat/>
    <w:rsid w:val="00F641E1"/>
    <w:pPr>
      <w:keepNext/>
      <w:keepLines/>
      <w:tabs>
        <w:tab w:val="clear" w:pos="567"/>
        <w:tab w:val="clear" w:pos="1134"/>
        <w:tab w:val="clear" w:pos="1701"/>
        <w:tab w:val="clear" w:pos="2268"/>
        <w:tab w:val="clear" w:pos="2835"/>
      </w:tabs>
      <w:spacing w:before="360"/>
      <w:jc w:val="center"/>
    </w:pPr>
    <w:rPr>
      <w:b/>
    </w:rPr>
  </w:style>
  <w:style w:type="paragraph" w:customStyle="1" w:styleId="ArtNo">
    <w:name w:val="Art_No"/>
    <w:basedOn w:val="Normal"/>
    <w:next w:val="Arttitle"/>
    <w:qFormat/>
    <w:rsid w:val="00F641E1"/>
    <w:pPr>
      <w:keepNext/>
      <w:keepLines/>
      <w:tabs>
        <w:tab w:val="clear" w:pos="567"/>
        <w:tab w:val="clear" w:pos="1134"/>
        <w:tab w:val="clear" w:pos="1701"/>
        <w:tab w:val="clear" w:pos="2268"/>
        <w:tab w:val="clear" w:pos="2835"/>
      </w:tabs>
      <w:spacing w:before="480"/>
      <w:jc w:val="center"/>
    </w:pPr>
    <w:rPr>
      <w:caps/>
      <w:sz w:val="28"/>
    </w:rPr>
  </w:style>
  <w:style w:type="paragraph" w:customStyle="1" w:styleId="Arttitle">
    <w:name w:val="Art_title"/>
    <w:basedOn w:val="Normal"/>
    <w:next w:val="Normal"/>
    <w:qFormat/>
    <w:rsid w:val="00F641E1"/>
    <w:pPr>
      <w:keepNext/>
      <w:keepLines/>
      <w:tabs>
        <w:tab w:val="clear" w:pos="567"/>
        <w:tab w:val="clear" w:pos="1134"/>
        <w:tab w:val="clear" w:pos="1701"/>
        <w:tab w:val="clear" w:pos="2268"/>
        <w:tab w:val="clear" w:pos="2835"/>
      </w:tabs>
      <w:spacing w:after="240"/>
      <w:jc w:val="center"/>
    </w:pPr>
    <w:rPr>
      <w:b/>
      <w:sz w:val="28"/>
    </w:rPr>
  </w:style>
  <w:style w:type="paragraph" w:customStyle="1" w:styleId="ChapNo">
    <w:name w:val="Chap_No"/>
    <w:basedOn w:val="ArtNo"/>
    <w:next w:val="Chaptitle"/>
    <w:qFormat/>
    <w:rsid w:val="00813E5E"/>
  </w:style>
  <w:style w:type="paragraph" w:customStyle="1" w:styleId="Chaptitle">
    <w:name w:val="Chap_title"/>
    <w:basedOn w:val="Arttitle"/>
    <w:next w:val="Normal"/>
    <w:qFormat/>
    <w:rsid w:val="001A3154"/>
  </w:style>
  <w:style w:type="character" w:styleId="UnresolvedMention">
    <w:name w:val="Unresolved Mention"/>
    <w:basedOn w:val="DefaultParagraphFont"/>
    <w:uiPriority w:val="99"/>
    <w:semiHidden/>
    <w:unhideWhenUsed/>
    <w:rsid w:val="00BF1FDE"/>
    <w:rPr>
      <w:color w:val="605E5C"/>
      <w:shd w:val="clear" w:color="auto" w:fill="E1DFDD"/>
    </w:rPr>
  </w:style>
  <w:style w:type="character" w:styleId="PlaceholderText">
    <w:name w:val="Placeholder Text"/>
    <w:basedOn w:val="DefaultParagraphFont"/>
    <w:uiPriority w:val="99"/>
    <w:semiHidden/>
    <w:rsid w:val="00CA7995"/>
    <w:rPr>
      <w:color w:val="666666"/>
    </w:rPr>
  </w:style>
  <w:style w:type="paragraph" w:customStyle="1" w:styleId="Reasons">
    <w:name w:val="Reasons"/>
    <w:basedOn w:val="Normal"/>
    <w:qFormat/>
    <w:rsid w:val="007A3FC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character" w:customStyle="1" w:styleId="FootnoteTextChar">
    <w:name w:val="Footnote Text Char"/>
    <w:basedOn w:val="DefaultParagraphFont"/>
    <w:link w:val="FootnoteText"/>
    <w:uiPriority w:val="99"/>
    <w:rsid w:val="00692468"/>
    <w:rPr>
      <w:rFonts w:ascii="Calibri" w:hAnsi="Calibri"/>
      <w:sz w:val="22"/>
      <w:lang w:val="en-GB" w:eastAsia="en-US"/>
    </w:rPr>
  </w:style>
  <w:style w:type="paragraph" w:customStyle="1" w:styleId="Tablefin">
    <w:name w:val="Table_fin"/>
    <w:basedOn w:val="Tabletext"/>
    <w:rsid w:val="002A2054"/>
    <w:pPr>
      <w:spacing w:before="0" w:after="0"/>
    </w:pPr>
    <w:rPr>
      <w:rFonts w:eastAsia="SimSun"/>
    </w:rPr>
  </w:style>
  <w:style w:type="paragraph" w:styleId="NormalWeb">
    <w:name w:val="Normal (Web)"/>
    <w:basedOn w:val="Normal"/>
    <w:uiPriority w:val="99"/>
    <w:semiHidden/>
    <w:unhideWhenUsed/>
    <w:rsid w:val="0036114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Heading1Char">
    <w:name w:val="Heading 1 Char"/>
    <w:basedOn w:val="DefaultParagraphFont"/>
    <w:link w:val="Heading1"/>
    <w:uiPriority w:val="9"/>
    <w:rsid w:val="00250529"/>
    <w:rPr>
      <w:rFonts w:ascii="Calibri" w:hAnsi="Calibri"/>
      <w:b/>
      <w:sz w:val="28"/>
      <w:lang w:val="en-GB" w:eastAsia="en-US"/>
    </w:rPr>
  </w:style>
  <w:style w:type="character" w:customStyle="1" w:styleId="Heading2Char">
    <w:name w:val="Heading 2 Char"/>
    <w:basedOn w:val="DefaultParagraphFont"/>
    <w:link w:val="Heading2"/>
    <w:uiPriority w:val="9"/>
    <w:rsid w:val="00250529"/>
    <w:rPr>
      <w:rFonts w:ascii="Calibri" w:hAnsi="Calibri"/>
      <w:b/>
      <w:sz w:val="24"/>
      <w:lang w:val="en-GB" w:eastAsia="en-US"/>
    </w:rPr>
  </w:style>
  <w:style w:type="character" w:customStyle="1" w:styleId="Heading3Char">
    <w:name w:val="Heading 3 Char"/>
    <w:basedOn w:val="DefaultParagraphFont"/>
    <w:link w:val="Heading3"/>
    <w:uiPriority w:val="9"/>
    <w:rsid w:val="00250529"/>
    <w:rPr>
      <w:rFonts w:ascii="Calibri" w:hAnsi="Calibri"/>
      <w:b/>
      <w:sz w:val="24"/>
      <w:lang w:val="en-GB" w:eastAsia="en-US"/>
    </w:rPr>
  </w:style>
  <w:style w:type="character" w:customStyle="1" w:styleId="Heading4Char">
    <w:name w:val="Heading 4 Char"/>
    <w:basedOn w:val="DefaultParagraphFont"/>
    <w:link w:val="Heading4"/>
    <w:uiPriority w:val="9"/>
    <w:rsid w:val="00250529"/>
    <w:rPr>
      <w:rFonts w:ascii="Calibri" w:hAnsi="Calibri"/>
      <w:b/>
      <w:sz w:val="24"/>
      <w:lang w:val="en-GB" w:eastAsia="en-US"/>
    </w:rPr>
  </w:style>
  <w:style w:type="character" w:customStyle="1" w:styleId="Heading5Char">
    <w:name w:val="Heading 5 Char"/>
    <w:basedOn w:val="DefaultParagraphFont"/>
    <w:link w:val="Heading5"/>
    <w:uiPriority w:val="9"/>
    <w:rsid w:val="00250529"/>
    <w:rPr>
      <w:rFonts w:ascii="Calibri" w:hAnsi="Calibri"/>
      <w:b/>
      <w:sz w:val="24"/>
      <w:lang w:val="en-GB" w:eastAsia="en-US"/>
    </w:rPr>
  </w:style>
  <w:style w:type="character" w:customStyle="1" w:styleId="Heading6Char">
    <w:name w:val="Heading 6 Char"/>
    <w:basedOn w:val="DefaultParagraphFont"/>
    <w:link w:val="Heading6"/>
    <w:uiPriority w:val="9"/>
    <w:rsid w:val="00250529"/>
    <w:rPr>
      <w:rFonts w:ascii="Calibri" w:hAnsi="Calibri"/>
      <w:b/>
      <w:sz w:val="24"/>
      <w:lang w:val="en-GB" w:eastAsia="en-US"/>
    </w:rPr>
  </w:style>
  <w:style w:type="character" w:customStyle="1" w:styleId="Heading7Char">
    <w:name w:val="Heading 7 Char"/>
    <w:basedOn w:val="DefaultParagraphFont"/>
    <w:link w:val="Heading7"/>
    <w:uiPriority w:val="9"/>
    <w:rsid w:val="00250529"/>
    <w:rPr>
      <w:rFonts w:ascii="Calibri" w:hAnsi="Calibri"/>
      <w:b/>
      <w:sz w:val="24"/>
      <w:lang w:val="en-GB" w:eastAsia="en-US"/>
    </w:rPr>
  </w:style>
  <w:style w:type="character" w:customStyle="1" w:styleId="Heading8Char">
    <w:name w:val="Heading 8 Char"/>
    <w:basedOn w:val="DefaultParagraphFont"/>
    <w:link w:val="Heading8"/>
    <w:uiPriority w:val="9"/>
    <w:rsid w:val="00250529"/>
    <w:rPr>
      <w:rFonts w:ascii="Calibri" w:hAnsi="Calibri"/>
      <w:b/>
      <w:sz w:val="24"/>
      <w:lang w:val="en-GB" w:eastAsia="en-US"/>
    </w:rPr>
  </w:style>
  <w:style w:type="character" w:customStyle="1" w:styleId="Heading9Char">
    <w:name w:val="Heading 9 Char"/>
    <w:basedOn w:val="DefaultParagraphFont"/>
    <w:link w:val="Heading9"/>
    <w:uiPriority w:val="9"/>
    <w:rsid w:val="00250529"/>
    <w:rPr>
      <w:rFonts w:ascii="Calibri" w:hAnsi="Calibri"/>
      <w:b/>
      <w:sz w:val="24"/>
      <w:lang w:val="en-GB" w:eastAsia="en-US"/>
    </w:rPr>
  </w:style>
  <w:style w:type="paragraph" w:styleId="Title">
    <w:name w:val="Title"/>
    <w:basedOn w:val="Normal"/>
    <w:next w:val="Normal"/>
    <w:link w:val="TitleChar"/>
    <w:uiPriority w:val="10"/>
    <w:qFormat/>
    <w:rsid w:val="00250529"/>
    <w:pPr>
      <w:tabs>
        <w:tab w:val="clear" w:pos="567"/>
        <w:tab w:val="clear" w:pos="1134"/>
        <w:tab w:val="clear" w:pos="1701"/>
        <w:tab w:val="clear" w:pos="2268"/>
        <w:tab w:val="clear" w:pos="2835"/>
      </w:tabs>
      <w:overflowPunct/>
      <w:autoSpaceDE/>
      <w:autoSpaceDN/>
      <w:adjustRightInd/>
      <w:spacing w:before="240" w:after="80"/>
      <w:contextualSpacing/>
      <w:textAlignment w:val="auto"/>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50529"/>
    <w:rPr>
      <w:rFonts w:asciiTheme="majorHAnsi" w:eastAsiaTheme="majorEastAsia" w:hAnsiTheme="majorHAnsi" w:cstheme="majorBidi"/>
      <w:spacing w:val="-10"/>
      <w:kern w:val="28"/>
      <w:sz w:val="56"/>
      <w:szCs w:val="56"/>
      <w:lang w:val="en-GB" w:eastAsia="en-US"/>
      <w14:ligatures w14:val="standardContextual"/>
    </w:rPr>
  </w:style>
  <w:style w:type="paragraph" w:styleId="Subtitle0">
    <w:name w:val="Subtitle"/>
    <w:basedOn w:val="Normal"/>
    <w:next w:val="Normal"/>
    <w:link w:val="SubtitleChar"/>
    <w:uiPriority w:val="11"/>
    <w:qFormat/>
    <w:rsid w:val="00250529"/>
    <w:pPr>
      <w:keepNext/>
      <w:tabs>
        <w:tab w:val="clear" w:pos="567"/>
        <w:tab w:val="clear" w:pos="1134"/>
        <w:tab w:val="clear" w:pos="1701"/>
        <w:tab w:val="clear" w:pos="2268"/>
        <w:tab w:val="clear" w:pos="2835"/>
      </w:tabs>
      <w:overflowPunct/>
      <w:autoSpaceDE/>
      <w:autoSpaceDN/>
      <w:adjustRightInd/>
      <w:spacing w:before="240" w:after="240"/>
      <w:textAlignment w:val="auto"/>
    </w:pPr>
    <w:rPr>
      <w:rFonts w:ascii="Avenir Nxt2 W1G" w:eastAsia="Aptos" w:hAnsi="Avenir Nxt2 W1G" w:cs="Arial"/>
      <w:b/>
      <w:bCs/>
      <w:kern w:val="2"/>
      <w:sz w:val="22"/>
      <w:szCs w:val="22"/>
      <w:lang w:eastAsia="en-GB"/>
      <w14:ligatures w14:val="standardContextual"/>
    </w:rPr>
  </w:style>
  <w:style w:type="character" w:customStyle="1" w:styleId="SubtitleChar">
    <w:name w:val="Subtitle Char"/>
    <w:basedOn w:val="DefaultParagraphFont"/>
    <w:link w:val="Subtitle0"/>
    <w:uiPriority w:val="11"/>
    <w:rsid w:val="00250529"/>
    <w:rPr>
      <w:rFonts w:ascii="Avenir Nxt2 W1G" w:eastAsia="Aptos" w:hAnsi="Avenir Nxt2 W1G" w:cs="Arial"/>
      <w:b/>
      <w:bCs/>
      <w:kern w:val="2"/>
      <w:sz w:val="22"/>
      <w:szCs w:val="22"/>
      <w:lang w:val="en-GB" w:eastAsia="en-GB"/>
      <w14:ligatures w14:val="standardContextual"/>
    </w:rPr>
  </w:style>
  <w:style w:type="paragraph" w:styleId="Quote">
    <w:name w:val="Quote"/>
    <w:basedOn w:val="Normal"/>
    <w:next w:val="Normal"/>
    <w:link w:val="QuoteChar"/>
    <w:uiPriority w:val="29"/>
    <w:qFormat/>
    <w:rsid w:val="00250529"/>
    <w:pPr>
      <w:tabs>
        <w:tab w:val="clear" w:pos="567"/>
        <w:tab w:val="clear" w:pos="1134"/>
        <w:tab w:val="clear" w:pos="1701"/>
        <w:tab w:val="clear" w:pos="2268"/>
        <w:tab w:val="clear" w:pos="2835"/>
      </w:tabs>
      <w:overflowPunct/>
      <w:autoSpaceDE/>
      <w:autoSpaceDN/>
      <w:adjustRightInd/>
      <w:spacing w:before="160" w:after="240"/>
      <w:jc w:val="center"/>
      <w:textAlignment w:val="auto"/>
    </w:pPr>
    <w:rPr>
      <w:rFonts w:ascii="Avenir Nxt2 W1G" w:eastAsia="Aptos" w:hAnsi="Avenir Nxt2 W1G" w:cs="Arial"/>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250529"/>
    <w:rPr>
      <w:rFonts w:ascii="Avenir Nxt2 W1G" w:eastAsia="Aptos" w:hAnsi="Avenir Nxt2 W1G" w:cs="Arial"/>
      <w:i/>
      <w:iCs/>
      <w:color w:val="404040" w:themeColor="text1" w:themeTint="BF"/>
      <w:kern w:val="2"/>
      <w:sz w:val="22"/>
      <w:szCs w:val="22"/>
      <w:lang w:val="en-GB" w:eastAsia="en-US"/>
      <w14:ligatures w14:val="standardContextual"/>
    </w:rPr>
  </w:style>
  <w:style w:type="paragraph" w:styleId="ListParagraph">
    <w:name w:val="List Paragraph"/>
    <w:basedOn w:val="Normal"/>
    <w:link w:val="ListParagraphChar"/>
    <w:uiPriority w:val="34"/>
    <w:qFormat/>
    <w:rsid w:val="00250529"/>
    <w:pPr>
      <w:numPr>
        <w:numId w:val="9"/>
      </w:numPr>
      <w:tabs>
        <w:tab w:val="clear" w:pos="567"/>
        <w:tab w:val="clear" w:pos="1134"/>
        <w:tab w:val="clear" w:pos="1701"/>
        <w:tab w:val="clear" w:pos="2268"/>
        <w:tab w:val="clear" w:pos="2835"/>
      </w:tabs>
      <w:overflowPunct/>
      <w:autoSpaceDE/>
      <w:autoSpaceDN/>
      <w:adjustRightInd/>
      <w:spacing w:before="240" w:after="240"/>
      <w:contextualSpacing/>
      <w:textAlignment w:val="auto"/>
    </w:pPr>
    <w:rPr>
      <w:rFonts w:ascii="Avenir Nxt2 W1G" w:eastAsia="Aptos" w:hAnsi="Avenir Nxt2 W1G" w:cs="Arial"/>
      <w:kern w:val="2"/>
      <w:sz w:val="22"/>
      <w:szCs w:val="22"/>
      <w14:ligatures w14:val="standardContextual"/>
    </w:rPr>
  </w:style>
  <w:style w:type="character" w:styleId="IntenseEmphasis">
    <w:name w:val="Intense Emphasis"/>
    <w:basedOn w:val="DefaultParagraphFont"/>
    <w:uiPriority w:val="21"/>
    <w:qFormat/>
    <w:rsid w:val="00250529"/>
    <w:rPr>
      <w:i/>
      <w:iCs/>
      <w:color w:val="365F91" w:themeColor="accent1" w:themeShade="BF"/>
    </w:rPr>
  </w:style>
  <w:style w:type="paragraph" w:styleId="IntenseQuote">
    <w:name w:val="Intense Quote"/>
    <w:basedOn w:val="Normal"/>
    <w:next w:val="Normal"/>
    <w:link w:val="IntenseQuoteChar"/>
    <w:uiPriority w:val="30"/>
    <w:qFormat/>
    <w:rsid w:val="00250529"/>
    <w:pPr>
      <w:pBdr>
        <w:top w:val="single" w:sz="4" w:space="10" w:color="365F91" w:themeColor="accent1" w:themeShade="BF"/>
        <w:bottom w:val="single" w:sz="4" w:space="10" w:color="365F91" w:themeColor="accent1" w:themeShade="BF"/>
      </w:pBdr>
      <w:tabs>
        <w:tab w:val="clear" w:pos="567"/>
        <w:tab w:val="clear" w:pos="1134"/>
        <w:tab w:val="clear" w:pos="1701"/>
        <w:tab w:val="clear" w:pos="2268"/>
        <w:tab w:val="clear" w:pos="2835"/>
      </w:tabs>
      <w:overflowPunct/>
      <w:autoSpaceDE/>
      <w:autoSpaceDN/>
      <w:adjustRightInd/>
      <w:spacing w:before="360" w:after="360"/>
      <w:ind w:left="864" w:right="864"/>
      <w:jc w:val="center"/>
      <w:textAlignment w:val="auto"/>
    </w:pPr>
    <w:rPr>
      <w:rFonts w:ascii="Avenir Nxt2 W1G" w:eastAsia="Aptos" w:hAnsi="Avenir Nxt2 W1G" w:cs="Arial"/>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250529"/>
    <w:rPr>
      <w:rFonts w:ascii="Avenir Nxt2 W1G" w:eastAsia="Aptos" w:hAnsi="Avenir Nxt2 W1G" w:cs="Arial"/>
      <w:i/>
      <w:iCs/>
      <w:color w:val="365F91" w:themeColor="accent1" w:themeShade="BF"/>
      <w:kern w:val="2"/>
      <w:sz w:val="22"/>
      <w:szCs w:val="22"/>
      <w:lang w:val="en-GB" w:eastAsia="en-US"/>
      <w14:ligatures w14:val="standardContextual"/>
    </w:rPr>
  </w:style>
  <w:style w:type="character" w:styleId="IntenseReference">
    <w:name w:val="Intense Reference"/>
    <w:basedOn w:val="DefaultParagraphFont"/>
    <w:uiPriority w:val="32"/>
    <w:qFormat/>
    <w:rsid w:val="00250529"/>
    <w:rPr>
      <w:b/>
      <w:bCs/>
      <w:smallCaps/>
      <w:color w:val="365F91" w:themeColor="accent1" w:themeShade="BF"/>
      <w:spacing w:val="5"/>
    </w:rPr>
  </w:style>
  <w:style w:type="character" w:styleId="CommentReference">
    <w:name w:val="annotation reference"/>
    <w:basedOn w:val="DefaultParagraphFont"/>
    <w:uiPriority w:val="99"/>
    <w:semiHidden/>
    <w:unhideWhenUsed/>
    <w:rsid w:val="00250529"/>
    <w:rPr>
      <w:sz w:val="16"/>
      <w:szCs w:val="16"/>
    </w:rPr>
  </w:style>
  <w:style w:type="paragraph" w:styleId="CommentText">
    <w:name w:val="annotation text"/>
    <w:basedOn w:val="Normal"/>
    <w:link w:val="CommentTextChar"/>
    <w:uiPriority w:val="99"/>
    <w:unhideWhenUsed/>
    <w:rsid w:val="00250529"/>
    <w:pPr>
      <w:tabs>
        <w:tab w:val="clear" w:pos="567"/>
        <w:tab w:val="clear" w:pos="1134"/>
        <w:tab w:val="clear" w:pos="1701"/>
        <w:tab w:val="clear" w:pos="2268"/>
        <w:tab w:val="clear" w:pos="2835"/>
      </w:tabs>
      <w:overflowPunct/>
      <w:autoSpaceDE/>
      <w:autoSpaceDN/>
      <w:adjustRightInd/>
      <w:spacing w:before="240" w:after="240"/>
      <w:textAlignment w:val="auto"/>
    </w:pPr>
    <w:rPr>
      <w:rFonts w:ascii="Avenir Nxt2 W1G" w:eastAsia="Aptos" w:hAnsi="Avenir Nxt2 W1G" w:cs="Arial"/>
      <w:kern w:val="2"/>
      <w:sz w:val="20"/>
      <w14:ligatures w14:val="standardContextual"/>
    </w:rPr>
  </w:style>
  <w:style w:type="character" w:customStyle="1" w:styleId="CommentTextChar">
    <w:name w:val="Comment Text Char"/>
    <w:basedOn w:val="DefaultParagraphFont"/>
    <w:link w:val="CommentText"/>
    <w:uiPriority w:val="99"/>
    <w:rsid w:val="00250529"/>
    <w:rPr>
      <w:rFonts w:ascii="Avenir Nxt2 W1G" w:eastAsia="Aptos" w:hAnsi="Avenir Nxt2 W1G" w:cs="Arial"/>
      <w:kern w:val="2"/>
      <w:lang w:val="en-GB" w:eastAsia="en-US"/>
      <w14:ligatures w14:val="standardContextual"/>
    </w:rPr>
  </w:style>
  <w:style w:type="paragraph" w:styleId="CommentSubject">
    <w:name w:val="annotation subject"/>
    <w:basedOn w:val="CommentText"/>
    <w:next w:val="CommentText"/>
    <w:link w:val="CommentSubjectChar"/>
    <w:uiPriority w:val="99"/>
    <w:semiHidden/>
    <w:unhideWhenUsed/>
    <w:rsid w:val="00250529"/>
    <w:rPr>
      <w:b/>
      <w:bCs/>
    </w:rPr>
  </w:style>
  <w:style w:type="character" w:customStyle="1" w:styleId="CommentSubjectChar">
    <w:name w:val="Comment Subject Char"/>
    <w:basedOn w:val="CommentTextChar"/>
    <w:link w:val="CommentSubject"/>
    <w:uiPriority w:val="99"/>
    <w:semiHidden/>
    <w:rsid w:val="00250529"/>
    <w:rPr>
      <w:rFonts w:ascii="Avenir Nxt2 W1G" w:eastAsia="Aptos" w:hAnsi="Avenir Nxt2 W1G" w:cs="Arial"/>
      <w:b/>
      <w:bCs/>
      <w:kern w:val="2"/>
      <w:lang w:val="en-GB" w:eastAsia="en-US"/>
      <w14:ligatures w14:val="standardContextual"/>
    </w:rPr>
  </w:style>
  <w:style w:type="character" w:customStyle="1" w:styleId="FooterChar">
    <w:name w:val="Footer Char"/>
    <w:basedOn w:val="DefaultParagraphFont"/>
    <w:link w:val="Footer"/>
    <w:rsid w:val="00250529"/>
    <w:rPr>
      <w:rFonts w:ascii="Calibri" w:hAnsi="Calibri"/>
      <w:caps/>
      <w:noProof/>
      <w:sz w:val="16"/>
      <w:lang w:val="en-GB" w:eastAsia="en-US"/>
    </w:rPr>
  </w:style>
  <w:style w:type="paragraph" w:customStyle="1" w:styleId="xmsonormal">
    <w:name w:val="x_msonormal"/>
    <w:basedOn w:val="Normal"/>
    <w:uiPriority w:val="1"/>
    <w:rsid w:val="00250529"/>
    <w:pPr>
      <w:tabs>
        <w:tab w:val="clear" w:pos="567"/>
        <w:tab w:val="clear" w:pos="1134"/>
        <w:tab w:val="clear" w:pos="1701"/>
        <w:tab w:val="clear" w:pos="2268"/>
        <w:tab w:val="clear" w:pos="2835"/>
      </w:tabs>
      <w:overflowPunct/>
      <w:autoSpaceDE/>
      <w:autoSpaceDN/>
      <w:adjustRightInd/>
      <w:textAlignment w:val="auto"/>
    </w:pPr>
    <w:rPr>
      <w:rFonts w:ascii="Avenir Nxt2 W1G" w:eastAsiaTheme="minorEastAsia" w:hAnsi="Avenir Nxt2 W1G" w:cs="Arial"/>
      <w:kern w:val="2"/>
      <w:sz w:val="22"/>
      <w:szCs w:val="22"/>
      <w:lang w:eastAsia="en-GB"/>
      <w14:ligatures w14:val="standardContextual"/>
    </w:rPr>
  </w:style>
  <w:style w:type="paragraph" w:customStyle="1" w:styleId="xtablehead">
    <w:name w:val="x_tablehead"/>
    <w:basedOn w:val="Normal"/>
    <w:uiPriority w:val="1"/>
    <w:rsid w:val="00250529"/>
    <w:pPr>
      <w:tabs>
        <w:tab w:val="clear" w:pos="567"/>
        <w:tab w:val="clear" w:pos="1134"/>
        <w:tab w:val="clear" w:pos="1701"/>
        <w:tab w:val="clear" w:pos="2268"/>
        <w:tab w:val="clear" w:pos="2835"/>
      </w:tabs>
      <w:overflowPunct/>
      <w:autoSpaceDE/>
      <w:autoSpaceDN/>
      <w:adjustRightInd/>
      <w:spacing w:before="40" w:after="40"/>
      <w:textAlignment w:val="auto"/>
    </w:pPr>
    <w:rPr>
      <w:rFonts w:ascii="Avenir Nxt2 W1G" w:eastAsiaTheme="minorEastAsia" w:hAnsi="Avenir Nxt2 W1G" w:cs="Arial"/>
      <w:kern w:val="2"/>
      <w:sz w:val="22"/>
      <w:szCs w:val="22"/>
      <w:lang w:eastAsia="en-GB"/>
      <w14:ligatures w14:val="standardContextual"/>
    </w:rPr>
  </w:style>
  <w:style w:type="paragraph" w:customStyle="1" w:styleId="xtabletext">
    <w:name w:val="x_tabletext"/>
    <w:basedOn w:val="Normal"/>
    <w:uiPriority w:val="1"/>
    <w:rsid w:val="00250529"/>
    <w:pPr>
      <w:tabs>
        <w:tab w:val="clear" w:pos="567"/>
        <w:tab w:val="clear" w:pos="1134"/>
        <w:tab w:val="clear" w:pos="1701"/>
        <w:tab w:val="clear" w:pos="2268"/>
        <w:tab w:val="clear" w:pos="2835"/>
      </w:tabs>
      <w:overflowPunct/>
      <w:autoSpaceDE/>
      <w:autoSpaceDN/>
      <w:adjustRightInd/>
      <w:spacing w:before="40" w:after="40"/>
      <w:textAlignment w:val="auto"/>
    </w:pPr>
    <w:rPr>
      <w:rFonts w:ascii="Avenir Nxt2 W1G" w:eastAsiaTheme="minorEastAsia" w:hAnsi="Avenir Nxt2 W1G" w:cs="Arial"/>
      <w:kern w:val="2"/>
      <w:sz w:val="22"/>
      <w:szCs w:val="22"/>
      <w:lang w:eastAsia="en-GB"/>
      <w14:ligatures w14:val="standardContextual"/>
    </w:rPr>
  </w:style>
  <w:style w:type="paragraph" w:customStyle="1" w:styleId="paragraph">
    <w:name w:val="paragraph"/>
    <w:basedOn w:val="Normal"/>
    <w:link w:val="paragraphChar"/>
    <w:rsid w:val="0025052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 w:val="22"/>
      <w:szCs w:val="22"/>
      <w:lang w:eastAsia="en-GB"/>
    </w:rPr>
  </w:style>
  <w:style w:type="character" w:customStyle="1" w:styleId="eop">
    <w:name w:val="eop"/>
    <w:basedOn w:val="DefaultParagraphFont"/>
    <w:rsid w:val="00250529"/>
  </w:style>
  <w:style w:type="character" w:customStyle="1" w:styleId="tabchar">
    <w:name w:val="tabchar"/>
    <w:basedOn w:val="DefaultParagraphFont"/>
    <w:rsid w:val="00250529"/>
  </w:style>
  <w:style w:type="character" w:styleId="Mention">
    <w:name w:val="Mention"/>
    <w:basedOn w:val="DefaultParagraphFont"/>
    <w:uiPriority w:val="99"/>
    <w:unhideWhenUsed/>
    <w:rsid w:val="00250529"/>
    <w:rPr>
      <w:color w:val="2B579A"/>
      <w:shd w:val="clear" w:color="auto" w:fill="E1DFDD"/>
    </w:rPr>
  </w:style>
  <w:style w:type="paragraph" w:styleId="Revision">
    <w:name w:val="Revision"/>
    <w:hidden/>
    <w:uiPriority w:val="99"/>
    <w:semiHidden/>
    <w:rsid w:val="00250529"/>
    <w:rPr>
      <w:rFonts w:asciiTheme="minorHAnsi" w:eastAsiaTheme="minorHAnsi" w:hAnsiTheme="minorHAnsi" w:cstheme="minorBidi"/>
      <w:kern w:val="2"/>
      <w:sz w:val="24"/>
      <w:szCs w:val="24"/>
      <w:lang w:val="en-GB" w:eastAsia="en-US"/>
      <w14:ligatures w14:val="standardContextual"/>
    </w:rPr>
  </w:style>
  <w:style w:type="table" w:styleId="PlainTable1">
    <w:name w:val="Plain Table 1"/>
    <w:basedOn w:val="TableNormal"/>
    <w:uiPriority w:val="41"/>
    <w:rsid w:val="00250529"/>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50529"/>
    <w:rPr>
      <w:rFonts w:asciiTheme="minorHAnsi" w:eastAsiaTheme="minorHAnsi" w:hAnsiTheme="minorHAnsi" w:cstheme="minorBidi"/>
      <w:kern w:val="2"/>
      <w:sz w:val="24"/>
      <w:szCs w:val="24"/>
      <w:lang w:val="en-GB" w:eastAsia="en-US"/>
      <w14:ligatures w14:val="standardContextual"/>
    </w:rPr>
  </w:style>
  <w:style w:type="table" w:styleId="GridTable5Dark-Accent1">
    <w:name w:val="Grid Table 5 Dark Accent 1"/>
    <w:basedOn w:val="TableNormal"/>
    <w:uiPriority w:val="50"/>
    <w:rsid w:val="00250529"/>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4">
    <w:name w:val="Grid Table 4 Accent 4"/>
    <w:basedOn w:val="TableNormal"/>
    <w:uiPriority w:val="49"/>
    <w:rsid w:val="00250529"/>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41">
    <w:name w:val="List Table 3 - Accent 41"/>
    <w:basedOn w:val="TableNormal"/>
    <w:next w:val="ListTable3-Accent4"/>
    <w:uiPriority w:val="48"/>
    <w:rsid w:val="00250529"/>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0F9ED5"/>
        <w:left w:val="single" w:sz="4" w:space="0" w:color="0F9ED5"/>
        <w:bottom w:val="single" w:sz="4" w:space="0" w:color="0F9ED5"/>
        <w:right w:val="single" w:sz="4" w:space="0" w:color="0F9ED5"/>
      </w:tblBorders>
    </w:tblPr>
    <w:tblStylePr w:type="firstRow">
      <w:rPr>
        <w:b/>
        <w:bCs/>
        <w:color w:val="FFFFFF"/>
      </w:rPr>
      <w:tblPr/>
      <w:tcPr>
        <w:shd w:val="clear" w:color="auto" w:fill="0F9ED5"/>
      </w:tcPr>
    </w:tblStylePr>
    <w:tblStylePr w:type="lastRow">
      <w:rPr>
        <w:b/>
        <w:bCs/>
      </w:rPr>
      <w:tblPr/>
      <w:tcPr>
        <w:tcBorders>
          <w:top w:val="double" w:sz="4" w:space="0" w:color="0F9E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9ED5"/>
          <w:right w:val="single" w:sz="4" w:space="0" w:color="0F9ED5"/>
        </w:tcBorders>
      </w:tcPr>
    </w:tblStylePr>
    <w:tblStylePr w:type="band1Horz">
      <w:tblPr/>
      <w:tcPr>
        <w:tcBorders>
          <w:top w:val="single" w:sz="4" w:space="0" w:color="0F9ED5"/>
          <w:bottom w:val="single" w:sz="4" w:space="0" w:color="0F9E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left w:val="nil"/>
        </w:tcBorders>
      </w:tcPr>
    </w:tblStylePr>
    <w:tblStylePr w:type="swCell">
      <w:tblPr/>
      <w:tcPr>
        <w:tcBorders>
          <w:top w:val="double" w:sz="4" w:space="0" w:color="0F9ED5"/>
          <w:right w:val="nil"/>
        </w:tcBorders>
      </w:tcPr>
    </w:tblStylePr>
  </w:style>
  <w:style w:type="table" w:styleId="ListTable3-Accent4">
    <w:name w:val="List Table 3 Accent 4"/>
    <w:basedOn w:val="TableNormal"/>
    <w:uiPriority w:val="48"/>
    <w:rsid w:val="00250529"/>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GridTable5Dark-Accent11">
    <w:name w:val="Grid Table 5 Dark - Accent 11"/>
    <w:basedOn w:val="TableNormal"/>
    <w:next w:val="GridTable5Dark-Accent1"/>
    <w:uiPriority w:val="50"/>
    <w:rsid w:val="00250529"/>
    <w:rPr>
      <w:rFonts w:asciiTheme="minorHAnsi" w:eastAsia="Batang" w:hAnsiTheme="minorHAnsi" w:cstheme="minorBidi"/>
      <w:kern w:val="2"/>
      <w:sz w:val="24"/>
      <w:szCs w:val="24"/>
      <w:lang w:val="en-GB"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E4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paragraph" w:customStyle="1" w:styleId="CommentText1">
    <w:name w:val="Comment Text1"/>
    <w:basedOn w:val="Normal"/>
    <w:uiPriority w:val="99"/>
    <w:unhideWhenUsed/>
    <w:rsid w:val="00250529"/>
    <w:pPr>
      <w:tabs>
        <w:tab w:val="clear" w:pos="567"/>
        <w:tab w:val="clear" w:pos="1134"/>
        <w:tab w:val="clear" w:pos="1701"/>
        <w:tab w:val="clear" w:pos="2268"/>
        <w:tab w:val="clear" w:pos="2835"/>
      </w:tabs>
      <w:overflowPunct/>
      <w:autoSpaceDE/>
      <w:autoSpaceDN/>
      <w:adjustRightInd/>
      <w:spacing w:before="240" w:after="240"/>
      <w:textAlignment w:val="auto"/>
    </w:pPr>
    <w:rPr>
      <w:rFonts w:ascii="Avenir Nxt2 W1G" w:eastAsia="Aptos" w:hAnsi="Avenir Nxt2 W1G" w:cs="Arial"/>
      <w:kern w:val="2"/>
      <w:sz w:val="20"/>
      <w14:ligatures w14:val="standardContextual"/>
    </w:rPr>
  </w:style>
  <w:style w:type="character" w:customStyle="1" w:styleId="CommentTextChar1">
    <w:name w:val="Comment Text Char1"/>
    <w:basedOn w:val="DefaultParagraphFont"/>
    <w:uiPriority w:val="99"/>
    <w:rsid w:val="00250529"/>
    <w:rPr>
      <w:sz w:val="20"/>
      <w:szCs w:val="20"/>
    </w:rPr>
  </w:style>
  <w:style w:type="table" w:customStyle="1" w:styleId="TableGrid1">
    <w:name w:val="Table Grid1"/>
    <w:basedOn w:val="TableNormal"/>
    <w:next w:val="TableGrid"/>
    <w:uiPriority w:val="59"/>
    <w:rsid w:val="00250529"/>
    <w:rPr>
      <w:rFonts w:asciiTheme="minorHAnsi" w:eastAsiaTheme="minorHAnsi" w:hAnsiTheme="minorHAnsi" w:cstheme="minorBidi"/>
      <w:kern w:val="2"/>
      <w:sz w:val="24"/>
      <w:szCs w:val="24"/>
      <w:lang w:val="en-GB" w:eastAsia="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1">
    <w:name w:val="Current List1"/>
    <w:uiPriority w:val="99"/>
    <w:rsid w:val="00250529"/>
    <w:pPr>
      <w:numPr>
        <w:numId w:val="66"/>
      </w:numPr>
    </w:pPr>
  </w:style>
  <w:style w:type="paragraph" w:customStyle="1" w:styleId="AnnexHeading1">
    <w:name w:val="Annex Heading 1"/>
    <w:basedOn w:val="Heading2"/>
    <w:link w:val="AnnexHeading1Char"/>
    <w:qFormat/>
    <w:rsid w:val="00250529"/>
    <w:pPr>
      <w:numPr>
        <w:ilvl w:val="1"/>
      </w:numPr>
      <w:tabs>
        <w:tab w:val="clear" w:pos="567"/>
        <w:tab w:val="clear" w:pos="1134"/>
        <w:tab w:val="clear" w:pos="1701"/>
        <w:tab w:val="clear" w:pos="2268"/>
        <w:tab w:val="clear" w:pos="2835"/>
      </w:tabs>
      <w:overflowPunct/>
      <w:autoSpaceDE/>
      <w:autoSpaceDN/>
      <w:adjustRightInd/>
      <w:spacing w:before="360" w:after="240"/>
      <w:ind w:left="567" w:hanging="567"/>
      <w:jc w:val="both"/>
      <w:textAlignment w:val="auto"/>
    </w:pPr>
    <w:rPr>
      <w:rFonts w:ascii="Avenir Nxt2 W1G" w:eastAsiaTheme="majorEastAsia" w:hAnsi="Avenir Nxt2 W1G" w:cstheme="majorBidi"/>
      <w:b w:val="0"/>
      <w:color w:val="5F497A" w:themeColor="accent4" w:themeShade="BF"/>
      <w:kern w:val="2"/>
      <w:sz w:val="22"/>
      <w:szCs w:val="22"/>
      <w14:ligatures w14:val="standardContextual"/>
    </w:rPr>
  </w:style>
  <w:style w:type="character" w:customStyle="1" w:styleId="AnnexHeading1Char">
    <w:name w:val="Annex Heading 1 Char"/>
    <w:basedOn w:val="Heading4Char"/>
    <w:link w:val="AnnexHeading1"/>
    <w:rsid w:val="00250529"/>
    <w:rPr>
      <w:rFonts w:ascii="Avenir Nxt2 W1G" w:eastAsiaTheme="majorEastAsia" w:hAnsi="Avenir Nxt2 W1G" w:cstheme="majorBidi"/>
      <w:b w:val="0"/>
      <w:color w:val="5F497A" w:themeColor="accent4" w:themeShade="BF"/>
      <w:kern w:val="2"/>
      <w:sz w:val="22"/>
      <w:szCs w:val="22"/>
      <w:lang w:val="en-GB" w:eastAsia="en-US"/>
      <w14:ligatures w14:val="standardContextual"/>
    </w:rPr>
  </w:style>
  <w:style w:type="paragraph" w:customStyle="1" w:styleId="AnnexHeading2">
    <w:name w:val="Annex Heading 2"/>
    <w:basedOn w:val="Heading3"/>
    <w:link w:val="AnnexHeading2Char"/>
    <w:qFormat/>
    <w:rsid w:val="00250529"/>
    <w:pPr>
      <w:numPr>
        <w:ilvl w:val="2"/>
      </w:numPr>
      <w:tabs>
        <w:tab w:val="clear" w:pos="567"/>
        <w:tab w:val="clear" w:pos="1134"/>
        <w:tab w:val="clear" w:pos="1701"/>
        <w:tab w:val="clear" w:pos="2268"/>
        <w:tab w:val="clear" w:pos="2835"/>
      </w:tabs>
      <w:overflowPunct/>
      <w:autoSpaceDE/>
      <w:autoSpaceDN/>
      <w:adjustRightInd/>
      <w:spacing w:before="360" w:after="240"/>
      <w:ind w:left="544" w:hanging="544"/>
      <w:jc w:val="both"/>
      <w:textAlignment w:val="auto"/>
    </w:pPr>
    <w:rPr>
      <w:rFonts w:ascii="Avenir Nxt2 W1G" w:eastAsiaTheme="majorEastAsia" w:hAnsi="Avenir Nxt2 W1G" w:cstheme="majorBidi"/>
      <w:color w:val="00B0F0"/>
      <w:kern w:val="2"/>
      <w:sz w:val="22"/>
      <w:szCs w:val="22"/>
      <w14:ligatures w14:val="standardContextual"/>
    </w:rPr>
  </w:style>
  <w:style w:type="character" w:customStyle="1" w:styleId="AnnexHeading2Char">
    <w:name w:val="Annex Heading 2 Char"/>
    <w:basedOn w:val="Heading4Char"/>
    <w:link w:val="AnnexHeading2"/>
    <w:rsid w:val="00250529"/>
    <w:rPr>
      <w:rFonts w:ascii="Avenir Nxt2 W1G" w:eastAsiaTheme="majorEastAsia" w:hAnsi="Avenir Nxt2 W1G" w:cstheme="majorBidi"/>
      <w:b/>
      <w:color w:val="00B0F0"/>
      <w:kern w:val="2"/>
      <w:sz w:val="22"/>
      <w:szCs w:val="22"/>
      <w:lang w:val="en-GB" w:eastAsia="en-US"/>
      <w14:ligatures w14:val="standardContextual"/>
    </w:rPr>
  </w:style>
  <w:style w:type="paragraph" w:customStyle="1" w:styleId="AnnexHeading3">
    <w:name w:val="Annex Heading 3"/>
    <w:basedOn w:val="Heading3"/>
    <w:link w:val="AnnexHeading3Char"/>
    <w:qFormat/>
    <w:rsid w:val="00250529"/>
    <w:pPr>
      <w:numPr>
        <w:ilvl w:val="2"/>
        <w:numId w:val="72"/>
      </w:numPr>
      <w:tabs>
        <w:tab w:val="clear" w:pos="567"/>
        <w:tab w:val="clear" w:pos="1134"/>
        <w:tab w:val="clear" w:pos="1701"/>
        <w:tab w:val="clear" w:pos="2268"/>
        <w:tab w:val="clear" w:pos="2835"/>
      </w:tabs>
      <w:overflowPunct/>
      <w:autoSpaceDE/>
      <w:autoSpaceDN/>
      <w:adjustRightInd/>
      <w:spacing w:before="360" w:after="240"/>
      <w:jc w:val="both"/>
      <w:textAlignment w:val="auto"/>
    </w:pPr>
    <w:rPr>
      <w:rFonts w:ascii="Avenir Nxt2 W1G" w:eastAsiaTheme="majorEastAsia" w:hAnsi="Avenir Nxt2 W1G" w:cstheme="majorBidi"/>
      <w:color w:val="00B0F0"/>
      <w:kern w:val="2"/>
      <w:sz w:val="22"/>
      <w:szCs w:val="22"/>
      <w14:ligatures w14:val="standardContextual"/>
    </w:rPr>
  </w:style>
  <w:style w:type="character" w:customStyle="1" w:styleId="AnnexHeading3Char">
    <w:name w:val="Annex Heading 3 Char"/>
    <w:basedOn w:val="AnnexHeading1Char"/>
    <w:link w:val="AnnexHeading3"/>
    <w:rsid w:val="00250529"/>
    <w:rPr>
      <w:rFonts w:ascii="Avenir Nxt2 W1G" w:eastAsiaTheme="majorEastAsia" w:hAnsi="Avenir Nxt2 W1G" w:cstheme="majorBidi"/>
      <w:b/>
      <w:color w:val="00B0F0"/>
      <w:kern w:val="2"/>
      <w:sz w:val="22"/>
      <w:szCs w:val="22"/>
      <w:lang w:val="en-GB" w:eastAsia="en-US"/>
      <w14:ligatures w14:val="standardContextual"/>
    </w:rPr>
  </w:style>
  <w:style w:type="paragraph" w:customStyle="1" w:styleId="AnnexHeading4">
    <w:name w:val="Annex Heading 4"/>
    <w:basedOn w:val="Heading4"/>
    <w:link w:val="AnnexHeading4Char"/>
    <w:qFormat/>
    <w:rsid w:val="00250529"/>
    <w:pPr>
      <w:keepLines w:val="0"/>
      <w:numPr>
        <w:numId w:val="1"/>
      </w:numPr>
      <w:tabs>
        <w:tab w:val="clear" w:pos="567"/>
        <w:tab w:val="clear" w:pos="1134"/>
        <w:tab w:val="clear" w:pos="1701"/>
        <w:tab w:val="clear" w:pos="2268"/>
        <w:tab w:val="clear" w:pos="2835"/>
      </w:tabs>
      <w:overflowPunct/>
      <w:autoSpaceDE/>
      <w:autoSpaceDN/>
      <w:adjustRightInd/>
      <w:spacing w:before="360" w:after="240"/>
      <w:jc w:val="both"/>
    </w:pPr>
    <w:rPr>
      <w:rFonts w:ascii="Avenir Nxt2 W1G" w:eastAsiaTheme="majorEastAsia" w:hAnsi="Avenir Nxt2 W1G" w:cs="Segoe UI"/>
      <w:b w:val="0"/>
      <w:i/>
      <w:iCs/>
      <w:color w:val="5F497A" w:themeColor="accent4" w:themeShade="BF"/>
      <w:sz w:val="22"/>
      <w:szCs w:val="22"/>
      <w:lang w:eastAsia="en-GB"/>
    </w:rPr>
  </w:style>
  <w:style w:type="character" w:customStyle="1" w:styleId="AnnexHeading4Char">
    <w:name w:val="Annex Heading 4 Char"/>
    <w:basedOn w:val="Heading2Char"/>
    <w:link w:val="AnnexHeading4"/>
    <w:rsid w:val="00250529"/>
    <w:rPr>
      <w:rFonts w:ascii="Avenir Nxt2 W1G" w:eastAsiaTheme="majorEastAsia" w:hAnsi="Avenir Nxt2 W1G" w:cs="Segoe UI"/>
      <w:b w:val="0"/>
      <w:i/>
      <w:iCs/>
      <w:color w:val="5F497A" w:themeColor="accent4" w:themeShade="BF"/>
      <w:sz w:val="22"/>
      <w:szCs w:val="22"/>
      <w:lang w:val="en-GB" w:eastAsia="en-GB"/>
    </w:rPr>
  </w:style>
  <w:style w:type="paragraph" w:customStyle="1" w:styleId="Bulleta">
    <w:name w:val="Bullet a)"/>
    <w:basedOn w:val="ListParagraph"/>
    <w:link w:val="BulletaChar"/>
    <w:qFormat/>
    <w:rsid w:val="00250529"/>
    <w:pPr>
      <w:numPr>
        <w:numId w:val="2"/>
      </w:numPr>
      <w:spacing w:before="60" w:after="60"/>
      <w:contextualSpacing w:val="0"/>
    </w:pPr>
  </w:style>
  <w:style w:type="character" w:customStyle="1" w:styleId="ListParagraphChar">
    <w:name w:val="List Paragraph Char"/>
    <w:basedOn w:val="DefaultParagraphFont"/>
    <w:link w:val="ListParagraph"/>
    <w:uiPriority w:val="34"/>
    <w:rsid w:val="00250529"/>
    <w:rPr>
      <w:rFonts w:ascii="Avenir Nxt2 W1G" w:eastAsia="Aptos" w:hAnsi="Avenir Nxt2 W1G" w:cs="Arial"/>
      <w:kern w:val="2"/>
      <w:sz w:val="22"/>
      <w:szCs w:val="22"/>
      <w:lang w:val="en-GB" w:eastAsia="en-US"/>
      <w14:ligatures w14:val="standardContextual"/>
    </w:rPr>
  </w:style>
  <w:style w:type="character" w:customStyle="1" w:styleId="BulletaChar">
    <w:name w:val="Bullet a) Char"/>
    <w:basedOn w:val="ListParagraphChar"/>
    <w:link w:val="Bulleta"/>
    <w:rsid w:val="00250529"/>
    <w:rPr>
      <w:rFonts w:ascii="Avenir Nxt2 W1G" w:eastAsia="Aptos" w:hAnsi="Avenir Nxt2 W1G" w:cs="Arial"/>
      <w:kern w:val="2"/>
      <w:sz w:val="22"/>
      <w:szCs w:val="22"/>
      <w:lang w:val="en-GB" w:eastAsia="en-US"/>
      <w14:ligatures w14:val="standardContextual"/>
    </w:rPr>
  </w:style>
  <w:style w:type="paragraph" w:customStyle="1" w:styleId="Footnotes">
    <w:name w:val="Footnotes"/>
    <w:basedOn w:val="FootnoteText"/>
    <w:link w:val="FootnotesChar"/>
    <w:qFormat/>
    <w:rsid w:val="00250529"/>
    <w:pPr>
      <w:tabs>
        <w:tab w:val="clear" w:pos="284"/>
        <w:tab w:val="left" w:pos="256"/>
      </w:tabs>
      <w:spacing w:before="0"/>
      <w:ind w:left="255" w:hanging="255"/>
    </w:pPr>
    <w:rPr>
      <w:rFonts w:ascii="Avenir Nxt2 W1G" w:hAnsi="Avenir Nxt2 W1G"/>
      <w:sz w:val="18"/>
      <w:szCs w:val="18"/>
    </w:rPr>
  </w:style>
  <w:style w:type="character" w:customStyle="1" w:styleId="FootnotesChar">
    <w:name w:val="Footnotes Char"/>
    <w:basedOn w:val="FootnoteTextChar"/>
    <w:link w:val="Footnotes"/>
    <w:rsid w:val="00250529"/>
    <w:rPr>
      <w:rFonts w:ascii="Avenir Nxt2 W1G" w:hAnsi="Avenir Nxt2 W1G"/>
      <w:sz w:val="18"/>
      <w:szCs w:val="18"/>
      <w:lang w:val="en-GB" w:eastAsia="en-US"/>
    </w:rPr>
  </w:style>
  <w:style w:type="paragraph" w:customStyle="1" w:styleId="Texttable">
    <w:name w:val="Text table"/>
    <w:basedOn w:val="Normal"/>
    <w:link w:val="TexttableChar"/>
    <w:qFormat/>
    <w:rsid w:val="00250529"/>
    <w:pPr>
      <w:tabs>
        <w:tab w:val="clear" w:pos="567"/>
        <w:tab w:val="clear" w:pos="1134"/>
        <w:tab w:val="clear" w:pos="1701"/>
        <w:tab w:val="clear" w:pos="2268"/>
        <w:tab w:val="clear" w:pos="2835"/>
      </w:tabs>
      <w:overflowPunct/>
      <w:autoSpaceDE/>
      <w:autoSpaceDN/>
      <w:adjustRightInd/>
      <w:spacing w:before="60" w:after="60"/>
      <w:textAlignment w:val="auto"/>
    </w:pPr>
    <w:rPr>
      <w:rFonts w:ascii="Avenir Nxt2 W1G" w:eastAsia="Aptos" w:hAnsi="Avenir Nxt2 W1G" w:cs="Arial"/>
      <w:kern w:val="2"/>
      <w:sz w:val="20"/>
      <w14:ligatures w14:val="standardContextual"/>
    </w:rPr>
  </w:style>
  <w:style w:type="character" w:customStyle="1" w:styleId="TexttableChar">
    <w:name w:val="Text table Char"/>
    <w:basedOn w:val="DefaultParagraphFont"/>
    <w:link w:val="Texttable"/>
    <w:rsid w:val="00250529"/>
    <w:rPr>
      <w:rFonts w:ascii="Avenir Nxt2 W1G" w:eastAsia="Aptos" w:hAnsi="Avenir Nxt2 W1G" w:cs="Arial"/>
      <w:kern w:val="2"/>
      <w:lang w:val="en-GB" w:eastAsia="en-US"/>
      <w14:ligatures w14:val="standardContextual"/>
    </w:rPr>
  </w:style>
  <w:style w:type="paragraph" w:customStyle="1" w:styleId="Tablelist">
    <w:name w:val="Table list"/>
    <w:basedOn w:val="ListParagraph"/>
    <w:link w:val="TablelistChar"/>
    <w:qFormat/>
    <w:rsid w:val="00250529"/>
    <w:pPr>
      <w:numPr>
        <w:numId w:val="3"/>
      </w:numPr>
      <w:spacing w:before="60" w:after="60"/>
      <w:contextualSpacing w:val="0"/>
    </w:pPr>
  </w:style>
  <w:style w:type="character" w:customStyle="1" w:styleId="TablelistChar">
    <w:name w:val="Table list Char"/>
    <w:basedOn w:val="ListParagraphChar"/>
    <w:link w:val="Tablelist"/>
    <w:rsid w:val="00250529"/>
    <w:rPr>
      <w:rFonts w:ascii="Avenir Nxt2 W1G" w:eastAsia="Aptos" w:hAnsi="Avenir Nxt2 W1G" w:cs="Arial"/>
      <w:kern w:val="2"/>
      <w:sz w:val="22"/>
      <w:szCs w:val="22"/>
      <w:lang w:val="en-GB" w:eastAsia="en-US"/>
      <w14:ligatures w14:val="standardContextual"/>
    </w:rPr>
  </w:style>
  <w:style w:type="paragraph" w:customStyle="1" w:styleId="Tabletitle0">
    <w:name w:val="Table title"/>
    <w:basedOn w:val="Normal"/>
    <w:link w:val="TabletitleChar"/>
    <w:qFormat/>
    <w:rsid w:val="00250529"/>
    <w:pPr>
      <w:tabs>
        <w:tab w:val="clear" w:pos="567"/>
        <w:tab w:val="clear" w:pos="1134"/>
        <w:tab w:val="clear" w:pos="1701"/>
        <w:tab w:val="clear" w:pos="2268"/>
        <w:tab w:val="clear" w:pos="2835"/>
      </w:tabs>
      <w:overflowPunct/>
      <w:autoSpaceDE/>
      <w:autoSpaceDN/>
      <w:adjustRightInd/>
      <w:spacing w:before="60" w:after="60"/>
      <w:textAlignment w:val="auto"/>
    </w:pPr>
    <w:rPr>
      <w:rFonts w:ascii="Avenir Nxt2 W1G" w:eastAsia="Aptos" w:hAnsi="Avenir Nxt2 W1G" w:cs="Arial"/>
      <w:b/>
      <w:bCs/>
      <w:kern w:val="2"/>
      <w:sz w:val="20"/>
      <w14:ligatures w14:val="standardContextual"/>
    </w:rPr>
  </w:style>
  <w:style w:type="character" w:customStyle="1" w:styleId="TabletitleChar">
    <w:name w:val="Table title Char"/>
    <w:basedOn w:val="DefaultParagraphFont"/>
    <w:link w:val="Tabletitle0"/>
    <w:rsid w:val="00250529"/>
    <w:rPr>
      <w:rFonts w:ascii="Avenir Nxt2 W1G" w:eastAsia="Aptos" w:hAnsi="Avenir Nxt2 W1G" w:cs="Arial"/>
      <w:b/>
      <w:bCs/>
      <w:kern w:val="2"/>
      <w:lang w:val="en-GB" w:eastAsia="en-US"/>
      <w14:ligatures w14:val="standardContextual"/>
    </w:rPr>
  </w:style>
  <w:style w:type="paragraph" w:customStyle="1" w:styleId="Notes">
    <w:name w:val="Notes"/>
    <w:basedOn w:val="Normal"/>
    <w:link w:val="NotesChar"/>
    <w:qFormat/>
    <w:rsid w:val="00250529"/>
    <w:pPr>
      <w:tabs>
        <w:tab w:val="clear" w:pos="567"/>
        <w:tab w:val="clear" w:pos="1134"/>
        <w:tab w:val="clear" w:pos="1701"/>
        <w:tab w:val="clear" w:pos="2268"/>
        <w:tab w:val="clear" w:pos="2835"/>
      </w:tabs>
      <w:overflowPunct/>
      <w:autoSpaceDE/>
      <w:autoSpaceDN/>
      <w:adjustRightInd/>
      <w:spacing w:after="120"/>
      <w:textAlignment w:val="auto"/>
    </w:pPr>
    <w:rPr>
      <w:rFonts w:ascii="Avenir Nxt2 W1G" w:eastAsia="Aptos" w:hAnsi="Avenir Nxt2 W1G" w:cs="Arial"/>
      <w:kern w:val="2"/>
      <w:sz w:val="16"/>
      <w:szCs w:val="16"/>
      <w14:ligatures w14:val="standardContextual"/>
    </w:rPr>
  </w:style>
  <w:style w:type="character" w:customStyle="1" w:styleId="NotesChar">
    <w:name w:val="Notes Char"/>
    <w:basedOn w:val="DefaultParagraphFont"/>
    <w:link w:val="Notes"/>
    <w:rsid w:val="00250529"/>
    <w:rPr>
      <w:rFonts w:ascii="Avenir Nxt2 W1G" w:eastAsia="Aptos" w:hAnsi="Avenir Nxt2 W1G" w:cs="Arial"/>
      <w:kern w:val="2"/>
      <w:sz w:val="16"/>
      <w:szCs w:val="16"/>
      <w:lang w:val="en-GB" w:eastAsia="en-US"/>
      <w14:ligatures w14:val="standardContextual"/>
    </w:rPr>
  </w:style>
  <w:style w:type="paragraph" w:customStyle="1" w:styleId="SoWtitle">
    <w:name w:val="SoW title"/>
    <w:basedOn w:val="AnnexHeading3"/>
    <w:link w:val="SoWtitleChar"/>
    <w:qFormat/>
    <w:rsid w:val="00250529"/>
    <w:pPr>
      <w:numPr>
        <w:ilvl w:val="0"/>
        <w:numId w:val="0"/>
      </w:numPr>
      <w:jc w:val="left"/>
      <w:outlineLvl w:val="1"/>
    </w:pPr>
    <w:rPr>
      <w:bCs/>
      <w:lang w:eastAsia="en-GB"/>
    </w:rPr>
  </w:style>
  <w:style w:type="character" w:customStyle="1" w:styleId="SoWtitleChar">
    <w:name w:val="SoW title Char"/>
    <w:basedOn w:val="AnnexHeading3Char"/>
    <w:link w:val="SoWtitle"/>
    <w:rsid w:val="00250529"/>
    <w:rPr>
      <w:rFonts w:ascii="Avenir Nxt2 W1G" w:eastAsiaTheme="majorEastAsia" w:hAnsi="Avenir Nxt2 W1G" w:cstheme="majorBidi"/>
      <w:b/>
      <w:bCs/>
      <w:color w:val="00B0F0"/>
      <w:kern w:val="2"/>
      <w:sz w:val="22"/>
      <w:szCs w:val="22"/>
      <w:lang w:val="en-GB" w:eastAsia="en-GB"/>
      <w14:ligatures w14:val="standardContextual"/>
    </w:rPr>
  </w:style>
  <w:style w:type="paragraph" w:customStyle="1" w:styleId="Bulletlist">
    <w:name w:val="Bullet list"/>
    <w:basedOn w:val="paragraph"/>
    <w:link w:val="BulletlistChar"/>
    <w:qFormat/>
    <w:rsid w:val="00250529"/>
    <w:pPr>
      <w:numPr>
        <w:numId w:val="4"/>
      </w:numPr>
      <w:spacing w:before="60" w:beforeAutospacing="0" w:after="60" w:afterAutospacing="0"/>
    </w:pPr>
    <w:rPr>
      <w:rFonts w:ascii="Avenir Nxt2 W1G" w:eastAsiaTheme="majorEastAsia" w:hAnsi="Avenir Nxt2 W1G" w:cs="Segoe UI"/>
    </w:rPr>
  </w:style>
  <w:style w:type="character" w:customStyle="1" w:styleId="paragraphChar">
    <w:name w:val="paragraph Char"/>
    <w:basedOn w:val="DefaultParagraphFont"/>
    <w:link w:val="paragraph"/>
    <w:rsid w:val="00250529"/>
    <w:rPr>
      <w:rFonts w:ascii="Times New Roman" w:hAnsi="Times New Roman"/>
      <w:sz w:val="22"/>
      <w:szCs w:val="22"/>
      <w:lang w:val="en-GB" w:eastAsia="en-GB"/>
    </w:rPr>
  </w:style>
  <w:style w:type="character" w:customStyle="1" w:styleId="BulletlistChar">
    <w:name w:val="Bullet list Char"/>
    <w:basedOn w:val="paragraphChar"/>
    <w:link w:val="Bulletlist"/>
    <w:rsid w:val="00250529"/>
    <w:rPr>
      <w:rFonts w:ascii="Avenir Nxt2 W1G" w:eastAsiaTheme="majorEastAsia" w:hAnsi="Avenir Nxt2 W1G" w:cs="Segoe UI"/>
      <w:sz w:val="22"/>
      <w:szCs w:val="22"/>
      <w:lang w:val="en-GB" w:eastAsia="en-GB"/>
    </w:rPr>
  </w:style>
  <w:style w:type="paragraph" w:customStyle="1" w:styleId="Subtitleitalic">
    <w:name w:val="Subtitle italic"/>
    <w:basedOn w:val="Subtitle0"/>
    <w:link w:val="SubtitleitalicChar"/>
    <w:qFormat/>
    <w:rsid w:val="00250529"/>
    <w:rPr>
      <w:b w:val="0"/>
      <w:bCs w:val="0"/>
      <w:i/>
      <w:iCs/>
    </w:rPr>
  </w:style>
  <w:style w:type="character" w:customStyle="1" w:styleId="SubtitleitalicChar">
    <w:name w:val="Subtitle italic Char"/>
    <w:basedOn w:val="SubtitleChar"/>
    <w:link w:val="Subtitleitalic"/>
    <w:rsid w:val="00250529"/>
    <w:rPr>
      <w:rFonts w:ascii="Avenir Nxt2 W1G" w:eastAsia="Aptos" w:hAnsi="Avenir Nxt2 W1G" w:cs="Arial"/>
      <w:b w:val="0"/>
      <w:bCs w:val="0"/>
      <w:i/>
      <w:iCs/>
      <w:kern w:val="2"/>
      <w:sz w:val="22"/>
      <w:szCs w:val="22"/>
      <w:lang w:val="en-GB" w:eastAsia="en-GB"/>
      <w14:ligatures w14:val="standardContextual"/>
    </w:rPr>
  </w:style>
  <w:style w:type="paragraph" w:styleId="TOCHeading">
    <w:name w:val="TOC Heading"/>
    <w:basedOn w:val="Heading1"/>
    <w:next w:val="Normal"/>
    <w:uiPriority w:val="39"/>
    <w:unhideWhenUsed/>
    <w:qFormat/>
    <w:rsid w:val="00250529"/>
    <w:pPr>
      <w:tabs>
        <w:tab w:val="clear" w:pos="567"/>
        <w:tab w:val="clear" w:pos="1134"/>
        <w:tab w:val="clear" w:pos="1701"/>
        <w:tab w:val="clear" w:pos="2268"/>
        <w:tab w:val="clear" w:pos="2835"/>
      </w:tabs>
      <w:overflowPunct/>
      <w:autoSpaceDE/>
      <w:autoSpaceDN/>
      <w:adjustRightInd/>
      <w:spacing w:before="240" w:line="259" w:lineRule="auto"/>
      <w:ind w:left="0" w:firstLine="0"/>
      <w:jc w:val="both"/>
      <w:textAlignment w:val="auto"/>
      <w:outlineLvl w:val="9"/>
    </w:pPr>
    <w:rPr>
      <w:rFonts w:ascii="Avenir Nxt2 W1G" w:eastAsiaTheme="majorEastAsia" w:hAnsi="Avenir Nxt2 W1G" w:cstheme="majorBidi"/>
      <w:b w:val="0"/>
      <w:color w:val="5F497A" w:themeColor="accent4" w:themeShade="BF"/>
      <w:sz w:val="22"/>
      <w:szCs w:val="32"/>
      <w:lang w:val="en-US"/>
    </w:rPr>
  </w:style>
  <w:style w:type="paragraph" w:customStyle="1" w:styleId="WMOBodyText">
    <w:name w:val="WMO_BodyText"/>
    <w:link w:val="WMOBodyTextCharChar"/>
    <w:qFormat/>
    <w:rsid w:val="00250529"/>
    <w:pPr>
      <w:spacing w:before="240"/>
    </w:pPr>
    <w:rPr>
      <w:rFonts w:ascii="Verdana" w:eastAsia="Verdana" w:hAnsi="Verdana" w:cs="Verdana"/>
      <w:lang w:val="en-GB" w:eastAsia="zh-TW"/>
    </w:rPr>
  </w:style>
  <w:style w:type="character" w:customStyle="1" w:styleId="WMOBodyTextCharChar">
    <w:name w:val="WMO_BodyText Char Char"/>
    <w:basedOn w:val="DefaultParagraphFont"/>
    <w:link w:val="WMOBodyText"/>
    <w:rsid w:val="00250529"/>
    <w:rPr>
      <w:rFonts w:ascii="Verdana" w:eastAsia="Verdana" w:hAnsi="Verdana" w:cs="Verdana"/>
      <w:lang w:val="en-GB" w:eastAsia="zh-TW"/>
    </w:rPr>
  </w:style>
  <w:style w:type="paragraph" w:customStyle="1" w:styleId="KPItitle">
    <w:name w:val="KPI title"/>
    <w:basedOn w:val="SoWtitle"/>
    <w:link w:val="KPItitleChar"/>
    <w:qFormat/>
    <w:rsid w:val="00250529"/>
    <w:pPr>
      <w:outlineLvl w:val="2"/>
    </w:pPr>
  </w:style>
  <w:style w:type="character" w:styleId="SubtleEmphasis">
    <w:name w:val="Subtle Emphasis"/>
    <w:basedOn w:val="DefaultParagraphFont"/>
    <w:uiPriority w:val="19"/>
    <w:qFormat/>
    <w:rsid w:val="00250529"/>
    <w:rPr>
      <w:i/>
      <w:iCs/>
      <w:color w:val="404040" w:themeColor="text1" w:themeTint="BF"/>
    </w:rPr>
  </w:style>
  <w:style w:type="paragraph" w:customStyle="1" w:styleId="SubHeadingRegion">
    <w:name w:val="Sub Heading Region"/>
    <w:basedOn w:val="Normal"/>
    <w:link w:val="SubHeadingRegionChar"/>
    <w:qFormat/>
    <w:rsid w:val="00250529"/>
    <w:pPr>
      <w:tabs>
        <w:tab w:val="clear" w:pos="567"/>
        <w:tab w:val="clear" w:pos="1134"/>
        <w:tab w:val="clear" w:pos="1701"/>
        <w:tab w:val="clear" w:pos="2268"/>
        <w:tab w:val="clear" w:pos="2835"/>
      </w:tabs>
      <w:overflowPunct/>
      <w:autoSpaceDE/>
      <w:autoSpaceDN/>
      <w:adjustRightInd/>
      <w:spacing w:before="240" w:after="240"/>
      <w:textAlignment w:val="auto"/>
    </w:pPr>
    <w:rPr>
      <w:rFonts w:ascii="Avenir Nxt2 W1G" w:eastAsia="Aptos" w:hAnsi="Avenir Nxt2 W1G" w:cs="Arial"/>
      <w:kern w:val="2"/>
      <w:sz w:val="22"/>
      <w:szCs w:val="22"/>
      <w14:ligatures w14:val="standardContextual"/>
    </w:rPr>
  </w:style>
  <w:style w:type="character" w:customStyle="1" w:styleId="SubHeadingRegionChar">
    <w:name w:val="Sub Heading Region Char"/>
    <w:basedOn w:val="DefaultParagraphFont"/>
    <w:link w:val="SubHeadingRegion"/>
    <w:rsid w:val="00250529"/>
    <w:rPr>
      <w:rFonts w:ascii="Avenir Nxt2 W1G" w:eastAsia="Aptos" w:hAnsi="Avenir Nxt2 W1G" w:cs="Arial"/>
      <w:kern w:val="2"/>
      <w:sz w:val="22"/>
      <w:szCs w:val="22"/>
      <w:lang w:val="en-GB" w:eastAsia="en-US"/>
      <w14:ligatures w14:val="standardContextual"/>
    </w:rPr>
  </w:style>
  <w:style w:type="paragraph" w:customStyle="1" w:styleId="HeadingRegion">
    <w:name w:val="Heading Region"/>
    <w:basedOn w:val="Normal"/>
    <w:link w:val="HeadingRegionChar"/>
    <w:qFormat/>
    <w:rsid w:val="00250529"/>
    <w:pPr>
      <w:tabs>
        <w:tab w:val="clear" w:pos="567"/>
        <w:tab w:val="clear" w:pos="1134"/>
        <w:tab w:val="clear" w:pos="1701"/>
        <w:tab w:val="clear" w:pos="2268"/>
        <w:tab w:val="clear" w:pos="2835"/>
      </w:tabs>
      <w:overflowPunct/>
      <w:autoSpaceDE/>
      <w:autoSpaceDN/>
      <w:adjustRightInd/>
      <w:spacing w:before="240" w:after="240"/>
      <w:textAlignment w:val="auto"/>
    </w:pPr>
    <w:rPr>
      <w:rFonts w:ascii="Avenir Nxt2 W1G" w:eastAsia="Aptos" w:hAnsi="Avenir Nxt2 W1G" w:cs="Arial"/>
      <w:b/>
      <w:bCs/>
      <w:color w:val="5F497A" w:themeColor="accent4" w:themeShade="BF"/>
      <w:kern w:val="2"/>
      <w:sz w:val="22"/>
      <w:szCs w:val="22"/>
      <w:lang w:eastAsia="en-GB"/>
      <w14:ligatures w14:val="standardContextual"/>
    </w:rPr>
  </w:style>
  <w:style w:type="character" w:customStyle="1" w:styleId="HeadingRegionChar">
    <w:name w:val="Heading Region Char"/>
    <w:basedOn w:val="DefaultParagraphFont"/>
    <w:link w:val="HeadingRegion"/>
    <w:rsid w:val="00250529"/>
    <w:rPr>
      <w:rFonts w:ascii="Avenir Nxt2 W1G" w:eastAsia="Aptos" w:hAnsi="Avenir Nxt2 W1G" w:cs="Arial"/>
      <w:b/>
      <w:bCs/>
      <w:color w:val="5F497A" w:themeColor="accent4" w:themeShade="BF"/>
      <w:kern w:val="2"/>
      <w:sz w:val="22"/>
      <w:szCs w:val="22"/>
      <w:lang w:val="en-GB" w:eastAsia="en-GB"/>
      <w14:ligatures w14:val="standardContextual"/>
    </w:rPr>
  </w:style>
  <w:style w:type="paragraph" w:customStyle="1" w:styleId="TitleKPI">
    <w:name w:val="Title KPI_"/>
    <w:basedOn w:val="ListParagraph"/>
    <w:link w:val="TitleKPIChar"/>
    <w:qFormat/>
    <w:rsid w:val="00250529"/>
    <w:pPr>
      <w:numPr>
        <w:numId w:val="52"/>
      </w:numPr>
      <w:ind w:left="357" w:hanging="357"/>
      <w:contextualSpacing w:val="0"/>
    </w:pPr>
  </w:style>
  <w:style w:type="character" w:customStyle="1" w:styleId="TitleKPIChar">
    <w:name w:val="Title KPI_ Char"/>
    <w:basedOn w:val="ListParagraphChar"/>
    <w:link w:val="TitleKPI"/>
    <w:rsid w:val="00250529"/>
    <w:rPr>
      <w:rFonts w:ascii="Avenir Nxt2 W1G" w:eastAsia="Aptos" w:hAnsi="Avenir Nxt2 W1G" w:cs="Arial"/>
      <w:kern w:val="2"/>
      <w:sz w:val="22"/>
      <w:szCs w:val="22"/>
      <w:lang w:val="en-GB" w:eastAsia="en-US"/>
      <w14:ligatures w14:val="standardContextual"/>
    </w:rPr>
  </w:style>
  <w:style w:type="character" w:customStyle="1" w:styleId="KPItitleChar">
    <w:name w:val="KPI title Char"/>
    <w:basedOn w:val="SoWtitleChar"/>
    <w:link w:val="KPItitle"/>
    <w:rsid w:val="00250529"/>
    <w:rPr>
      <w:rFonts w:ascii="Avenir Nxt2 W1G" w:eastAsiaTheme="majorEastAsia" w:hAnsi="Avenir Nxt2 W1G" w:cstheme="majorBidi"/>
      <w:b/>
      <w:bCs/>
      <w:color w:val="00B0F0"/>
      <w:kern w:val="2"/>
      <w:sz w:val="22"/>
      <w:szCs w:val="22"/>
      <w:lang w:val="en-GB" w:eastAsia="en-GB"/>
      <w14:ligatures w14:val="standardContextual"/>
    </w:rPr>
  </w:style>
  <w:style w:type="character" w:styleId="EndnoteReference">
    <w:name w:val="endnote reference"/>
    <w:basedOn w:val="DefaultParagraphFont"/>
    <w:uiPriority w:val="99"/>
    <w:semiHidden/>
    <w:unhideWhenUsed/>
    <w:rsid w:val="00250529"/>
    <w:rPr>
      <w:vertAlign w:val="superscript"/>
    </w:rPr>
  </w:style>
  <w:style w:type="paragraph" w:styleId="Date">
    <w:name w:val="Date"/>
    <w:basedOn w:val="Normal"/>
    <w:next w:val="Normal"/>
    <w:link w:val="DateChar"/>
    <w:uiPriority w:val="99"/>
    <w:unhideWhenUsed/>
    <w:rsid w:val="00250529"/>
    <w:pPr>
      <w:tabs>
        <w:tab w:val="clear" w:pos="567"/>
        <w:tab w:val="clear" w:pos="1134"/>
        <w:tab w:val="clear" w:pos="1701"/>
        <w:tab w:val="clear" w:pos="2268"/>
        <w:tab w:val="clear" w:pos="2835"/>
      </w:tabs>
      <w:overflowPunct/>
      <w:autoSpaceDE/>
      <w:autoSpaceDN/>
      <w:adjustRightInd/>
      <w:spacing w:before="240" w:after="240"/>
      <w:textAlignment w:val="auto"/>
    </w:pPr>
    <w:rPr>
      <w:rFonts w:ascii="Avenir Nxt2 W1G" w:eastAsia="Aptos" w:hAnsi="Avenir Nxt2 W1G" w:cs="Arial"/>
      <w:kern w:val="2"/>
      <w:sz w:val="22"/>
      <w:szCs w:val="22"/>
      <w14:ligatures w14:val="standardContextual"/>
    </w:rPr>
  </w:style>
  <w:style w:type="character" w:customStyle="1" w:styleId="DateChar">
    <w:name w:val="Date Char"/>
    <w:basedOn w:val="DefaultParagraphFont"/>
    <w:link w:val="Date"/>
    <w:uiPriority w:val="99"/>
    <w:rsid w:val="00250529"/>
    <w:rPr>
      <w:rFonts w:ascii="Avenir Nxt2 W1G" w:eastAsia="Aptos" w:hAnsi="Avenir Nxt2 W1G" w:cs="Arial"/>
      <w:kern w:val="2"/>
      <w:sz w:val="22"/>
      <w:szCs w:val="22"/>
      <w:lang w:val="en-GB" w:eastAsia="en-US"/>
      <w14:ligatures w14:val="standardContextual"/>
    </w:rPr>
  </w:style>
  <w:style w:type="table" w:styleId="GridTable4-Accent1">
    <w:name w:val="Grid Table 4 Accent 1"/>
    <w:basedOn w:val="TableNormal"/>
    <w:uiPriority w:val="49"/>
    <w:rsid w:val="007B220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council/planning/Documents/ITU-Annual-report-2024-english.pdf" TargetMode="External"/><Relationship Id="rId21" Type="http://schemas.openxmlformats.org/officeDocument/2006/relationships/hyperlink" Target="https://www.itu.int/md/S25-CL-C-0105/en" TargetMode="External"/><Relationship Id="rId42" Type="http://schemas.openxmlformats.org/officeDocument/2006/relationships/image" Target="media/image6.png"/><Relationship Id="rId63" Type="http://schemas.openxmlformats.org/officeDocument/2006/relationships/hyperlink" Target="https://www.itu.int/md/D22-WTDC25-C-0002/en" TargetMode="External"/><Relationship Id="rId84" Type="http://schemas.openxmlformats.org/officeDocument/2006/relationships/hyperlink" Target="https://www.itu.int/md/S24-CL-C-0066/en" TargetMode="External"/><Relationship Id="rId138" Type="http://schemas.openxmlformats.org/officeDocument/2006/relationships/footer" Target="footer2.xml"/><Relationship Id="rId107" Type="http://schemas.openxmlformats.org/officeDocument/2006/relationships/hyperlink" Target="https://view.officeapps.live.com/op/view.aspx?src=https%3A%2F%2Fwww.itu.int%2Fdms_pub%2Fitu-s%2Fmd%2F25%2Fcl%2Fc%2FS25-CL-C-0025!R1!MSW-E.docx&amp;wdOrigin=BROWSELINK" TargetMode="External"/><Relationship Id="rId11" Type="http://schemas.openxmlformats.org/officeDocument/2006/relationships/hyperlink" Target="https://www.itu.int/md/S26-CL-C-0024/en" TargetMode="External"/><Relationship Id="rId32" Type="http://schemas.openxmlformats.org/officeDocument/2006/relationships/hyperlink" Target="https://www.itu.int/md/S25-CWGFHR21-C-0025/en" TargetMode="External"/><Relationship Id="rId53" Type="http://schemas.openxmlformats.org/officeDocument/2006/relationships/hyperlink" Target="https://www.itu.int/md/R23-RAG-C-0037/en" TargetMode="External"/><Relationship Id="rId74" Type="http://schemas.openxmlformats.org/officeDocument/2006/relationships/hyperlink" Target="https://www.itu.int/en/ITU-D/Pages/Regional-Presence.aspx" TargetMode="External"/><Relationship Id="rId128" Type="http://schemas.openxmlformats.org/officeDocument/2006/relationships/hyperlink" Target="https://view.officeapps.live.com/op/view.aspx?src=https%3A%2F%2Fwww.itu.int%2Fdms_pub%2Fitu-s%2Fmd%2F25%2Fcl%2Fc%2FS25-CL-C-0025!R1!MSW-E.docx&amp;wdOrigin=BROWSELINK" TargetMode="External"/><Relationship Id="rId5" Type="http://schemas.openxmlformats.org/officeDocument/2006/relationships/numbering" Target="numbering.xml"/><Relationship Id="rId90" Type="http://schemas.openxmlformats.org/officeDocument/2006/relationships/hyperlink" Target="https://www.itu.int/md/S26-CWGFHR22-C-0004" TargetMode="External"/><Relationship Id="rId95" Type="http://schemas.openxmlformats.org/officeDocument/2006/relationships/hyperlink" Target="https://www.itu.int/md/S25-CL-C-0025" TargetMode="External"/><Relationship Id="rId22" Type="http://schemas.openxmlformats.org/officeDocument/2006/relationships/hyperlink" Target="https://www.itu.int/md/S25-CL-C-0105/en" TargetMode="External"/><Relationship Id="rId27" Type="http://schemas.openxmlformats.org/officeDocument/2006/relationships/hyperlink" Target="https://www.itu.int/md/S26-CWGFHR22-C-0004/en" TargetMode="External"/><Relationship Id="rId43" Type="http://schemas.openxmlformats.org/officeDocument/2006/relationships/hyperlink" Target="https://www.itu.int/md/S26-CWGFHR22-C-0004/en" TargetMode="External"/><Relationship Id="rId48" Type="http://schemas.openxmlformats.org/officeDocument/2006/relationships/hyperlink" Target="https://www.itu.int/md/D22-TDAG32-C-0040/en" TargetMode="External"/><Relationship Id="rId64" Type="http://schemas.openxmlformats.org/officeDocument/2006/relationships/hyperlink" Target="https://view.officeapps.live.com/op/view.aspx?src=https%3A%2F%2Fwww.itu.int%2Fdms_pub%2Fitu-s%2Fmd%2F25%2Fcl%2Fc%2FS25-CL-C-0066!!MSW-E.docx&amp;wdOrigin=BROWSELINK" TargetMode="External"/><Relationship Id="rId69" Type="http://schemas.openxmlformats.org/officeDocument/2006/relationships/hyperlink" Target="https://www.itu.int/md/D22-TDAG32-C-0040/en" TargetMode="External"/><Relationship Id="rId113" Type="http://schemas.openxmlformats.org/officeDocument/2006/relationships/hyperlink" Target="http://web.itu.int/dms_pub/itu-s/opb/conf/S-CONF-ACTF-2022-PDF-E.pdf" TargetMode="External"/><Relationship Id="rId118" Type="http://schemas.openxmlformats.org/officeDocument/2006/relationships/hyperlink" Target="https://view.officeapps.live.com/op/view.aspx?src=https%3A%2F%2Fwww.itu.int%2Fdms_pub%2Fitu-s%2Fmd%2F25%2Fcwgsfp3%2Fc%2FS25-CWGSFP3-C-0007!!MSW-E.docx&amp;wdOrigin=BROWSELINK" TargetMode="External"/><Relationship Id="rId134" Type="http://schemas.openxmlformats.org/officeDocument/2006/relationships/hyperlink" Target="https://www.itu.int/md/S26-CWGFHR22-C-0004/en" TargetMode="External"/><Relationship Id="rId139" Type="http://schemas.openxmlformats.org/officeDocument/2006/relationships/header" Target="header3.xml"/><Relationship Id="rId80" Type="http://schemas.openxmlformats.org/officeDocument/2006/relationships/hyperlink" Target="https://view.officeapps.live.com/op/view.aspx?src=https%3A%2F%2Fwww.itu.int%2Fdms_pub%2Fitu-s%2Fmd%2F21%2Fcl%2Fc%2FS21-CL-C-0097!!MSW-E.docx&amp;wdOrigin=BROWSELINK" TargetMode="External"/><Relationship Id="rId85" Type="http://schemas.openxmlformats.org/officeDocument/2006/relationships/hyperlink" Target="https://www.itu.int/md/S23-CWGFHR16-C-0010/en" TargetMode="External"/><Relationship Id="rId12" Type="http://schemas.openxmlformats.org/officeDocument/2006/relationships/image" Target="media/image1.jpeg"/><Relationship Id="rId17" Type="http://schemas.openxmlformats.org/officeDocument/2006/relationships/hyperlink" Target="https://www.itu.int/md/S25-CWGFHR20-C-0032/en" TargetMode="External"/><Relationship Id="rId33" Type="http://schemas.openxmlformats.org/officeDocument/2006/relationships/hyperlink" Target="https://www.itu.int/md/S26-CWGFHR22-C-0004/en" TargetMode="External"/><Relationship Id="rId38" Type="http://schemas.openxmlformats.org/officeDocument/2006/relationships/hyperlink" Target="https://www.itu.int/md/T25-TSAG-260126-TD-GEN-0313/en" TargetMode="External"/><Relationship Id="rId59" Type="http://schemas.openxmlformats.org/officeDocument/2006/relationships/hyperlink" Target="https://www.itu.int/md/T25-TSAG-250526-TD-GEN-0137" TargetMode="External"/><Relationship Id="rId103" Type="http://schemas.openxmlformats.org/officeDocument/2006/relationships/hyperlink" Target="https://www.itu.int/en/fellowships/Pages/default.aspx" TargetMode="External"/><Relationship Id="rId108" Type="http://schemas.openxmlformats.org/officeDocument/2006/relationships/hyperlink" Target="https://www.itu.int/md/T25-TSAG-250526-TD-GEN-0067/en" TargetMode="External"/><Relationship Id="rId124" Type="http://schemas.openxmlformats.org/officeDocument/2006/relationships/hyperlink" Target="https://eur03.safelinks.protection.outlook.com/?url=https%3A%2F%2Fwww.unjiu.org%2Fsites%2Fwww.unjiu.org%2Ffiles%2Fjiu_document_files%2Fproducts%2Fen%2Freports-notes%2FJIU%2520Products%2FJIU_REP_2016_1_English.pdf&amp;data=05%7C02%7CHani.Eskandar%40itu.int%7C806bddaa27e34d4a5e3e08ddea254bc9%7C23e464d704e64b87913c24bd89219fd3%7C0%7C0%7C638924168104739900%7CUnknown%7CTWFpbGZsb3d8eyJFbXB0eU1hcGkiOnRydWUsIlYiOiIwLjAuMDAwMCIsIlAiOiJXaW4zMiIsIkFOIjoiTWFpbCIsIldUIjoyfQ%3D%3D%7C0%7C%7C%7C&amp;sdata=CcoJgRq576Zhy91XZ2wxPcpDR7PlWmnRC3xslDt0b5w%3D&amp;reserved=0" TargetMode="External"/><Relationship Id="rId129" Type="http://schemas.openxmlformats.org/officeDocument/2006/relationships/hyperlink" Target="https://www.itu.int/en/council/planning/Documents/ITU-Annual-report-2024-english.pdf" TargetMode="External"/><Relationship Id="rId54" Type="http://schemas.openxmlformats.org/officeDocument/2006/relationships/hyperlink" Target="https://www.itu.int/md/D22-TDAG32-C-0040/en" TargetMode="External"/><Relationship Id="rId70" Type="http://schemas.openxmlformats.org/officeDocument/2006/relationships/hyperlink" Target="https://www.itu.int/en/ITU-D/Conferences/TDAG/Pages/dashboards/2025/Regional-Initiatives.aspx" TargetMode="External"/><Relationship Id="rId75" Type="http://schemas.openxmlformats.org/officeDocument/2006/relationships/hyperlink" Target="https://www.itu.int/dms_pub/itu-s/md/25/cl/c/S25-CL-C-0035!!MSW-E.docx" TargetMode="External"/><Relationship Id="rId91" Type="http://schemas.openxmlformats.org/officeDocument/2006/relationships/image" Target="media/image11.png"/><Relationship Id="rId96" Type="http://schemas.openxmlformats.org/officeDocument/2006/relationships/hyperlink" Target="https://www.itu.int/md/D22-WTDC25-C-0002" TargetMode="External"/><Relationship Id="rId140" Type="http://schemas.openxmlformats.org/officeDocument/2006/relationships/header" Target="header4.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tu.int/md/S25-CL-C-0105/en" TargetMode="External"/><Relationship Id="rId28" Type="http://schemas.openxmlformats.org/officeDocument/2006/relationships/hyperlink" Target="https://www.itu.int/md/S26-CWGFHR22-C-0004/en" TargetMode="External"/><Relationship Id="rId49" Type="http://schemas.openxmlformats.org/officeDocument/2006/relationships/hyperlink" Target="https://www.itu.int/en/ITU-D/Conferences/TDAG/Pages/dashboards/2025/Regional-Initiatives.aspx" TargetMode="External"/><Relationship Id="rId114" Type="http://schemas.openxmlformats.org/officeDocument/2006/relationships/hyperlink" Target="https://view.officeapps.live.com/op/view.aspx?src=https%3A%2F%2Fwww.itu.int%2Fdms_pub%2Fitu-d%2Fmd%2F22%2Ftdag30%2Fc%2FD22-TDAG30-C-0046!!MSW-E.docx&amp;wdOrigin=BROWSELINK" TargetMode="External"/><Relationship Id="rId119" Type="http://schemas.openxmlformats.org/officeDocument/2006/relationships/hyperlink" Target="https://www.itu.int/md/D22-WTDC25-C-0002/en" TargetMode="External"/><Relationship Id="rId44" Type="http://schemas.openxmlformats.org/officeDocument/2006/relationships/hyperlink" Target="https://www.itu.int/dms_pub/itu-s/md/25/cl/c/S25-CL-C-0035!!MSW-E.docx" TargetMode="External"/><Relationship Id="rId60" Type="http://schemas.openxmlformats.org/officeDocument/2006/relationships/hyperlink" Target="https://www.itu.int/md/D22-TDAG32-C-0040/en" TargetMode="External"/><Relationship Id="rId65" Type="http://schemas.openxmlformats.org/officeDocument/2006/relationships/hyperlink" Target="https://www.itu.int/net4/Search/CL25/Main/Reader" TargetMode="External"/><Relationship Id="rId81" Type="http://schemas.openxmlformats.org/officeDocument/2006/relationships/hyperlink" Target="https://view.officeapps.live.com/op/view.aspx?src=https%3A%2F%2Fwww.itu.int%2Fdms_pub%2Fitu-s%2Fmd%2F23%2Fcl%2Fc%2FS23-CL-C-0115!!MSW-E.docx&amp;wdOrigin=BROWSELINK" TargetMode="External"/><Relationship Id="rId86" Type="http://schemas.openxmlformats.org/officeDocument/2006/relationships/image" Target="media/image7.png"/><Relationship Id="rId130" Type="http://schemas.openxmlformats.org/officeDocument/2006/relationships/hyperlink" Target="https://view.officeapps.live.com/op/view.aspx?src=https%3A%2F%2Fwww.itu.int%2Fdms_pub%2Fitu-s%2Fmd%2F25%2Fcl%2Fc%2FS25-CL-C-0025!R1!MSW-E.docx&amp;wdOrigin=BROWSELINK" TargetMode="External"/><Relationship Id="rId135"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itu.int/md/S25-CL-C-0105/en" TargetMode="External"/><Relationship Id="rId39" Type="http://schemas.openxmlformats.org/officeDocument/2006/relationships/hyperlink" Target="https://www.itu.int/en/council/ties/Documents/2026/Review-of-the-ITU-Regional-Presence.pdf" TargetMode="External"/><Relationship Id="rId109" Type="http://schemas.openxmlformats.org/officeDocument/2006/relationships/hyperlink" Target="https://www.itu.int/en/council/planning/Documents/ITU-Annual-report-2024-english.pdf" TargetMode="External"/><Relationship Id="rId34" Type="http://schemas.openxmlformats.org/officeDocument/2006/relationships/hyperlink" Target="https://www.itu.int/md/S26-CWGFHR22-C-0004/en" TargetMode="External"/><Relationship Id="rId50" Type="http://schemas.openxmlformats.org/officeDocument/2006/relationships/hyperlink" Target="https://www.itu.int/en/ITU-D/Conferences/TDAG/Pages/dashboards/2025/Operational-Plan-Reporting-Dashboard.aspx" TargetMode="External"/><Relationship Id="rId55" Type="http://schemas.openxmlformats.org/officeDocument/2006/relationships/hyperlink" Target="https://www.itu.int/dms_pub/itu-s/md/25/cl/c/S25-CL-C-0035!!MSW-E.docx" TargetMode="External"/><Relationship Id="rId76" Type="http://schemas.openxmlformats.org/officeDocument/2006/relationships/hyperlink" Target="https://www.itu.int/md/R23-RAG-C-0037/en" TargetMode="External"/><Relationship Id="rId97" Type="http://schemas.openxmlformats.org/officeDocument/2006/relationships/hyperlink" Target="https://www.itu.int/md/S25-CL-C-0035/en" TargetMode="External"/><Relationship Id="rId104" Type="http://schemas.openxmlformats.org/officeDocument/2006/relationships/hyperlink" Target="https://www.itu.int/md/S24-CL-C-0100" TargetMode="External"/><Relationship Id="rId120" Type="http://schemas.openxmlformats.org/officeDocument/2006/relationships/hyperlink" Target="https://view.officeapps.live.com/op/view.aspx?src=https%3A%2F%2Fwww.itu.int%2Fdms_pub%2Fitu-s%2Fmd%2F25%2Fcl%2Fc%2FS25-CL-C-0066!!MSW-E.docx&amp;wdOrigin=BROWSELINK" TargetMode="External"/><Relationship Id="rId125" Type="http://schemas.openxmlformats.org/officeDocument/2006/relationships/hyperlink" Target="https://www.itu.int/en/council/planning/Documents/ITU-Annual-report-2024-english.pdf" TargetMode="External"/><Relationship Id="rId141" Type="http://schemas.openxmlformats.org/officeDocument/2006/relationships/footer" Target="footer3.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itu.int/en/ITU-D/Conferences/TDAG/Pages/dashboards/2025/Operational-Plan-Reporting-Dashboard.aspx" TargetMode="External"/><Relationship Id="rId92" Type="http://schemas.openxmlformats.org/officeDocument/2006/relationships/hyperlink" Target="https://www.itu.int/en/council/Documents/basic-texts-2023/RES-071-E.pdf" TargetMode="External"/><Relationship Id="rId2" Type="http://schemas.openxmlformats.org/officeDocument/2006/relationships/customXml" Target="../customXml/item2.xml"/><Relationship Id="rId29" Type="http://schemas.openxmlformats.org/officeDocument/2006/relationships/hyperlink" Target="https://www.itu.int/en/ITU-D/Statistics/Pages/surveys/2026/Regional-Presence-Survey-Dashboard.aspx" TargetMode="External"/><Relationship Id="rId24" Type="http://schemas.openxmlformats.org/officeDocument/2006/relationships/hyperlink" Target="https://www.itu.int/dms_pub/itu-d/md/22/bdt/cir/D22-BDT-CIR-0084!!PDF-E.pdf" TargetMode="External"/><Relationship Id="rId40" Type="http://schemas.openxmlformats.org/officeDocument/2006/relationships/hyperlink" Target="https://www.itu.int/md/R23-RAG-C-0066/en" TargetMode="External"/><Relationship Id="rId45" Type="http://schemas.openxmlformats.org/officeDocument/2006/relationships/hyperlink" Target="https://www.itu.int/md/S25-CWGSFP3-C-0007/en" TargetMode="External"/><Relationship Id="rId66" Type="http://schemas.openxmlformats.org/officeDocument/2006/relationships/hyperlink" Target="https://www.itu.int/en/ITU-D/Regional-Presence/Europe/Pages/Events/2023/ITURDF/contributions/default.aspx" TargetMode="External"/><Relationship Id="rId87" Type="http://schemas.openxmlformats.org/officeDocument/2006/relationships/image" Target="media/image8.png"/><Relationship Id="rId110" Type="http://schemas.openxmlformats.org/officeDocument/2006/relationships/hyperlink" Target="https://ituint-my.sharepoint.com/:w:/r/personal/hani_eskandar_itu_int/Documents/S25-CWGSFP3-C-0007!!MSW-E%201.docx?d=w1f67c8090c914ca8be696a46dd77cf0a&amp;csf=1&amp;web=1&amp;e=8JOlLG" TargetMode="External"/><Relationship Id="rId115" Type="http://schemas.openxmlformats.org/officeDocument/2006/relationships/hyperlink" Target="https://view.officeapps.live.com/op/view.aspx?src=https%3A%2F%2Fwww.itu.int%2Fdms_pub%2Fitu-s%2Fmd%2F23%2Fcl%2Fc%2FS23-CL-C-0115!!MSW-E.docx&amp;wdOrigin=BROWSELINK" TargetMode="External"/><Relationship Id="rId131" Type="http://schemas.openxmlformats.org/officeDocument/2006/relationships/hyperlink" Target="https://www.itu.int/md/D22-WTDC25-C-0002/en" TargetMode="External"/><Relationship Id="rId136" Type="http://schemas.openxmlformats.org/officeDocument/2006/relationships/footer" Target="footer1.xml"/><Relationship Id="rId61" Type="http://schemas.openxmlformats.org/officeDocument/2006/relationships/hyperlink" Target="https://www.itu.int/md/D22-TDAG30-C-0046/en" TargetMode="External"/><Relationship Id="rId82" Type="http://schemas.openxmlformats.org/officeDocument/2006/relationships/hyperlink" Target="https://www.itu.int/dms_pub/itu-d/md/22/tdag30/c/D22-TDAG30-C-0025!N1!MSW-E.docx" TargetMode="External"/><Relationship Id="rId19" Type="http://schemas.openxmlformats.org/officeDocument/2006/relationships/hyperlink" Target="https://www.itu.int/md/S25-CL-C-0069/en" TargetMode="External"/><Relationship Id="rId14" Type="http://schemas.openxmlformats.org/officeDocument/2006/relationships/image" Target="media/image3.png"/><Relationship Id="rId30" Type="http://schemas.openxmlformats.org/officeDocument/2006/relationships/hyperlink" Target="https://www.itu.int/md/S25-CL-C-0105/en" TargetMode="External"/><Relationship Id="rId35" Type="http://schemas.openxmlformats.org/officeDocument/2006/relationships/hyperlink" Target="https://www.itu.int/md/S26-CWGFHR22-C-0004/en" TargetMode="External"/><Relationship Id="rId56" Type="http://schemas.openxmlformats.org/officeDocument/2006/relationships/hyperlink" Target="https://www.itu.int/md/S25-CWGSFP3-C-0007/en" TargetMode="External"/><Relationship Id="rId77" Type="http://schemas.openxmlformats.org/officeDocument/2006/relationships/hyperlink" Target="https://www.itu.int/md/T25-TSAG-250526-TD-GEN-0137" TargetMode="External"/><Relationship Id="rId100" Type="http://schemas.openxmlformats.org/officeDocument/2006/relationships/hyperlink" Target="https://www.itu.int/md/D22-TDAG32-C-0040" TargetMode="External"/><Relationship Id="rId105" Type="http://schemas.openxmlformats.org/officeDocument/2006/relationships/hyperlink" Target="https://www.itu.int/en/council/planning/Documents/ITU-Annual-report-2024-english.pdf" TargetMode="External"/><Relationship Id="rId126" Type="http://schemas.openxmlformats.org/officeDocument/2006/relationships/hyperlink" Target="https://www.itu.int/md/D22-WTDC25-C-0002/en" TargetMode="External"/><Relationship Id="rId8" Type="http://schemas.openxmlformats.org/officeDocument/2006/relationships/webSettings" Target="webSettings.xml"/><Relationship Id="rId51" Type="http://schemas.openxmlformats.org/officeDocument/2006/relationships/hyperlink" Target="https://www.itu.int/md/D22-WTDC25-C-0002/en" TargetMode="External"/><Relationship Id="rId72" Type="http://schemas.openxmlformats.org/officeDocument/2006/relationships/hyperlink" Target="https://www.itu.int/itu-d/meetings/rdf/" TargetMode="External"/><Relationship Id="rId93" Type="http://schemas.openxmlformats.org/officeDocument/2006/relationships/hyperlink" Target="https://www.itu.int/md/S25-CWGSFP3-C-0006/en" TargetMode="External"/><Relationship Id="rId98" Type="http://schemas.openxmlformats.org/officeDocument/2006/relationships/hyperlink" Target="https://www.itu.int/md/R23-RAG-C-0037" TargetMode="External"/><Relationship Id="rId121" Type="http://schemas.openxmlformats.org/officeDocument/2006/relationships/hyperlink" Target="https://view.officeapps.live.com/op/view.aspx?src=https%3A%2F%2Fwww.itu.int%2Fdms_pub%2Fitu-s%2Fmd%2F25%2Fcl%2Fc%2FS25-CL-C-0025!R1!MSW-E.docx&amp;wdOrigin=BROWSELINK" TargetMode="External"/><Relationship Id="rId142"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www.itu.int/md/R23-RAG-C-0037/en" TargetMode="External"/><Relationship Id="rId67" Type="http://schemas.openxmlformats.org/officeDocument/2006/relationships/hyperlink" Target="https://www.itu.int/md/D22-WTDC25-C-0002/en" TargetMode="External"/><Relationship Id="rId116" Type="http://schemas.openxmlformats.org/officeDocument/2006/relationships/hyperlink" Target="https://view.officeapps.live.com/op/view.aspx?src=https%3A%2F%2Fwww.itu.int%2Fdms_pub%2Fitu-s%2Fmd%2F21%2Fcl%2Fc%2FS21-CL-C-0097!!MSW-E.docx&amp;wdOrigin=BROWSELINK" TargetMode="External"/><Relationship Id="rId137" Type="http://schemas.openxmlformats.org/officeDocument/2006/relationships/header" Target="header2.xml"/><Relationship Id="rId20" Type="http://schemas.openxmlformats.org/officeDocument/2006/relationships/hyperlink" Target="https://www.itu.int/en/council/Documents/basic-texts-2023/RES-025-E.pdf" TargetMode="External"/><Relationship Id="rId41" Type="http://schemas.openxmlformats.org/officeDocument/2006/relationships/hyperlink" Target="https://www.itu.int/md/D26-TDAG33-C-0016/en" TargetMode="External"/><Relationship Id="rId62" Type="http://schemas.openxmlformats.org/officeDocument/2006/relationships/hyperlink" Target="https://www.itu.int/md/D22-TDAG32-C-0037/en" TargetMode="External"/><Relationship Id="rId83" Type="http://schemas.openxmlformats.org/officeDocument/2006/relationships/hyperlink" Target="https://www.itu.int/md/D22-TDAG31-C-0004/" TargetMode="External"/><Relationship Id="rId88" Type="http://schemas.openxmlformats.org/officeDocument/2006/relationships/image" Target="media/image9.png"/><Relationship Id="rId111" Type="http://schemas.openxmlformats.org/officeDocument/2006/relationships/hyperlink" Target="https://view.officeapps.live.com/op/view.aspx?src=https%3A%2F%2Fwww.itu.int%2Fdms_pub%2Fitu-s%2Fmd%2F25%2Fcl%2Fc%2FS25-CL-C-0066!!MSW-E.docx&amp;wdOrigin=BROWSELINK" TargetMode="External"/><Relationship Id="rId132" Type="http://schemas.openxmlformats.org/officeDocument/2006/relationships/hyperlink" Target="https://www.itu.int/md/S26-CWGFHR22-C-0004/en" TargetMode="External"/><Relationship Id="rId15" Type="http://schemas.openxmlformats.org/officeDocument/2006/relationships/hyperlink" Target="https://www.itu.int/en/council/Documents/basic-texts-2023/RES-025-E.pdf" TargetMode="External"/><Relationship Id="rId36" Type="http://schemas.openxmlformats.org/officeDocument/2006/relationships/hyperlink" Target="https://www.itu.int/md/S26-CWGFHR22-INF-0001/en" TargetMode="External"/><Relationship Id="rId57" Type="http://schemas.openxmlformats.org/officeDocument/2006/relationships/hyperlink" Target="https://www.itu.int/md/S25-CWGSFP3-C-0006/en" TargetMode="External"/><Relationship Id="rId106" Type="http://schemas.openxmlformats.org/officeDocument/2006/relationships/hyperlink" Target="https://www.itu.int/md/D22-TDAG32-C-0002/en" TargetMode="External"/><Relationship Id="rId127" Type="http://schemas.openxmlformats.org/officeDocument/2006/relationships/hyperlink" Target="https://view.officeapps.live.com/op/view.aspx?src=https%3A%2F%2Fwww.itu.int%2Fdms_pub%2Fitu-s%2Fmd%2F25%2Fcl%2Fc%2FS25-CL-C-0066!!MSW-E.docx&amp;wdOrigin=BROWSELINK" TargetMode="External"/><Relationship Id="rId10" Type="http://schemas.openxmlformats.org/officeDocument/2006/relationships/endnotes" Target="endnotes.xml"/><Relationship Id="rId31" Type="http://schemas.openxmlformats.org/officeDocument/2006/relationships/hyperlink" Target="https://www.itu.int/md/S25-CWGFHR21-C-0004/en" TargetMode="External"/><Relationship Id="rId52" Type="http://schemas.openxmlformats.org/officeDocument/2006/relationships/hyperlink" Target="https://www.itu.int/md/T25-TSAG-250526-TD-GEN-0137" TargetMode="External"/><Relationship Id="rId73" Type="http://schemas.openxmlformats.org/officeDocument/2006/relationships/hyperlink" Target="https://www.itu.int/en/council/dashboard/Pages/HumanResourcesReport.aspx" TargetMode="External"/><Relationship Id="rId78" Type="http://schemas.openxmlformats.org/officeDocument/2006/relationships/hyperlink" Target="https://www.itu.int/md/D22-TDAG32-C-0040/en" TargetMode="External"/><Relationship Id="rId94" Type="http://schemas.openxmlformats.org/officeDocument/2006/relationships/hyperlink" Target="https://www.itu.int/md/S25-CL-C-0035/en" TargetMode="External"/><Relationship Id="rId99" Type="http://schemas.openxmlformats.org/officeDocument/2006/relationships/hyperlink" Target="https://www.itu.int/md/T25-TSAG-250526-TD-GEN-0137" TargetMode="External"/><Relationship Id="rId101" Type="http://schemas.openxmlformats.org/officeDocument/2006/relationships/hyperlink" Target="https://www.itu.int/md/S25-CWGSFP3-C-0007/en" TargetMode="External"/><Relationship Id="rId122" Type="http://schemas.openxmlformats.org/officeDocument/2006/relationships/hyperlink" Target="https://www.itu.int/en/council/dashboard/Pages/HumanResourcesReport.aspx" TargetMode="External"/><Relationship Id="rId14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47" Type="http://schemas.openxmlformats.org/officeDocument/2006/relationships/hyperlink" Target="https://www.itu.int/md/T25-TSAG-250526-TD-GEN-0137" TargetMode="External"/><Relationship Id="rId68" Type="http://schemas.openxmlformats.org/officeDocument/2006/relationships/hyperlink" Target="https://www.itu.int/md/D22-TDAG31-C-0002/en" TargetMode="External"/><Relationship Id="rId89" Type="http://schemas.openxmlformats.org/officeDocument/2006/relationships/image" Target="media/image10.png"/><Relationship Id="rId112" Type="http://schemas.openxmlformats.org/officeDocument/2006/relationships/hyperlink" Target="https://view.officeapps.live.com/op/view.aspx?src=https%3A%2F%2Fwww.itu.int%2Fdms_pub%2Fitu-s%2Fmd%2F25%2Fcl%2Fc%2FS25-CL-C-0025!R1!MSW-E.docx&amp;wdOrigin=BROWSELINK" TargetMode="External"/><Relationship Id="rId133" Type="http://schemas.openxmlformats.org/officeDocument/2006/relationships/hyperlink" Target="https://www.itu.int/md/S25-CL-C-0069/en" TargetMode="External"/><Relationship Id="rId16" Type="http://schemas.openxmlformats.org/officeDocument/2006/relationships/hyperlink" Target="https://www.itu.int/md/S24-CWGFHR19-C-0015/en" TargetMode="External"/><Relationship Id="rId37" Type="http://schemas.openxmlformats.org/officeDocument/2006/relationships/hyperlink" Target="https://www.itu.int/md/S26-CWGFHR22-C-0036/en" TargetMode="External"/><Relationship Id="rId58" Type="http://schemas.openxmlformats.org/officeDocument/2006/relationships/hyperlink" Target="https://www.itu.int/md/R23-RAG-C-0037/en" TargetMode="External"/><Relationship Id="rId79" Type="http://schemas.openxmlformats.org/officeDocument/2006/relationships/hyperlink" Target="https://www.itu.int/md/D22-WTDC25-C-0002/en" TargetMode="External"/><Relationship Id="rId102" Type="http://schemas.openxmlformats.org/officeDocument/2006/relationships/hyperlink" Target="https://www.itu.int/en/fellowships/Documents/2021/SO_21-02_E.pdf" TargetMode="External"/><Relationship Id="rId123" Type="http://schemas.openxmlformats.org/officeDocument/2006/relationships/hyperlink" Target="https://view.officeapps.live.com/op/view.aspx?src=https%3A%2F%2Fwww.itu.int%2Fdms_pub%2Fitu-d%2Fmd%2F22%2Ftdag30%2Fc%2FD22-TDAG30-C-0046!!MSW-E.docx&amp;wdOrigin=BROWSELINK" TargetMode="External"/><Relationship Id="rId14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md/T25-TSAG-250526-TD-GEN-0137" TargetMode="External"/><Relationship Id="rId13" Type="http://schemas.openxmlformats.org/officeDocument/2006/relationships/hyperlink" Target="https://www.un.org/en/about-us/un-system" TargetMode="External"/><Relationship Id="rId18" Type="http://schemas.openxmlformats.org/officeDocument/2006/relationships/hyperlink" Target="https://www.itu.int/en/ITU-D/pages/regional-presence.aspx" TargetMode="External"/><Relationship Id="rId26" Type="http://schemas.openxmlformats.org/officeDocument/2006/relationships/hyperlink" Target="https://www.wipo.int/en/web/about-wipo/offices?utm_source=chatgpt.com" TargetMode="External"/><Relationship Id="rId3" Type="http://schemas.openxmlformats.org/officeDocument/2006/relationships/hyperlink" Target="https://www.itu.int/md/S25-CWGSFP3-C-0006/en" TargetMode="External"/><Relationship Id="rId21" Type="http://schemas.openxmlformats.org/officeDocument/2006/relationships/hyperlink" Target="https://www.itu.int/en/council/dashboard/Pages/HumanResourcesReport.aspx" TargetMode="External"/><Relationship Id="rId7" Type="http://schemas.openxmlformats.org/officeDocument/2006/relationships/hyperlink" Target="https://www.itu.int/md/R23-RAG-C-0037" TargetMode="External"/><Relationship Id="rId12" Type="http://schemas.openxmlformats.org/officeDocument/2006/relationships/hyperlink" Target="https://www.itu.int/md/S24-CL-C-0100" TargetMode="External"/><Relationship Id="rId17" Type="http://schemas.openxmlformats.org/officeDocument/2006/relationships/hyperlink" Target="https://www.imo.org/en/ourwork/technicalcooperation/pages/geo-coverage.aspx" TargetMode="External"/><Relationship Id="rId25" Type="http://schemas.openxmlformats.org/officeDocument/2006/relationships/hyperlink" Target="https://www.icao.int/strategic-objectives" TargetMode="External"/><Relationship Id="rId2" Type="http://schemas.openxmlformats.org/officeDocument/2006/relationships/hyperlink" Target="https://www.itu.int/en/council/Documents/basic-texts-2023/RES-071-E.pdf" TargetMode="External"/><Relationship Id="rId16" Type="http://schemas.openxmlformats.org/officeDocument/2006/relationships/hyperlink" Target="https://www.imo.org/en/mediacentre/pressbriefings/pages/imo-launches-rpo-in-egypt.aspx" TargetMode="External"/><Relationship Id="rId20" Type="http://schemas.openxmlformats.org/officeDocument/2006/relationships/hyperlink" Target="https://www.itu.int/en/ITU-D/pages/regional-presence.aspx?utm_source=chatgpt.com" TargetMode="External"/><Relationship Id="rId29" Type="http://schemas.openxmlformats.org/officeDocument/2006/relationships/hyperlink" Target="https://wmo.int/about-wmo/regions/regional-associations?utm_source=chatgpt.com" TargetMode="External"/><Relationship Id="rId1" Type="http://schemas.openxmlformats.org/officeDocument/2006/relationships/hyperlink" Target="https://www.itu.int/md/S25-CL-C-0105/en" TargetMode="External"/><Relationship Id="rId6" Type="http://schemas.openxmlformats.org/officeDocument/2006/relationships/hyperlink" Target="https://www.itu.int/md/D22-WTDC25-C-0002" TargetMode="External"/><Relationship Id="rId11" Type="http://schemas.openxmlformats.org/officeDocument/2006/relationships/hyperlink" Target="https://www.itu.int/en/fellowships/Documents/2021/SO_21-02_E.pdf" TargetMode="External"/><Relationship Id="rId24" Type="http://schemas.openxmlformats.org/officeDocument/2006/relationships/hyperlink" Target="https://www.icao.int/secretariat/RegionalOffice?utm_source=chatgpt.com" TargetMode="External"/><Relationship Id="rId5" Type="http://schemas.openxmlformats.org/officeDocument/2006/relationships/hyperlink" Target="https://www.itu.int/md/S25-CL-C-0025" TargetMode="External"/><Relationship Id="rId15" Type="http://schemas.openxmlformats.org/officeDocument/2006/relationships/hyperlink" Target="https://www.icao.int/strategic-objectives" TargetMode="External"/><Relationship Id="rId23" Type="http://schemas.openxmlformats.org/officeDocument/2006/relationships/hyperlink" Target="https://www.itu.int/en/council/planning/Documents/ITU-Strategic-Plan-2024-2027-Vision%26Mission.pdf?utm_source=chatgpt.com" TargetMode="External"/><Relationship Id="rId28" Type="http://schemas.openxmlformats.org/officeDocument/2006/relationships/hyperlink" Target="https://www.wipo.int/wipolex/en/text/283854?utm_source=chatgpt.com" TargetMode="External"/><Relationship Id="rId10" Type="http://schemas.openxmlformats.org/officeDocument/2006/relationships/hyperlink" Target="https://www.itu.int/md/S25-CWGSFP3-C-0007/en" TargetMode="External"/><Relationship Id="rId19" Type="http://schemas.openxmlformats.org/officeDocument/2006/relationships/hyperlink" Target="https://wmo.int/about-wmo/regions/regional-associations?utm_source=chatgpt.com" TargetMode="External"/><Relationship Id="rId31" Type="http://schemas.openxmlformats.org/officeDocument/2006/relationships/hyperlink" Target="https://wmo.int/news/media-centre/world-meteorological-congress-sets-new-strategic-priorities-era-of-rapid-climate-societal-and?utm_source=chatgpt.com" TargetMode="External"/><Relationship Id="rId4" Type="http://schemas.openxmlformats.org/officeDocument/2006/relationships/hyperlink" Target="https://www.itu.int/md/S25-CL-C-0025" TargetMode="External"/><Relationship Id="rId9" Type="http://schemas.openxmlformats.org/officeDocument/2006/relationships/hyperlink" Target="https://www.itu.int/md/D22-TDAG32-C-0040" TargetMode="External"/><Relationship Id="rId14" Type="http://schemas.openxmlformats.org/officeDocument/2006/relationships/hyperlink" Target="https://www.itu.int/md/S20-CL-C-0074/en" TargetMode="External"/><Relationship Id="rId22" Type="http://schemas.openxmlformats.org/officeDocument/2006/relationships/hyperlink" Target="https://www.itu.int/en/ITU-D/pages/regional-presence.aspx?utm_source=chatgpt.com" TargetMode="External"/><Relationship Id="rId27" Type="http://schemas.openxmlformats.org/officeDocument/2006/relationships/hyperlink" Target="https://tind.wipo.int/record/48247/files/wipo-pub-360-pb24-25-en-wipo-program-of-work-and-budget-for-2024-2025.pdf?utm_source=chatgpt.com" TargetMode="External"/><Relationship Id="rId30" Type="http://schemas.openxmlformats.org/officeDocument/2006/relationships/hyperlink" Target="https://www.doj.gov.hk/sc/external/pdf/lawdoc/wmo_15-2012_en.pdf?utm_source=chatgp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Council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E447ED7B9DA4C9F10BB2808D9DCA9" ma:contentTypeVersion="4" ma:contentTypeDescription="Create a new document." ma:contentTypeScope="" ma:versionID="50e10f4973fb8c33128ea71e835d6bdc">
  <xsd:schema xmlns:xsd="http://www.w3.org/2001/XMLSchema" xmlns:xs="http://www.w3.org/2001/XMLSchema" xmlns:p="http://schemas.microsoft.com/office/2006/metadata/properties" xmlns:ns2="a4c22657-7647-457b-a399-8471255bb166" targetNamespace="http://schemas.microsoft.com/office/2006/metadata/properties" ma:root="true" ma:fieldsID="4a7ff88f8157323695e407bed448c3fb" ns2:_="">
    <xsd:import namespace="a4c22657-7647-457b-a399-8471255bb16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22657-7647-457b-a399-8471255bb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276D-418D-4DFD-8165-269A2786A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22657-7647-457b-a399-8471255bb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DDF2E-B01F-452E-9FF8-850E69B87E23}">
  <ds:schemaRefs>
    <ds:schemaRef ds:uri="http://purl.org/dc/terms/"/>
    <ds:schemaRef ds:uri="http://schemas.microsoft.com/office/infopath/2007/PartnerControls"/>
    <ds:schemaRef ds:uri="http://schemas.microsoft.com/office/2006/metadata/properties"/>
    <ds:schemaRef ds:uri="http://www.w3.org/XML/1998/namespace"/>
    <ds:schemaRef ds:uri="http://purl.org/dc/elements/1.1/"/>
    <ds:schemaRef ds:uri="a4c22657-7647-457b-a399-8471255bb166"/>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4BDEF9F-9D1B-44DA-9FDE-43D5ED6BD231}">
  <ds:schemaRefs>
    <ds:schemaRef ds:uri="http://schemas.microsoft.com/sharepoint/v3/contenttype/forms"/>
  </ds:schemaRefs>
</ds:datastoreItem>
</file>

<file path=customXml/itemProps4.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PE_Council26.dotx</Template>
  <TotalTime>1</TotalTime>
  <Pages>121</Pages>
  <Words>45806</Words>
  <Characters>289037</Characters>
  <Application>Microsoft Office Word</Application>
  <DocSecurity>0</DocSecurity>
  <Lines>6423</Lines>
  <Paragraphs>3044</Paragraphs>
  <ScaleCrop>false</ScaleCrop>
  <HeadingPairs>
    <vt:vector size="2" baseType="variant">
      <vt:variant>
        <vt:lpstr>Title</vt:lpstr>
      </vt:variant>
      <vt:variant>
        <vt:i4>1</vt:i4>
      </vt:variant>
    </vt:vector>
  </HeadingPairs>
  <TitlesOfParts>
    <vt:vector size="1" baseType="lpstr">
      <vt:lpstr>Review of the ITU Regional Presence</vt:lpstr>
    </vt:vector>
  </TitlesOfParts>
  <Manager>General Secretariat</Manager>
  <Company>International Telecommunication Union (ITU)</Company>
  <LinksUpToDate>false</LinksUpToDate>
  <CharactersWithSpaces>331799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ITU Regional Presence</dc:title>
  <dc:subject>ITU Council 2026</dc:subject>
  <cp:keywords>C26; C2026; Council 2026; PP26</cp:keywords>
  <dc:description/>
  <cp:lastPrinted>2026-03-18T07:17:00Z</cp:lastPrinted>
  <dcterms:created xsi:type="dcterms:W3CDTF">2026-04-21T15:28:00Z</dcterms:created>
  <dcterms:modified xsi:type="dcterms:W3CDTF">2026-04-21T15:28:00Z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caebc3b039d2086fae139bdca98a6c61c028c4ec16ce6ef236d196610d84ef77</vt:lpwstr>
  </property>
  <property fmtid="{D5CDD505-2E9C-101B-9397-08002B2CF9AE}" pid="9" name="ContentTypeId">
    <vt:lpwstr>0x010100814E447ED7B9DA4C9F10BB2808D9DCA9</vt:lpwstr>
  </property>
  <property fmtid="{D5CDD505-2E9C-101B-9397-08002B2CF9AE}" pid="10" name="docLang">
    <vt:lpwstr>en</vt:lpwstr>
  </property>
</Properties>
</file>