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81374" w14:paraId="6719BFA8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F10C9D" w14:textId="1595ADB0" w:rsidR="00AD3606" w:rsidRPr="00B81374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7DC5CB" w14:textId="0BFE6ADF" w:rsidR="00AD3606" w:rsidRPr="00B81374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81374">
              <w:rPr>
                <w:b/>
              </w:rPr>
              <w:t>Document C2</w:t>
            </w:r>
            <w:r w:rsidR="00DE532B" w:rsidRPr="00B81374">
              <w:rPr>
                <w:b/>
              </w:rPr>
              <w:t>6</w:t>
            </w:r>
            <w:r w:rsidRPr="00B81374">
              <w:rPr>
                <w:b/>
              </w:rPr>
              <w:t>/</w:t>
            </w:r>
            <w:r w:rsidR="00CA0A45" w:rsidRPr="00B81374">
              <w:rPr>
                <w:b/>
              </w:rPr>
              <w:t>INF/</w:t>
            </w:r>
            <w:r w:rsidR="002768A1" w:rsidRPr="00B81374">
              <w:rPr>
                <w:b/>
              </w:rPr>
              <w:t>4</w:t>
            </w:r>
          </w:p>
        </w:tc>
      </w:tr>
      <w:tr w:rsidR="00AD3606" w:rsidRPr="00B81374" w14:paraId="7DBDBE7B" w14:textId="77777777" w:rsidTr="00954C49">
        <w:trPr>
          <w:cantSplit/>
        </w:trPr>
        <w:tc>
          <w:tcPr>
            <w:tcW w:w="3969" w:type="dxa"/>
            <w:vMerge/>
          </w:tcPr>
          <w:p w14:paraId="61DA71BC" w14:textId="77777777" w:rsidR="00AD3606" w:rsidRPr="00B81374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4A341B" w14:textId="3A24D918" w:rsidR="00AD3606" w:rsidRPr="00B81374" w:rsidRDefault="00FE6630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10 April</w:t>
            </w:r>
            <w:r w:rsidR="00CA7401" w:rsidRPr="00B81374">
              <w:rPr>
                <w:b/>
              </w:rPr>
              <w:t xml:space="preserve"> 2026</w:t>
            </w:r>
          </w:p>
        </w:tc>
      </w:tr>
      <w:tr w:rsidR="00AD3606" w:rsidRPr="00B81374" w14:paraId="20D60D9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73416A3E" w14:textId="77777777" w:rsidR="00AD3606" w:rsidRPr="00B81374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F95CC94" w14:textId="77777777" w:rsidR="00AD3606" w:rsidRPr="00B81374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81374">
              <w:rPr>
                <w:b/>
              </w:rPr>
              <w:t>Original: English</w:t>
            </w:r>
          </w:p>
        </w:tc>
      </w:tr>
      <w:tr w:rsidR="00472BAD" w:rsidRPr="00B81374" w14:paraId="1949EA04" w14:textId="77777777" w:rsidTr="00954C49">
        <w:trPr>
          <w:cantSplit/>
          <w:trHeight w:val="23"/>
        </w:trPr>
        <w:tc>
          <w:tcPr>
            <w:tcW w:w="3969" w:type="dxa"/>
          </w:tcPr>
          <w:p w14:paraId="4ED3A900" w14:textId="77777777" w:rsidR="00472BAD" w:rsidRPr="00B81374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0754B8" w14:textId="77777777" w:rsidR="00472BAD" w:rsidRPr="00B81374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B81374" w14:paraId="6EA9E901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A366C2" w14:textId="2358C768" w:rsidR="00AD3606" w:rsidRPr="00B81374" w:rsidRDefault="00CA0A45" w:rsidP="007E6AC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B81374">
              <w:t xml:space="preserve">Note </w:t>
            </w:r>
            <w:r w:rsidR="00AD3606" w:rsidRPr="00B81374">
              <w:t>by the Secretary-General</w:t>
            </w:r>
          </w:p>
        </w:tc>
      </w:tr>
      <w:tr w:rsidR="00AD3606" w:rsidRPr="00B81374" w14:paraId="0CFD56CF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5CC4FA" w14:textId="3418689A" w:rsidR="00AD3606" w:rsidRPr="00B81374" w:rsidRDefault="00867909" w:rsidP="007E6ACE">
            <w:pPr>
              <w:pStyle w:val="Subtitle"/>
              <w:framePr w:hSpace="0" w:wrap="auto" w:xAlign="left" w:yAlign="inline"/>
            </w:pPr>
            <w:r w:rsidRPr="00B81374">
              <w:t>ADDITIONAL INFORMATION ON PROPOSED FRAMEWORK FOR SELECTION PROCESS FOR HOST COUNTRIES OF ITU CONFERENCES AND ASSEMBLIES</w:t>
            </w:r>
            <w:bookmarkStart w:id="9" w:name="dtitle1" w:colFirst="0" w:colLast="0"/>
            <w:bookmarkEnd w:id="8"/>
          </w:p>
        </w:tc>
      </w:tr>
      <w:tr w:rsidR="00AD3606" w:rsidRPr="00B81374" w14:paraId="701D4568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F7E836" w14:textId="77777777" w:rsidR="00AD3606" w:rsidRPr="00B81374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81374">
              <w:rPr>
                <w:b/>
                <w:bCs/>
                <w:sz w:val="26"/>
                <w:szCs w:val="26"/>
              </w:rPr>
              <w:t>Purpose</w:t>
            </w:r>
          </w:p>
          <w:p w14:paraId="6D147DC7" w14:textId="3A6A3AC5" w:rsidR="001E5D54" w:rsidRPr="00B81374" w:rsidRDefault="001E5D54" w:rsidP="001E5D54">
            <w:pPr>
              <w:jc w:val="both"/>
              <w:rPr>
                <w:highlight w:val="yellow"/>
              </w:rPr>
            </w:pPr>
            <w:r w:rsidRPr="00B81374">
              <w:t xml:space="preserve">This document provides supporting information to accompany the proposed framework for a selection process </w:t>
            </w:r>
            <w:r w:rsidR="005A6CF2" w:rsidRPr="00B81374">
              <w:t>for</w:t>
            </w:r>
            <w:r w:rsidRPr="00B81374">
              <w:t xml:space="preserve"> host countries </w:t>
            </w:r>
            <w:r w:rsidR="005A6CF2" w:rsidRPr="00B81374">
              <w:t>of</w:t>
            </w:r>
            <w:r w:rsidRPr="00B81374">
              <w:t xml:space="preserve"> ITU conferences and assemblies</w:t>
            </w:r>
            <w:r w:rsidR="005A6CF2" w:rsidRPr="00B81374">
              <w:t xml:space="preserve">, submitted to the Council as Document </w:t>
            </w:r>
            <w:hyperlink r:id="rId11" w:history="1">
              <w:r w:rsidR="005A6CF2" w:rsidRPr="00B81374">
                <w:rPr>
                  <w:rStyle w:val="Hyperlink"/>
                </w:rPr>
                <w:t>C26/</w:t>
              </w:r>
              <w:r w:rsidR="007D45B3" w:rsidRPr="00B81374">
                <w:rPr>
                  <w:rStyle w:val="Hyperlink"/>
                </w:rPr>
                <w:t>70</w:t>
              </w:r>
            </w:hyperlink>
            <w:r w:rsidR="007D45B3" w:rsidRPr="00B81374">
              <w:t>.</w:t>
            </w:r>
            <w:r w:rsidR="005A6CF2" w:rsidRPr="00B81374">
              <w:t xml:space="preserve"> </w:t>
            </w:r>
          </w:p>
          <w:p w14:paraId="07A01EE3" w14:textId="77777777" w:rsidR="00AD3606" w:rsidRPr="00B81374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81374">
              <w:rPr>
                <w:b/>
                <w:bCs/>
                <w:sz w:val="26"/>
                <w:szCs w:val="26"/>
              </w:rPr>
              <w:t>Action required</w:t>
            </w:r>
            <w:r w:rsidR="00F16BAB" w:rsidRPr="00B81374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24CD9DB8" w14:textId="6336B6F6" w:rsidR="00722551" w:rsidRPr="00B81374" w:rsidRDefault="00CA0A45" w:rsidP="00954C49">
            <w:r w:rsidRPr="00B81374">
              <w:t xml:space="preserve">This document is transmitted to the Council </w:t>
            </w:r>
            <w:r w:rsidRPr="00B81374">
              <w:rPr>
                <w:b/>
                <w:bCs/>
              </w:rPr>
              <w:t>for information</w:t>
            </w:r>
            <w:r w:rsidRPr="00B81374">
              <w:t>.</w:t>
            </w:r>
          </w:p>
          <w:p w14:paraId="7DDC342D" w14:textId="77777777" w:rsidR="00C0458D" w:rsidRPr="00B81374" w:rsidRDefault="00C0458D" w:rsidP="00954C49">
            <w:r w:rsidRPr="00B81374">
              <w:t>_______________</w:t>
            </w:r>
          </w:p>
          <w:p w14:paraId="03CAA4BA" w14:textId="77777777" w:rsidR="00AD3606" w:rsidRPr="00B81374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81374">
              <w:rPr>
                <w:b/>
                <w:bCs/>
                <w:sz w:val="26"/>
                <w:szCs w:val="26"/>
              </w:rPr>
              <w:t>References</w:t>
            </w:r>
          </w:p>
          <w:p w14:paraId="101E2926" w14:textId="6EEA4EA0" w:rsidR="00AD3606" w:rsidRPr="00B81374" w:rsidRDefault="008936E2" w:rsidP="00954C49">
            <w:pPr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Council Document </w:t>
            </w:r>
            <w:hyperlink r:id="rId12" w:history="1">
              <w:r w:rsidR="007D45B3" w:rsidRPr="008936E2">
                <w:rPr>
                  <w:rStyle w:val="Hyperlink"/>
                  <w:i/>
                  <w:iCs/>
                  <w:sz w:val="22"/>
                  <w:szCs w:val="22"/>
                </w:rPr>
                <w:t>C26/70</w:t>
              </w:r>
            </w:hyperlink>
          </w:p>
        </w:tc>
      </w:tr>
    </w:tbl>
    <w:p w14:paraId="2DFCA63C" w14:textId="77777777" w:rsidR="00E227F3" w:rsidRPr="00B8137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0822496" w14:textId="281AC8A4" w:rsidR="0090147A" w:rsidRPr="00B8137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B81374">
        <w:br w:type="page"/>
      </w:r>
    </w:p>
    <w:bookmarkEnd w:id="5"/>
    <w:bookmarkEnd w:id="10"/>
    <w:p w14:paraId="5AC12002" w14:textId="7C7B09C5" w:rsidR="000574CC" w:rsidRPr="00B81374" w:rsidRDefault="00885702" w:rsidP="00B81374">
      <w:pPr>
        <w:pStyle w:val="Headingb"/>
        <w:rPr>
          <w:rFonts w:asciiTheme="minorHAnsi" w:eastAsiaTheme="minorEastAsia" w:hAnsiTheme="minorHAnsi" w:cstheme="minorBidi"/>
          <w:bCs/>
        </w:rPr>
      </w:pPr>
      <w:r w:rsidRPr="00B81374">
        <w:rPr>
          <w:rFonts w:eastAsiaTheme="minorEastAsia"/>
        </w:rPr>
        <w:lastRenderedPageBreak/>
        <w:t>Overview</w:t>
      </w:r>
    </w:p>
    <w:p w14:paraId="634E8F93" w14:textId="38CB0FC6" w:rsidR="00885702" w:rsidRPr="00B81374" w:rsidRDefault="000574CC" w:rsidP="00B81374">
      <w:pPr>
        <w:jc w:val="both"/>
        <w:rPr>
          <w:rFonts w:eastAsiaTheme="minorEastAsia"/>
          <w:spacing w:val="-2"/>
        </w:rPr>
      </w:pPr>
      <w:r w:rsidRPr="00B81374">
        <w:rPr>
          <w:rFonts w:eastAsiaTheme="minorEastAsia"/>
          <w:spacing w:val="-2"/>
        </w:rPr>
        <w:t xml:space="preserve">Document </w:t>
      </w:r>
      <w:hyperlink r:id="rId13" w:history="1">
        <w:r w:rsidRPr="001829EE">
          <w:rPr>
            <w:rStyle w:val="Hyperlink"/>
            <w:rFonts w:eastAsiaTheme="minorEastAsia"/>
            <w:spacing w:val="-2"/>
          </w:rPr>
          <w:t>C26/</w:t>
        </w:r>
        <w:r w:rsidR="006343E8" w:rsidRPr="001829EE">
          <w:rPr>
            <w:rStyle w:val="Hyperlink"/>
            <w:rFonts w:eastAsiaTheme="minorEastAsia"/>
            <w:spacing w:val="-2"/>
          </w:rPr>
          <w:t>70</w:t>
        </w:r>
      </w:hyperlink>
      <w:r w:rsidR="006343E8" w:rsidRPr="00B81374">
        <w:rPr>
          <w:rFonts w:eastAsiaTheme="minorEastAsia"/>
          <w:spacing w:val="-2"/>
        </w:rPr>
        <w:t xml:space="preserve"> </w:t>
      </w:r>
      <w:r w:rsidR="00885702" w:rsidRPr="00B81374">
        <w:rPr>
          <w:rFonts w:eastAsiaTheme="minorEastAsia"/>
          <w:spacing w:val="-2"/>
        </w:rPr>
        <w:t>sets out a proposed framework for a selection process for host countries of ITU conferences and assemblies</w:t>
      </w:r>
      <w:r w:rsidR="00420CD2" w:rsidRPr="00B81374">
        <w:rPr>
          <w:rFonts w:eastAsiaTheme="minorEastAsia"/>
          <w:spacing w:val="-2"/>
        </w:rPr>
        <w:t xml:space="preserve">. The annexes below provide </w:t>
      </w:r>
      <w:r w:rsidR="00BF4484" w:rsidRPr="00B81374">
        <w:rPr>
          <w:rFonts w:eastAsiaTheme="minorEastAsia"/>
          <w:spacing w:val="-2"/>
        </w:rPr>
        <w:t xml:space="preserve">additional </w:t>
      </w:r>
      <w:r w:rsidR="00353175" w:rsidRPr="00B81374">
        <w:rPr>
          <w:rFonts w:eastAsiaTheme="minorEastAsia"/>
          <w:spacing w:val="-2"/>
        </w:rPr>
        <w:t>information</w:t>
      </w:r>
      <w:r w:rsidR="00AF53CA" w:rsidRPr="00B81374">
        <w:rPr>
          <w:rFonts w:eastAsiaTheme="minorEastAsia"/>
          <w:spacing w:val="-2"/>
        </w:rPr>
        <w:t xml:space="preserve"> in support of this proposal</w:t>
      </w:r>
      <w:r w:rsidR="00353175" w:rsidRPr="00B81374">
        <w:rPr>
          <w:rFonts w:eastAsiaTheme="minorEastAsia"/>
          <w:spacing w:val="-2"/>
        </w:rPr>
        <w:t xml:space="preserve"> and include a timeline for the selection process in table format based on a conference planned for 2031 (</w:t>
      </w:r>
      <w:hyperlink w:anchor="AnnexA" w:history="1">
        <w:r w:rsidR="00353175" w:rsidRPr="00B81374">
          <w:rPr>
            <w:rStyle w:val="Hyperlink"/>
            <w:rFonts w:eastAsiaTheme="minorEastAsia"/>
            <w:spacing w:val="-2"/>
          </w:rPr>
          <w:t>Annex A</w:t>
        </w:r>
      </w:hyperlink>
      <w:r w:rsidR="00353175" w:rsidRPr="00B81374">
        <w:rPr>
          <w:rFonts w:eastAsiaTheme="minorEastAsia"/>
          <w:spacing w:val="-2"/>
        </w:rPr>
        <w:t>); a comparative table of indicative requirements per conference or assembly based on the annexes of the latest signed Host Country Agreement of the respective conference (</w:t>
      </w:r>
      <w:hyperlink w:anchor="AnnexB" w:history="1">
        <w:r w:rsidR="00353175" w:rsidRPr="00B81374">
          <w:rPr>
            <w:rStyle w:val="Hyperlink"/>
            <w:rFonts w:eastAsiaTheme="minorEastAsia"/>
            <w:spacing w:val="-2"/>
          </w:rPr>
          <w:t>Annex B</w:t>
        </w:r>
      </w:hyperlink>
      <w:r w:rsidR="00353175" w:rsidRPr="00B81374">
        <w:rPr>
          <w:rFonts w:eastAsiaTheme="minorEastAsia"/>
          <w:spacing w:val="-2"/>
        </w:rPr>
        <w:t>); and an example of an assessment table (</w:t>
      </w:r>
      <w:hyperlink w:anchor="AnnexC" w:history="1">
        <w:r w:rsidR="00353175" w:rsidRPr="00B81374">
          <w:rPr>
            <w:rStyle w:val="Hyperlink"/>
            <w:rFonts w:eastAsiaTheme="minorEastAsia"/>
            <w:spacing w:val="-2"/>
          </w:rPr>
          <w:t>Annex C</w:t>
        </w:r>
      </w:hyperlink>
      <w:r w:rsidR="00353175" w:rsidRPr="00B81374">
        <w:rPr>
          <w:rFonts w:eastAsiaTheme="minorEastAsia"/>
          <w:spacing w:val="-2"/>
        </w:rPr>
        <w:t>).</w:t>
      </w:r>
    </w:p>
    <w:p w14:paraId="48B3F05E" w14:textId="333CDD99" w:rsidR="00B81374" w:rsidRPr="00B81374" w:rsidRDefault="00B81374" w:rsidP="00B81374">
      <w:pPr>
        <w:pStyle w:val="Normalaftertitle"/>
        <w:spacing w:before="2400"/>
        <w:rPr>
          <w:rFonts w:eastAsiaTheme="minorEastAsia"/>
        </w:rPr>
      </w:pPr>
      <w:r w:rsidRPr="00B81374">
        <w:rPr>
          <w:rFonts w:eastAsiaTheme="minorEastAsia"/>
          <w:b/>
          <w:bCs/>
        </w:rPr>
        <w:t xml:space="preserve">Annexes: </w:t>
      </w:r>
      <w:r w:rsidRPr="00B81374">
        <w:rPr>
          <w:rFonts w:eastAsiaTheme="minorEastAsia"/>
        </w:rPr>
        <w:t>3</w:t>
      </w:r>
    </w:p>
    <w:p w14:paraId="62A27C9F" w14:textId="77777777" w:rsidR="00353175" w:rsidRPr="00B81374" w:rsidRDefault="00353175" w:rsidP="000574CC">
      <w:pPr>
        <w:jc w:val="both"/>
        <w:rPr>
          <w:rFonts w:asciiTheme="minorHAnsi" w:eastAsiaTheme="minorEastAsia" w:hAnsiTheme="minorHAnsi" w:cstheme="minorBidi"/>
        </w:rPr>
      </w:pPr>
    </w:p>
    <w:p w14:paraId="0EAFD948" w14:textId="77777777" w:rsidR="009067E6" w:rsidRPr="00B81374" w:rsidRDefault="009067E6" w:rsidP="00CC6C22">
      <w:pPr>
        <w:pStyle w:val="AnnexNo"/>
        <w:sectPr w:rsidR="009067E6" w:rsidRPr="00B81374" w:rsidSect="009067E6">
          <w:footerReference w:type="default" r:id="rId14"/>
          <w:headerReference w:type="first" r:id="rId15"/>
          <w:footerReference w:type="first" r:id="rId16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  <w:docGrid w:linePitch="326"/>
        </w:sectPr>
      </w:pPr>
    </w:p>
    <w:p w14:paraId="3E6526F1" w14:textId="453E5427" w:rsidR="000574CC" w:rsidRPr="00B81374" w:rsidRDefault="000574CC" w:rsidP="00C170C6">
      <w:pPr>
        <w:pStyle w:val="AnnexNo"/>
        <w:spacing w:before="0"/>
      </w:pPr>
      <w:bookmarkStart w:id="11" w:name="AnnexA"/>
      <w:bookmarkEnd w:id="11"/>
      <w:r w:rsidRPr="00B81374">
        <w:lastRenderedPageBreak/>
        <w:t>Annex A</w:t>
      </w:r>
    </w:p>
    <w:p w14:paraId="424AFE8E" w14:textId="41C06FE6" w:rsidR="000574CC" w:rsidRPr="00B81374" w:rsidRDefault="000574CC" w:rsidP="00C170C6">
      <w:pPr>
        <w:pStyle w:val="Annextitle"/>
        <w:spacing w:after="120"/>
        <w:rPr>
          <w:rFonts w:asciiTheme="minorHAnsi" w:eastAsiaTheme="minorEastAsia" w:hAnsiTheme="minorHAnsi" w:cstheme="minorBidi"/>
          <w:b w:val="0"/>
          <w:bCs/>
        </w:rPr>
      </w:pPr>
      <w:r w:rsidRPr="00B81374">
        <w:t xml:space="preserve">Indicative timelines for selection process </w:t>
      </w:r>
      <w:r w:rsidR="0033712B" w:rsidRPr="00B81374">
        <w:rPr>
          <w:rFonts w:eastAsiaTheme="minorEastAsia"/>
        </w:rPr>
        <w:t xml:space="preserve">for </w:t>
      </w:r>
      <w:r w:rsidRPr="00B81374">
        <w:rPr>
          <w:rFonts w:asciiTheme="minorHAnsi" w:eastAsiaTheme="minorEastAsia" w:hAnsiTheme="minorHAnsi" w:cstheme="minorBidi"/>
          <w:bCs/>
        </w:rPr>
        <w:t xml:space="preserve">a conference or assembly held in </w:t>
      </w:r>
      <w:r w:rsidR="00353175" w:rsidRPr="00B81374">
        <w:rPr>
          <w:rFonts w:asciiTheme="minorHAnsi" w:eastAsiaTheme="minorEastAsia" w:hAnsiTheme="minorHAnsi" w:cstheme="minorBidi"/>
          <w:bCs/>
        </w:rPr>
        <w:t>October 2031</w:t>
      </w:r>
    </w:p>
    <w:tbl>
      <w:tblPr>
        <w:tblStyle w:val="TableGrid"/>
        <w:tblW w:w="14742" w:type="dxa"/>
        <w:jc w:val="center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13"/>
        <w:gridCol w:w="2551"/>
        <w:gridCol w:w="2694"/>
        <w:gridCol w:w="8084"/>
      </w:tblGrid>
      <w:tr w:rsidR="008623F8" w:rsidRPr="00A40AE5" w14:paraId="164ED344" w14:textId="77777777" w:rsidTr="73B894E3">
        <w:trPr>
          <w:cantSplit/>
          <w:jc w:val="center"/>
        </w:trPr>
        <w:tc>
          <w:tcPr>
            <w:tcW w:w="1413" w:type="dxa"/>
          </w:tcPr>
          <w:p w14:paraId="74F5C513" w14:textId="20B975A0" w:rsidR="000574CC" w:rsidRPr="00A40AE5" w:rsidRDefault="000574CC" w:rsidP="008623F8">
            <w:pPr>
              <w:pStyle w:val="Tablehead"/>
              <w:spacing w:before="60" w:after="6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 xml:space="preserve">T-Minus </w:t>
            </w:r>
            <w:r w:rsidR="00C3783D" w:rsidRPr="00A40AE5">
              <w:rPr>
                <w:sz w:val="20"/>
                <w:szCs w:val="20"/>
              </w:rPr>
              <w:br/>
            </w:r>
            <w:r w:rsidRPr="00A40AE5">
              <w:rPr>
                <w:sz w:val="20"/>
                <w:szCs w:val="20"/>
              </w:rPr>
              <w:t>(months)</w:t>
            </w:r>
          </w:p>
        </w:tc>
        <w:tc>
          <w:tcPr>
            <w:tcW w:w="2551" w:type="dxa"/>
          </w:tcPr>
          <w:p w14:paraId="13966B4E" w14:textId="77777777" w:rsidR="000574CC" w:rsidRPr="00A40AE5" w:rsidRDefault="000574CC" w:rsidP="008623F8">
            <w:pPr>
              <w:pStyle w:val="Tablehead"/>
              <w:spacing w:before="60" w:after="6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Estimated date</w:t>
            </w:r>
          </w:p>
        </w:tc>
        <w:tc>
          <w:tcPr>
            <w:tcW w:w="2694" w:type="dxa"/>
          </w:tcPr>
          <w:p w14:paraId="0C9F5D7D" w14:textId="77777777" w:rsidR="000574CC" w:rsidRPr="00A40AE5" w:rsidRDefault="000574CC" w:rsidP="008623F8">
            <w:pPr>
              <w:pStyle w:val="Tablehead"/>
              <w:spacing w:before="60" w:after="6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Step</w:t>
            </w:r>
          </w:p>
        </w:tc>
        <w:tc>
          <w:tcPr>
            <w:tcW w:w="8084" w:type="dxa"/>
          </w:tcPr>
          <w:p w14:paraId="58D24931" w14:textId="77777777" w:rsidR="000574CC" w:rsidRPr="00A40AE5" w:rsidRDefault="000574CC" w:rsidP="008623F8">
            <w:pPr>
              <w:pStyle w:val="Tablehead"/>
              <w:spacing w:before="60" w:after="6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Description</w:t>
            </w:r>
          </w:p>
        </w:tc>
      </w:tr>
      <w:tr w:rsidR="000574CC" w:rsidRPr="00A40AE5" w14:paraId="227110D6" w14:textId="77777777" w:rsidTr="73B894E3">
        <w:trPr>
          <w:cantSplit/>
          <w:jc w:val="center"/>
        </w:trPr>
        <w:tc>
          <w:tcPr>
            <w:tcW w:w="1413" w:type="dxa"/>
          </w:tcPr>
          <w:p w14:paraId="690B91D8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T-60</w:t>
            </w:r>
          </w:p>
        </w:tc>
        <w:tc>
          <w:tcPr>
            <w:tcW w:w="2551" w:type="dxa"/>
          </w:tcPr>
          <w:p w14:paraId="7BE709DF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October 2026</w:t>
            </w:r>
          </w:p>
        </w:tc>
        <w:tc>
          <w:tcPr>
            <w:tcW w:w="2694" w:type="dxa"/>
          </w:tcPr>
          <w:p w14:paraId="69729A42" w14:textId="404659DA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Publication of conference list at PP</w:t>
            </w:r>
            <w:r w:rsidR="0081346B" w:rsidRPr="00A40AE5">
              <w:rPr>
                <w:sz w:val="20"/>
                <w:szCs w:val="20"/>
              </w:rPr>
              <w:t> </w:t>
            </w:r>
            <w:r w:rsidRPr="00A40AE5">
              <w:rPr>
                <w:sz w:val="20"/>
                <w:szCs w:val="20"/>
              </w:rPr>
              <w:t>2026 (Res. 77)</w:t>
            </w:r>
          </w:p>
        </w:tc>
        <w:tc>
          <w:tcPr>
            <w:tcW w:w="8084" w:type="dxa"/>
          </w:tcPr>
          <w:p w14:paraId="6C94C5B1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The secretariat publishes, at the Plenipotentiary, the list of conferences and assemblies scheduled for the next eight years, specifying expected periods and providing details on hosts or dates where available.</w:t>
            </w:r>
          </w:p>
        </w:tc>
      </w:tr>
      <w:tr w:rsidR="000574CC" w:rsidRPr="00A40AE5" w14:paraId="69B3DF7E" w14:textId="77777777" w:rsidTr="73B894E3">
        <w:trPr>
          <w:cantSplit/>
          <w:jc w:val="center"/>
        </w:trPr>
        <w:tc>
          <w:tcPr>
            <w:tcW w:w="1413" w:type="dxa"/>
          </w:tcPr>
          <w:p w14:paraId="669FAD31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T-52</w:t>
            </w:r>
          </w:p>
        </w:tc>
        <w:tc>
          <w:tcPr>
            <w:tcW w:w="2551" w:type="dxa"/>
          </w:tcPr>
          <w:p w14:paraId="16C42DA2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June 2027</w:t>
            </w:r>
          </w:p>
        </w:tc>
        <w:tc>
          <w:tcPr>
            <w:tcW w:w="2694" w:type="dxa"/>
          </w:tcPr>
          <w:p w14:paraId="7F176ADA" w14:textId="0897E98C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 xml:space="preserve">Call for </w:t>
            </w:r>
            <w:r w:rsidR="008D4D8B" w:rsidRPr="00A40AE5">
              <w:rPr>
                <w:sz w:val="20"/>
                <w:szCs w:val="20"/>
              </w:rPr>
              <w:t>proposals</w:t>
            </w:r>
          </w:p>
        </w:tc>
        <w:tc>
          <w:tcPr>
            <w:tcW w:w="8084" w:type="dxa"/>
          </w:tcPr>
          <w:p w14:paraId="406B2694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The secretariat issues a Circular Letter inviting Member States to express interest in hosting the 2031 event, outlining submission deadlines for each subsequent stage.</w:t>
            </w:r>
          </w:p>
        </w:tc>
      </w:tr>
      <w:tr w:rsidR="000574CC" w:rsidRPr="00A40AE5" w14:paraId="28CB093A" w14:textId="77777777" w:rsidTr="73B894E3">
        <w:trPr>
          <w:cantSplit/>
          <w:jc w:val="center"/>
        </w:trPr>
        <w:tc>
          <w:tcPr>
            <w:tcW w:w="1413" w:type="dxa"/>
          </w:tcPr>
          <w:p w14:paraId="3491DBE9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T-50 to T-48</w:t>
            </w:r>
          </w:p>
        </w:tc>
        <w:tc>
          <w:tcPr>
            <w:tcW w:w="2551" w:type="dxa"/>
          </w:tcPr>
          <w:p w14:paraId="5AAE4C24" w14:textId="1815F97A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June</w:t>
            </w:r>
            <w:r w:rsidR="00C3783D" w:rsidRPr="00A40AE5">
              <w:rPr>
                <w:sz w:val="20"/>
                <w:szCs w:val="20"/>
              </w:rPr>
              <w:t xml:space="preserve"> – </w:t>
            </w:r>
            <w:r w:rsidRPr="00A40AE5">
              <w:rPr>
                <w:sz w:val="20"/>
                <w:szCs w:val="20"/>
              </w:rPr>
              <w:t>August 2027</w:t>
            </w:r>
          </w:p>
        </w:tc>
        <w:tc>
          <w:tcPr>
            <w:tcW w:w="2694" w:type="dxa"/>
          </w:tcPr>
          <w:p w14:paraId="6BABDA64" w14:textId="1A0139CA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 xml:space="preserve">Expressions of </w:t>
            </w:r>
            <w:r w:rsidR="004B05C7" w:rsidRPr="00A40AE5">
              <w:rPr>
                <w:sz w:val="20"/>
                <w:szCs w:val="20"/>
              </w:rPr>
              <w:t xml:space="preserve">interest </w:t>
            </w:r>
            <w:r w:rsidRPr="00A40AE5">
              <w:rPr>
                <w:sz w:val="20"/>
                <w:szCs w:val="20"/>
              </w:rPr>
              <w:t>and consultation period</w:t>
            </w:r>
          </w:p>
        </w:tc>
        <w:tc>
          <w:tcPr>
            <w:tcW w:w="8084" w:type="dxa"/>
          </w:tcPr>
          <w:p w14:paraId="3AE61BF3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Member States interested in hosting consult with the secretariat and submit official expressions of interest, including supporting rationale. The secretariat provides a model HCA and clarifies budget and facility requirements as needed.</w:t>
            </w:r>
          </w:p>
        </w:tc>
      </w:tr>
      <w:tr w:rsidR="000574CC" w:rsidRPr="00A40AE5" w14:paraId="0B103022" w14:textId="77777777" w:rsidTr="73B894E3">
        <w:trPr>
          <w:cantSplit/>
          <w:jc w:val="center"/>
        </w:trPr>
        <w:tc>
          <w:tcPr>
            <w:tcW w:w="1413" w:type="dxa"/>
          </w:tcPr>
          <w:p w14:paraId="102DC8A5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T-46</w:t>
            </w:r>
          </w:p>
        </w:tc>
        <w:tc>
          <w:tcPr>
            <w:tcW w:w="2551" w:type="dxa"/>
          </w:tcPr>
          <w:p w14:paraId="47771BDC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By December 2027</w:t>
            </w:r>
          </w:p>
        </w:tc>
        <w:tc>
          <w:tcPr>
            <w:tcW w:w="2694" w:type="dxa"/>
          </w:tcPr>
          <w:p w14:paraId="3F74B06C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Submission of formal proposals</w:t>
            </w:r>
          </w:p>
        </w:tc>
        <w:tc>
          <w:tcPr>
            <w:tcW w:w="8084" w:type="dxa"/>
          </w:tcPr>
          <w:p w14:paraId="7AA0EF7B" w14:textId="77777777" w:rsidR="000574CC" w:rsidRPr="008623F8" w:rsidRDefault="000574CC" w:rsidP="008623F8">
            <w:pPr>
              <w:pStyle w:val="Tabletext"/>
              <w:spacing w:before="20" w:after="20"/>
              <w:rPr>
                <w:spacing w:val="-2"/>
                <w:sz w:val="20"/>
                <w:szCs w:val="20"/>
              </w:rPr>
            </w:pPr>
            <w:r w:rsidRPr="008623F8">
              <w:rPr>
                <w:spacing w:val="-2"/>
                <w:sz w:val="20"/>
                <w:szCs w:val="20"/>
              </w:rPr>
              <w:t>Interested Member States submit formal offers, including a letter of intent with government support, details on facilities, financial guarantees, and compliance with the latest HCA requirements.</w:t>
            </w:r>
          </w:p>
        </w:tc>
      </w:tr>
      <w:tr w:rsidR="000574CC" w:rsidRPr="00A40AE5" w14:paraId="7DAB6611" w14:textId="77777777" w:rsidTr="73B894E3">
        <w:trPr>
          <w:cantSplit/>
          <w:jc w:val="center"/>
        </w:trPr>
        <w:tc>
          <w:tcPr>
            <w:tcW w:w="1413" w:type="dxa"/>
          </w:tcPr>
          <w:p w14:paraId="071331F1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T-45</w:t>
            </w:r>
          </w:p>
        </w:tc>
        <w:tc>
          <w:tcPr>
            <w:tcW w:w="2551" w:type="dxa"/>
          </w:tcPr>
          <w:p w14:paraId="066F96C3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Within 12 days after proposal deadline (January 2028)</w:t>
            </w:r>
          </w:p>
        </w:tc>
        <w:tc>
          <w:tcPr>
            <w:tcW w:w="2694" w:type="dxa"/>
          </w:tcPr>
          <w:p w14:paraId="01F770C3" w14:textId="3DE508DD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73B894E3">
              <w:rPr>
                <w:sz w:val="20"/>
                <w:szCs w:val="20"/>
              </w:rPr>
              <w:t xml:space="preserve">Posting of </w:t>
            </w:r>
            <w:r w:rsidR="29FF2BE0" w:rsidRPr="73B894E3">
              <w:rPr>
                <w:sz w:val="20"/>
                <w:szCs w:val="20"/>
              </w:rPr>
              <w:t>formal proposals</w:t>
            </w:r>
          </w:p>
        </w:tc>
        <w:tc>
          <w:tcPr>
            <w:tcW w:w="8084" w:type="dxa"/>
          </w:tcPr>
          <w:p w14:paraId="0CADABFB" w14:textId="37F0647C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 xml:space="preserve">Invitations and information about formal proposals are posted on the </w:t>
            </w:r>
            <w:r w:rsidR="1B70EBB9" w:rsidRPr="246C0DEB">
              <w:rPr>
                <w:sz w:val="20"/>
                <w:szCs w:val="20"/>
              </w:rPr>
              <w:t xml:space="preserve">ITU </w:t>
            </w:r>
            <w:r w:rsidRPr="246C0DEB">
              <w:rPr>
                <w:sz w:val="20"/>
                <w:szCs w:val="20"/>
              </w:rPr>
              <w:t>Host Country Web Portal.</w:t>
            </w:r>
          </w:p>
        </w:tc>
      </w:tr>
      <w:tr w:rsidR="000574CC" w:rsidRPr="00A40AE5" w14:paraId="59ECD9EC" w14:textId="77777777" w:rsidTr="73B894E3">
        <w:trPr>
          <w:cantSplit/>
          <w:jc w:val="center"/>
        </w:trPr>
        <w:tc>
          <w:tcPr>
            <w:tcW w:w="1413" w:type="dxa"/>
          </w:tcPr>
          <w:p w14:paraId="33779F9D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T-45 to T-41</w:t>
            </w:r>
          </w:p>
        </w:tc>
        <w:tc>
          <w:tcPr>
            <w:tcW w:w="2551" w:type="dxa"/>
          </w:tcPr>
          <w:p w14:paraId="0F3327EC" w14:textId="66EE0CE6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January</w:t>
            </w:r>
            <w:r w:rsidR="00C3783D" w:rsidRPr="246C0DEB">
              <w:rPr>
                <w:sz w:val="20"/>
                <w:szCs w:val="20"/>
              </w:rPr>
              <w:t xml:space="preserve"> – </w:t>
            </w:r>
            <w:r w:rsidRPr="246C0DEB">
              <w:rPr>
                <w:sz w:val="20"/>
                <w:szCs w:val="20"/>
              </w:rPr>
              <w:t>May 2028</w:t>
            </w:r>
          </w:p>
        </w:tc>
        <w:tc>
          <w:tcPr>
            <w:tcW w:w="2694" w:type="dxa"/>
          </w:tcPr>
          <w:p w14:paraId="388F5310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Due diligence and preparation of report for Council 2028</w:t>
            </w:r>
          </w:p>
        </w:tc>
        <w:tc>
          <w:tcPr>
            <w:tcW w:w="8084" w:type="dxa"/>
          </w:tcPr>
          <w:p w14:paraId="6D726DD8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The secretariat reviews all proposals for compliance with minimum requirements, may conduct site visits, and prepares a due diligence report. The report and proposals are submitted to the Council or PP at least three years before the conference.</w:t>
            </w:r>
          </w:p>
        </w:tc>
      </w:tr>
      <w:tr w:rsidR="000574CC" w:rsidRPr="00A40AE5" w14:paraId="49C04FE7" w14:textId="77777777" w:rsidTr="73B894E3">
        <w:trPr>
          <w:cantSplit/>
          <w:jc w:val="center"/>
        </w:trPr>
        <w:tc>
          <w:tcPr>
            <w:tcW w:w="1413" w:type="dxa"/>
          </w:tcPr>
          <w:p w14:paraId="6E7126A5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T-40 to T-37</w:t>
            </w:r>
          </w:p>
        </w:tc>
        <w:tc>
          <w:tcPr>
            <w:tcW w:w="2551" w:type="dxa"/>
          </w:tcPr>
          <w:p w14:paraId="05E48813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June/September 2028</w:t>
            </w:r>
          </w:p>
        </w:tc>
        <w:tc>
          <w:tcPr>
            <w:tcW w:w="2694" w:type="dxa"/>
          </w:tcPr>
          <w:p w14:paraId="2B44E565" w14:textId="31CE4B61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Selection of Host Country at Council</w:t>
            </w:r>
            <w:r w:rsidR="0081346B" w:rsidRPr="00A40AE5">
              <w:rPr>
                <w:sz w:val="20"/>
                <w:szCs w:val="20"/>
              </w:rPr>
              <w:t> </w:t>
            </w:r>
            <w:r w:rsidRPr="00A40AE5">
              <w:rPr>
                <w:sz w:val="20"/>
                <w:szCs w:val="20"/>
              </w:rPr>
              <w:t>2028 and confirmation by Member States</w:t>
            </w:r>
          </w:p>
        </w:tc>
        <w:tc>
          <w:tcPr>
            <w:tcW w:w="8084" w:type="dxa"/>
          </w:tcPr>
          <w:p w14:paraId="0D2118C7" w14:textId="6FBB4C1C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73B894E3">
              <w:rPr>
                <w:sz w:val="20"/>
                <w:szCs w:val="20"/>
              </w:rPr>
              <w:t xml:space="preserve">The Council confirms or selects the host country, considering the due diligence report and the principle of geographic rotation.  </w:t>
            </w:r>
            <w:r w:rsidR="28A57EF2" w:rsidRPr="73B894E3">
              <w:rPr>
                <w:sz w:val="20"/>
                <w:szCs w:val="20"/>
              </w:rPr>
              <w:t xml:space="preserve">ITU </w:t>
            </w:r>
            <w:r w:rsidRPr="73B894E3">
              <w:rPr>
                <w:sz w:val="20"/>
                <w:szCs w:val="20"/>
              </w:rPr>
              <w:t xml:space="preserve">Member States’ </w:t>
            </w:r>
            <w:r w:rsidR="4D397478" w:rsidRPr="73B894E3">
              <w:rPr>
                <w:sz w:val="20"/>
                <w:szCs w:val="20"/>
              </w:rPr>
              <w:t>agreement</w:t>
            </w:r>
            <w:r w:rsidRPr="73B894E3">
              <w:rPr>
                <w:sz w:val="20"/>
                <w:szCs w:val="20"/>
              </w:rPr>
              <w:t xml:space="preserve"> </w:t>
            </w:r>
            <w:r w:rsidR="02553FC9" w:rsidRPr="73B894E3">
              <w:rPr>
                <w:sz w:val="20"/>
                <w:szCs w:val="20"/>
              </w:rPr>
              <w:t xml:space="preserve">is </w:t>
            </w:r>
            <w:r w:rsidR="6A8D2B7E" w:rsidRPr="73B894E3">
              <w:rPr>
                <w:sz w:val="20"/>
                <w:szCs w:val="20"/>
              </w:rPr>
              <w:t xml:space="preserve">then </w:t>
            </w:r>
            <w:r w:rsidRPr="73B894E3">
              <w:rPr>
                <w:sz w:val="20"/>
                <w:szCs w:val="20"/>
              </w:rPr>
              <w:t>sought by</w:t>
            </w:r>
            <w:r w:rsidR="637BAE04" w:rsidRPr="73B894E3">
              <w:rPr>
                <w:sz w:val="20"/>
                <w:szCs w:val="20"/>
              </w:rPr>
              <w:t xml:space="preserve"> a consultation through </w:t>
            </w:r>
            <w:r w:rsidRPr="73B894E3">
              <w:rPr>
                <w:sz w:val="20"/>
                <w:szCs w:val="20"/>
              </w:rPr>
              <w:t>Circular Letter. The</w:t>
            </w:r>
            <w:r w:rsidR="763E4331" w:rsidRPr="73B894E3">
              <w:rPr>
                <w:sz w:val="20"/>
                <w:szCs w:val="20"/>
              </w:rPr>
              <w:t xml:space="preserve"> final </w:t>
            </w:r>
            <w:r w:rsidRPr="73B894E3">
              <w:rPr>
                <w:sz w:val="20"/>
                <w:szCs w:val="20"/>
              </w:rPr>
              <w:t>decision is</w:t>
            </w:r>
            <w:r w:rsidR="0B1290C1" w:rsidRPr="73B894E3">
              <w:rPr>
                <w:sz w:val="20"/>
                <w:szCs w:val="20"/>
              </w:rPr>
              <w:t xml:space="preserve"> then</w:t>
            </w:r>
            <w:r w:rsidRPr="73B894E3">
              <w:rPr>
                <w:sz w:val="20"/>
                <w:szCs w:val="20"/>
              </w:rPr>
              <w:t xml:space="preserve"> announced by Circular Letter</w:t>
            </w:r>
            <w:proofErr w:type="gramStart"/>
            <w:r w:rsidR="6D8C8E62" w:rsidRPr="73B894E3">
              <w:rPr>
                <w:sz w:val="20"/>
                <w:szCs w:val="20"/>
              </w:rPr>
              <w:t>.</w:t>
            </w:r>
            <w:r w:rsidRPr="73B894E3">
              <w:rPr>
                <w:sz w:val="20"/>
                <w:szCs w:val="20"/>
              </w:rPr>
              <w:t xml:space="preserve"> </w:t>
            </w:r>
            <w:r w:rsidR="07F38121" w:rsidRPr="73B894E3">
              <w:rPr>
                <w:sz w:val="20"/>
                <w:szCs w:val="20"/>
              </w:rPr>
              <w:t>.</w:t>
            </w:r>
            <w:proofErr w:type="gramEnd"/>
            <w:r w:rsidR="07F38121" w:rsidRPr="73B894E3">
              <w:rPr>
                <w:sz w:val="20"/>
                <w:szCs w:val="20"/>
              </w:rPr>
              <w:t xml:space="preserve"> </w:t>
            </w:r>
            <w:r w:rsidRPr="73B894E3">
              <w:rPr>
                <w:sz w:val="20"/>
                <w:szCs w:val="20"/>
              </w:rPr>
              <w:t xml:space="preserve"> </w:t>
            </w:r>
          </w:p>
        </w:tc>
      </w:tr>
      <w:tr w:rsidR="000574CC" w:rsidRPr="00A40AE5" w14:paraId="318979A2" w14:textId="77777777" w:rsidTr="73B894E3">
        <w:trPr>
          <w:cantSplit/>
          <w:jc w:val="center"/>
        </w:trPr>
        <w:tc>
          <w:tcPr>
            <w:tcW w:w="1413" w:type="dxa"/>
          </w:tcPr>
          <w:p w14:paraId="71C620F0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T-24</w:t>
            </w:r>
          </w:p>
        </w:tc>
        <w:tc>
          <w:tcPr>
            <w:tcW w:w="2551" w:type="dxa"/>
          </w:tcPr>
          <w:p w14:paraId="58EA9717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October 2029</w:t>
            </w:r>
          </w:p>
        </w:tc>
        <w:tc>
          <w:tcPr>
            <w:tcW w:w="2694" w:type="dxa"/>
          </w:tcPr>
          <w:p w14:paraId="3AB32998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Draft Host Country Agreement</w:t>
            </w:r>
          </w:p>
        </w:tc>
        <w:tc>
          <w:tcPr>
            <w:tcW w:w="8084" w:type="dxa"/>
          </w:tcPr>
          <w:p w14:paraId="064F76B4" w14:textId="77777777" w:rsidR="000574CC" w:rsidRPr="00A40AE5" w:rsidRDefault="000574CC" w:rsidP="008623F8">
            <w:pPr>
              <w:pStyle w:val="Tabletext"/>
              <w:spacing w:before="20" w:after="20"/>
              <w:jc w:val="both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The draft HCA is shared with the selected host government at least two years before the event. A joint organizing committee is established to oversee venue planning, IT, security, protocol, media and communications, and HCA finalization.</w:t>
            </w:r>
          </w:p>
        </w:tc>
      </w:tr>
      <w:tr w:rsidR="000574CC" w:rsidRPr="00A40AE5" w14:paraId="7422E857" w14:textId="77777777" w:rsidTr="73B894E3">
        <w:trPr>
          <w:cantSplit/>
          <w:jc w:val="center"/>
        </w:trPr>
        <w:tc>
          <w:tcPr>
            <w:tcW w:w="1413" w:type="dxa"/>
          </w:tcPr>
          <w:p w14:paraId="020C1612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T-12</w:t>
            </w:r>
          </w:p>
        </w:tc>
        <w:tc>
          <w:tcPr>
            <w:tcW w:w="2551" w:type="dxa"/>
          </w:tcPr>
          <w:p w14:paraId="24B75854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October 2030</w:t>
            </w:r>
          </w:p>
        </w:tc>
        <w:tc>
          <w:tcPr>
            <w:tcW w:w="2694" w:type="dxa"/>
          </w:tcPr>
          <w:p w14:paraId="28C4534E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Signing of HCA</w:t>
            </w:r>
          </w:p>
        </w:tc>
        <w:tc>
          <w:tcPr>
            <w:tcW w:w="8084" w:type="dxa"/>
          </w:tcPr>
          <w:p w14:paraId="0EBC9814" w14:textId="388AA413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 xml:space="preserve">The final HCA is signed by ITU and the host country, preferably one year before the conference. The signed HCA is made available on the </w:t>
            </w:r>
            <w:r w:rsidR="11C4F243" w:rsidRPr="246C0DEB">
              <w:rPr>
                <w:sz w:val="20"/>
                <w:szCs w:val="20"/>
              </w:rPr>
              <w:t xml:space="preserve">ITU </w:t>
            </w:r>
            <w:r w:rsidRPr="246C0DEB">
              <w:rPr>
                <w:sz w:val="20"/>
                <w:szCs w:val="20"/>
              </w:rPr>
              <w:t>Host Country Web Portal and published as a conference document.</w:t>
            </w:r>
          </w:p>
        </w:tc>
      </w:tr>
      <w:tr w:rsidR="000574CC" w:rsidRPr="00A40AE5" w14:paraId="394D7C32" w14:textId="77777777" w:rsidTr="73B894E3">
        <w:trPr>
          <w:cantSplit/>
          <w:jc w:val="center"/>
        </w:trPr>
        <w:tc>
          <w:tcPr>
            <w:tcW w:w="1413" w:type="dxa"/>
          </w:tcPr>
          <w:p w14:paraId="7A3850D5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T-0</w:t>
            </w:r>
          </w:p>
        </w:tc>
        <w:tc>
          <w:tcPr>
            <w:tcW w:w="2551" w:type="dxa"/>
          </w:tcPr>
          <w:p w14:paraId="5D81E5B3" w14:textId="77777777" w:rsidR="000574CC" w:rsidRPr="00A40AE5" w:rsidRDefault="000574CC" w:rsidP="008623F8">
            <w:pPr>
              <w:pStyle w:val="Tabletext"/>
              <w:spacing w:before="20" w:after="20"/>
              <w:jc w:val="center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October 2031</w:t>
            </w:r>
          </w:p>
        </w:tc>
        <w:tc>
          <w:tcPr>
            <w:tcW w:w="2694" w:type="dxa"/>
          </w:tcPr>
          <w:p w14:paraId="5B55FAA3" w14:textId="4EC0E25D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Conference or assembly is held</w:t>
            </w:r>
          </w:p>
        </w:tc>
        <w:tc>
          <w:tcPr>
            <w:tcW w:w="8084" w:type="dxa"/>
          </w:tcPr>
          <w:p w14:paraId="0C7D2DAA" w14:textId="77777777" w:rsidR="000574CC" w:rsidRPr="00A40AE5" w:rsidRDefault="000574CC" w:rsidP="008623F8">
            <w:pPr>
              <w:pStyle w:val="Tabletext"/>
              <w:spacing w:before="20" w:after="20"/>
              <w:rPr>
                <w:sz w:val="20"/>
                <w:szCs w:val="20"/>
              </w:rPr>
            </w:pPr>
            <w:r w:rsidRPr="00A40AE5">
              <w:rPr>
                <w:sz w:val="20"/>
                <w:szCs w:val="20"/>
              </w:rPr>
              <w:t>The event is held in the selected host country, in accordance with the signed HCA and agreed arrangements.</w:t>
            </w:r>
          </w:p>
        </w:tc>
      </w:tr>
    </w:tbl>
    <w:p w14:paraId="29B5D0A3" w14:textId="77777777" w:rsidR="000574CC" w:rsidRPr="008623F8" w:rsidRDefault="000574CC" w:rsidP="000574C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  <w:sz w:val="20"/>
        </w:rPr>
      </w:pPr>
      <w:r w:rsidRPr="008623F8">
        <w:rPr>
          <w:b/>
          <w:bCs/>
          <w:sz w:val="20"/>
        </w:rPr>
        <w:br w:type="page"/>
      </w:r>
    </w:p>
    <w:p w14:paraId="26F32E1C" w14:textId="77777777" w:rsidR="000574CC" w:rsidRPr="00B81374" w:rsidRDefault="000574CC" w:rsidP="0033712B">
      <w:pPr>
        <w:pStyle w:val="AnnexNo"/>
      </w:pPr>
      <w:bookmarkStart w:id="12" w:name="AnnexB"/>
      <w:bookmarkEnd w:id="12"/>
      <w:r w:rsidRPr="00B81374">
        <w:lastRenderedPageBreak/>
        <w:t>Annex B</w:t>
      </w:r>
    </w:p>
    <w:p w14:paraId="7F5531EE" w14:textId="46FB7C5F" w:rsidR="00B92C53" w:rsidRPr="00B81374" w:rsidRDefault="00B92C53" w:rsidP="0033712B">
      <w:pPr>
        <w:pStyle w:val="Annextitle"/>
        <w:rPr>
          <w:b w:val="0"/>
          <w:bCs/>
        </w:rPr>
      </w:pPr>
      <w:r w:rsidRPr="00B81374">
        <w:t>Indicative overview of requirements</w:t>
      </w:r>
      <w:r w:rsidR="001A32AD" w:rsidRPr="00B81374">
        <w:t xml:space="preserve"> </w:t>
      </w:r>
      <w:r w:rsidR="007F3D2E" w:rsidRPr="00B81374">
        <w:t>per</w:t>
      </w:r>
      <w:r w:rsidR="001A32AD" w:rsidRPr="00B81374">
        <w:t xml:space="preserve"> </w:t>
      </w:r>
      <w:r w:rsidRPr="00B81374">
        <w:t>conference/assembly based on most recent signed HCAs</w:t>
      </w:r>
    </w:p>
    <w:p w14:paraId="3C06114F" w14:textId="13E7804C" w:rsidR="008D511A" w:rsidRPr="00B81374" w:rsidRDefault="00A62BC2" w:rsidP="006F4AFA">
      <w:pPr>
        <w:pStyle w:val="Headingb"/>
        <w:spacing w:before="240" w:after="160"/>
      </w:pPr>
      <w:r w:rsidRPr="00B81374">
        <w:t>Type</w:t>
      </w:r>
      <w:r w:rsidR="001A5637" w:rsidRPr="00B81374">
        <w:t xml:space="preserve">, </w:t>
      </w:r>
      <w:r w:rsidR="002D3C04" w:rsidRPr="00B81374">
        <w:t>number and capacity of room</w:t>
      </w:r>
      <w:r w:rsidRPr="00B81374">
        <w:t>s</w:t>
      </w:r>
    </w:p>
    <w:tbl>
      <w:tblPr>
        <w:tblStyle w:val="PlainTable1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729"/>
        <w:gridCol w:w="2730"/>
        <w:gridCol w:w="2730"/>
        <w:gridCol w:w="2730"/>
      </w:tblGrid>
      <w:tr w:rsidR="006565B2" w:rsidRPr="00F42BB3" w14:paraId="071CAA37" w14:textId="77777777" w:rsidTr="00842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</w:tcPr>
          <w:p w14:paraId="226E4E86" w14:textId="77777777" w:rsidR="00B92C53" w:rsidRPr="00F42BB3" w:rsidRDefault="00B92C53" w:rsidP="00F42BB3">
            <w:pPr>
              <w:pStyle w:val="Tablehead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Category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7CC73E00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WTDC-25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02A2763F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WTSA-24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2D9F0643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WRC-23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8BFF4BC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PP-22</w:t>
            </w:r>
          </w:p>
        </w:tc>
      </w:tr>
      <w:tr w:rsidR="006565B2" w:rsidRPr="00B81374" w14:paraId="71B87639" w14:textId="77777777" w:rsidTr="0084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1BAB241" w14:textId="732EF9C2" w:rsidR="00B92C53" w:rsidRPr="00B81374" w:rsidRDefault="00B92C53" w:rsidP="002D3C04">
            <w:pPr>
              <w:pStyle w:val="Tabletext"/>
            </w:pPr>
            <w:r w:rsidRPr="00B81374">
              <w:t xml:space="preserve">Main </w:t>
            </w:r>
            <w:r w:rsidR="00F42BB3" w:rsidRPr="00B81374">
              <w:t>plenary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255633F" w14:textId="4EFE6C93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1×1</w:t>
            </w:r>
            <w:r w:rsidR="00F42BB3">
              <w:t> </w:t>
            </w:r>
            <w:r w:rsidRPr="00B81374">
              <w:t>500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0CD36A3" w14:textId="19077ACB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1×1</w:t>
            </w:r>
            <w:r w:rsidR="00F42BB3">
              <w:t> </w:t>
            </w:r>
            <w:r w:rsidRPr="00B81374">
              <w:t>500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BB5E163" w14:textId="21140B70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1×2</w:t>
            </w:r>
            <w:r w:rsidR="00F42BB3">
              <w:t> </w:t>
            </w:r>
            <w:r w:rsidRPr="00B81374">
              <w:t>500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B944219" w14:textId="22548F8E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1×2</w:t>
            </w:r>
            <w:r w:rsidR="00F42BB3">
              <w:t> </w:t>
            </w:r>
            <w:r w:rsidRPr="00B81374">
              <w:t>000</w:t>
            </w:r>
          </w:p>
        </w:tc>
      </w:tr>
      <w:tr w:rsidR="006565B2" w:rsidRPr="00B81374" w14:paraId="056D5D61" w14:textId="77777777" w:rsidTr="00842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BFBFBF" w:themeColor="background1" w:themeShade="BF"/>
            </w:tcBorders>
          </w:tcPr>
          <w:p w14:paraId="4C9C4AF0" w14:textId="493A5985" w:rsidR="00B92C53" w:rsidRPr="00B81374" w:rsidRDefault="00B92C53" w:rsidP="002D3C04">
            <w:pPr>
              <w:pStyle w:val="Tabletext"/>
            </w:pPr>
            <w:r w:rsidRPr="00B81374">
              <w:t xml:space="preserve">Large </w:t>
            </w:r>
            <w:r w:rsidR="00F42BB3" w:rsidRPr="00B81374">
              <w:t>rooms</w:t>
            </w:r>
          </w:p>
        </w:tc>
        <w:tc>
          <w:tcPr>
            <w:tcW w:w="2729" w:type="dxa"/>
            <w:tcBorders>
              <w:top w:val="single" w:sz="4" w:space="0" w:color="BFBFBF" w:themeColor="background1" w:themeShade="BF"/>
            </w:tcBorders>
          </w:tcPr>
          <w:p w14:paraId="22F3B820" w14:textId="3005AC3F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730" w:type="dxa"/>
            <w:tcBorders>
              <w:top w:val="single" w:sz="4" w:space="0" w:color="BFBFBF" w:themeColor="background1" w:themeShade="BF"/>
            </w:tcBorders>
          </w:tcPr>
          <w:p w14:paraId="7AEB5C6B" w14:textId="7777777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750</w:t>
            </w:r>
          </w:p>
        </w:tc>
        <w:tc>
          <w:tcPr>
            <w:tcW w:w="2730" w:type="dxa"/>
            <w:tcBorders>
              <w:top w:val="single" w:sz="4" w:space="0" w:color="BFBFBF" w:themeColor="background1" w:themeShade="BF"/>
            </w:tcBorders>
          </w:tcPr>
          <w:p w14:paraId="324568F0" w14:textId="7777777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900/500</w:t>
            </w:r>
          </w:p>
        </w:tc>
        <w:tc>
          <w:tcPr>
            <w:tcW w:w="2730" w:type="dxa"/>
            <w:tcBorders>
              <w:top w:val="single" w:sz="4" w:space="0" w:color="BFBFBF" w:themeColor="background1" w:themeShade="BF"/>
            </w:tcBorders>
          </w:tcPr>
          <w:p w14:paraId="2BD7809A" w14:textId="7777777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800/500/400</w:t>
            </w:r>
          </w:p>
        </w:tc>
      </w:tr>
      <w:tr w:rsidR="006565B2" w:rsidRPr="00B81374" w14:paraId="0762AF0D" w14:textId="77777777" w:rsidTr="0084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A40603" w14:textId="5800D7E3" w:rsidR="00B92C53" w:rsidRPr="00B81374" w:rsidRDefault="00B92C53" w:rsidP="002D3C04">
            <w:pPr>
              <w:pStyle w:val="Tabletext"/>
            </w:pPr>
            <w:r w:rsidRPr="00B81374">
              <w:t xml:space="preserve">Medium </w:t>
            </w:r>
            <w:r w:rsidR="00F42BB3" w:rsidRPr="00B81374">
              <w:t>rooms</w:t>
            </w:r>
          </w:p>
        </w:tc>
        <w:tc>
          <w:tcPr>
            <w:tcW w:w="2729" w:type="dxa"/>
          </w:tcPr>
          <w:p w14:paraId="62878EA2" w14:textId="77777777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200</w:t>
            </w:r>
          </w:p>
        </w:tc>
        <w:tc>
          <w:tcPr>
            <w:tcW w:w="2730" w:type="dxa"/>
          </w:tcPr>
          <w:p w14:paraId="0577CC20" w14:textId="77777777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2×300</w:t>
            </w:r>
          </w:p>
        </w:tc>
        <w:tc>
          <w:tcPr>
            <w:tcW w:w="2730" w:type="dxa"/>
          </w:tcPr>
          <w:p w14:paraId="5FDE90FC" w14:textId="77777777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2×300</w:t>
            </w:r>
          </w:p>
        </w:tc>
        <w:tc>
          <w:tcPr>
            <w:tcW w:w="2730" w:type="dxa"/>
          </w:tcPr>
          <w:p w14:paraId="786CF793" w14:textId="77777777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200</w:t>
            </w:r>
          </w:p>
        </w:tc>
      </w:tr>
      <w:tr w:rsidR="006565B2" w:rsidRPr="00B81374" w14:paraId="5C5A3749" w14:textId="77777777" w:rsidTr="00842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E247E2" w14:textId="52B14FD6" w:rsidR="00B92C53" w:rsidRPr="00B81374" w:rsidRDefault="00B92C53" w:rsidP="002D3C04">
            <w:pPr>
              <w:pStyle w:val="Tabletext"/>
            </w:pPr>
            <w:r w:rsidRPr="00B81374">
              <w:t xml:space="preserve">Small </w:t>
            </w:r>
            <w:r w:rsidR="00F42BB3" w:rsidRPr="00B81374">
              <w:t>rooms</w:t>
            </w:r>
          </w:p>
        </w:tc>
        <w:tc>
          <w:tcPr>
            <w:tcW w:w="2729" w:type="dxa"/>
          </w:tcPr>
          <w:p w14:paraId="56EC91DA" w14:textId="7777777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100</w:t>
            </w:r>
          </w:p>
        </w:tc>
        <w:tc>
          <w:tcPr>
            <w:tcW w:w="2730" w:type="dxa"/>
          </w:tcPr>
          <w:p w14:paraId="4CA42FA3" w14:textId="6E16A6D0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150</w:t>
            </w:r>
            <w:r w:rsidR="00F42BB3">
              <w:t>-</w:t>
            </w:r>
            <w:r w:rsidRPr="00B81374">
              <w:t>200</w:t>
            </w:r>
          </w:p>
        </w:tc>
        <w:tc>
          <w:tcPr>
            <w:tcW w:w="2730" w:type="dxa"/>
          </w:tcPr>
          <w:p w14:paraId="51C45914" w14:textId="7777777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8×100</w:t>
            </w:r>
          </w:p>
        </w:tc>
        <w:tc>
          <w:tcPr>
            <w:tcW w:w="2730" w:type="dxa"/>
          </w:tcPr>
          <w:p w14:paraId="749A3E70" w14:textId="33A3B298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</w:t>
            </w:r>
            <w:r w:rsidR="00770917" w:rsidRPr="00B81374">
              <w:t>×</w:t>
            </w:r>
            <w:r w:rsidRPr="00B81374">
              <w:t>75</w:t>
            </w:r>
            <w:r w:rsidR="00B47BED" w:rsidRPr="00B81374">
              <w:t>;</w:t>
            </w:r>
            <w:r w:rsidRPr="00B81374">
              <w:t xml:space="preserve"> 2×100</w:t>
            </w:r>
          </w:p>
        </w:tc>
      </w:tr>
      <w:tr w:rsidR="006565B2" w:rsidRPr="00B81374" w14:paraId="4AA98BDB" w14:textId="77777777" w:rsidTr="0084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07DB3E" w14:textId="77777777" w:rsidR="00B92C53" w:rsidRPr="00B81374" w:rsidRDefault="00B92C53" w:rsidP="002D3C04">
            <w:pPr>
              <w:pStyle w:val="Tabletext"/>
            </w:pPr>
            <w:r w:rsidRPr="00B81374">
              <w:t>Breakouts</w:t>
            </w:r>
          </w:p>
        </w:tc>
        <w:tc>
          <w:tcPr>
            <w:tcW w:w="2729" w:type="dxa"/>
          </w:tcPr>
          <w:p w14:paraId="24728655" w14:textId="11734207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4×50;</w:t>
            </w:r>
            <w:r w:rsidR="00FC0C09" w:rsidRPr="00B81374">
              <w:t xml:space="preserve"> </w:t>
            </w:r>
            <w:r w:rsidRPr="00B81374">
              <w:t>2×30</w:t>
            </w:r>
            <w:r w:rsidR="00FC0C09" w:rsidRPr="00B81374">
              <w:t>;</w:t>
            </w:r>
            <w:r w:rsidRPr="00B81374">
              <w:t xml:space="preserve"> 4</w:t>
            </w:r>
            <w:r w:rsidR="00F42BB3" w:rsidRPr="00B81374">
              <w:t>×</w:t>
            </w:r>
            <w:r w:rsidRPr="00B81374">
              <w:t>10</w:t>
            </w:r>
            <w:r w:rsidR="00F42BB3">
              <w:t>-</w:t>
            </w:r>
            <w:r w:rsidRPr="00B81374">
              <w:t>15</w:t>
            </w:r>
          </w:p>
        </w:tc>
        <w:tc>
          <w:tcPr>
            <w:tcW w:w="2730" w:type="dxa"/>
          </w:tcPr>
          <w:p w14:paraId="5898362E" w14:textId="03B3B8C2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2×100;</w:t>
            </w:r>
            <w:r w:rsidR="00FC0C09" w:rsidRPr="00B81374">
              <w:t xml:space="preserve"> </w:t>
            </w:r>
            <w:r w:rsidRPr="00B81374">
              <w:t>3×50;</w:t>
            </w:r>
            <w:r w:rsidR="00FC0C09" w:rsidRPr="00B81374">
              <w:t xml:space="preserve"> </w:t>
            </w:r>
            <w:r w:rsidRPr="00B81374">
              <w:t>2×30;</w:t>
            </w:r>
            <w:r w:rsidR="00FC0C09" w:rsidRPr="00B81374">
              <w:t xml:space="preserve"> </w:t>
            </w:r>
            <w:r w:rsidRPr="00B81374">
              <w:t>3×10</w:t>
            </w:r>
            <w:r w:rsidR="00F42BB3">
              <w:t>-</w:t>
            </w:r>
            <w:r w:rsidRPr="00B81374">
              <w:t>20</w:t>
            </w:r>
          </w:p>
        </w:tc>
        <w:tc>
          <w:tcPr>
            <w:tcW w:w="2730" w:type="dxa"/>
          </w:tcPr>
          <w:p w14:paraId="6263719A" w14:textId="0BF9C688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7×50;</w:t>
            </w:r>
            <w:r w:rsidR="00FC0C09" w:rsidRPr="00B81374">
              <w:t xml:space="preserve"> </w:t>
            </w:r>
            <w:r w:rsidRPr="00B81374">
              <w:t>10×15</w:t>
            </w:r>
            <w:r w:rsidR="00F42BB3">
              <w:t>-</w:t>
            </w:r>
            <w:r w:rsidRPr="00B81374">
              <w:t>25</w:t>
            </w:r>
          </w:p>
        </w:tc>
        <w:tc>
          <w:tcPr>
            <w:tcW w:w="2730" w:type="dxa"/>
          </w:tcPr>
          <w:p w14:paraId="1C0A1A8E" w14:textId="678988DE" w:rsidR="00B92C53" w:rsidRPr="00B81374" w:rsidRDefault="00B92C53" w:rsidP="00F42BB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3×50;</w:t>
            </w:r>
            <w:r w:rsidR="00FC0C09" w:rsidRPr="00B81374">
              <w:t xml:space="preserve"> </w:t>
            </w:r>
            <w:r w:rsidRPr="00B81374">
              <w:t>15×10</w:t>
            </w:r>
            <w:r w:rsidR="00F42BB3">
              <w:t>-</w:t>
            </w:r>
            <w:r w:rsidRPr="00B81374">
              <w:t>20</w:t>
            </w:r>
          </w:p>
        </w:tc>
      </w:tr>
      <w:tr w:rsidR="006565B2" w:rsidRPr="00B81374" w14:paraId="229C2E4B" w14:textId="77777777" w:rsidTr="00842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673B54" w14:textId="77777777" w:rsidR="00B92C53" w:rsidRPr="00B81374" w:rsidRDefault="00B92C53" w:rsidP="002D3C04">
            <w:pPr>
              <w:pStyle w:val="Tabletext"/>
            </w:pPr>
            <w:r w:rsidRPr="00B81374">
              <w:t>Editorial</w:t>
            </w:r>
          </w:p>
        </w:tc>
        <w:tc>
          <w:tcPr>
            <w:tcW w:w="2729" w:type="dxa"/>
          </w:tcPr>
          <w:p w14:paraId="445BFF80" w14:textId="0F47CD6E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</w:t>
            </w:r>
            <w:r w:rsidR="00CA2AD2" w:rsidRPr="00B81374">
              <w:t>×</w:t>
            </w:r>
            <w:r w:rsidRPr="00B81374">
              <w:t>30</w:t>
            </w:r>
          </w:p>
        </w:tc>
        <w:tc>
          <w:tcPr>
            <w:tcW w:w="2730" w:type="dxa"/>
          </w:tcPr>
          <w:p w14:paraId="1865A041" w14:textId="7A742CB7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</w:t>
            </w:r>
            <w:r w:rsidR="00CA2AD2" w:rsidRPr="00B81374">
              <w:t>×</w:t>
            </w:r>
            <w:r w:rsidRPr="00B81374">
              <w:t>30</w:t>
            </w:r>
          </w:p>
        </w:tc>
        <w:tc>
          <w:tcPr>
            <w:tcW w:w="2730" w:type="dxa"/>
          </w:tcPr>
          <w:p w14:paraId="0DC18D6C" w14:textId="262178B6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</w:t>
            </w:r>
            <w:r w:rsidR="00CA2AD2" w:rsidRPr="00B81374">
              <w:t>×</w:t>
            </w:r>
            <w:r w:rsidRPr="00B81374">
              <w:t>30</w:t>
            </w:r>
          </w:p>
        </w:tc>
        <w:tc>
          <w:tcPr>
            <w:tcW w:w="2730" w:type="dxa"/>
          </w:tcPr>
          <w:p w14:paraId="555B175D" w14:textId="2FD3B4DC" w:rsidR="00B92C53" w:rsidRPr="00B81374" w:rsidRDefault="00B92C53" w:rsidP="00F42BB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1</w:t>
            </w:r>
            <w:r w:rsidR="00CA2AD2" w:rsidRPr="00B81374">
              <w:t>×</w:t>
            </w:r>
            <w:r w:rsidRPr="00B81374">
              <w:t>30</w:t>
            </w:r>
          </w:p>
        </w:tc>
      </w:tr>
    </w:tbl>
    <w:p w14:paraId="0BB5BFE8" w14:textId="77777777" w:rsidR="00283206" w:rsidRDefault="00283206" w:rsidP="00283206">
      <w:pPr>
        <w:pStyle w:val="Tablefin"/>
      </w:pPr>
    </w:p>
    <w:p w14:paraId="5CA8AF1D" w14:textId="5055EEC4" w:rsidR="00B92C53" w:rsidRPr="00B81374" w:rsidRDefault="0064418E" w:rsidP="006F4AFA">
      <w:pPr>
        <w:pStyle w:val="Headingb"/>
        <w:spacing w:before="240" w:after="160"/>
      </w:pPr>
      <w:r w:rsidRPr="00B81374">
        <w:t xml:space="preserve">Technical </w:t>
      </w:r>
      <w:r w:rsidR="002D3C04" w:rsidRPr="00B81374">
        <w:t>services required</w:t>
      </w:r>
    </w:p>
    <w:tbl>
      <w:tblPr>
        <w:tblStyle w:val="PlainTable1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718"/>
        <w:gridCol w:w="2741"/>
        <w:gridCol w:w="2731"/>
        <w:gridCol w:w="2728"/>
      </w:tblGrid>
      <w:tr w:rsidR="009233C9" w:rsidRPr="00F42BB3" w14:paraId="22F5917C" w14:textId="77777777" w:rsidTr="00923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auto"/>
              <w:bottom w:val="single" w:sz="4" w:space="0" w:color="auto"/>
            </w:tcBorders>
          </w:tcPr>
          <w:p w14:paraId="4E52CA65" w14:textId="77777777" w:rsidR="00B92C53" w:rsidRPr="00F42BB3" w:rsidRDefault="00B92C53" w:rsidP="00F42BB3">
            <w:pPr>
              <w:pStyle w:val="Tablehead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Category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592B5CE1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WTDC-25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6F971BEC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WTSA-24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13171410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WRC-23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14:paraId="77696FDE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PP-22</w:t>
            </w:r>
          </w:p>
        </w:tc>
      </w:tr>
      <w:tr w:rsidR="00B92C53" w:rsidRPr="00B81374" w14:paraId="087FB568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auto"/>
            </w:tcBorders>
          </w:tcPr>
          <w:p w14:paraId="41DB0303" w14:textId="77777777" w:rsidR="00B92C53" w:rsidRPr="00B81374" w:rsidRDefault="00B92C53" w:rsidP="002D3C04">
            <w:pPr>
              <w:pStyle w:val="Tabletext"/>
            </w:pPr>
            <w:r w:rsidRPr="00B81374">
              <w:t>Interpretation</w:t>
            </w:r>
          </w:p>
        </w:tc>
        <w:tc>
          <w:tcPr>
            <w:tcW w:w="4186" w:type="pct"/>
            <w:gridSpan w:val="4"/>
            <w:tcBorders>
              <w:top w:val="single" w:sz="4" w:space="0" w:color="auto"/>
            </w:tcBorders>
          </w:tcPr>
          <w:p w14:paraId="0A0F5014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6 languages</w:t>
            </w:r>
          </w:p>
        </w:tc>
      </w:tr>
      <w:tr w:rsidR="00B92C53" w:rsidRPr="00B81374" w14:paraId="705AB537" w14:textId="77777777" w:rsidTr="00923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</w:tcPr>
          <w:p w14:paraId="265F1BB8" w14:textId="77777777" w:rsidR="00B92C53" w:rsidRPr="00B81374" w:rsidRDefault="00B92C53" w:rsidP="002D3C04">
            <w:pPr>
              <w:pStyle w:val="Tabletext"/>
            </w:pPr>
            <w:r w:rsidRPr="00B81374">
              <w:t>Recording</w:t>
            </w:r>
          </w:p>
        </w:tc>
        <w:tc>
          <w:tcPr>
            <w:tcW w:w="4186" w:type="pct"/>
            <w:gridSpan w:val="4"/>
          </w:tcPr>
          <w:p w14:paraId="29B71984" w14:textId="77777777" w:rsidR="00B92C53" w:rsidRPr="00B81374" w:rsidRDefault="00B92C53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Digital audio</w:t>
            </w:r>
          </w:p>
        </w:tc>
      </w:tr>
      <w:tr w:rsidR="00B92C53" w:rsidRPr="00B81374" w14:paraId="4ED2B12D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</w:tcPr>
          <w:p w14:paraId="62E6FE22" w14:textId="77777777" w:rsidR="00B92C53" w:rsidRPr="00B81374" w:rsidRDefault="00B92C53" w:rsidP="002D3C04">
            <w:pPr>
              <w:pStyle w:val="Tabletext"/>
            </w:pPr>
            <w:r w:rsidRPr="00B81374">
              <w:t>Webcast</w:t>
            </w:r>
          </w:p>
        </w:tc>
        <w:tc>
          <w:tcPr>
            <w:tcW w:w="4186" w:type="pct"/>
            <w:gridSpan w:val="4"/>
          </w:tcPr>
          <w:p w14:paraId="52B041A1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7 channels</w:t>
            </w:r>
          </w:p>
        </w:tc>
      </w:tr>
      <w:tr w:rsidR="00B92C53" w:rsidRPr="00B81374" w14:paraId="66F31BBD" w14:textId="77777777" w:rsidTr="00923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</w:tcPr>
          <w:p w14:paraId="03E3F693" w14:textId="77777777" w:rsidR="00B92C53" w:rsidRPr="00B81374" w:rsidRDefault="00B92C53" w:rsidP="002D3C04">
            <w:pPr>
              <w:pStyle w:val="Tabletext"/>
            </w:pPr>
            <w:r w:rsidRPr="00B81374">
              <w:t>Networking</w:t>
            </w:r>
          </w:p>
        </w:tc>
        <w:tc>
          <w:tcPr>
            <w:tcW w:w="1042" w:type="pct"/>
          </w:tcPr>
          <w:p w14:paraId="5B77161B" w14:textId="65E68FAA" w:rsidR="00B92C53" w:rsidRPr="00B81374" w:rsidRDefault="00BD79F3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BlueLAN</w:t>
            </w:r>
            <w:r w:rsidR="00B92C53" w:rsidRPr="00B81374">
              <w:t>1Gb</w:t>
            </w:r>
            <w:r w:rsidR="00133376" w:rsidRPr="00B81374">
              <w:t>/GreenLAN</w:t>
            </w:r>
            <w:r w:rsidR="00DE7434" w:rsidRPr="00B81374">
              <w:t xml:space="preserve"> </w:t>
            </w:r>
            <w:r w:rsidR="00B92C53" w:rsidRPr="00B81374">
              <w:t>2×1Gb</w:t>
            </w:r>
            <w:r w:rsidR="00DE7434" w:rsidRPr="00B81374">
              <w:t xml:space="preserve"> links</w:t>
            </w:r>
          </w:p>
        </w:tc>
        <w:tc>
          <w:tcPr>
            <w:tcW w:w="1051" w:type="pct"/>
          </w:tcPr>
          <w:p w14:paraId="0297E633" w14:textId="5D1902CB" w:rsidR="00B92C53" w:rsidRPr="00B81374" w:rsidRDefault="00133376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BlueLAN1Gb/GreenLAN 2×1Gb links</w:t>
            </w:r>
          </w:p>
        </w:tc>
        <w:tc>
          <w:tcPr>
            <w:tcW w:w="1047" w:type="pct"/>
          </w:tcPr>
          <w:p w14:paraId="1866E495" w14:textId="77777777" w:rsidR="00B92C53" w:rsidRPr="00B81374" w:rsidRDefault="00B92C53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300Mb+2×1Gb</w:t>
            </w:r>
          </w:p>
        </w:tc>
        <w:tc>
          <w:tcPr>
            <w:tcW w:w="1046" w:type="pct"/>
          </w:tcPr>
          <w:p w14:paraId="3E5BE87F" w14:textId="77777777" w:rsidR="00B92C53" w:rsidRPr="00B81374" w:rsidRDefault="00B92C53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BlueLAN300Mb/Green1Gb</w:t>
            </w:r>
          </w:p>
        </w:tc>
      </w:tr>
      <w:tr w:rsidR="00B92C53" w:rsidRPr="00B81374" w14:paraId="3022D6F5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</w:tcPr>
          <w:p w14:paraId="177C0611" w14:textId="77777777" w:rsidR="00B92C53" w:rsidRPr="00B81374" w:rsidRDefault="00B92C53" w:rsidP="002D3C04">
            <w:pPr>
              <w:pStyle w:val="Tabletext"/>
            </w:pPr>
            <w:r w:rsidRPr="00B81374">
              <w:t>Studios</w:t>
            </w:r>
          </w:p>
        </w:tc>
        <w:tc>
          <w:tcPr>
            <w:tcW w:w="4186" w:type="pct"/>
            <w:gridSpan w:val="4"/>
          </w:tcPr>
          <w:p w14:paraId="0C017CF1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TV studio (video and podcast)</w:t>
            </w:r>
          </w:p>
        </w:tc>
      </w:tr>
    </w:tbl>
    <w:p w14:paraId="419BA35F" w14:textId="77777777" w:rsidR="00283206" w:rsidRDefault="00283206" w:rsidP="00283206">
      <w:pPr>
        <w:pStyle w:val="Tablefin"/>
      </w:pPr>
    </w:p>
    <w:p w14:paraId="439D51B1" w14:textId="3D5CE5FC" w:rsidR="00B92C53" w:rsidRPr="00B81374" w:rsidRDefault="00B92C53" w:rsidP="006F4AFA">
      <w:pPr>
        <w:pStyle w:val="Headingb"/>
        <w:spacing w:before="240" w:after="160"/>
      </w:pPr>
      <w:r w:rsidRPr="00B81374">
        <w:lastRenderedPageBreak/>
        <w:t xml:space="preserve">Security </w:t>
      </w:r>
      <w:r w:rsidR="002D3C04" w:rsidRPr="00B81374">
        <w:t>requirements</w:t>
      </w:r>
    </w:p>
    <w:tbl>
      <w:tblPr>
        <w:tblStyle w:val="PlainTable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716"/>
        <w:gridCol w:w="2743"/>
        <w:gridCol w:w="2730"/>
        <w:gridCol w:w="2730"/>
      </w:tblGrid>
      <w:tr w:rsidR="00B92C53" w:rsidRPr="00F42BB3" w14:paraId="4E1894FD" w14:textId="77777777" w:rsidTr="00923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553C13B" w14:textId="77777777" w:rsidR="00B92C53" w:rsidRPr="00F42BB3" w:rsidRDefault="00B92C53" w:rsidP="00F42BB3">
            <w:pPr>
              <w:pStyle w:val="Tablehead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Category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7928A44F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WTDC-25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7346D87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WTSA-24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215A8D37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WRC-23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29E84129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PP-22</w:t>
            </w:r>
          </w:p>
        </w:tc>
      </w:tr>
      <w:tr w:rsidR="004B0271" w:rsidRPr="00B81374" w14:paraId="3E236FB4" w14:textId="77777777" w:rsidTr="0028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</w:tcBorders>
          </w:tcPr>
          <w:p w14:paraId="2018989C" w14:textId="77777777" w:rsidR="004B0271" w:rsidRPr="00B81374" w:rsidRDefault="004B0271" w:rsidP="002D3C04">
            <w:pPr>
              <w:pStyle w:val="Tabletext"/>
            </w:pPr>
            <w:r w:rsidRPr="00B81374">
              <w:t>Scope</w:t>
            </w:r>
          </w:p>
        </w:tc>
        <w:tc>
          <w:tcPr>
            <w:tcW w:w="10919" w:type="dxa"/>
            <w:gridSpan w:val="4"/>
            <w:tcBorders>
              <w:top w:val="single" w:sz="4" w:space="0" w:color="auto"/>
            </w:tcBorders>
          </w:tcPr>
          <w:p w14:paraId="5E56AC78" w14:textId="76F5ED19" w:rsidR="004B0271" w:rsidRPr="00B81374" w:rsidRDefault="004B0271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Full venue and hotels</w:t>
            </w:r>
          </w:p>
        </w:tc>
      </w:tr>
      <w:tr w:rsidR="00AA73A2" w:rsidRPr="00B81374" w14:paraId="7226BAB0" w14:textId="77777777" w:rsidTr="0028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70812CBF" w14:textId="4667D56A" w:rsidR="00AA73A2" w:rsidRPr="00B81374" w:rsidRDefault="00AA73A2" w:rsidP="002D3C04">
            <w:pPr>
              <w:pStyle w:val="Tabletext"/>
            </w:pPr>
            <w:r w:rsidRPr="00B81374">
              <w:t xml:space="preserve">VIP </w:t>
            </w:r>
            <w:r w:rsidR="000C1721" w:rsidRPr="00B81374">
              <w:t>protection</w:t>
            </w:r>
          </w:p>
        </w:tc>
        <w:tc>
          <w:tcPr>
            <w:tcW w:w="10919" w:type="dxa"/>
            <w:gridSpan w:val="4"/>
          </w:tcPr>
          <w:p w14:paraId="0BF5DCDD" w14:textId="4D04E010" w:rsidR="00AA73A2" w:rsidRPr="00B81374" w:rsidRDefault="00AA73A2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Yes</w:t>
            </w:r>
          </w:p>
        </w:tc>
      </w:tr>
      <w:tr w:rsidR="00B92C53" w:rsidRPr="00B81374" w14:paraId="16671154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2D4D8D0" w14:textId="77777777" w:rsidR="00B92C53" w:rsidRPr="00B81374" w:rsidRDefault="00B92C53" w:rsidP="002D3C04">
            <w:pPr>
              <w:pStyle w:val="Tabletext"/>
            </w:pPr>
            <w:r w:rsidRPr="00B81374">
              <w:t>Medical</w:t>
            </w:r>
          </w:p>
        </w:tc>
        <w:tc>
          <w:tcPr>
            <w:tcW w:w="2716" w:type="dxa"/>
          </w:tcPr>
          <w:p w14:paraId="4A8E8C89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24/7</w:t>
            </w:r>
          </w:p>
        </w:tc>
        <w:tc>
          <w:tcPr>
            <w:tcW w:w="2743" w:type="dxa"/>
          </w:tcPr>
          <w:p w14:paraId="59B24FF7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24/7</w:t>
            </w:r>
          </w:p>
        </w:tc>
        <w:tc>
          <w:tcPr>
            <w:tcW w:w="2730" w:type="dxa"/>
          </w:tcPr>
          <w:p w14:paraId="28B29BA9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18h/day</w:t>
            </w:r>
          </w:p>
        </w:tc>
        <w:tc>
          <w:tcPr>
            <w:tcW w:w="2730" w:type="dxa"/>
          </w:tcPr>
          <w:p w14:paraId="670A6F92" w14:textId="77777777" w:rsidR="00B92C53" w:rsidRPr="00B81374" w:rsidRDefault="00B92C53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24/7</w:t>
            </w:r>
          </w:p>
        </w:tc>
      </w:tr>
      <w:tr w:rsidR="00B4152D" w:rsidRPr="00B81374" w14:paraId="36C9BA53" w14:textId="77777777" w:rsidTr="0028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0B107C77" w14:textId="374B2085" w:rsidR="00B4152D" w:rsidRPr="00B81374" w:rsidRDefault="00B4152D" w:rsidP="002D3C04">
            <w:pPr>
              <w:pStyle w:val="Tabletext"/>
            </w:pPr>
            <w:r w:rsidRPr="00B81374">
              <w:t xml:space="preserve">Access </w:t>
            </w:r>
            <w:r w:rsidR="000C1721" w:rsidRPr="00B81374">
              <w:t>control</w:t>
            </w:r>
          </w:p>
        </w:tc>
        <w:tc>
          <w:tcPr>
            <w:tcW w:w="10919" w:type="dxa"/>
            <w:gridSpan w:val="4"/>
          </w:tcPr>
          <w:p w14:paraId="5B431000" w14:textId="6E07EA1E" w:rsidR="00B4152D" w:rsidRPr="00B81374" w:rsidRDefault="00B4152D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Yes</w:t>
            </w:r>
          </w:p>
        </w:tc>
      </w:tr>
    </w:tbl>
    <w:p w14:paraId="4DB28E4D" w14:textId="77777777" w:rsidR="00283206" w:rsidRDefault="00283206" w:rsidP="00283206">
      <w:pPr>
        <w:pStyle w:val="Tablefin"/>
      </w:pPr>
    </w:p>
    <w:p w14:paraId="73FDD253" w14:textId="7FEF75F9" w:rsidR="00B92C53" w:rsidRPr="00B81374" w:rsidRDefault="00B92C53" w:rsidP="006F4AFA">
      <w:pPr>
        <w:pStyle w:val="Headingb"/>
        <w:spacing w:before="240" w:after="160"/>
      </w:pPr>
      <w:r w:rsidRPr="00B81374">
        <w:t xml:space="preserve">Transport </w:t>
      </w:r>
      <w:r w:rsidR="002D3C04" w:rsidRPr="00B81374">
        <w:t>requirements</w:t>
      </w:r>
    </w:p>
    <w:tbl>
      <w:tblPr>
        <w:tblStyle w:val="PlainTable1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703"/>
        <w:gridCol w:w="2743"/>
        <w:gridCol w:w="2744"/>
        <w:gridCol w:w="2729"/>
      </w:tblGrid>
      <w:tr w:rsidR="000B089B" w:rsidRPr="00F42BB3" w14:paraId="79CA37B2" w14:textId="77777777" w:rsidTr="00923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6B7AA1A0" w14:textId="77777777" w:rsidR="000B089B" w:rsidRPr="00F42BB3" w:rsidRDefault="000B089B" w:rsidP="00F42BB3">
            <w:pPr>
              <w:pStyle w:val="Tablehead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Category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5A97717B" w14:textId="77777777" w:rsidR="000B089B" w:rsidRPr="00F42BB3" w:rsidRDefault="000B089B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WTDC-25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7EE96D59" w14:textId="77777777" w:rsidR="000B089B" w:rsidRPr="00F42BB3" w:rsidRDefault="000B089B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WTSA-24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5C14DE39" w14:textId="77777777" w:rsidR="000B089B" w:rsidRPr="00F42BB3" w:rsidRDefault="000B089B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WRC-23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14:paraId="279E2A51" w14:textId="77777777" w:rsidR="000B089B" w:rsidRPr="00F42BB3" w:rsidRDefault="000B089B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PP-22</w:t>
            </w:r>
          </w:p>
        </w:tc>
      </w:tr>
      <w:tr w:rsidR="000B089B" w:rsidRPr="00B81374" w14:paraId="4080D352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</w:tcPr>
          <w:p w14:paraId="5DC7926F" w14:textId="481FD95A" w:rsidR="000B089B" w:rsidRPr="00B81374" w:rsidRDefault="000B089B" w:rsidP="002D3C04">
            <w:pPr>
              <w:pStyle w:val="Tabletext"/>
            </w:pPr>
            <w:r w:rsidRPr="00B81374">
              <w:t xml:space="preserve">Airport </w:t>
            </w:r>
            <w:r w:rsidR="000C1721" w:rsidRPr="00B81374">
              <w:t>transfers</w:t>
            </w:r>
          </w:p>
        </w:tc>
        <w:tc>
          <w:tcPr>
            <w:tcW w:w="10919" w:type="dxa"/>
            <w:gridSpan w:val="4"/>
            <w:tcBorders>
              <w:top w:val="single" w:sz="4" w:space="0" w:color="auto"/>
            </w:tcBorders>
          </w:tcPr>
          <w:p w14:paraId="4C49A662" w14:textId="77777777" w:rsidR="000B089B" w:rsidRPr="00B81374" w:rsidRDefault="000B089B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Yes</w:t>
            </w:r>
          </w:p>
        </w:tc>
      </w:tr>
      <w:tr w:rsidR="004B0271" w:rsidRPr="00B81374" w14:paraId="2FB399DD" w14:textId="77777777" w:rsidTr="00923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37C2D6" w14:textId="23AE2B06" w:rsidR="004B0271" w:rsidRPr="00B81374" w:rsidRDefault="004B0271" w:rsidP="002D3C04">
            <w:pPr>
              <w:pStyle w:val="Tabletext"/>
            </w:pPr>
            <w:r w:rsidRPr="00B81374">
              <w:t xml:space="preserve">Hotel </w:t>
            </w:r>
            <w:r w:rsidR="000C1721" w:rsidRPr="00B81374">
              <w:t>shuttles</w:t>
            </w:r>
          </w:p>
        </w:tc>
        <w:tc>
          <w:tcPr>
            <w:tcW w:w="10919" w:type="dxa"/>
            <w:gridSpan w:val="4"/>
          </w:tcPr>
          <w:p w14:paraId="44B004C4" w14:textId="21158F48" w:rsidR="004B0271" w:rsidRPr="00B81374" w:rsidRDefault="004B0271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Yes</w:t>
            </w:r>
          </w:p>
        </w:tc>
      </w:tr>
      <w:tr w:rsidR="000B089B" w:rsidRPr="00B81374" w14:paraId="66F196A6" w14:textId="77777777" w:rsidTr="0092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2271C7" w14:textId="05A447F3" w:rsidR="000B089B" w:rsidRPr="00B81374" w:rsidRDefault="000B089B" w:rsidP="002D3C04">
            <w:pPr>
              <w:pStyle w:val="Tabletext"/>
            </w:pPr>
            <w:r w:rsidRPr="00B81374">
              <w:t xml:space="preserve">VIP </w:t>
            </w:r>
            <w:r w:rsidR="000C1721" w:rsidRPr="00B81374">
              <w:t>cars</w:t>
            </w:r>
          </w:p>
        </w:tc>
        <w:tc>
          <w:tcPr>
            <w:tcW w:w="10919" w:type="dxa"/>
            <w:gridSpan w:val="4"/>
          </w:tcPr>
          <w:p w14:paraId="7BFE5436" w14:textId="4BA3F495" w:rsidR="000B089B" w:rsidRPr="00B81374" w:rsidRDefault="000B089B" w:rsidP="000C1721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Yes</w:t>
            </w:r>
          </w:p>
        </w:tc>
      </w:tr>
      <w:tr w:rsidR="000B089B" w:rsidRPr="00B81374" w14:paraId="59B28C7E" w14:textId="77777777" w:rsidTr="00923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2D4208" w14:textId="6A0B3875" w:rsidR="000B089B" w:rsidRPr="00B81374" w:rsidRDefault="000B089B" w:rsidP="002D3C04">
            <w:pPr>
              <w:pStyle w:val="Tabletext"/>
            </w:pPr>
            <w:r w:rsidRPr="00B81374">
              <w:t xml:space="preserve">Equipment </w:t>
            </w:r>
            <w:r w:rsidR="000C1721" w:rsidRPr="00B81374">
              <w:t>transport</w:t>
            </w:r>
          </w:p>
        </w:tc>
        <w:tc>
          <w:tcPr>
            <w:tcW w:w="10919" w:type="dxa"/>
            <w:gridSpan w:val="4"/>
          </w:tcPr>
          <w:p w14:paraId="2C4B240B" w14:textId="77777777" w:rsidR="000B089B" w:rsidRPr="00B81374" w:rsidRDefault="000B089B" w:rsidP="000C1721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Yes</w:t>
            </w:r>
          </w:p>
        </w:tc>
      </w:tr>
    </w:tbl>
    <w:p w14:paraId="230264EA" w14:textId="77777777" w:rsidR="00283206" w:rsidRDefault="00283206" w:rsidP="00283206">
      <w:pPr>
        <w:pStyle w:val="Tablefin"/>
      </w:pPr>
    </w:p>
    <w:p w14:paraId="31C49717" w14:textId="03CA2A2D" w:rsidR="00B92C53" w:rsidRPr="00B81374" w:rsidRDefault="00B92C53" w:rsidP="006F4AFA">
      <w:pPr>
        <w:pStyle w:val="Headingb"/>
        <w:spacing w:before="240" w:after="160"/>
      </w:pPr>
      <w:r w:rsidRPr="00B81374">
        <w:t xml:space="preserve">Visa </w:t>
      </w:r>
      <w:r w:rsidR="002D3C04" w:rsidRPr="00B81374">
        <w:t>facilitation requirements</w:t>
      </w:r>
    </w:p>
    <w:tbl>
      <w:tblPr>
        <w:tblStyle w:val="PlainTable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730"/>
        <w:gridCol w:w="2743"/>
        <w:gridCol w:w="2695"/>
        <w:gridCol w:w="2765"/>
      </w:tblGrid>
      <w:tr w:rsidR="00B92C53" w:rsidRPr="00F42BB3" w14:paraId="4635257F" w14:textId="77777777" w:rsidTr="00842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14:paraId="5DE5149C" w14:textId="77777777" w:rsidR="00B92C53" w:rsidRPr="00F42BB3" w:rsidRDefault="00B92C53" w:rsidP="00F42BB3">
            <w:pPr>
              <w:pStyle w:val="Tablehead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Category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38549AE9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WTDC-25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0C7A840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WTSA-24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68E5D4B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WRC-23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E9DC902" w14:textId="77777777" w:rsidR="00B92C53" w:rsidRPr="00F42BB3" w:rsidRDefault="00B92C53" w:rsidP="00F42BB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42BB3">
              <w:rPr>
                <w:b/>
                <w:bCs w:val="0"/>
              </w:rPr>
              <w:t>PP-22</w:t>
            </w:r>
          </w:p>
        </w:tc>
      </w:tr>
      <w:tr w:rsidR="00B92C53" w:rsidRPr="00B81374" w14:paraId="772E4CE4" w14:textId="77777777" w:rsidTr="0084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4" w:space="0" w:color="auto"/>
            </w:tcBorders>
          </w:tcPr>
          <w:p w14:paraId="7FEC55D2" w14:textId="77777777" w:rsidR="00B92C53" w:rsidRPr="00B81374" w:rsidRDefault="00B92C53" w:rsidP="002D3C04">
            <w:pPr>
              <w:pStyle w:val="Tabletext"/>
            </w:pPr>
            <w:r w:rsidRPr="00B81374">
              <w:t>Cost</w:t>
            </w: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28A54D94" w14:textId="77777777" w:rsidR="00B92C53" w:rsidRPr="00B81374" w:rsidRDefault="00B92C53" w:rsidP="002D3C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Free for ITU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14:paraId="689DFD02" w14:textId="64BF39A1" w:rsidR="00B92C53" w:rsidRPr="00B81374" w:rsidRDefault="00B92C53" w:rsidP="002D3C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 xml:space="preserve">Free 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0001231" w14:textId="77777777" w:rsidR="00B92C53" w:rsidRPr="00B81374" w:rsidRDefault="00B92C53" w:rsidP="002D3C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Free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6DC69AD2" w14:textId="77777777" w:rsidR="00B92C53" w:rsidRPr="00B81374" w:rsidRDefault="00B92C53" w:rsidP="002D3C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374">
              <w:t>Free</w:t>
            </w:r>
          </w:p>
        </w:tc>
      </w:tr>
      <w:tr w:rsidR="00B92C53" w:rsidRPr="00B81374" w14:paraId="3B80FCB1" w14:textId="77777777" w:rsidTr="00842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</w:tcPr>
          <w:p w14:paraId="4648C887" w14:textId="77777777" w:rsidR="00B92C53" w:rsidRPr="00B81374" w:rsidRDefault="00B92C53" w:rsidP="002D3C04">
            <w:pPr>
              <w:pStyle w:val="Tabletext"/>
            </w:pPr>
            <w:r w:rsidRPr="00B81374">
              <w:t>Processing</w:t>
            </w:r>
          </w:p>
        </w:tc>
        <w:tc>
          <w:tcPr>
            <w:tcW w:w="2730" w:type="dxa"/>
          </w:tcPr>
          <w:p w14:paraId="7141CD10" w14:textId="77777777" w:rsidR="00B92C53" w:rsidRPr="00B81374" w:rsidRDefault="00B92C53" w:rsidP="002D3C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≤3 weeks</w:t>
            </w:r>
          </w:p>
        </w:tc>
        <w:tc>
          <w:tcPr>
            <w:tcW w:w="2743" w:type="dxa"/>
          </w:tcPr>
          <w:p w14:paraId="0464DFD8" w14:textId="77777777" w:rsidR="00B92C53" w:rsidRPr="00B81374" w:rsidRDefault="00B92C53" w:rsidP="002D3C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≤2 weeks</w:t>
            </w:r>
          </w:p>
        </w:tc>
        <w:tc>
          <w:tcPr>
            <w:tcW w:w="2695" w:type="dxa"/>
          </w:tcPr>
          <w:p w14:paraId="2CEC0CDB" w14:textId="77777777" w:rsidR="00B92C53" w:rsidRPr="00B81374" w:rsidRDefault="00B92C53" w:rsidP="002D3C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≤3 weeks</w:t>
            </w:r>
          </w:p>
        </w:tc>
        <w:tc>
          <w:tcPr>
            <w:tcW w:w="2765" w:type="dxa"/>
          </w:tcPr>
          <w:p w14:paraId="76B5E78D" w14:textId="77777777" w:rsidR="00B92C53" w:rsidRPr="00B81374" w:rsidRDefault="00B92C53" w:rsidP="002D3C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374">
              <w:t>≤3 weeks</w:t>
            </w:r>
          </w:p>
        </w:tc>
      </w:tr>
    </w:tbl>
    <w:p w14:paraId="57EAC354" w14:textId="77777777" w:rsidR="000574CC" w:rsidRPr="00B81374" w:rsidRDefault="000574CC" w:rsidP="00594118">
      <w:pPr>
        <w:pStyle w:val="AnnexNo"/>
      </w:pPr>
      <w:bookmarkStart w:id="13" w:name="AnnexC"/>
      <w:bookmarkEnd w:id="13"/>
      <w:r w:rsidRPr="00B81374">
        <w:lastRenderedPageBreak/>
        <w:t>Annex C</w:t>
      </w:r>
    </w:p>
    <w:p w14:paraId="645449AD" w14:textId="4EBCEDC2" w:rsidR="000574CC" w:rsidRPr="00B81374" w:rsidRDefault="5C923595" w:rsidP="006F31A9">
      <w:pPr>
        <w:pStyle w:val="Annextitle"/>
        <w:spacing w:after="120"/>
        <w:rPr>
          <w:b w:val="0"/>
          <w:bCs/>
        </w:rPr>
      </w:pPr>
      <w:r w:rsidRPr="00B81374">
        <w:t>Indicative e</w:t>
      </w:r>
      <w:r w:rsidR="000574CC" w:rsidRPr="00B81374">
        <w:t xml:space="preserve">xample of </w:t>
      </w:r>
      <w:r w:rsidR="006264B6" w:rsidRPr="00B81374">
        <w:t>assessment table for key</w:t>
      </w:r>
      <w:r w:rsidR="000574CC" w:rsidRPr="00B81374">
        <w:t xml:space="preserve"> requirements </w:t>
      </w:r>
      <w:r w:rsidR="00E04B6D">
        <w:br/>
      </w:r>
      <w:r w:rsidR="25E45CF0" w:rsidRPr="00B81374">
        <w:t>(non-exhaustive)</w:t>
      </w:r>
    </w:p>
    <w:tbl>
      <w:tblPr>
        <w:tblStyle w:val="TableGrid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4"/>
        <w:gridCol w:w="2835"/>
        <w:gridCol w:w="5812"/>
        <w:gridCol w:w="1134"/>
        <w:gridCol w:w="1990"/>
      </w:tblGrid>
      <w:tr w:rsidR="000574CC" w:rsidRPr="00C170C6" w14:paraId="6A235763" w14:textId="77777777" w:rsidTr="008420C7">
        <w:tc>
          <w:tcPr>
            <w:tcW w:w="848" w:type="pct"/>
            <w:hideMark/>
          </w:tcPr>
          <w:p w14:paraId="331A94EF" w14:textId="420A30DA" w:rsidR="000574CC" w:rsidRPr="00C170C6" w:rsidRDefault="000574CC" w:rsidP="00F42BB3">
            <w:pPr>
              <w:pStyle w:val="Tablehead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Category</w:t>
            </w:r>
          </w:p>
        </w:tc>
        <w:tc>
          <w:tcPr>
            <w:tcW w:w="1000" w:type="pct"/>
            <w:hideMark/>
          </w:tcPr>
          <w:p w14:paraId="1DD06EAA" w14:textId="211FF292" w:rsidR="000574CC" w:rsidRPr="00C170C6" w:rsidRDefault="000574CC" w:rsidP="00F42BB3">
            <w:pPr>
              <w:pStyle w:val="Tablehead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Key</w:t>
            </w:r>
            <w:r w:rsidR="00F8590B" w:rsidRPr="00C170C6">
              <w:rPr>
                <w:sz w:val="20"/>
                <w:szCs w:val="20"/>
              </w:rPr>
              <w:t xml:space="preserve"> </w:t>
            </w:r>
            <w:r w:rsidR="00F42BB3" w:rsidRPr="00C170C6">
              <w:rPr>
                <w:sz w:val="20"/>
                <w:szCs w:val="20"/>
              </w:rPr>
              <w:t>selection criteria</w:t>
            </w:r>
          </w:p>
        </w:tc>
        <w:tc>
          <w:tcPr>
            <w:tcW w:w="2050" w:type="pct"/>
            <w:hideMark/>
          </w:tcPr>
          <w:p w14:paraId="6032416E" w14:textId="569A467B" w:rsidR="000574CC" w:rsidRPr="00C170C6" w:rsidRDefault="000574CC" w:rsidP="00F42BB3">
            <w:pPr>
              <w:pStyle w:val="Tablehead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Critical</w:t>
            </w:r>
            <w:r w:rsidR="00F8590B" w:rsidRPr="00C170C6">
              <w:rPr>
                <w:sz w:val="20"/>
                <w:szCs w:val="20"/>
              </w:rPr>
              <w:t xml:space="preserve"> </w:t>
            </w:r>
            <w:r w:rsidR="00F42BB3" w:rsidRPr="00C170C6">
              <w:rPr>
                <w:sz w:val="20"/>
                <w:szCs w:val="20"/>
              </w:rPr>
              <w:t>requirements</w:t>
            </w:r>
          </w:p>
        </w:tc>
        <w:tc>
          <w:tcPr>
            <w:tcW w:w="400" w:type="pct"/>
          </w:tcPr>
          <w:p w14:paraId="6FD234EB" w14:textId="1A0D070C" w:rsidR="000574CC" w:rsidRPr="00C170C6" w:rsidRDefault="000574CC" w:rsidP="00F42BB3">
            <w:pPr>
              <w:pStyle w:val="Tablehead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Met</w:t>
            </w:r>
            <w:r w:rsidR="00770917" w:rsidRPr="00C170C6">
              <w:rPr>
                <w:sz w:val="20"/>
                <w:szCs w:val="20"/>
              </w:rPr>
              <w:br/>
            </w:r>
            <w:r w:rsidRPr="00C170C6">
              <w:rPr>
                <w:sz w:val="20"/>
                <w:szCs w:val="20"/>
              </w:rPr>
              <w:t>(Y/N)</w:t>
            </w:r>
          </w:p>
        </w:tc>
        <w:tc>
          <w:tcPr>
            <w:tcW w:w="702" w:type="pct"/>
            <w:hideMark/>
          </w:tcPr>
          <w:p w14:paraId="6E450D7D" w14:textId="62455CC1" w:rsidR="000574CC" w:rsidRPr="00C170C6" w:rsidRDefault="000574CC" w:rsidP="00F42BB3">
            <w:pPr>
              <w:pStyle w:val="Tablehead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Comments</w:t>
            </w:r>
          </w:p>
        </w:tc>
      </w:tr>
      <w:tr w:rsidR="006F31A9" w:rsidRPr="00C170C6" w14:paraId="3EACCC02" w14:textId="77777777" w:rsidTr="008420C7">
        <w:tc>
          <w:tcPr>
            <w:tcW w:w="848" w:type="pct"/>
            <w:vMerge w:val="restart"/>
            <w:vAlign w:val="center"/>
            <w:hideMark/>
          </w:tcPr>
          <w:p w14:paraId="68DC6F38" w14:textId="29C9630C" w:rsidR="006F31A9" w:rsidRPr="00C170C6" w:rsidRDefault="006F31A9" w:rsidP="006F31A9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Legal &amp; diplomatic</w:t>
            </w:r>
          </w:p>
        </w:tc>
        <w:tc>
          <w:tcPr>
            <w:tcW w:w="1000" w:type="pct"/>
            <w:hideMark/>
          </w:tcPr>
          <w:p w14:paraId="6BA393A7" w14:textId="4125B956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Privileges &amp; immunities</w:t>
            </w:r>
          </w:p>
        </w:tc>
        <w:tc>
          <w:tcPr>
            <w:tcW w:w="2050" w:type="pct"/>
            <w:hideMark/>
          </w:tcPr>
          <w:p w14:paraId="7D64657A" w14:textId="01A1FA1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Granting of immunities to ITU staff and delegates; inviolability of the venue.</w:t>
            </w:r>
          </w:p>
        </w:tc>
        <w:tc>
          <w:tcPr>
            <w:tcW w:w="400" w:type="pct"/>
          </w:tcPr>
          <w:p w14:paraId="0F95E43F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04620029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6F31A9" w:rsidRPr="00C170C6" w14:paraId="037C800B" w14:textId="77777777" w:rsidTr="008420C7">
        <w:tc>
          <w:tcPr>
            <w:tcW w:w="848" w:type="pct"/>
            <w:vMerge/>
            <w:vAlign w:val="center"/>
            <w:hideMark/>
          </w:tcPr>
          <w:p w14:paraId="061B3B87" w14:textId="3D772FEF" w:rsidR="006F31A9" w:rsidRPr="00C170C6" w:rsidRDefault="006F31A9" w:rsidP="006F31A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000" w:type="pct"/>
            <w:hideMark/>
          </w:tcPr>
          <w:p w14:paraId="5DC75281" w14:textId="5A02468B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Visa facilitation</w:t>
            </w:r>
          </w:p>
        </w:tc>
        <w:tc>
          <w:tcPr>
            <w:tcW w:w="2050" w:type="pct"/>
            <w:hideMark/>
          </w:tcPr>
          <w:p w14:paraId="42B4FC00" w14:textId="64ADCA9F" w:rsidR="006F31A9" w:rsidRPr="00C170C6" w:rsidRDefault="0D638C3A" w:rsidP="002D3C04">
            <w:pPr>
              <w:pStyle w:val="Tabletext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Guarantee of non-discriminatory entry and expedited visas for delegates from all 19</w:t>
            </w:r>
            <w:r w:rsidR="6CE6C90E" w:rsidRPr="246C0DEB">
              <w:rPr>
                <w:sz w:val="20"/>
                <w:szCs w:val="20"/>
              </w:rPr>
              <w:t>4</w:t>
            </w:r>
            <w:r w:rsidRPr="246C0DEB">
              <w:rPr>
                <w:sz w:val="20"/>
                <w:szCs w:val="20"/>
              </w:rPr>
              <w:t xml:space="preserve"> Member States.</w:t>
            </w:r>
          </w:p>
        </w:tc>
        <w:tc>
          <w:tcPr>
            <w:tcW w:w="400" w:type="pct"/>
          </w:tcPr>
          <w:p w14:paraId="34345D60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57EEE964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6F31A9" w:rsidRPr="00C170C6" w14:paraId="28A9C97C" w14:textId="77777777" w:rsidTr="008420C7">
        <w:tc>
          <w:tcPr>
            <w:tcW w:w="848" w:type="pct"/>
            <w:vMerge w:val="restart"/>
            <w:vAlign w:val="center"/>
            <w:hideMark/>
          </w:tcPr>
          <w:p w14:paraId="5A48C9E3" w14:textId="384E1E6E" w:rsidR="006F31A9" w:rsidRPr="00C170C6" w:rsidRDefault="006F31A9" w:rsidP="006F31A9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Venue &amp; infrastructure</w:t>
            </w:r>
          </w:p>
        </w:tc>
        <w:tc>
          <w:tcPr>
            <w:tcW w:w="1000" w:type="pct"/>
            <w:hideMark/>
          </w:tcPr>
          <w:p w14:paraId="3575E388" w14:textId="70866BB2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Conference &amp; meeting rooms</w:t>
            </w:r>
          </w:p>
        </w:tc>
        <w:tc>
          <w:tcPr>
            <w:tcW w:w="2050" w:type="pct"/>
            <w:hideMark/>
          </w:tcPr>
          <w:p w14:paraId="06A698A0" w14:textId="3A4A9499" w:rsidR="006F31A9" w:rsidRPr="00C170C6" w:rsidRDefault="3C0E1E42" w:rsidP="002D3C04">
            <w:pPr>
              <w:pStyle w:val="Tabletext"/>
              <w:rPr>
                <w:sz w:val="20"/>
                <w:szCs w:val="20"/>
              </w:rPr>
            </w:pPr>
            <w:r w:rsidRPr="008420C7">
              <w:rPr>
                <w:sz w:val="20"/>
                <w:szCs w:val="20"/>
              </w:rPr>
              <w:t xml:space="preserve">Large hall for </w:t>
            </w:r>
            <w:r w:rsidR="40990329" w:rsidRPr="008420C7">
              <w:rPr>
                <w:sz w:val="20"/>
                <w:szCs w:val="20"/>
              </w:rPr>
              <w:t xml:space="preserve">1 500 to </w:t>
            </w:r>
            <w:r w:rsidRPr="008420C7">
              <w:rPr>
                <w:sz w:val="20"/>
                <w:szCs w:val="20"/>
              </w:rPr>
              <w:t>2 000+ delegates</w:t>
            </w:r>
            <w:r w:rsidR="497488BA" w:rsidRPr="008420C7">
              <w:rPr>
                <w:sz w:val="20"/>
                <w:szCs w:val="20"/>
              </w:rPr>
              <w:t xml:space="preserve"> depending on the conference</w:t>
            </w:r>
            <w:r w:rsidRPr="008420C7">
              <w:rPr>
                <w:sz w:val="20"/>
                <w:szCs w:val="20"/>
              </w:rPr>
              <w:t>; medium sized conference rooms, large and small meeting rooms; offices for ITU Secretariat.</w:t>
            </w:r>
          </w:p>
        </w:tc>
        <w:tc>
          <w:tcPr>
            <w:tcW w:w="400" w:type="pct"/>
          </w:tcPr>
          <w:p w14:paraId="4039D8CA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063E8CBC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6F31A9" w:rsidRPr="00C170C6" w14:paraId="5EAA9AD8" w14:textId="77777777" w:rsidTr="008420C7">
        <w:tc>
          <w:tcPr>
            <w:tcW w:w="848" w:type="pct"/>
            <w:vMerge/>
            <w:vAlign w:val="center"/>
            <w:hideMark/>
          </w:tcPr>
          <w:p w14:paraId="14A374F0" w14:textId="0FB72A86" w:rsidR="006F31A9" w:rsidRPr="00C170C6" w:rsidRDefault="006F31A9" w:rsidP="006F31A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000" w:type="pct"/>
            <w:hideMark/>
          </w:tcPr>
          <w:p w14:paraId="5DC9DB53" w14:textId="23757B35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ICT connectivity</w:t>
            </w:r>
          </w:p>
        </w:tc>
        <w:tc>
          <w:tcPr>
            <w:tcW w:w="2050" w:type="pct"/>
            <w:hideMark/>
          </w:tcPr>
          <w:p w14:paraId="23EFEB93" w14:textId="102574F7" w:rsidR="006F31A9" w:rsidRPr="00C170C6" w:rsidRDefault="0D638C3A" w:rsidP="002D3C04">
            <w:pPr>
              <w:pStyle w:val="Tabletext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High-density, redundant Wi-Fi; 6</w:t>
            </w:r>
            <w:r w:rsidR="586D5EA8" w:rsidRPr="246C0DEB">
              <w:rPr>
                <w:sz w:val="20"/>
                <w:szCs w:val="20"/>
              </w:rPr>
              <w:t xml:space="preserve"> </w:t>
            </w:r>
            <w:r w:rsidRPr="246C0DEB">
              <w:rPr>
                <w:sz w:val="20"/>
                <w:szCs w:val="20"/>
              </w:rPr>
              <w:t>language simultaneous interpretation systems; remote participation (Zoom/Webcast).</w:t>
            </w:r>
          </w:p>
        </w:tc>
        <w:tc>
          <w:tcPr>
            <w:tcW w:w="400" w:type="pct"/>
          </w:tcPr>
          <w:p w14:paraId="462D39DF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50120730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6F31A9" w:rsidRPr="00C170C6" w14:paraId="7F6A2E99" w14:textId="77777777" w:rsidTr="008420C7">
        <w:tc>
          <w:tcPr>
            <w:tcW w:w="848" w:type="pct"/>
            <w:vMerge w:val="restart"/>
            <w:vAlign w:val="center"/>
            <w:hideMark/>
          </w:tcPr>
          <w:p w14:paraId="52034B93" w14:textId="632F4F98" w:rsidR="006F31A9" w:rsidRPr="00C170C6" w:rsidRDefault="006F31A9" w:rsidP="006F31A9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Logistics</w:t>
            </w:r>
          </w:p>
        </w:tc>
        <w:tc>
          <w:tcPr>
            <w:tcW w:w="1000" w:type="pct"/>
            <w:hideMark/>
          </w:tcPr>
          <w:p w14:paraId="637730F3" w14:textId="152DBC95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Transport &amp; access</w:t>
            </w:r>
          </w:p>
        </w:tc>
        <w:tc>
          <w:tcPr>
            <w:tcW w:w="2050" w:type="pct"/>
            <w:hideMark/>
          </w:tcPr>
          <w:p w14:paraId="6E9DBF5A" w14:textId="78045DA5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Proximity to international airport; dedicated shuttles for VIPs and delegates and ITU Staff between hotels and venue and airport to hotels.</w:t>
            </w:r>
          </w:p>
        </w:tc>
        <w:tc>
          <w:tcPr>
            <w:tcW w:w="400" w:type="pct"/>
          </w:tcPr>
          <w:p w14:paraId="34C2E12C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33452A07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6F31A9" w:rsidRPr="00C170C6" w14:paraId="5F45BE01" w14:textId="77777777" w:rsidTr="008420C7">
        <w:tc>
          <w:tcPr>
            <w:tcW w:w="848" w:type="pct"/>
            <w:vMerge/>
            <w:hideMark/>
          </w:tcPr>
          <w:p w14:paraId="278A9E8B" w14:textId="00E71E04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000" w:type="pct"/>
            <w:hideMark/>
          </w:tcPr>
          <w:p w14:paraId="0BF0F0D3" w14:textId="2A39C131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Accommodation</w:t>
            </w:r>
          </w:p>
        </w:tc>
        <w:tc>
          <w:tcPr>
            <w:tcW w:w="2050" w:type="pct"/>
            <w:hideMark/>
          </w:tcPr>
          <w:p w14:paraId="35537637" w14:textId="78A4B054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Sufficient block of hotel rooms across various price points </w:t>
            </w:r>
          </w:p>
        </w:tc>
        <w:tc>
          <w:tcPr>
            <w:tcW w:w="400" w:type="pct"/>
          </w:tcPr>
          <w:p w14:paraId="5DEAF239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195B512C" w14:textId="77777777" w:rsidR="006F31A9" w:rsidRPr="00C170C6" w:rsidRDefault="006F31A9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0574CC" w:rsidRPr="00C170C6" w14:paraId="6D5C4AFA" w14:textId="77777777" w:rsidTr="008420C7">
        <w:tc>
          <w:tcPr>
            <w:tcW w:w="848" w:type="pct"/>
            <w:hideMark/>
          </w:tcPr>
          <w:p w14:paraId="11970EF9" w14:textId="55E8806C" w:rsidR="000574CC" w:rsidRPr="00C170C6" w:rsidRDefault="004B0271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Local staffing</w:t>
            </w:r>
          </w:p>
        </w:tc>
        <w:tc>
          <w:tcPr>
            <w:tcW w:w="1000" w:type="pct"/>
            <w:hideMark/>
          </w:tcPr>
          <w:p w14:paraId="6B261B6E" w14:textId="325241C2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Local </w:t>
            </w:r>
            <w:r w:rsidR="006F31A9" w:rsidRPr="00C170C6">
              <w:rPr>
                <w:sz w:val="20"/>
                <w:szCs w:val="20"/>
              </w:rPr>
              <w:t>support staff</w:t>
            </w:r>
          </w:p>
        </w:tc>
        <w:tc>
          <w:tcPr>
            <w:tcW w:w="2050" w:type="pct"/>
            <w:hideMark/>
          </w:tcPr>
          <w:p w14:paraId="2FF734E9" w14:textId="31ACF68F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Provision of local st</w:t>
            </w:r>
            <w:r w:rsidR="011C4170" w:rsidRPr="00C170C6">
              <w:rPr>
                <w:sz w:val="20"/>
                <w:szCs w:val="20"/>
              </w:rPr>
              <w:t>aff</w:t>
            </w:r>
            <w:r w:rsidRPr="00C170C6">
              <w:rPr>
                <w:sz w:val="20"/>
                <w:szCs w:val="20"/>
              </w:rPr>
              <w:t xml:space="preserve">, IT support, and </w:t>
            </w:r>
            <w:r w:rsidR="1F6DCB33" w:rsidRPr="00C170C6">
              <w:rPr>
                <w:sz w:val="20"/>
                <w:szCs w:val="20"/>
              </w:rPr>
              <w:t xml:space="preserve">UN-experienced </w:t>
            </w:r>
            <w:r w:rsidRPr="00C170C6">
              <w:rPr>
                <w:sz w:val="20"/>
                <w:szCs w:val="20"/>
              </w:rPr>
              <w:t>security personnel</w:t>
            </w:r>
            <w:r w:rsidR="00993EDF" w:rsidRPr="00C170C6">
              <w:rPr>
                <w:sz w:val="20"/>
                <w:szCs w:val="20"/>
              </w:rPr>
              <w:t>.</w:t>
            </w:r>
          </w:p>
        </w:tc>
        <w:tc>
          <w:tcPr>
            <w:tcW w:w="400" w:type="pct"/>
          </w:tcPr>
          <w:p w14:paraId="39B5A27D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08277912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0574CC" w:rsidRPr="00C170C6" w14:paraId="79868A94" w14:textId="77777777" w:rsidTr="008420C7">
        <w:tc>
          <w:tcPr>
            <w:tcW w:w="848" w:type="pct"/>
            <w:hideMark/>
          </w:tcPr>
          <w:p w14:paraId="08B555CE" w14:textId="4F53D02C" w:rsidR="000574CC" w:rsidRPr="00C170C6" w:rsidRDefault="004B0271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Safety &amp; </w:t>
            </w:r>
            <w:r w:rsidR="006F31A9" w:rsidRPr="00C170C6">
              <w:rPr>
                <w:sz w:val="20"/>
                <w:szCs w:val="20"/>
              </w:rPr>
              <w:t>security</w:t>
            </w:r>
          </w:p>
        </w:tc>
        <w:tc>
          <w:tcPr>
            <w:tcW w:w="1000" w:type="pct"/>
            <w:hideMark/>
          </w:tcPr>
          <w:p w14:paraId="2FA9726A" w14:textId="77E67EE1" w:rsidR="000574CC" w:rsidRPr="00C170C6" w:rsidRDefault="00F8380F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S</w:t>
            </w:r>
            <w:r w:rsidR="0087248A" w:rsidRPr="00C170C6">
              <w:rPr>
                <w:sz w:val="20"/>
                <w:szCs w:val="20"/>
              </w:rPr>
              <w:t xml:space="preserve">afety and security </w:t>
            </w:r>
          </w:p>
        </w:tc>
        <w:tc>
          <w:tcPr>
            <w:tcW w:w="2050" w:type="pct"/>
            <w:hideMark/>
          </w:tcPr>
          <w:p w14:paraId="1297174A" w14:textId="537B9155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On-site 24/7 medical </w:t>
            </w:r>
            <w:r w:rsidR="35D94F31" w:rsidRPr="00C170C6">
              <w:rPr>
                <w:sz w:val="20"/>
                <w:szCs w:val="20"/>
              </w:rPr>
              <w:t>service</w:t>
            </w:r>
            <w:r w:rsidRPr="00C170C6">
              <w:rPr>
                <w:sz w:val="20"/>
                <w:szCs w:val="20"/>
              </w:rPr>
              <w:t>; comprehensive security plan coordinated with UN Department of Safety and Security (UNDSS).</w:t>
            </w:r>
          </w:p>
        </w:tc>
        <w:tc>
          <w:tcPr>
            <w:tcW w:w="400" w:type="pct"/>
          </w:tcPr>
          <w:p w14:paraId="49653000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49EF39BB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0574CC" w:rsidRPr="00C170C6" w14:paraId="1FF214C8" w14:textId="77777777" w:rsidTr="008420C7">
        <w:tc>
          <w:tcPr>
            <w:tcW w:w="848" w:type="pct"/>
            <w:hideMark/>
          </w:tcPr>
          <w:p w14:paraId="397F5331" w14:textId="04B542E1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Sustainability</w:t>
            </w:r>
          </w:p>
        </w:tc>
        <w:tc>
          <w:tcPr>
            <w:tcW w:w="1000" w:type="pct"/>
            <w:hideMark/>
          </w:tcPr>
          <w:p w14:paraId="64A7495A" w14:textId="0C0BABBC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Green </w:t>
            </w:r>
            <w:r w:rsidR="006F31A9" w:rsidRPr="00C170C6">
              <w:rPr>
                <w:sz w:val="20"/>
                <w:szCs w:val="20"/>
              </w:rPr>
              <w:t>event standards</w:t>
            </w:r>
          </w:p>
        </w:tc>
        <w:tc>
          <w:tcPr>
            <w:tcW w:w="2050" w:type="pct"/>
            <w:hideMark/>
          </w:tcPr>
          <w:p w14:paraId="00B5F7A3" w14:textId="0E86B4F9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Compliance with "Greening the Meetings" guidelines (e.g., waste reduction, carbon offsetting, paperless policy).</w:t>
            </w:r>
          </w:p>
        </w:tc>
        <w:tc>
          <w:tcPr>
            <w:tcW w:w="400" w:type="pct"/>
          </w:tcPr>
          <w:p w14:paraId="5FE9D7F1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290E2D71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 </w:t>
            </w:r>
          </w:p>
        </w:tc>
      </w:tr>
      <w:tr w:rsidR="000574CC" w:rsidRPr="00C170C6" w14:paraId="1AD0EE44" w14:textId="77777777" w:rsidTr="008420C7">
        <w:tc>
          <w:tcPr>
            <w:tcW w:w="848" w:type="pct"/>
            <w:hideMark/>
          </w:tcPr>
          <w:p w14:paraId="578B1B91" w14:textId="47D64784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>Financial</w:t>
            </w:r>
          </w:p>
        </w:tc>
        <w:tc>
          <w:tcPr>
            <w:tcW w:w="1000" w:type="pct"/>
            <w:hideMark/>
          </w:tcPr>
          <w:p w14:paraId="0EAD5E33" w14:textId="362EA544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  <w:r w:rsidRPr="00C170C6">
              <w:rPr>
                <w:sz w:val="20"/>
                <w:szCs w:val="20"/>
              </w:rPr>
              <w:t xml:space="preserve">Host </w:t>
            </w:r>
            <w:r w:rsidR="006F31A9" w:rsidRPr="00C170C6">
              <w:rPr>
                <w:sz w:val="20"/>
                <w:szCs w:val="20"/>
              </w:rPr>
              <w:t>contribution</w:t>
            </w:r>
          </w:p>
        </w:tc>
        <w:tc>
          <w:tcPr>
            <w:tcW w:w="2050" w:type="pct"/>
            <w:hideMark/>
          </w:tcPr>
          <w:p w14:paraId="2C0379CF" w14:textId="0AB0329B" w:rsidR="000574CC" w:rsidRPr="00C170C6" w:rsidRDefault="38B19791" w:rsidP="002D3C04">
            <w:pPr>
              <w:pStyle w:val="Tabletext"/>
              <w:rPr>
                <w:sz w:val="20"/>
                <w:szCs w:val="20"/>
              </w:rPr>
            </w:pPr>
            <w:r w:rsidRPr="246C0DEB">
              <w:rPr>
                <w:sz w:val="20"/>
                <w:szCs w:val="20"/>
              </w:rPr>
              <w:t>Commitment to cover</w:t>
            </w:r>
            <w:r w:rsidR="000574CC" w:rsidRPr="246C0DEB">
              <w:rPr>
                <w:sz w:val="20"/>
                <w:szCs w:val="20"/>
              </w:rPr>
              <w:t xml:space="preserve"> of costs for venue rental, </w:t>
            </w:r>
            <w:r w:rsidR="1A21721D" w:rsidRPr="246C0DEB">
              <w:rPr>
                <w:sz w:val="20"/>
                <w:szCs w:val="20"/>
              </w:rPr>
              <w:t xml:space="preserve">AV, </w:t>
            </w:r>
            <w:r w:rsidR="200F3EFE" w:rsidRPr="246C0DEB">
              <w:rPr>
                <w:sz w:val="20"/>
                <w:szCs w:val="20"/>
              </w:rPr>
              <w:t xml:space="preserve">shipment, </w:t>
            </w:r>
            <w:r w:rsidR="000574CC" w:rsidRPr="246C0DEB">
              <w:rPr>
                <w:sz w:val="20"/>
                <w:szCs w:val="20"/>
              </w:rPr>
              <w:t>local staff</w:t>
            </w:r>
            <w:r w:rsidR="0D638C3A" w:rsidRPr="246C0DEB">
              <w:rPr>
                <w:sz w:val="20"/>
                <w:szCs w:val="20"/>
              </w:rPr>
              <w:t>,</w:t>
            </w:r>
            <w:r w:rsidR="7143D38D" w:rsidRPr="246C0DEB">
              <w:rPr>
                <w:sz w:val="20"/>
                <w:szCs w:val="20"/>
              </w:rPr>
              <w:t xml:space="preserve"> etc.</w:t>
            </w:r>
            <w:r w:rsidR="0D638C3A" w:rsidRPr="246C0DEB">
              <w:rPr>
                <w:sz w:val="20"/>
                <w:szCs w:val="20"/>
              </w:rPr>
              <w:t>,</w:t>
            </w:r>
            <w:r w:rsidR="7143D38D" w:rsidRPr="246C0DEB">
              <w:rPr>
                <w:sz w:val="20"/>
                <w:szCs w:val="20"/>
              </w:rPr>
              <w:t xml:space="preserve"> plus</w:t>
            </w:r>
            <w:r w:rsidR="000574CC" w:rsidRPr="246C0DEB">
              <w:rPr>
                <w:sz w:val="20"/>
                <w:szCs w:val="20"/>
              </w:rPr>
              <w:t xml:space="preserve"> travel/DSA </w:t>
            </w:r>
            <w:r w:rsidR="5C4CD456" w:rsidRPr="246C0DEB">
              <w:rPr>
                <w:sz w:val="20"/>
                <w:szCs w:val="20"/>
              </w:rPr>
              <w:t xml:space="preserve">and any other incremental costs </w:t>
            </w:r>
            <w:r w:rsidR="000574CC" w:rsidRPr="246C0DEB">
              <w:rPr>
                <w:sz w:val="20"/>
                <w:szCs w:val="20"/>
              </w:rPr>
              <w:t>for the ITU Secretariat</w:t>
            </w:r>
            <w:r w:rsidR="76206542" w:rsidRPr="246C0DEB">
              <w:rPr>
                <w:sz w:val="20"/>
                <w:szCs w:val="20"/>
              </w:rPr>
              <w:t>.</w:t>
            </w:r>
          </w:p>
        </w:tc>
        <w:tc>
          <w:tcPr>
            <w:tcW w:w="400" w:type="pct"/>
          </w:tcPr>
          <w:p w14:paraId="1C64C548" w14:textId="77777777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02" w:type="pct"/>
            <w:hideMark/>
          </w:tcPr>
          <w:p w14:paraId="60F10EC8" w14:textId="7C2D06C9" w:rsidR="000574CC" w:rsidRPr="00C170C6" w:rsidRDefault="000574CC" w:rsidP="002D3C04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3C6FB52C" w14:textId="77777777" w:rsidR="000574CC" w:rsidRPr="00B81374" w:rsidRDefault="000574CC" w:rsidP="00EE4BB7">
      <w:pPr>
        <w:spacing w:before="0"/>
      </w:pPr>
    </w:p>
    <w:p w14:paraId="2746FCFC" w14:textId="77777777" w:rsidR="00B9251D" w:rsidRDefault="00B9251D">
      <w:pPr>
        <w:jc w:val="center"/>
      </w:pPr>
      <w:r>
        <w:t>______________</w:t>
      </w:r>
    </w:p>
    <w:sectPr w:rsidR="00B9251D" w:rsidSect="009067E6">
      <w:footerReference w:type="default" r:id="rId17"/>
      <w:pgSz w:w="16834" w:h="11907" w:orient="landscape"/>
      <w:pgMar w:top="1418" w:right="1418" w:bottom="1418" w:left="1418" w:header="720" w:footer="720" w:gutter="0"/>
      <w:paperSrc w:first="286" w:other="28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60D5" w14:textId="77777777" w:rsidR="009C1AF6" w:rsidRDefault="009C1AF6">
      <w:r>
        <w:separator/>
      </w:r>
    </w:p>
  </w:endnote>
  <w:endnote w:type="continuationSeparator" w:id="0">
    <w:p w14:paraId="3039E29F" w14:textId="77777777" w:rsidR="009C1AF6" w:rsidRDefault="009C1AF6">
      <w:r>
        <w:continuationSeparator/>
      </w:r>
    </w:p>
  </w:endnote>
  <w:endnote w:type="continuationNotice" w:id="1">
    <w:p w14:paraId="1C9FDC97" w14:textId="77777777" w:rsidR="009C1AF6" w:rsidRDefault="009C1AF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tblInd w:w="-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220ACC" w14:textId="77777777" w:rsidTr="00C41757">
      <w:tc>
        <w:tcPr>
          <w:tcW w:w="1803" w:type="dxa"/>
          <w:vAlign w:val="center"/>
        </w:tcPr>
        <w:p w14:paraId="61038E60" w14:textId="6DA61FE3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079E3B9" w14:textId="0A86E39E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B81374">
            <w:rPr>
              <w:bCs/>
            </w:rPr>
            <w:t>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04FEB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971759E" w14:textId="77777777" w:rsidTr="00AB4469">
      <w:tc>
        <w:tcPr>
          <w:tcW w:w="1803" w:type="dxa"/>
          <w:vAlign w:val="center"/>
        </w:tcPr>
        <w:p w14:paraId="0366AF2F" w14:textId="77777777" w:rsidR="00EE49E8" w:rsidRPr="006B77F1" w:rsidRDefault="00DE532B" w:rsidP="00A577B9">
          <w:pPr>
            <w:pStyle w:val="Header"/>
            <w:jc w:val="both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155B44F7" w14:textId="135B471A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B81374">
            <w:rPr>
              <w:bCs/>
            </w:rPr>
            <w:t>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BA2FF3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C41757" w:rsidRPr="00784011" w14:paraId="327A9F3B" w14:textId="77777777" w:rsidTr="00B81374">
      <w:trPr>
        <w:jc w:val="center"/>
      </w:trPr>
      <w:tc>
        <w:tcPr>
          <w:tcW w:w="1803" w:type="dxa"/>
          <w:vAlign w:val="center"/>
        </w:tcPr>
        <w:p w14:paraId="3BE0FAE9" w14:textId="77777777" w:rsidR="00C41757" w:rsidRDefault="00C41757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1068720" w14:textId="23813397" w:rsidR="00C41757" w:rsidRPr="00E06FD5" w:rsidRDefault="00C41757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INF/</w:t>
          </w:r>
          <w:r w:rsidR="00B81374">
            <w:rPr>
              <w:bCs/>
            </w:rPr>
            <w:t>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53B74A6" w14:textId="77777777" w:rsidR="00C41757" w:rsidRPr="00DB1936" w:rsidRDefault="00C41757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C5FC" w14:textId="77777777" w:rsidR="009C1AF6" w:rsidRDefault="009C1AF6">
      <w:r>
        <w:t>____________________</w:t>
      </w:r>
    </w:p>
  </w:footnote>
  <w:footnote w:type="continuationSeparator" w:id="0">
    <w:p w14:paraId="57C00ACF" w14:textId="77777777" w:rsidR="009C1AF6" w:rsidRDefault="009C1AF6">
      <w:r>
        <w:continuationSeparator/>
      </w:r>
    </w:p>
  </w:footnote>
  <w:footnote w:type="continuationNotice" w:id="1">
    <w:p w14:paraId="24B47B18" w14:textId="77777777" w:rsidR="009C1AF6" w:rsidRDefault="009C1AF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EFDD" w14:textId="77777777" w:rsidR="00AD3606" w:rsidRPr="00512087" w:rsidRDefault="00512087" w:rsidP="00ED0A67">
    <w:pPr>
      <w:pStyle w:val="Header"/>
      <w:jc w:val="left"/>
    </w:pPr>
    <w:r>
      <w:rPr>
        <w:noProof/>
      </w:rPr>
      <w:drawing>
        <wp:inline distT="0" distB="0" distL="0" distR="0" wp14:anchorId="6A841841" wp14:editId="68A3751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9E71C0"/>
    <w:multiLevelType w:val="multilevel"/>
    <w:tmpl w:val="C7689B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6BED658C"/>
    <w:multiLevelType w:val="hybridMultilevel"/>
    <w:tmpl w:val="FFFFFFFF"/>
    <w:lvl w:ilvl="0" w:tplc="BBC2AB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583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C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EC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6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09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0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6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6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655036591">
    <w:abstractNumId w:val="1"/>
  </w:num>
  <w:num w:numId="3" w16cid:durableId="130771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5"/>
    <w:rsid w:val="00004115"/>
    <w:rsid w:val="000160E0"/>
    <w:rsid w:val="000210D4"/>
    <w:rsid w:val="00021883"/>
    <w:rsid w:val="00030DDC"/>
    <w:rsid w:val="000314C1"/>
    <w:rsid w:val="0005135F"/>
    <w:rsid w:val="000516F4"/>
    <w:rsid w:val="000574CC"/>
    <w:rsid w:val="0006007D"/>
    <w:rsid w:val="00061471"/>
    <w:rsid w:val="00062D4F"/>
    <w:rsid w:val="00063016"/>
    <w:rsid w:val="00066795"/>
    <w:rsid w:val="00076AF6"/>
    <w:rsid w:val="00084441"/>
    <w:rsid w:val="00085CF2"/>
    <w:rsid w:val="000A0161"/>
    <w:rsid w:val="000A059A"/>
    <w:rsid w:val="000A16FB"/>
    <w:rsid w:val="000A3E7A"/>
    <w:rsid w:val="000B089B"/>
    <w:rsid w:val="000B0AF5"/>
    <w:rsid w:val="000B1705"/>
    <w:rsid w:val="000C1721"/>
    <w:rsid w:val="000C7593"/>
    <w:rsid w:val="000D00CF"/>
    <w:rsid w:val="000D75B2"/>
    <w:rsid w:val="000E372C"/>
    <w:rsid w:val="000F5DDB"/>
    <w:rsid w:val="001032F5"/>
    <w:rsid w:val="001064EB"/>
    <w:rsid w:val="00107328"/>
    <w:rsid w:val="001121F5"/>
    <w:rsid w:val="00121BFD"/>
    <w:rsid w:val="001304C9"/>
    <w:rsid w:val="00133376"/>
    <w:rsid w:val="001343AC"/>
    <w:rsid w:val="001347E3"/>
    <w:rsid w:val="001400DC"/>
    <w:rsid w:val="00140CE1"/>
    <w:rsid w:val="0015189A"/>
    <w:rsid w:val="00162D90"/>
    <w:rsid w:val="0017539C"/>
    <w:rsid w:val="00175AC2"/>
    <w:rsid w:val="0017609F"/>
    <w:rsid w:val="00176F47"/>
    <w:rsid w:val="00181F84"/>
    <w:rsid w:val="001829EE"/>
    <w:rsid w:val="00186EE0"/>
    <w:rsid w:val="00197B9E"/>
    <w:rsid w:val="001A3154"/>
    <w:rsid w:val="001A32AD"/>
    <w:rsid w:val="001A5637"/>
    <w:rsid w:val="001A7D1D"/>
    <w:rsid w:val="001B1D7B"/>
    <w:rsid w:val="001B4CF1"/>
    <w:rsid w:val="001B51DD"/>
    <w:rsid w:val="001B5DC7"/>
    <w:rsid w:val="001C20AD"/>
    <w:rsid w:val="001C5864"/>
    <w:rsid w:val="001C628E"/>
    <w:rsid w:val="001D1DE5"/>
    <w:rsid w:val="001D4ACA"/>
    <w:rsid w:val="001E0F7B"/>
    <w:rsid w:val="001E3FBF"/>
    <w:rsid w:val="001E4DA9"/>
    <w:rsid w:val="001E504A"/>
    <w:rsid w:val="001E5D54"/>
    <w:rsid w:val="001E60BE"/>
    <w:rsid w:val="001F088B"/>
    <w:rsid w:val="001F16B7"/>
    <w:rsid w:val="001F5569"/>
    <w:rsid w:val="0020487B"/>
    <w:rsid w:val="0020783A"/>
    <w:rsid w:val="002119FD"/>
    <w:rsid w:val="002130E0"/>
    <w:rsid w:val="002171AD"/>
    <w:rsid w:val="00221F46"/>
    <w:rsid w:val="00236504"/>
    <w:rsid w:val="00241503"/>
    <w:rsid w:val="0026421E"/>
    <w:rsid w:val="00264425"/>
    <w:rsid w:val="00265875"/>
    <w:rsid w:val="0027303B"/>
    <w:rsid w:val="002768A1"/>
    <w:rsid w:val="00277DEA"/>
    <w:rsid w:val="0028109B"/>
    <w:rsid w:val="00283206"/>
    <w:rsid w:val="00284C3F"/>
    <w:rsid w:val="00284E0B"/>
    <w:rsid w:val="002916B4"/>
    <w:rsid w:val="002920C3"/>
    <w:rsid w:val="002A0615"/>
    <w:rsid w:val="002A133E"/>
    <w:rsid w:val="002A2188"/>
    <w:rsid w:val="002B1F58"/>
    <w:rsid w:val="002C1C7A"/>
    <w:rsid w:val="002C2F31"/>
    <w:rsid w:val="002C3F32"/>
    <w:rsid w:val="002C54E2"/>
    <w:rsid w:val="002C7782"/>
    <w:rsid w:val="002D3C04"/>
    <w:rsid w:val="002E014F"/>
    <w:rsid w:val="002E75CF"/>
    <w:rsid w:val="002F2ACB"/>
    <w:rsid w:val="002F4F98"/>
    <w:rsid w:val="002F62EC"/>
    <w:rsid w:val="0030160F"/>
    <w:rsid w:val="00301625"/>
    <w:rsid w:val="00306EAC"/>
    <w:rsid w:val="00313B21"/>
    <w:rsid w:val="00313D56"/>
    <w:rsid w:val="003158FE"/>
    <w:rsid w:val="00320223"/>
    <w:rsid w:val="00322D0D"/>
    <w:rsid w:val="003274BA"/>
    <w:rsid w:val="003341BA"/>
    <w:rsid w:val="0033712B"/>
    <w:rsid w:val="00337CA1"/>
    <w:rsid w:val="00350A2A"/>
    <w:rsid w:val="00353175"/>
    <w:rsid w:val="0036095A"/>
    <w:rsid w:val="00361465"/>
    <w:rsid w:val="00384EAB"/>
    <w:rsid w:val="0038737A"/>
    <w:rsid w:val="003877F5"/>
    <w:rsid w:val="0039101C"/>
    <w:rsid w:val="003936D3"/>
    <w:rsid w:val="003942D4"/>
    <w:rsid w:val="003958A8"/>
    <w:rsid w:val="003A3CF3"/>
    <w:rsid w:val="003A4BAC"/>
    <w:rsid w:val="003A6200"/>
    <w:rsid w:val="003A626A"/>
    <w:rsid w:val="003A64E4"/>
    <w:rsid w:val="003B29C2"/>
    <w:rsid w:val="003B4FAF"/>
    <w:rsid w:val="003C154E"/>
    <w:rsid w:val="003C1AA8"/>
    <w:rsid w:val="003C2533"/>
    <w:rsid w:val="003C6A64"/>
    <w:rsid w:val="003D5A7F"/>
    <w:rsid w:val="003E4966"/>
    <w:rsid w:val="003F0228"/>
    <w:rsid w:val="003F205F"/>
    <w:rsid w:val="003F2CAB"/>
    <w:rsid w:val="003F3964"/>
    <w:rsid w:val="00401B17"/>
    <w:rsid w:val="0040435A"/>
    <w:rsid w:val="00412542"/>
    <w:rsid w:val="004153C2"/>
    <w:rsid w:val="00416A24"/>
    <w:rsid w:val="00420CD2"/>
    <w:rsid w:val="00431D9E"/>
    <w:rsid w:val="00433CE8"/>
    <w:rsid w:val="00434A5C"/>
    <w:rsid w:val="00442201"/>
    <w:rsid w:val="004460BE"/>
    <w:rsid w:val="00453079"/>
    <w:rsid w:val="004541C5"/>
    <w:rsid w:val="004544D9"/>
    <w:rsid w:val="0045558C"/>
    <w:rsid w:val="00456E15"/>
    <w:rsid w:val="00465C35"/>
    <w:rsid w:val="00470F70"/>
    <w:rsid w:val="00472BAD"/>
    <w:rsid w:val="00476A16"/>
    <w:rsid w:val="0048073E"/>
    <w:rsid w:val="00484009"/>
    <w:rsid w:val="00490E72"/>
    <w:rsid w:val="00491157"/>
    <w:rsid w:val="00491BA9"/>
    <w:rsid w:val="004921C8"/>
    <w:rsid w:val="0049260A"/>
    <w:rsid w:val="0049369C"/>
    <w:rsid w:val="00495615"/>
    <w:rsid w:val="00495B0B"/>
    <w:rsid w:val="004A0CD5"/>
    <w:rsid w:val="004A1B8B"/>
    <w:rsid w:val="004A547C"/>
    <w:rsid w:val="004B0271"/>
    <w:rsid w:val="004B05C7"/>
    <w:rsid w:val="004B6465"/>
    <w:rsid w:val="004B77A9"/>
    <w:rsid w:val="004C2F1B"/>
    <w:rsid w:val="004C6182"/>
    <w:rsid w:val="004D1851"/>
    <w:rsid w:val="004D599D"/>
    <w:rsid w:val="004E0862"/>
    <w:rsid w:val="004E2EA5"/>
    <w:rsid w:val="004E3AEB"/>
    <w:rsid w:val="004F1010"/>
    <w:rsid w:val="0050223C"/>
    <w:rsid w:val="005040FA"/>
    <w:rsid w:val="005048A3"/>
    <w:rsid w:val="0050698E"/>
    <w:rsid w:val="00511E67"/>
    <w:rsid w:val="00512087"/>
    <w:rsid w:val="005209C7"/>
    <w:rsid w:val="005243FF"/>
    <w:rsid w:val="00533B9E"/>
    <w:rsid w:val="00545E06"/>
    <w:rsid w:val="00552C0A"/>
    <w:rsid w:val="00556357"/>
    <w:rsid w:val="00564FBC"/>
    <w:rsid w:val="0056542E"/>
    <w:rsid w:val="005800BC"/>
    <w:rsid w:val="0058239C"/>
    <w:rsid w:val="0058241A"/>
    <w:rsid w:val="00582442"/>
    <w:rsid w:val="00584F51"/>
    <w:rsid w:val="005873C5"/>
    <w:rsid w:val="00594118"/>
    <w:rsid w:val="00596177"/>
    <w:rsid w:val="0059736D"/>
    <w:rsid w:val="005A0629"/>
    <w:rsid w:val="005A2BCB"/>
    <w:rsid w:val="005A362E"/>
    <w:rsid w:val="005A5322"/>
    <w:rsid w:val="005A6CF2"/>
    <w:rsid w:val="005B3988"/>
    <w:rsid w:val="005B7A84"/>
    <w:rsid w:val="005B7E8A"/>
    <w:rsid w:val="005C2535"/>
    <w:rsid w:val="005D0964"/>
    <w:rsid w:val="005F0DC6"/>
    <w:rsid w:val="005F3269"/>
    <w:rsid w:val="0061071E"/>
    <w:rsid w:val="0061285A"/>
    <w:rsid w:val="006169DD"/>
    <w:rsid w:val="006208CF"/>
    <w:rsid w:val="00623AE3"/>
    <w:rsid w:val="00626390"/>
    <w:rsid w:val="006264B6"/>
    <w:rsid w:val="00630E83"/>
    <w:rsid w:val="00631142"/>
    <w:rsid w:val="006343E8"/>
    <w:rsid w:val="0064418E"/>
    <w:rsid w:val="0064737F"/>
    <w:rsid w:val="0064744F"/>
    <w:rsid w:val="006535F1"/>
    <w:rsid w:val="0065557D"/>
    <w:rsid w:val="00655CA2"/>
    <w:rsid w:val="006565B2"/>
    <w:rsid w:val="00660D50"/>
    <w:rsid w:val="00662984"/>
    <w:rsid w:val="00664A40"/>
    <w:rsid w:val="006716BB"/>
    <w:rsid w:val="006738F2"/>
    <w:rsid w:val="00696AC2"/>
    <w:rsid w:val="00696E31"/>
    <w:rsid w:val="006A2F4B"/>
    <w:rsid w:val="006A4128"/>
    <w:rsid w:val="006B1859"/>
    <w:rsid w:val="006B6680"/>
    <w:rsid w:val="006B6DCC"/>
    <w:rsid w:val="006B77F1"/>
    <w:rsid w:val="006C0A6C"/>
    <w:rsid w:val="006C3213"/>
    <w:rsid w:val="006C35D5"/>
    <w:rsid w:val="006C4712"/>
    <w:rsid w:val="006C7990"/>
    <w:rsid w:val="006E0619"/>
    <w:rsid w:val="006E6F8A"/>
    <w:rsid w:val="006F31A9"/>
    <w:rsid w:val="006F4AFA"/>
    <w:rsid w:val="00702DEF"/>
    <w:rsid w:val="007059F4"/>
    <w:rsid w:val="00705FB7"/>
    <w:rsid w:val="00706861"/>
    <w:rsid w:val="00713478"/>
    <w:rsid w:val="00722551"/>
    <w:rsid w:val="007318FE"/>
    <w:rsid w:val="0075051B"/>
    <w:rsid w:val="0075229B"/>
    <w:rsid w:val="00764F34"/>
    <w:rsid w:val="00765C89"/>
    <w:rsid w:val="00770917"/>
    <w:rsid w:val="0077110E"/>
    <w:rsid w:val="00771224"/>
    <w:rsid w:val="00771C50"/>
    <w:rsid w:val="00780B80"/>
    <w:rsid w:val="00787E43"/>
    <w:rsid w:val="00793188"/>
    <w:rsid w:val="00794D34"/>
    <w:rsid w:val="007A3FCD"/>
    <w:rsid w:val="007A5E9F"/>
    <w:rsid w:val="007B19CF"/>
    <w:rsid w:val="007B7316"/>
    <w:rsid w:val="007D01AF"/>
    <w:rsid w:val="007D45B3"/>
    <w:rsid w:val="007D54EE"/>
    <w:rsid w:val="007E37B6"/>
    <w:rsid w:val="007E6ACE"/>
    <w:rsid w:val="007F0B38"/>
    <w:rsid w:val="007F3D2E"/>
    <w:rsid w:val="007F5AD4"/>
    <w:rsid w:val="008033BF"/>
    <w:rsid w:val="00804F24"/>
    <w:rsid w:val="00806F5C"/>
    <w:rsid w:val="0081346B"/>
    <w:rsid w:val="00813A64"/>
    <w:rsid w:val="00813E5E"/>
    <w:rsid w:val="00820ED8"/>
    <w:rsid w:val="00824D69"/>
    <w:rsid w:val="0083581B"/>
    <w:rsid w:val="0083680C"/>
    <w:rsid w:val="008420C7"/>
    <w:rsid w:val="0084546D"/>
    <w:rsid w:val="00847720"/>
    <w:rsid w:val="00850FEE"/>
    <w:rsid w:val="00853C21"/>
    <w:rsid w:val="008623F8"/>
    <w:rsid w:val="00863874"/>
    <w:rsid w:val="00864AFF"/>
    <w:rsid w:val="00865925"/>
    <w:rsid w:val="00867909"/>
    <w:rsid w:val="00872421"/>
    <w:rsid w:val="0087248A"/>
    <w:rsid w:val="00876B76"/>
    <w:rsid w:val="008803DE"/>
    <w:rsid w:val="00885702"/>
    <w:rsid w:val="008936E2"/>
    <w:rsid w:val="008960C3"/>
    <w:rsid w:val="008B4A6A"/>
    <w:rsid w:val="008C7E27"/>
    <w:rsid w:val="008D4D8B"/>
    <w:rsid w:val="008D511A"/>
    <w:rsid w:val="008E02F0"/>
    <w:rsid w:val="008E03BF"/>
    <w:rsid w:val="008E52F3"/>
    <w:rsid w:val="008F0E60"/>
    <w:rsid w:val="008F7448"/>
    <w:rsid w:val="0090147A"/>
    <w:rsid w:val="009067E6"/>
    <w:rsid w:val="00907918"/>
    <w:rsid w:val="0091298D"/>
    <w:rsid w:val="00915CC5"/>
    <w:rsid w:val="00916C9E"/>
    <w:rsid w:val="009173EF"/>
    <w:rsid w:val="009233C9"/>
    <w:rsid w:val="0092758D"/>
    <w:rsid w:val="00932906"/>
    <w:rsid w:val="00943F9B"/>
    <w:rsid w:val="009500DA"/>
    <w:rsid w:val="00954C49"/>
    <w:rsid w:val="00957E37"/>
    <w:rsid w:val="00961B0B"/>
    <w:rsid w:val="00962D33"/>
    <w:rsid w:val="00963A91"/>
    <w:rsid w:val="009743D5"/>
    <w:rsid w:val="009842A1"/>
    <w:rsid w:val="00993EDF"/>
    <w:rsid w:val="009A1D54"/>
    <w:rsid w:val="009A3980"/>
    <w:rsid w:val="009A76A8"/>
    <w:rsid w:val="009B319B"/>
    <w:rsid w:val="009B38C3"/>
    <w:rsid w:val="009C1AF6"/>
    <w:rsid w:val="009C1E3D"/>
    <w:rsid w:val="009C561F"/>
    <w:rsid w:val="009D170D"/>
    <w:rsid w:val="009E17BD"/>
    <w:rsid w:val="009E1E1D"/>
    <w:rsid w:val="009E485A"/>
    <w:rsid w:val="009E4FB5"/>
    <w:rsid w:val="009E5B2B"/>
    <w:rsid w:val="00A005D3"/>
    <w:rsid w:val="00A04CEC"/>
    <w:rsid w:val="00A109AF"/>
    <w:rsid w:val="00A10BA9"/>
    <w:rsid w:val="00A1107F"/>
    <w:rsid w:val="00A144CC"/>
    <w:rsid w:val="00A23C7D"/>
    <w:rsid w:val="00A27F92"/>
    <w:rsid w:val="00A30116"/>
    <w:rsid w:val="00A30853"/>
    <w:rsid w:val="00A32257"/>
    <w:rsid w:val="00A36D20"/>
    <w:rsid w:val="00A36FDB"/>
    <w:rsid w:val="00A40AE5"/>
    <w:rsid w:val="00A41EE8"/>
    <w:rsid w:val="00A514A4"/>
    <w:rsid w:val="00A55622"/>
    <w:rsid w:val="00A577B9"/>
    <w:rsid w:val="00A6004E"/>
    <w:rsid w:val="00A62BC2"/>
    <w:rsid w:val="00A75FEF"/>
    <w:rsid w:val="00A83502"/>
    <w:rsid w:val="00A94BAB"/>
    <w:rsid w:val="00AA0D64"/>
    <w:rsid w:val="00AA13D4"/>
    <w:rsid w:val="00AA3AC9"/>
    <w:rsid w:val="00AA73A2"/>
    <w:rsid w:val="00AB4469"/>
    <w:rsid w:val="00AB59CB"/>
    <w:rsid w:val="00AB6933"/>
    <w:rsid w:val="00AC3151"/>
    <w:rsid w:val="00AD15B3"/>
    <w:rsid w:val="00AD3606"/>
    <w:rsid w:val="00AD4A3D"/>
    <w:rsid w:val="00AD517B"/>
    <w:rsid w:val="00AD6926"/>
    <w:rsid w:val="00AE3314"/>
    <w:rsid w:val="00AF53CA"/>
    <w:rsid w:val="00AF6E49"/>
    <w:rsid w:val="00B04A67"/>
    <w:rsid w:val="00B0583C"/>
    <w:rsid w:val="00B17D92"/>
    <w:rsid w:val="00B248F7"/>
    <w:rsid w:val="00B3650C"/>
    <w:rsid w:val="00B40A81"/>
    <w:rsid w:val="00B4152D"/>
    <w:rsid w:val="00B44910"/>
    <w:rsid w:val="00B47BED"/>
    <w:rsid w:val="00B525B2"/>
    <w:rsid w:val="00B53DD6"/>
    <w:rsid w:val="00B630E4"/>
    <w:rsid w:val="00B64DB3"/>
    <w:rsid w:val="00B72267"/>
    <w:rsid w:val="00B76EB6"/>
    <w:rsid w:val="00B7737B"/>
    <w:rsid w:val="00B81374"/>
    <w:rsid w:val="00B824C8"/>
    <w:rsid w:val="00B84B9D"/>
    <w:rsid w:val="00B9131F"/>
    <w:rsid w:val="00B9251D"/>
    <w:rsid w:val="00B92C53"/>
    <w:rsid w:val="00BB0646"/>
    <w:rsid w:val="00BC1184"/>
    <w:rsid w:val="00BC251A"/>
    <w:rsid w:val="00BC4A20"/>
    <w:rsid w:val="00BD032B"/>
    <w:rsid w:val="00BD2B74"/>
    <w:rsid w:val="00BD79F3"/>
    <w:rsid w:val="00BE01C6"/>
    <w:rsid w:val="00BE2640"/>
    <w:rsid w:val="00BE5627"/>
    <w:rsid w:val="00BE57FB"/>
    <w:rsid w:val="00BE6B1A"/>
    <w:rsid w:val="00BF1FDE"/>
    <w:rsid w:val="00BF4484"/>
    <w:rsid w:val="00C01090"/>
    <w:rsid w:val="00C01189"/>
    <w:rsid w:val="00C0458D"/>
    <w:rsid w:val="00C170C6"/>
    <w:rsid w:val="00C17BD5"/>
    <w:rsid w:val="00C30627"/>
    <w:rsid w:val="00C374DE"/>
    <w:rsid w:val="00C3783D"/>
    <w:rsid w:val="00C4150E"/>
    <w:rsid w:val="00C41757"/>
    <w:rsid w:val="00C41FEC"/>
    <w:rsid w:val="00C466CC"/>
    <w:rsid w:val="00C46C2F"/>
    <w:rsid w:val="00C47AD4"/>
    <w:rsid w:val="00C505ED"/>
    <w:rsid w:val="00C52D81"/>
    <w:rsid w:val="00C53603"/>
    <w:rsid w:val="00C55198"/>
    <w:rsid w:val="00C5605F"/>
    <w:rsid w:val="00C6520B"/>
    <w:rsid w:val="00C73FB9"/>
    <w:rsid w:val="00C81783"/>
    <w:rsid w:val="00C842E0"/>
    <w:rsid w:val="00C90EAE"/>
    <w:rsid w:val="00CA0A45"/>
    <w:rsid w:val="00CA14E1"/>
    <w:rsid w:val="00CA2AD2"/>
    <w:rsid w:val="00CA6393"/>
    <w:rsid w:val="00CA7401"/>
    <w:rsid w:val="00CA7995"/>
    <w:rsid w:val="00CB18FF"/>
    <w:rsid w:val="00CB36E1"/>
    <w:rsid w:val="00CB64FB"/>
    <w:rsid w:val="00CC2D9C"/>
    <w:rsid w:val="00CC6C22"/>
    <w:rsid w:val="00CD0C08"/>
    <w:rsid w:val="00CD1D5F"/>
    <w:rsid w:val="00CD676B"/>
    <w:rsid w:val="00CE03FB"/>
    <w:rsid w:val="00CE433C"/>
    <w:rsid w:val="00CF0161"/>
    <w:rsid w:val="00CF33F3"/>
    <w:rsid w:val="00CF4A2B"/>
    <w:rsid w:val="00D024CA"/>
    <w:rsid w:val="00D06183"/>
    <w:rsid w:val="00D22C42"/>
    <w:rsid w:val="00D26E35"/>
    <w:rsid w:val="00D321C8"/>
    <w:rsid w:val="00D325EE"/>
    <w:rsid w:val="00D3496C"/>
    <w:rsid w:val="00D511C6"/>
    <w:rsid w:val="00D57ADE"/>
    <w:rsid w:val="00D61959"/>
    <w:rsid w:val="00D65041"/>
    <w:rsid w:val="00D67BFC"/>
    <w:rsid w:val="00D8326C"/>
    <w:rsid w:val="00D8413B"/>
    <w:rsid w:val="00D8640C"/>
    <w:rsid w:val="00D94834"/>
    <w:rsid w:val="00D96E6C"/>
    <w:rsid w:val="00DB042F"/>
    <w:rsid w:val="00DB15B1"/>
    <w:rsid w:val="00DB1936"/>
    <w:rsid w:val="00DB384B"/>
    <w:rsid w:val="00DC47E8"/>
    <w:rsid w:val="00DC5002"/>
    <w:rsid w:val="00DC610E"/>
    <w:rsid w:val="00DC61FA"/>
    <w:rsid w:val="00DE532B"/>
    <w:rsid w:val="00DE7434"/>
    <w:rsid w:val="00DF0189"/>
    <w:rsid w:val="00E04B6D"/>
    <w:rsid w:val="00E06FD5"/>
    <w:rsid w:val="00E075E9"/>
    <w:rsid w:val="00E10E80"/>
    <w:rsid w:val="00E124F0"/>
    <w:rsid w:val="00E14DD2"/>
    <w:rsid w:val="00E2036C"/>
    <w:rsid w:val="00E227F3"/>
    <w:rsid w:val="00E24B18"/>
    <w:rsid w:val="00E24E08"/>
    <w:rsid w:val="00E417D1"/>
    <w:rsid w:val="00E47C0E"/>
    <w:rsid w:val="00E545C6"/>
    <w:rsid w:val="00E60F04"/>
    <w:rsid w:val="00E654B5"/>
    <w:rsid w:val="00E65B24"/>
    <w:rsid w:val="00E7078C"/>
    <w:rsid w:val="00E7247E"/>
    <w:rsid w:val="00E84B2C"/>
    <w:rsid w:val="00E854E4"/>
    <w:rsid w:val="00E86DBF"/>
    <w:rsid w:val="00E915A8"/>
    <w:rsid w:val="00E92717"/>
    <w:rsid w:val="00E969AF"/>
    <w:rsid w:val="00EB0D6F"/>
    <w:rsid w:val="00EB2232"/>
    <w:rsid w:val="00EC2F6F"/>
    <w:rsid w:val="00EC4808"/>
    <w:rsid w:val="00EC5337"/>
    <w:rsid w:val="00ED0A67"/>
    <w:rsid w:val="00ED32A6"/>
    <w:rsid w:val="00ED4049"/>
    <w:rsid w:val="00ED7B35"/>
    <w:rsid w:val="00EE49E8"/>
    <w:rsid w:val="00EE4BB7"/>
    <w:rsid w:val="00EF3321"/>
    <w:rsid w:val="00F06AF6"/>
    <w:rsid w:val="00F10D1F"/>
    <w:rsid w:val="00F16BAB"/>
    <w:rsid w:val="00F2150A"/>
    <w:rsid w:val="00F21B81"/>
    <w:rsid w:val="00F231D8"/>
    <w:rsid w:val="00F42BB3"/>
    <w:rsid w:val="00F4315C"/>
    <w:rsid w:val="00F44C00"/>
    <w:rsid w:val="00F45505"/>
    <w:rsid w:val="00F45D2C"/>
    <w:rsid w:val="00F46C5F"/>
    <w:rsid w:val="00F54646"/>
    <w:rsid w:val="00F55ABA"/>
    <w:rsid w:val="00F562AE"/>
    <w:rsid w:val="00F57126"/>
    <w:rsid w:val="00F61960"/>
    <w:rsid w:val="00F632C0"/>
    <w:rsid w:val="00F641E1"/>
    <w:rsid w:val="00F717C5"/>
    <w:rsid w:val="00F72E24"/>
    <w:rsid w:val="00F75729"/>
    <w:rsid w:val="00F80EE0"/>
    <w:rsid w:val="00F8380F"/>
    <w:rsid w:val="00F8590B"/>
    <w:rsid w:val="00F94A63"/>
    <w:rsid w:val="00FA1C28"/>
    <w:rsid w:val="00FB1279"/>
    <w:rsid w:val="00FB33B4"/>
    <w:rsid w:val="00FB62D4"/>
    <w:rsid w:val="00FB6B76"/>
    <w:rsid w:val="00FB6F7D"/>
    <w:rsid w:val="00FB7596"/>
    <w:rsid w:val="00FC0C09"/>
    <w:rsid w:val="00FC3995"/>
    <w:rsid w:val="00FC630B"/>
    <w:rsid w:val="00FC6EA7"/>
    <w:rsid w:val="00FD167E"/>
    <w:rsid w:val="00FE3CDE"/>
    <w:rsid w:val="00FE4077"/>
    <w:rsid w:val="00FE500D"/>
    <w:rsid w:val="00FE6630"/>
    <w:rsid w:val="00FE686E"/>
    <w:rsid w:val="00FE77D2"/>
    <w:rsid w:val="00FF32EC"/>
    <w:rsid w:val="00FF39B1"/>
    <w:rsid w:val="011C4170"/>
    <w:rsid w:val="015AA631"/>
    <w:rsid w:val="01E67D20"/>
    <w:rsid w:val="01EEEA03"/>
    <w:rsid w:val="02553FC9"/>
    <w:rsid w:val="0755CF55"/>
    <w:rsid w:val="07F38121"/>
    <w:rsid w:val="0902FD29"/>
    <w:rsid w:val="093CD18D"/>
    <w:rsid w:val="0B1290C1"/>
    <w:rsid w:val="0C0F6563"/>
    <w:rsid w:val="0CBB7ECC"/>
    <w:rsid w:val="0D638C3A"/>
    <w:rsid w:val="0D9A25E8"/>
    <w:rsid w:val="0EB0C06F"/>
    <w:rsid w:val="0F42F69B"/>
    <w:rsid w:val="11C4F243"/>
    <w:rsid w:val="14BA2914"/>
    <w:rsid w:val="1640A56D"/>
    <w:rsid w:val="1850D228"/>
    <w:rsid w:val="1964DB62"/>
    <w:rsid w:val="19B662DC"/>
    <w:rsid w:val="1A21721D"/>
    <w:rsid w:val="1B70EBB9"/>
    <w:rsid w:val="1B91DDEF"/>
    <w:rsid w:val="1B953532"/>
    <w:rsid w:val="1D708520"/>
    <w:rsid w:val="1F6DCB33"/>
    <w:rsid w:val="1FEBF61B"/>
    <w:rsid w:val="200F3EFE"/>
    <w:rsid w:val="212F5C39"/>
    <w:rsid w:val="220B3FB6"/>
    <w:rsid w:val="246C0DEB"/>
    <w:rsid w:val="2520E5C8"/>
    <w:rsid w:val="25E45CF0"/>
    <w:rsid w:val="27F8044A"/>
    <w:rsid w:val="28A57EF2"/>
    <w:rsid w:val="28CAE00D"/>
    <w:rsid w:val="28F3BE58"/>
    <w:rsid w:val="29FF2BE0"/>
    <w:rsid w:val="2BC22F58"/>
    <w:rsid w:val="2C0F1F57"/>
    <w:rsid w:val="2EB654B5"/>
    <w:rsid w:val="3159A81F"/>
    <w:rsid w:val="31C8AA92"/>
    <w:rsid w:val="35D94F31"/>
    <w:rsid w:val="364BF2C8"/>
    <w:rsid w:val="36EE7DCB"/>
    <w:rsid w:val="37F2CD28"/>
    <w:rsid w:val="38B19791"/>
    <w:rsid w:val="39E9A6DF"/>
    <w:rsid w:val="3C0E1E42"/>
    <w:rsid w:val="40990329"/>
    <w:rsid w:val="40A10F1A"/>
    <w:rsid w:val="42DEC2CC"/>
    <w:rsid w:val="45E7DCCD"/>
    <w:rsid w:val="464572CE"/>
    <w:rsid w:val="4958D878"/>
    <w:rsid w:val="495F458A"/>
    <w:rsid w:val="497488BA"/>
    <w:rsid w:val="49E2466A"/>
    <w:rsid w:val="4A01426F"/>
    <w:rsid w:val="4B8BED9D"/>
    <w:rsid w:val="4C1DA7F4"/>
    <w:rsid w:val="4D397478"/>
    <w:rsid w:val="4D5B3BB7"/>
    <w:rsid w:val="4DAA0B7D"/>
    <w:rsid w:val="4E3E23B1"/>
    <w:rsid w:val="4ECF0668"/>
    <w:rsid w:val="4F14DA95"/>
    <w:rsid w:val="4FDEB4F1"/>
    <w:rsid w:val="5012ECE3"/>
    <w:rsid w:val="531D5FBD"/>
    <w:rsid w:val="54605793"/>
    <w:rsid w:val="56A9C0FB"/>
    <w:rsid w:val="56D82B81"/>
    <w:rsid w:val="575E19FC"/>
    <w:rsid w:val="586D5EA8"/>
    <w:rsid w:val="59E622D9"/>
    <w:rsid w:val="5AE1F007"/>
    <w:rsid w:val="5AEA7B35"/>
    <w:rsid w:val="5AF4FF92"/>
    <w:rsid w:val="5BF968A3"/>
    <w:rsid w:val="5C4208F4"/>
    <w:rsid w:val="5C4CD456"/>
    <w:rsid w:val="5C923595"/>
    <w:rsid w:val="5CF3B106"/>
    <w:rsid w:val="637BAE04"/>
    <w:rsid w:val="653A34A7"/>
    <w:rsid w:val="683CAF51"/>
    <w:rsid w:val="6A8D2B7E"/>
    <w:rsid w:val="6B2869C2"/>
    <w:rsid w:val="6B66B69B"/>
    <w:rsid w:val="6CE6C90E"/>
    <w:rsid w:val="6D8C8E62"/>
    <w:rsid w:val="6E1EDDA6"/>
    <w:rsid w:val="6E2A1A35"/>
    <w:rsid w:val="6E7966C5"/>
    <w:rsid w:val="6E8D6C26"/>
    <w:rsid w:val="6EB67840"/>
    <w:rsid w:val="6FAC03AD"/>
    <w:rsid w:val="70C6C73C"/>
    <w:rsid w:val="7110819D"/>
    <w:rsid w:val="7143D38D"/>
    <w:rsid w:val="714729FA"/>
    <w:rsid w:val="71D14C9F"/>
    <w:rsid w:val="73B894E3"/>
    <w:rsid w:val="76206542"/>
    <w:rsid w:val="763E4331"/>
    <w:rsid w:val="780625BA"/>
    <w:rsid w:val="7AB12576"/>
    <w:rsid w:val="7C580BAC"/>
    <w:rsid w:val="7DF7ADAF"/>
    <w:rsid w:val="7E8CD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63810"/>
  <w15:docId w15:val="{6987FAA3-4A47-4BFB-B686-165094E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7E6ACE"/>
    <w:pPr>
      <w:framePr w:hSpace="181" w:wrap="around" w:vAnchor="page" w:hAnchor="page" w:x="1589" w:y="2314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771C50"/>
    <w:pPr>
      <w:spacing w:before="160" w:after="12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936E2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425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283206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0574C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74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4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4CC"/>
    <w:rPr>
      <w:rFonts w:ascii="Calibri" w:hAnsi="Calibri"/>
      <w:lang w:val="en-GB" w:eastAsia="en-US"/>
    </w:rPr>
  </w:style>
  <w:style w:type="table" w:styleId="PlainTable1">
    <w:name w:val="Plain Table 1"/>
    <w:basedOn w:val="TableNormal"/>
    <w:uiPriority w:val="41"/>
    <w:rsid w:val="000574CC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84EAB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2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229B"/>
    <w:rPr>
      <w:rFonts w:ascii="Calibri" w:hAnsi="Calibri"/>
      <w:b/>
      <w:bCs/>
      <w:lang w:val="en-GB" w:eastAsia="en-US"/>
    </w:rPr>
  </w:style>
  <w:style w:type="paragraph" w:customStyle="1" w:styleId="Tablefin">
    <w:name w:val="Table_fin"/>
    <w:basedOn w:val="Tabletext"/>
    <w:rsid w:val="00283206"/>
    <w:pPr>
      <w:spacing w:before="0" w:after="0"/>
    </w:pPr>
  </w:style>
  <w:style w:type="character" w:styleId="Mention">
    <w:name w:val="Mention"/>
    <w:basedOn w:val="DefaultParagraphFont"/>
    <w:uiPriority w:val="99"/>
    <w:unhideWhenUsed/>
    <w:rsid w:val="000A05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L-C-0070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L-C-0070/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70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C33E5-BF8B-4300-A370-91048D84B9D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c22657-7647-457b-a399-8471255bb16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7A461B-6114-4719-9287-A30C6398C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2D932-6778-4D7C-885B-CCDFC6BEC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974</Words>
  <Characters>6061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information on proposed framework for selection process for host countries of ITU conferences and assemblies</vt:lpstr>
    </vt:vector>
  </TitlesOfParts>
  <Manager>General Secretariat</Manager>
  <Company>International Telecommunication Union (ITU)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information on proposed framework for selection process for host countries of ITU conferences and assemblies</dc:title>
  <dc:subject>ITU Council 2026</dc:subject>
  <cp:keywords>C26; C2026; Council 2026; PP26</cp:keywords>
  <dc:description/>
  <cp:lastPrinted>2000-07-19T07:30:00Z</cp:lastPrinted>
  <dcterms:created xsi:type="dcterms:W3CDTF">2026-04-10T13:56:00Z</dcterms:created>
  <dcterms:modified xsi:type="dcterms:W3CDTF">2026-04-10T14:01:00Z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  <property fmtid="{D5CDD505-2E9C-101B-9397-08002B2CF9AE}" pid="11" name="TobereviewedatCoCo">
    <vt:lpwstr>yes</vt:lpwstr>
  </property>
</Properties>
</file>