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5634F1" w14:paraId="156ADA41" w14:textId="77777777" w:rsidTr="1F5C401C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0D826918" w14:textId="7BEC6CF6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5F0672B1" w14:textId="31DBF584" w:rsidR="00AD3606" w:rsidRPr="005634F1" w:rsidRDefault="00AD3606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CH"/>
              </w:rPr>
            </w:pPr>
            <w:r w:rsidRPr="005634F1">
              <w:rPr>
                <w:b/>
                <w:lang w:val="fr-CH"/>
              </w:rPr>
              <w:t xml:space="preserve">Document </w:t>
            </w:r>
            <w:proofErr w:type="spellStart"/>
            <w:r w:rsidRPr="005634F1">
              <w:rPr>
                <w:b/>
                <w:lang w:val="fr-CH"/>
              </w:rPr>
              <w:t>C2</w:t>
            </w:r>
            <w:r w:rsidR="00DE532B" w:rsidRPr="005634F1">
              <w:rPr>
                <w:b/>
                <w:lang w:val="fr-CH"/>
              </w:rPr>
              <w:t>6</w:t>
            </w:r>
            <w:proofErr w:type="spellEnd"/>
            <w:r w:rsidRPr="005634F1">
              <w:rPr>
                <w:b/>
                <w:lang w:val="fr-CH"/>
              </w:rPr>
              <w:t>/</w:t>
            </w:r>
            <w:proofErr w:type="spellStart"/>
            <w:r w:rsidR="002C256F" w:rsidRPr="005634F1">
              <w:rPr>
                <w:b/>
                <w:lang w:val="fr-CH"/>
              </w:rPr>
              <w:t>INF</w:t>
            </w:r>
            <w:proofErr w:type="spellEnd"/>
            <w:r w:rsidR="002C256F" w:rsidRPr="005634F1">
              <w:rPr>
                <w:b/>
                <w:lang w:val="fr-CH"/>
              </w:rPr>
              <w:t>/</w:t>
            </w:r>
            <w:r w:rsidR="005634F1">
              <w:rPr>
                <w:b/>
                <w:lang w:val="fr-CH"/>
              </w:rPr>
              <w:t>2</w:t>
            </w:r>
          </w:p>
        </w:tc>
      </w:tr>
      <w:tr w:rsidR="00AD3606" w:rsidRPr="00C0458D" w14:paraId="3FF2A9E6" w14:textId="77777777" w:rsidTr="1F5C401C">
        <w:trPr>
          <w:cantSplit/>
        </w:trPr>
        <w:tc>
          <w:tcPr>
            <w:tcW w:w="3969" w:type="dxa"/>
            <w:vMerge/>
          </w:tcPr>
          <w:p w14:paraId="3F439CF2" w14:textId="77777777" w:rsidR="00AD3606" w:rsidRPr="005634F1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  <w:lang w:val="fr-CH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1FE8C5A2" w14:textId="28E20CBE" w:rsidR="00AD3606" w:rsidRPr="00C0458D" w:rsidRDefault="00342D54" w:rsidP="00954C4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 xml:space="preserve">10 April </w:t>
            </w:r>
            <w:r w:rsidR="002C256F">
              <w:rPr>
                <w:b/>
              </w:rPr>
              <w:t>2026</w:t>
            </w:r>
          </w:p>
        </w:tc>
      </w:tr>
      <w:tr w:rsidR="00AD3606" w:rsidRPr="00C0458D" w14:paraId="1A9F66F9" w14:textId="77777777" w:rsidTr="1F5C401C">
        <w:trPr>
          <w:cantSplit/>
          <w:trHeight w:val="23"/>
        </w:trPr>
        <w:tc>
          <w:tcPr>
            <w:tcW w:w="3969" w:type="dxa"/>
            <w:vMerge/>
          </w:tcPr>
          <w:p w14:paraId="5B6CB26C" w14:textId="77777777" w:rsidR="00AD3606" w:rsidRPr="00C0458D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7405B937" w14:textId="34427D93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0458D">
              <w:rPr>
                <w:b/>
              </w:rPr>
              <w:t>English</w:t>
            </w:r>
            <w:r w:rsidR="00E17CD2">
              <w:rPr>
                <w:b/>
              </w:rPr>
              <w:t xml:space="preserve"> only</w:t>
            </w:r>
          </w:p>
        </w:tc>
      </w:tr>
      <w:tr w:rsidR="00472BAD" w:rsidRPr="00C0458D" w14:paraId="776D229D" w14:textId="77777777" w:rsidTr="1F5C401C">
        <w:trPr>
          <w:cantSplit/>
          <w:trHeight w:val="23"/>
        </w:trPr>
        <w:tc>
          <w:tcPr>
            <w:tcW w:w="3969" w:type="dxa"/>
          </w:tcPr>
          <w:p w14:paraId="703E18D3" w14:textId="77777777" w:rsidR="00472BAD" w:rsidRPr="00C0458D" w:rsidRDefault="00472BAD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194B439A" w14:textId="77777777" w:rsidR="00472BAD" w:rsidRPr="00C0458D" w:rsidRDefault="00472BAD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C0458D" w14:paraId="17F255B3" w14:textId="77777777" w:rsidTr="1F5C401C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0D5DFAA" w14:textId="7060F774" w:rsidR="00AD3606" w:rsidRPr="00C0458D" w:rsidRDefault="002C256F" w:rsidP="00954C49">
            <w:pPr>
              <w:pStyle w:val="Source"/>
              <w:framePr w:hSpace="0" w:wrap="auto" w:vAnchor="margin" w:hAnchor="text" w:yAlign="inline"/>
            </w:pPr>
            <w:bookmarkStart w:id="8" w:name="dsource" w:colFirst="0" w:colLast="0"/>
            <w:bookmarkEnd w:id="7"/>
            <w:r>
              <w:t>Note</w:t>
            </w:r>
            <w:r w:rsidRPr="000F7289">
              <w:t xml:space="preserve"> by the Secretary-General</w:t>
            </w:r>
          </w:p>
        </w:tc>
      </w:tr>
      <w:tr w:rsidR="00AD3606" w:rsidRPr="00C0458D" w14:paraId="7AE38950" w14:textId="77777777" w:rsidTr="1F5C401C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6CE7ECE" w14:textId="053ED5C3" w:rsidR="00AD3606" w:rsidRPr="00F77235" w:rsidRDefault="00061C3F" w:rsidP="00954C49">
            <w:pPr>
              <w:pStyle w:val="Subtitle"/>
              <w:framePr w:hSpace="0" w:wrap="auto" w:hAnchor="text" w:xAlign="left" w:yAlign="inline"/>
              <w:rPr>
                <w:spacing w:val="2"/>
              </w:rPr>
            </w:pPr>
            <w:bookmarkStart w:id="9" w:name="dtitle1"/>
            <w:bookmarkEnd w:id="8"/>
            <w:r w:rsidRPr="00F77235">
              <w:rPr>
                <w:spacing w:val="2"/>
              </w:rPr>
              <w:t>ITU Employee Engagement Survey 2025 – Results and follow-up</w:t>
            </w:r>
          </w:p>
        </w:tc>
      </w:tr>
      <w:tr w:rsidR="00AD3606" w:rsidRPr="00C0458D" w14:paraId="62A556B4" w14:textId="77777777" w:rsidTr="1F5C401C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3D7F0E11" w14:textId="77777777" w:rsidR="002C256F" w:rsidRPr="00C0458D" w:rsidRDefault="002C256F" w:rsidP="002C256F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C0458D">
              <w:rPr>
                <w:b/>
                <w:bCs/>
                <w:sz w:val="26"/>
                <w:szCs w:val="26"/>
              </w:rPr>
              <w:t>Purpose</w:t>
            </w:r>
          </w:p>
          <w:p w14:paraId="4E4B8202" w14:textId="1181FBF1" w:rsidR="002C256F" w:rsidRPr="00C0458D" w:rsidRDefault="002C256F" w:rsidP="001F4E41">
            <w:pPr>
              <w:spacing w:line="259" w:lineRule="auto"/>
              <w:jc w:val="both"/>
            </w:pPr>
            <w:r>
              <w:t xml:space="preserve">In January 2025, ITU launched its first-ever Employee Engagement Survey (EES). The survey was designed to </w:t>
            </w:r>
            <w:r w:rsidRPr="7DA2C236">
              <w:rPr>
                <w:lang w:eastAsia="zh-CN"/>
              </w:rPr>
              <w:t xml:space="preserve">understand </w:t>
            </w:r>
            <w:r>
              <w:t>employees</w:t>
            </w:r>
            <w:r w:rsidR="00D34E81">
              <w:t>’</w:t>
            </w:r>
            <w:r>
              <w:t xml:space="preserve"> level of commitment</w:t>
            </w:r>
            <w:r w:rsidRPr="7DA2C236">
              <w:rPr>
                <w:lang w:eastAsia="zh-CN"/>
              </w:rPr>
              <w:t xml:space="preserve">, </w:t>
            </w:r>
            <w:r>
              <w:t>motivation</w:t>
            </w:r>
            <w:r w:rsidRPr="7DA2C236">
              <w:rPr>
                <w:lang w:eastAsia="zh-CN"/>
              </w:rPr>
              <w:t xml:space="preserve"> and connection with work and the organization</w:t>
            </w:r>
            <w:r>
              <w:t>, and to</w:t>
            </w:r>
            <w:r w:rsidRPr="7DA2C236">
              <w:rPr>
                <w:lang w:eastAsia="zh-CN"/>
              </w:rPr>
              <w:t xml:space="preserve"> drive efficiency and effectiveness within ITU</w:t>
            </w:r>
            <w:r>
              <w:t>.</w:t>
            </w:r>
            <w:r w:rsidRPr="7DA2C236">
              <w:rPr>
                <w:lang w:eastAsia="zh-CN"/>
              </w:rPr>
              <w:t xml:space="preserve"> </w:t>
            </w:r>
            <w:r>
              <w:t>The survey achieved a response rate of 72 per cent. The data helped identify areas where we are perceived to be doing well and highlight</w:t>
            </w:r>
            <w:r w:rsidRPr="7DA2C236">
              <w:rPr>
                <w:lang w:eastAsia="zh-CN"/>
              </w:rPr>
              <w:t>ed</w:t>
            </w:r>
            <w:r>
              <w:t xml:space="preserve"> areas for further improvement.</w:t>
            </w:r>
            <w:r w:rsidRPr="7DA2C236">
              <w:rPr>
                <w:lang w:eastAsia="zh-CN"/>
              </w:rPr>
              <w:t xml:space="preserve"> </w:t>
            </w:r>
            <w:r w:rsidR="7ACC16E1" w:rsidRPr="7DA2C236">
              <w:rPr>
                <w:rFonts w:eastAsia="Calibri" w:cs="Calibri"/>
                <w:szCs w:val="24"/>
              </w:rPr>
              <w:t xml:space="preserve">An ITU-wide </w:t>
            </w:r>
            <w:r w:rsidR="077EE17E" w:rsidRPr="7DA2C236">
              <w:rPr>
                <w:rFonts w:eastAsia="Calibri" w:cs="Calibri"/>
                <w:szCs w:val="24"/>
              </w:rPr>
              <w:t>a</w:t>
            </w:r>
            <w:r w:rsidR="7ACC16E1" w:rsidRPr="7DA2C236">
              <w:rPr>
                <w:rFonts w:eastAsia="Calibri" w:cs="Calibri"/>
                <w:szCs w:val="24"/>
              </w:rPr>
              <w:t xml:space="preserve">ction </w:t>
            </w:r>
            <w:r w:rsidR="01CF44C8" w:rsidRPr="7DA2C236">
              <w:rPr>
                <w:rFonts w:eastAsia="Calibri" w:cs="Calibri"/>
                <w:szCs w:val="24"/>
              </w:rPr>
              <w:t>p</w:t>
            </w:r>
            <w:r w:rsidR="7ACC16E1" w:rsidRPr="7DA2C236">
              <w:rPr>
                <w:rFonts w:eastAsia="Calibri" w:cs="Calibri"/>
                <w:szCs w:val="24"/>
              </w:rPr>
              <w:t xml:space="preserve">lan was </w:t>
            </w:r>
            <w:r w:rsidR="289950F4" w:rsidRPr="7DA2C236">
              <w:rPr>
                <w:rFonts w:eastAsia="Calibri" w:cs="Calibri"/>
                <w:szCs w:val="24"/>
              </w:rPr>
              <w:t>developed</w:t>
            </w:r>
            <w:r w:rsidR="7ACC16E1" w:rsidRPr="7DA2C236">
              <w:rPr>
                <w:rFonts w:eastAsia="Calibri" w:cs="Calibri"/>
                <w:szCs w:val="24"/>
              </w:rPr>
              <w:t xml:space="preserve">, </w:t>
            </w:r>
            <w:r>
              <w:t xml:space="preserve">and Bureau/Department-level teams have been mobilized to translate the findings into concrete actions at the grassroots level, with mechanisms set in place by </w:t>
            </w:r>
            <w:r w:rsidR="009951FD">
              <w:t xml:space="preserve">the Human Resource Management Department </w:t>
            </w:r>
            <w:r>
              <w:t>to monitor implementation and track progress.</w:t>
            </w:r>
          </w:p>
          <w:p w14:paraId="41C76CC7" w14:textId="77777777" w:rsidR="002C256F" w:rsidRDefault="002C256F" w:rsidP="002C256F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C0458D">
              <w:rPr>
                <w:b/>
                <w:bCs/>
                <w:sz w:val="26"/>
                <w:szCs w:val="26"/>
              </w:rPr>
              <w:t>Action required by the Council</w:t>
            </w:r>
          </w:p>
          <w:p w14:paraId="1AA4F745" w14:textId="77777777" w:rsidR="002C256F" w:rsidRDefault="002C256F" w:rsidP="002C256F">
            <w:r w:rsidRPr="006E5DF4">
              <w:t xml:space="preserve">This document is transmitted to the Council </w:t>
            </w:r>
            <w:r w:rsidRPr="006E5DF4">
              <w:rPr>
                <w:b/>
                <w:bCs/>
              </w:rPr>
              <w:t>for information</w:t>
            </w:r>
            <w:r w:rsidRPr="006E5DF4">
              <w:t>.</w:t>
            </w:r>
          </w:p>
          <w:p w14:paraId="45AED7E6" w14:textId="77777777" w:rsidR="002C256F" w:rsidRPr="00DB5787" w:rsidRDefault="002C256F" w:rsidP="002C256F">
            <w:pPr>
              <w:rPr>
                <w:lang w:val="pt-PT"/>
              </w:rPr>
            </w:pPr>
            <w:r w:rsidRPr="00DB5787">
              <w:rPr>
                <w:lang w:val="pt-PT"/>
              </w:rPr>
              <w:t>_______________</w:t>
            </w:r>
          </w:p>
          <w:p w14:paraId="5F9D777B" w14:textId="77777777" w:rsidR="002C256F" w:rsidRPr="00DB5787" w:rsidRDefault="002C256F" w:rsidP="002C256F">
            <w:pPr>
              <w:spacing w:before="160"/>
              <w:rPr>
                <w:b/>
                <w:bCs/>
                <w:sz w:val="26"/>
                <w:szCs w:val="26"/>
                <w:lang w:val="pt-PT"/>
              </w:rPr>
            </w:pPr>
            <w:r w:rsidRPr="00DB5787">
              <w:rPr>
                <w:b/>
                <w:bCs/>
                <w:sz w:val="26"/>
                <w:szCs w:val="26"/>
                <w:lang w:val="pt-PT"/>
              </w:rPr>
              <w:t>References</w:t>
            </w:r>
          </w:p>
          <w:p w14:paraId="78A164CF" w14:textId="5CB2480C" w:rsidR="00AD3606" w:rsidRPr="00722551" w:rsidRDefault="002C256F" w:rsidP="002C256F">
            <w:pPr>
              <w:spacing w:after="160"/>
              <w:rPr>
                <w:i/>
                <w:iCs/>
                <w:sz w:val="22"/>
                <w:szCs w:val="22"/>
              </w:rPr>
            </w:pPr>
            <w:r w:rsidRPr="00DB5787">
              <w:rPr>
                <w:i/>
                <w:iCs/>
                <w:sz w:val="22"/>
                <w:szCs w:val="22"/>
                <w:lang w:val="pt-PT"/>
              </w:rPr>
              <w:t xml:space="preserve">Council </w:t>
            </w:r>
            <w:r>
              <w:rPr>
                <w:i/>
                <w:iCs/>
                <w:sz w:val="22"/>
                <w:szCs w:val="22"/>
                <w:lang w:val="pt-PT"/>
              </w:rPr>
              <w:t>D</w:t>
            </w:r>
            <w:r w:rsidRPr="00DB5787">
              <w:rPr>
                <w:i/>
                <w:iCs/>
                <w:sz w:val="22"/>
                <w:szCs w:val="22"/>
                <w:lang w:val="pt-PT"/>
              </w:rPr>
              <w:t xml:space="preserve">ocument </w:t>
            </w:r>
            <w:hyperlink r:id="rId11" w:history="1">
              <w:r w:rsidRPr="00DB5787">
                <w:rPr>
                  <w:rStyle w:val="Hyperlink"/>
                  <w:i/>
                  <w:iCs/>
                  <w:sz w:val="22"/>
                  <w:szCs w:val="22"/>
                  <w:lang w:val="pt-PT"/>
                </w:rPr>
                <w:t>C25/66</w:t>
              </w:r>
            </w:hyperlink>
          </w:p>
        </w:tc>
      </w:tr>
    </w:tbl>
    <w:p w14:paraId="7BFC1AD1" w14:textId="77777777" w:rsidR="00E227F3" w:rsidRPr="00C0458D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bookmarkStart w:id="10" w:name="_Hlk133421428"/>
      <w:bookmarkEnd w:id="2"/>
      <w:bookmarkEnd w:id="9"/>
    </w:p>
    <w:bookmarkEnd w:id="3"/>
    <w:bookmarkEnd w:id="4"/>
    <w:p w14:paraId="119DC58E" w14:textId="77777777" w:rsidR="0090147A" w:rsidRPr="00C0458D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</w:rPr>
      </w:pPr>
      <w:r w:rsidRPr="00C0458D">
        <w:br w:type="page"/>
      </w:r>
    </w:p>
    <w:bookmarkEnd w:id="5"/>
    <w:bookmarkEnd w:id="10"/>
    <w:p w14:paraId="1B362436" w14:textId="77777777" w:rsidR="002C256F" w:rsidRPr="003C1A40" w:rsidRDefault="002C256F" w:rsidP="002C256F">
      <w:pPr>
        <w:pStyle w:val="Headingb"/>
      </w:pPr>
      <w:r>
        <w:lastRenderedPageBreak/>
        <w:t xml:space="preserve">Employee Engagement Survey overview </w:t>
      </w:r>
    </w:p>
    <w:p w14:paraId="0717EB63" w14:textId="77777777" w:rsidR="002C256F" w:rsidRPr="001548DD" w:rsidRDefault="002C256F" w:rsidP="002C256F">
      <w:pPr>
        <w:jc w:val="both"/>
        <w:rPr>
          <w:lang w:eastAsia="zh-CN"/>
        </w:rPr>
      </w:pPr>
      <w:r>
        <w:rPr>
          <w:lang w:val="en-US"/>
        </w:rPr>
        <w:t xml:space="preserve">The Employee Engagement Survey was released in January 2025 </w:t>
      </w:r>
      <w:r w:rsidRPr="000F132A">
        <w:t>with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the</w:t>
      </w:r>
      <w:r>
        <w:rPr>
          <w:rFonts w:hint="eastAsia"/>
          <w:lang w:eastAsia="zh-CN"/>
        </w:rPr>
        <w:t xml:space="preserve"> aim to </w:t>
      </w:r>
      <w:r w:rsidRPr="001548DD">
        <w:t xml:space="preserve">support continuous organizational improvement by identifying areas where </w:t>
      </w:r>
      <w:r w:rsidRPr="001548DD">
        <w:rPr>
          <w:rFonts w:hint="eastAsia"/>
          <w:lang w:eastAsia="zh-CN"/>
        </w:rPr>
        <w:t>we are</w:t>
      </w:r>
      <w:r w:rsidRPr="001548DD">
        <w:t xml:space="preserve"> </w:t>
      </w:r>
      <w:r w:rsidRPr="001548DD">
        <w:rPr>
          <w:lang w:eastAsia="zh-CN"/>
        </w:rPr>
        <w:t>perceived</w:t>
      </w:r>
      <w:r w:rsidRPr="001548DD">
        <w:rPr>
          <w:rFonts w:hint="eastAsia"/>
          <w:lang w:eastAsia="zh-CN"/>
        </w:rPr>
        <w:t xml:space="preserve"> to be doing well </w:t>
      </w:r>
      <w:r w:rsidRPr="001548DD">
        <w:t xml:space="preserve">and </w:t>
      </w:r>
      <w:r w:rsidRPr="001548DD">
        <w:rPr>
          <w:rFonts w:hint="eastAsia"/>
          <w:lang w:eastAsia="zh-CN"/>
        </w:rPr>
        <w:t>highlight</w:t>
      </w:r>
      <w:r>
        <w:rPr>
          <w:rFonts w:hint="eastAsia"/>
          <w:lang w:eastAsia="zh-CN"/>
        </w:rPr>
        <w:t>ing</w:t>
      </w:r>
      <w:r w:rsidRPr="001548DD">
        <w:rPr>
          <w:rFonts w:hint="eastAsia"/>
          <w:lang w:eastAsia="zh-CN"/>
        </w:rPr>
        <w:t xml:space="preserve"> </w:t>
      </w:r>
      <w:r w:rsidRPr="001548DD">
        <w:t>areas</w:t>
      </w:r>
      <w:r w:rsidRPr="001548DD">
        <w:rPr>
          <w:rFonts w:hint="eastAsia"/>
          <w:lang w:eastAsia="zh-CN"/>
        </w:rPr>
        <w:t xml:space="preserve"> for further improvement</w:t>
      </w:r>
      <w:r w:rsidRPr="001548DD">
        <w:t>.</w:t>
      </w:r>
      <w:r>
        <w:rPr>
          <w:rFonts w:hint="eastAsia"/>
          <w:lang w:eastAsia="zh-CN"/>
        </w:rPr>
        <w:t xml:space="preserve"> T</w:t>
      </w:r>
      <w:r>
        <w:rPr>
          <w:lang w:val="en-US"/>
        </w:rPr>
        <w:t xml:space="preserve">he survey </w:t>
      </w:r>
      <w:r w:rsidRPr="004A01C6">
        <w:t xml:space="preserve">was conducted on an anonymous basis. Individual responses were not identifiable, ensuring the confidentiality and integrity of the </w:t>
      </w:r>
      <w:r>
        <w:t>process</w:t>
      </w:r>
      <w:r w:rsidRPr="004A01C6">
        <w:t xml:space="preserve"> and encouraging open and </w:t>
      </w:r>
      <w:r>
        <w:t>safe</w:t>
      </w:r>
      <w:r w:rsidRPr="004A01C6">
        <w:t xml:space="preserve"> participation by </w:t>
      </w:r>
      <w:r>
        <w:t>employees</w:t>
      </w:r>
      <w:r w:rsidRPr="004A01C6">
        <w:t>.</w:t>
      </w:r>
    </w:p>
    <w:p w14:paraId="3BADD82F" w14:textId="42AB1262" w:rsidR="002C256F" w:rsidRPr="00DB2688" w:rsidRDefault="002C256F" w:rsidP="002C256F">
      <w:pPr>
        <w:jc w:val="both"/>
      </w:pPr>
      <w:r>
        <w:t xml:space="preserve">A total of 581 employees participated in the survey, representing 72 per cent of all </w:t>
      </w:r>
      <w:r w:rsidR="285D998F">
        <w:t>invitees</w:t>
      </w:r>
      <w:r w:rsidRPr="2E9179E6">
        <w:rPr>
          <w:rStyle w:val="FootnoteReference"/>
        </w:rPr>
        <w:footnoteReference w:id="1"/>
      </w:r>
      <w:r w:rsidR="285D998F">
        <w:t xml:space="preserve"> </w:t>
      </w:r>
      <w:r>
        <w:t>. This high response rate provides a robust and representative dataset and establishes a benchmark against which future engagement surveys will be measured.</w:t>
      </w:r>
    </w:p>
    <w:p w14:paraId="174B44CA" w14:textId="77777777" w:rsidR="002C256F" w:rsidRDefault="002C256F" w:rsidP="002C256F">
      <w:pPr>
        <w:jc w:val="both"/>
        <w:rPr>
          <w:lang w:val="en-US"/>
        </w:rPr>
      </w:pPr>
      <w:r>
        <w:rPr>
          <w:lang w:val="en-US"/>
        </w:rPr>
        <w:t xml:space="preserve">Results were first presented to all staff </w:t>
      </w:r>
      <w:r w:rsidRPr="0037080F">
        <w:t xml:space="preserve">at </w:t>
      </w:r>
      <w:r>
        <w:t>a</w:t>
      </w:r>
      <w:r w:rsidRPr="0037080F">
        <w:t xml:space="preserve"> Special Edition Townhall held on 25 March 2025</w:t>
      </w:r>
      <w:r>
        <w:t xml:space="preserve">, </w:t>
      </w:r>
      <w:r w:rsidRPr="001548DD">
        <w:t>initiating an organizational-wide process of information-sharing, dialogue and action planning based on the findings.</w:t>
      </w:r>
    </w:p>
    <w:p w14:paraId="3D9AB853" w14:textId="77777777" w:rsidR="002C256F" w:rsidRDefault="002C256F" w:rsidP="002C256F">
      <w:pPr>
        <w:jc w:val="both"/>
        <w:rPr>
          <w:lang w:val="en-US"/>
        </w:rPr>
      </w:pPr>
      <w:r>
        <w:rPr>
          <w:lang w:val="en-US"/>
        </w:rPr>
        <w:t xml:space="preserve">Between April and June 2025, </w:t>
      </w:r>
      <w:r w:rsidRPr="001548DD">
        <w:t xml:space="preserve">results were shared </w:t>
      </w:r>
      <w:r w:rsidRPr="00BF48CB">
        <w:t>across all Bureaux and General Secretariat</w:t>
      </w:r>
      <w:r>
        <w:rPr>
          <w:rFonts w:hint="eastAsia"/>
          <w:lang w:eastAsia="zh-CN"/>
        </w:rPr>
        <w:t xml:space="preserve"> (GS)</w:t>
      </w:r>
      <w:r w:rsidRPr="00BF48CB">
        <w:t xml:space="preserve"> departments. Each Bureau and Department presented and discussed its respective results with staff, enabling localized reflection and dialogue on specific strengths and challenges.</w:t>
      </w:r>
      <w:r>
        <w:t xml:space="preserve"> </w:t>
      </w:r>
      <w:r>
        <w:rPr>
          <w:lang w:val="en-US"/>
        </w:rPr>
        <w:t xml:space="preserve">This </w:t>
      </w:r>
      <w:r w:rsidRPr="00BF48CB">
        <w:t>process initiated the action-planning phase of the Employee Engagement Survey.</w:t>
      </w:r>
      <w:r>
        <w:rPr>
          <w:rFonts w:hint="eastAsia"/>
          <w:lang w:eastAsia="zh-CN"/>
        </w:rPr>
        <w:t xml:space="preserve"> </w:t>
      </w:r>
      <w:r w:rsidRPr="00BF48CB">
        <w:t xml:space="preserve">Engagement Ambassadors facilitated structured workshops with volunteer committees in each Bureau and </w:t>
      </w:r>
      <w:r>
        <w:rPr>
          <w:rFonts w:hint="eastAsia"/>
          <w:lang w:eastAsia="zh-CN"/>
        </w:rPr>
        <w:t>GS</w:t>
      </w:r>
      <w:r w:rsidRPr="00BF48CB">
        <w:t xml:space="preserve"> department, supporting staff-led identification of priorities and practical solutions.</w:t>
      </w:r>
    </w:p>
    <w:p w14:paraId="739E11CE" w14:textId="3D57756A" w:rsidR="002C256F" w:rsidRPr="00255531" w:rsidRDefault="002C256F" w:rsidP="002C256F">
      <w:pPr>
        <w:jc w:val="both"/>
        <w:rPr>
          <w:spacing w:val="-2"/>
          <w:lang w:val="en-US"/>
        </w:rPr>
      </w:pPr>
      <w:r w:rsidRPr="00255531">
        <w:rPr>
          <w:spacing w:val="-2"/>
          <w:lang w:val="en-US"/>
        </w:rPr>
        <w:t xml:space="preserve">On </w:t>
      </w:r>
      <w:r w:rsidR="0110541E" w:rsidRPr="00255531">
        <w:rPr>
          <w:spacing w:val="-2"/>
          <w:lang w:val="en-US"/>
        </w:rPr>
        <w:t xml:space="preserve">an </w:t>
      </w:r>
      <w:r w:rsidRPr="7DA2C236">
        <w:rPr>
          <w:spacing w:val="-2"/>
          <w:lang w:val="en-US" w:eastAsia="zh-CN"/>
        </w:rPr>
        <w:t>ITU</w:t>
      </w:r>
      <w:r w:rsidRPr="00255531">
        <w:rPr>
          <w:spacing w:val="-2"/>
          <w:lang w:val="en-US"/>
        </w:rPr>
        <w:t>-wide level, the</w:t>
      </w:r>
      <w:r w:rsidRPr="7DA2C236">
        <w:rPr>
          <w:spacing w:val="-2"/>
          <w:lang w:val="en-US" w:eastAsia="zh-CN"/>
        </w:rPr>
        <w:t xml:space="preserve"> </w:t>
      </w:r>
      <w:r w:rsidRPr="00255531">
        <w:rPr>
          <w:spacing w:val="-2"/>
          <w:lang w:val="en-US"/>
        </w:rPr>
        <w:t xml:space="preserve">Employment Engagement Committee </w:t>
      </w:r>
      <w:r w:rsidR="60DAD064" w:rsidRPr="7DA2C236">
        <w:rPr>
          <w:lang w:val="en-US"/>
        </w:rPr>
        <w:t xml:space="preserve">(led by the Chief of HRMD and consisting of representatives from HRMD, the Staff Council, and the Office of the Secretary-General) </w:t>
      </w:r>
      <w:r w:rsidRPr="00255531">
        <w:rPr>
          <w:spacing w:val="-2"/>
        </w:rPr>
        <w:t xml:space="preserve">reviewed the results, consolidated Bureau- and Department-level inputs and other relevant documentation to develop the </w:t>
      </w:r>
      <w:r w:rsidRPr="7DA2C236">
        <w:rPr>
          <w:spacing w:val="-2"/>
          <w:lang w:eastAsia="zh-CN"/>
        </w:rPr>
        <w:t>Union</w:t>
      </w:r>
      <w:r w:rsidRPr="00255531">
        <w:rPr>
          <w:spacing w:val="-2"/>
        </w:rPr>
        <w:t xml:space="preserve">-wide 2026 Employee </w:t>
      </w:r>
      <w:proofErr w:type="gramStart"/>
      <w:r w:rsidRPr="00255531">
        <w:rPr>
          <w:spacing w:val="-2"/>
        </w:rPr>
        <w:t>Engagement Action</w:t>
      </w:r>
      <w:proofErr w:type="gramEnd"/>
      <w:r w:rsidRPr="00255531">
        <w:rPr>
          <w:spacing w:val="-2"/>
        </w:rPr>
        <w:t xml:space="preserve"> Plan. The agreed actions are currently under implementation, and an evaluation of each action will follow .</w:t>
      </w:r>
    </w:p>
    <w:p w14:paraId="121DFAE2" w14:textId="77777777" w:rsidR="002C256F" w:rsidRPr="003C1A40" w:rsidRDefault="002C256F" w:rsidP="002C256F">
      <w:pPr>
        <w:pStyle w:val="Headingb"/>
      </w:pPr>
      <w:r>
        <w:t>Results</w:t>
      </w:r>
    </w:p>
    <w:p w14:paraId="232E6B12" w14:textId="77777777" w:rsidR="002C256F" w:rsidRDefault="002C256F" w:rsidP="002C256F">
      <w:pPr>
        <w:jc w:val="both"/>
      </w:pPr>
      <w:r>
        <w:rPr>
          <w:lang w:val="en-US"/>
        </w:rPr>
        <w:t xml:space="preserve">Overall </w:t>
      </w:r>
      <w:r w:rsidRPr="00903F46">
        <w:t xml:space="preserve">results indicate a positive level of employee engagement in several key dimensions. Staff reported </w:t>
      </w:r>
      <w:r>
        <w:t>a good</w:t>
      </w:r>
      <w:r w:rsidRPr="00903F46">
        <w:t xml:space="preserve"> understanding of their roles and responsibilities, a high degree of pride in working for ITU, and generally positive feedback </w:t>
      </w:r>
      <w:r>
        <w:t>related to the guidance and support from</w:t>
      </w:r>
      <w:r w:rsidRPr="00903F46">
        <w:t xml:space="preserve"> direct supervisors.</w:t>
      </w:r>
    </w:p>
    <w:p w14:paraId="46CE6981" w14:textId="77777777" w:rsidR="002C256F" w:rsidRDefault="002C256F" w:rsidP="002C256F">
      <w:pPr>
        <w:jc w:val="both"/>
      </w:pPr>
      <w:r>
        <w:t xml:space="preserve">These </w:t>
      </w:r>
      <w:r w:rsidRPr="00346D50">
        <w:t xml:space="preserve">findings highlight important organizational strengths, particularly in the areas of role clarity, institutional </w:t>
      </w:r>
      <w:r>
        <w:t>pride and engagement</w:t>
      </w:r>
      <w:r w:rsidRPr="00346D50">
        <w:t xml:space="preserve"> and immediate supervisory relationships.</w:t>
      </w:r>
    </w:p>
    <w:p w14:paraId="77B25D24" w14:textId="5F4042D1" w:rsidR="002C256F" w:rsidRDefault="002C256F" w:rsidP="7DA2C236">
      <w:pPr>
        <w:jc w:val="both"/>
        <w:rPr>
          <w:lang w:eastAsia="zh-CN"/>
        </w:rPr>
      </w:pPr>
      <w:r>
        <w:t xml:space="preserve">The results of the survey also identified </w:t>
      </w:r>
      <w:proofErr w:type="gramStart"/>
      <w:r>
        <w:t>a number of</w:t>
      </w:r>
      <w:proofErr w:type="gramEnd"/>
      <w:r>
        <w:t xml:space="preserve"> areas requiring further attention and improvement as shown in the table below</w:t>
      </w:r>
      <w:r w:rsidR="2E7C936F">
        <w:t>.</w:t>
      </w:r>
      <w:r w:rsidR="5D0231C0">
        <w:t xml:space="preserve"> </w:t>
      </w:r>
      <w:r w:rsidR="5D0231C0" w:rsidRPr="7DA2C236">
        <w:rPr>
          <w:rFonts w:eastAsia="Calibri" w:cs="Calibri"/>
          <w:szCs w:val="24"/>
        </w:rPr>
        <w:t>These findings reflect the concerns and views expressed by staff, and ITU is responding to them in a constructive and positive manner</w:t>
      </w:r>
      <w:r w:rsidR="2E7C936F" w:rsidRPr="7DA2C236">
        <w:rPr>
          <w:rFonts w:eastAsia="Calibri" w:cs="Calibri"/>
          <w:szCs w:val="24"/>
        </w:rPr>
        <w:t>.</w:t>
      </w:r>
    </w:p>
    <w:p w14:paraId="10AC21C5" w14:textId="77777777" w:rsidR="002C256F" w:rsidRPr="003C1A40" w:rsidRDefault="002C256F" w:rsidP="002C256F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after="120"/>
        <w:jc w:val="both"/>
        <w:textAlignment w:val="auto"/>
        <w:rPr>
          <w:lang w:eastAsia="zh-CN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679"/>
        <w:gridCol w:w="4681"/>
      </w:tblGrid>
      <w:tr w:rsidR="002C256F" w:rsidRPr="001A243C" w14:paraId="0C421126" w14:textId="77777777" w:rsidTr="7F56F0BE">
        <w:tc>
          <w:tcPr>
            <w:tcW w:w="4679" w:type="dxa"/>
          </w:tcPr>
          <w:p w14:paraId="3698476D" w14:textId="77777777" w:rsidR="002C256F" w:rsidRPr="001A243C" w:rsidRDefault="002C256F" w:rsidP="002C256F">
            <w:pPr>
              <w:pStyle w:val="Tablehead"/>
            </w:pPr>
            <w:r>
              <w:t>Strengths</w:t>
            </w:r>
          </w:p>
        </w:tc>
        <w:tc>
          <w:tcPr>
            <w:tcW w:w="4681" w:type="dxa"/>
          </w:tcPr>
          <w:p w14:paraId="0AF8F7AB" w14:textId="77777777" w:rsidR="002C256F" w:rsidRPr="001A243C" w:rsidRDefault="002C256F" w:rsidP="002C256F">
            <w:pPr>
              <w:pStyle w:val="Tablehead"/>
            </w:pPr>
            <w:r>
              <w:t>Areas for improvement</w:t>
            </w:r>
          </w:p>
        </w:tc>
      </w:tr>
      <w:tr w:rsidR="002C256F" w:rsidRPr="001A243C" w14:paraId="564054CC" w14:textId="77777777" w:rsidTr="7F56F0BE">
        <w:tc>
          <w:tcPr>
            <w:tcW w:w="4679" w:type="dxa"/>
          </w:tcPr>
          <w:p w14:paraId="5D9890DB" w14:textId="3F502790" w:rsidR="002C256F" w:rsidRPr="001A243C" w:rsidRDefault="002C256F" w:rsidP="00061C3F">
            <w:pPr>
              <w:pStyle w:val="Tabletext"/>
              <w:ind w:left="284" w:hanging="284"/>
            </w:pPr>
            <w:r>
              <w:t>–</w:t>
            </w:r>
            <w:r>
              <w:tab/>
              <w:t>Alignment and involvement</w:t>
            </w:r>
            <w:r w:rsidR="42233EFF">
              <w:t xml:space="preserve"> (i.e. knowing how one</w:t>
            </w:r>
            <w:r w:rsidR="00D34E81">
              <w:t>’</w:t>
            </w:r>
            <w:r w:rsidR="42233EFF">
              <w:t>s work contributes to the goals of ITU, knowing how to be successful in one</w:t>
            </w:r>
            <w:r w:rsidR="00D34E81">
              <w:t>’</w:t>
            </w:r>
            <w:r w:rsidR="42233EFF">
              <w:t xml:space="preserve">s role, and being appropriately involved in decisions) </w:t>
            </w:r>
          </w:p>
          <w:p w14:paraId="40FA0849" w14:textId="010A9EC6" w:rsidR="002C256F" w:rsidRPr="001A243C" w:rsidRDefault="002C256F" w:rsidP="00061C3F">
            <w:pPr>
              <w:pStyle w:val="Tabletext"/>
              <w:ind w:left="284" w:hanging="284"/>
            </w:pPr>
            <w:r>
              <w:t>–</w:t>
            </w:r>
            <w:r>
              <w:tab/>
              <w:t>Management</w:t>
            </w:r>
            <w:r w:rsidR="485CD3EF">
              <w:t xml:space="preserve"> (</w:t>
            </w:r>
            <w:r w:rsidR="1299E9A2">
              <w:t xml:space="preserve">i.e. </w:t>
            </w:r>
            <w:r w:rsidR="4DD72514">
              <w:t>working relationship with one</w:t>
            </w:r>
            <w:r w:rsidR="00D34E81">
              <w:t>’</w:t>
            </w:r>
            <w:r w:rsidR="4DD72514">
              <w:t>s</w:t>
            </w:r>
            <w:r w:rsidR="485CD3EF">
              <w:t xml:space="preserve"> direct manager)</w:t>
            </w:r>
          </w:p>
          <w:p w14:paraId="531CB37B" w14:textId="0F79D525" w:rsidR="002C256F" w:rsidRPr="001A243C" w:rsidRDefault="002C256F" w:rsidP="00061C3F">
            <w:pPr>
              <w:pStyle w:val="Tabletext"/>
              <w:ind w:left="284" w:hanging="284"/>
            </w:pPr>
            <w:r>
              <w:t>–</w:t>
            </w:r>
            <w:r>
              <w:tab/>
              <w:t>Teamwork &amp; ownership</w:t>
            </w:r>
            <w:r w:rsidR="3085C316">
              <w:t xml:space="preserve"> (</w:t>
            </w:r>
            <w:r w:rsidR="55BE9F95">
              <w:t xml:space="preserve">i.e. </w:t>
            </w:r>
            <w:r w:rsidR="3085C316">
              <w:t>feeling part of a team, accountability, and fair workload division)</w:t>
            </w:r>
          </w:p>
          <w:p w14:paraId="0F1E6328" w14:textId="4FF29D4C" w:rsidR="002C256F" w:rsidRPr="001A243C" w:rsidRDefault="002C256F" w:rsidP="00061C3F">
            <w:pPr>
              <w:pStyle w:val="Tabletext"/>
              <w:ind w:left="284" w:hanging="284"/>
            </w:pPr>
            <w:r>
              <w:t>–</w:t>
            </w:r>
            <w:r>
              <w:tab/>
              <w:t>Enablement</w:t>
            </w:r>
            <w:r w:rsidR="0B7AD7F7">
              <w:t xml:space="preserve"> (</w:t>
            </w:r>
            <w:r w:rsidR="4A1E4147">
              <w:t xml:space="preserve">i.e. </w:t>
            </w:r>
            <w:r w:rsidR="0B7AD7F7">
              <w:t>having the right information, autonomy, physical space, and learning/development to do one</w:t>
            </w:r>
            <w:r w:rsidR="00D34E81">
              <w:t>’</w:t>
            </w:r>
            <w:r w:rsidR="0B7AD7F7">
              <w:t>s job effectively)</w:t>
            </w:r>
          </w:p>
        </w:tc>
        <w:tc>
          <w:tcPr>
            <w:tcW w:w="4681" w:type="dxa"/>
          </w:tcPr>
          <w:p w14:paraId="1BCEB778" w14:textId="29893C13" w:rsidR="002C256F" w:rsidRPr="001A243C" w:rsidRDefault="002C256F" w:rsidP="00061C3F">
            <w:pPr>
              <w:pStyle w:val="Tabletext"/>
              <w:ind w:left="284" w:hanging="284"/>
            </w:pPr>
            <w:r>
              <w:t>–</w:t>
            </w:r>
            <w:r>
              <w:tab/>
              <w:t>Feedback &amp; recognition</w:t>
            </w:r>
            <w:r w:rsidR="08651E1D">
              <w:t xml:space="preserve"> (</w:t>
            </w:r>
            <w:r w:rsidR="5D18E073">
              <w:t xml:space="preserve"> i.e. </w:t>
            </w:r>
            <w:r w:rsidR="2BC1C3DC">
              <w:t>underperformance management, rewar</w:t>
            </w:r>
            <w:r w:rsidR="3C2596B5">
              <w:t>d and recognition)</w:t>
            </w:r>
          </w:p>
          <w:p w14:paraId="64614A70" w14:textId="7155EA3E" w:rsidR="002C256F" w:rsidRPr="001A243C" w:rsidRDefault="002C256F" w:rsidP="00061C3F">
            <w:pPr>
              <w:pStyle w:val="Tabletext"/>
              <w:ind w:left="284" w:hanging="284"/>
            </w:pPr>
            <w:r>
              <w:t>–</w:t>
            </w:r>
            <w:r>
              <w:tab/>
              <w:t>Speak-up culture and psychological safety</w:t>
            </w:r>
            <w:r w:rsidR="4C2104F3">
              <w:t xml:space="preserve"> (i.e.</w:t>
            </w:r>
            <w:r w:rsidR="070154B2">
              <w:t xml:space="preserve"> </w:t>
            </w:r>
            <w:r w:rsidR="4C2104F3">
              <w:t>open and honest two-way communication, ability to voice contrary opinions)</w:t>
            </w:r>
          </w:p>
          <w:p w14:paraId="03718E59" w14:textId="77777777" w:rsidR="002C256F" w:rsidRPr="001A243C" w:rsidRDefault="002C256F" w:rsidP="00061C3F">
            <w:pPr>
              <w:pStyle w:val="Tabletext"/>
              <w:ind w:left="284" w:hanging="284"/>
            </w:pPr>
            <w:r w:rsidRPr="001A243C">
              <w:t>–</w:t>
            </w:r>
            <w:r w:rsidRPr="001A243C">
              <w:tab/>
              <w:t>Workload prioritization</w:t>
            </w:r>
          </w:p>
          <w:p w14:paraId="366E8FC6" w14:textId="080844B6" w:rsidR="002C256F" w:rsidRPr="001A243C" w:rsidRDefault="002C256F" w:rsidP="00061C3F">
            <w:pPr>
              <w:pStyle w:val="Tabletext"/>
              <w:ind w:left="284" w:hanging="284"/>
            </w:pPr>
            <w:r>
              <w:t>–</w:t>
            </w:r>
            <w:r>
              <w:tab/>
              <w:t>Communication and information-sharing</w:t>
            </w:r>
            <w:r w:rsidR="7DB34E5D">
              <w:t xml:space="preserve"> (i.e. good flow of communications between leadership, departments, and teams)</w:t>
            </w:r>
          </w:p>
          <w:p w14:paraId="4A8E758C" w14:textId="4040BB15" w:rsidR="002C256F" w:rsidRPr="001A243C" w:rsidRDefault="002C256F" w:rsidP="00061C3F">
            <w:pPr>
              <w:pStyle w:val="Tabletext"/>
              <w:ind w:left="284" w:hanging="284"/>
            </w:pPr>
            <w:r>
              <w:t>–</w:t>
            </w:r>
            <w:r>
              <w:tab/>
              <w:t>Innovation in how we work</w:t>
            </w:r>
            <w:r w:rsidR="2F17CBB5">
              <w:t xml:space="preserve"> (i.e. being given resources and tools to innovate, and acting on innovative ideas)</w:t>
            </w:r>
          </w:p>
        </w:tc>
      </w:tr>
    </w:tbl>
    <w:p w14:paraId="7D02073F" w14:textId="77777777" w:rsidR="002C256F" w:rsidRPr="007A3FCD" w:rsidRDefault="002C256F" w:rsidP="002C256F">
      <w:pPr>
        <w:pStyle w:val="Tablefin"/>
      </w:pPr>
    </w:p>
    <w:p w14:paraId="51DD06BA" w14:textId="77777777" w:rsidR="002C256F" w:rsidRPr="003C1A40" w:rsidRDefault="002C256F" w:rsidP="002C256F">
      <w:pPr>
        <w:pStyle w:val="Headingb"/>
      </w:pPr>
      <w:r>
        <w:t>Implementation phase and next steps</w:t>
      </w:r>
    </w:p>
    <w:p w14:paraId="2757FDBD" w14:textId="77777777" w:rsidR="002C256F" w:rsidRDefault="002C256F" w:rsidP="002C256F">
      <w:pPr>
        <w:jc w:val="both"/>
      </w:pPr>
      <w:r w:rsidRPr="003C1A40">
        <w:t xml:space="preserve">The </w:t>
      </w:r>
      <w:r>
        <w:t>Employee Engagement Survey</w:t>
      </w:r>
      <w:r w:rsidRPr="00136E15">
        <w:t xml:space="preserve"> provided a foundation for strengthening ITU as a people-centred organization and for embedding a culture of continuous improvement</w:t>
      </w:r>
      <w:r>
        <w:t xml:space="preserve"> and fit-for future</w:t>
      </w:r>
      <w:r w:rsidRPr="00136E15">
        <w:t>. It represents an important step towards more systematic listening to staff and evidence-based organizational development.</w:t>
      </w:r>
      <w:r>
        <w:t xml:space="preserve"> </w:t>
      </w:r>
    </w:p>
    <w:p w14:paraId="75AE1246" w14:textId="77777777" w:rsidR="002C256F" w:rsidRDefault="002C256F" w:rsidP="002C256F">
      <w:pPr>
        <w:jc w:val="both"/>
      </w:pPr>
      <w:r>
        <w:t xml:space="preserve">The concrete actions developed following the survey are being implemented at two levels: </w:t>
      </w:r>
    </w:p>
    <w:p w14:paraId="320006BC" w14:textId="77777777" w:rsidR="002C256F" w:rsidRPr="00815F1B" w:rsidRDefault="002C256F" w:rsidP="001F4E41">
      <w:pPr>
        <w:pStyle w:val="enumlev1"/>
        <w:jc w:val="both"/>
        <w:rPr>
          <w:b/>
          <w:bCs/>
        </w:rPr>
      </w:pPr>
      <w:r>
        <w:t>–</w:t>
      </w:r>
      <w:r>
        <w:tab/>
      </w:r>
      <w:r w:rsidRPr="1DBDB419">
        <w:rPr>
          <w:b/>
          <w:bCs/>
        </w:rPr>
        <w:t>Bureau and Department level</w:t>
      </w:r>
      <w:r>
        <w:t>,</w:t>
      </w:r>
      <w:r w:rsidRPr="1DBDB419">
        <w:rPr>
          <w:b/>
          <w:bCs/>
        </w:rPr>
        <w:t xml:space="preserve"> </w:t>
      </w:r>
      <w:r>
        <w:t>through grassroots action plans co-created with staff under the coordination of the designated Engagement Ambassadors.</w:t>
      </w:r>
    </w:p>
    <w:p w14:paraId="460F2526" w14:textId="59BE97E5" w:rsidR="002C256F" w:rsidRPr="00815F1B" w:rsidRDefault="002C256F" w:rsidP="7DA2C236">
      <w:pPr>
        <w:pStyle w:val="enumlev1"/>
        <w:jc w:val="both"/>
        <w:rPr>
          <w:b/>
          <w:bCs/>
        </w:rPr>
      </w:pPr>
      <w:r>
        <w:t>–</w:t>
      </w:r>
      <w:r>
        <w:tab/>
      </w:r>
      <w:r w:rsidRPr="7F56F0BE">
        <w:rPr>
          <w:rFonts w:eastAsiaTheme="minorEastAsia"/>
          <w:b/>
          <w:bCs/>
          <w:lang w:eastAsia="zh-CN"/>
        </w:rPr>
        <w:t>Union</w:t>
      </w:r>
      <w:r w:rsidRPr="7F56F0BE">
        <w:rPr>
          <w:b/>
          <w:bCs/>
        </w:rPr>
        <w:t>-wide level</w:t>
      </w:r>
      <w:r>
        <w:t>,</w:t>
      </w:r>
      <w:r w:rsidRPr="7F56F0BE">
        <w:rPr>
          <w:b/>
          <w:bCs/>
        </w:rPr>
        <w:t xml:space="preserve"> </w:t>
      </w:r>
      <w:r w:rsidR="0DE58D30">
        <w:t xml:space="preserve">in collaboration with the Staff </w:t>
      </w:r>
      <w:r w:rsidR="6440C4F5">
        <w:t>Council, through</w:t>
      </w:r>
      <w:r>
        <w:t xml:space="preserve"> four priority actions endorsed </w:t>
      </w:r>
      <w:r w:rsidR="25E26A81">
        <w:t xml:space="preserve">by </w:t>
      </w:r>
      <w:proofErr w:type="spellStart"/>
      <w:r w:rsidR="25E26A81">
        <w:t>CoCo</w:t>
      </w:r>
      <w:proofErr w:type="spellEnd"/>
      <w:r>
        <w:t>:</w:t>
      </w:r>
    </w:p>
    <w:p w14:paraId="4E110E40" w14:textId="66581FA9" w:rsidR="002C256F" w:rsidRDefault="002C256F" w:rsidP="001F4E41">
      <w:pPr>
        <w:pStyle w:val="enumlev2"/>
        <w:spacing w:line="259" w:lineRule="auto"/>
        <w:jc w:val="both"/>
      </w:pPr>
      <w:r>
        <w:t>1</w:t>
      </w:r>
      <w:r>
        <w:tab/>
      </w:r>
      <w:r w:rsidRPr="001F4E41">
        <w:rPr>
          <w:b/>
          <w:bCs/>
        </w:rPr>
        <w:t>Elected Officials Open-Door Sessions</w:t>
      </w:r>
      <w:r w:rsidR="66CD22A2">
        <w:t xml:space="preserve"> - to create direct</w:t>
      </w:r>
      <w:r w:rsidR="0591AA36">
        <w:t xml:space="preserve">, </w:t>
      </w:r>
      <w:r w:rsidR="66CD22A2">
        <w:t>informal opportunities for dialogue</w:t>
      </w:r>
      <w:r w:rsidR="155F0F9D">
        <w:t>, build</w:t>
      </w:r>
      <w:r w:rsidR="29AC6907">
        <w:t>ing</w:t>
      </w:r>
      <w:r w:rsidR="155F0F9D">
        <w:t xml:space="preserve"> trust between staff and leadership, promot</w:t>
      </w:r>
      <w:r w:rsidR="4DCD6F0A">
        <w:t>ing</w:t>
      </w:r>
      <w:r w:rsidR="155F0F9D">
        <w:t xml:space="preserve"> inclusivity, and reinforc</w:t>
      </w:r>
      <w:r w:rsidR="55A3464D">
        <w:t>ing</w:t>
      </w:r>
      <w:r w:rsidR="155F0F9D">
        <w:t xml:space="preserve"> a more engaged and empowered organization</w:t>
      </w:r>
      <w:r w:rsidR="66CD22A2">
        <w:t>.</w:t>
      </w:r>
      <w:r w:rsidR="197726BE">
        <w:t xml:space="preserve"> This initiative is</w:t>
      </w:r>
      <w:r w:rsidR="3282ADC5">
        <w:t xml:space="preserve"> </w:t>
      </w:r>
      <w:r w:rsidR="197726BE">
        <w:t>linked to</w:t>
      </w:r>
      <w:r w:rsidR="34FF5A60">
        <w:t xml:space="preserve"> </w:t>
      </w:r>
      <w:r w:rsidR="00D34E81">
        <w:t>‘</w:t>
      </w:r>
      <w:r w:rsidR="543C9F5C">
        <w:t>c</w:t>
      </w:r>
      <w:r w:rsidR="34FF5A60">
        <w:t>ommunication and information-sharing</w:t>
      </w:r>
      <w:r w:rsidR="00D34E81">
        <w:t>’</w:t>
      </w:r>
      <w:r w:rsidR="2694B26D">
        <w:t xml:space="preserve"> and </w:t>
      </w:r>
      <w:r w:rsidR="00D34E81">
        <w:t>‘</w:t>
      </w:r>
      <w:r w:rsidR="4DEF21AE">
        <w:t>s</w:t>
      </w:r>
      <w:r w:rsidR="2694B26D">
        <w:t>peak-up culture and psychological safety</w:t>
      </w:r>
      <w:r w:rsidR="00D34E81">
        <w:t>’</w:t>
      </w:r>
      <w:r w:rsidR="197726BE">
        <w:t>.</w:t>
      </w:r>
    </w:p>
    <w:p w14:paraId="7F5C9938" w14:textId="469201C2" w:rsidR="002C256F" w:rsidRDefault="002C256F" w:rsidP="001F4E41">
      <w:pPr>
        <w:pStyle w:val="enumlev2"/>
        <w:spacing w:line="259" w:lineRule="auto"/>
        <w:jc w:val="both"/>
      </w:pPr>
      <w:r>
        <w:t>2</w:t>
      </w:r>
      <w:r>
        <w:tab/>
      </w:r>
      <w:r w:rsidRPr="001F4E41">
        <w:rPr>
          <w:b/>
          <w:bCs/>
        </w:rPr>
        <w:t>Brown</w:t>
      </w:r>
      <w:r w:rsidR="54192026" w:rsidRPr="001F4E41">
        <w:rPr>
          <w:b/>
          <w:bCs/>
        </w:rPr>
        <w:t xml:space="preserve"> </w:t>
      </w:r>
      <w:r w:rsidRPr="001F4E41">
        <w:rPr>
          <w:b/>
          <w:bCs/>
        </w:rPr>
        <w:t>bag Lunch Series</w:t>
      </w:r>
      <w:r w:rsidR="3D04223B">
        <w:t xml:space="preserve"> – to create an informal forum to exchange knowledge, practical insights and build cross-team</w:t>
      </w:r>
      <w:r w:rsidR="230A5B1D">
        <w:t xml:space="preserve"> understanding.</w:t>
      </w:r>
      <w:r w:rsidR="4F4AE9E8">
        <w:t xml:space="preserve"> This initiative is linked to </w:t>
      </w:r>
      <w:r w:rsidR="00D34E81">
        <w:t>‘</w:t>
      </w:r>
      <w:r w:rsidR="19ADC8A2">
        <w:t>c</w:t>
      </w:r>
      <w:r w:rsidR="369E07EB">
        <w:t>ommunication and information-sharing</w:t>
      </w:r>
      <w:r w:rsidR="00D34E81">
        <w:t>’</w:t>
      </w:r>
      <w:r w:rsidR="4F4AE9E8">
        <w:t>.</w:t>
      </w:r>
    </w:p>
    <w:p w14:paraId="1E6EEFBC" w14:textId="6B01224D" w:rsidR="002C256F" w:rsidRDefault="13803202" w:rsidP="001F4E41">
      <w:pPr>
        <w:pStyle w:val="enumlev2"/>
        <w:spacing w:line="259" w:lineRule="auto"/>
        <w:jc w:val="both"/>
      </w:pPr>
      <w:r>
        <w:t>3</w:t>
      </w:r>
      <w:r w:rsidR="47BA9D84">
        <w:tab/>
      </w:r>
      <w:r w:rsidRPr="001F4E41">
        <w:rPr>
          <w:b/>
          <w:bCs/>
        </w:rPr>
        <w:t xml:space="preserve">Innovation and Learning </w:t>
      </w:r>
      <w:r w:rsidR="73FF36AD" w:rsidRPr="001F4E41">
        <w:rPr>
          <w:b/>
          <w:bCs/>
        </w:rPr>
        <w:t>Programme</w:t>
      </w:r>
      <w:r w:rsidR="60CB5DAE">
        <w:t xml:space="preserve"> – to create </w:t>
      </w:r>
      <w:r w:rsidR="0E566F5E">
        <w:t>time and space</w:t>
      </w:r>
      <w:r w:rsidR="60005863">
        <w:t xml:space="preserve"> </w:t>
      </w:r>
      <w:r w:rsidR="5CA3DC04">
        <w:t xml:space="preserve">for staff </w:t>
      </w:r>
      <w:r w:rsidR="60CB5DAE">
        <w:t>to brainstorm, innovate, learn, think outside of the box and test ideas.</w:t>
      </w:r>
      <w:r w:rsidR="3FCD8F11">
        <w:t xml:space="preserve"> This initiative is  linked to</w:t>
      </w:r>
      <w:r w:rsidR="66B940CD">
        <w:t xml:space="preserve"> </w:t>
      </w:r>
      <w:r w:rsidR="59940C8B">
        <w:t>‘</w:t>
      </w:r>
      <w:r w:rsidR="66B940CD">
        <w:t>innovation in how we work</w:t>
      </w:r>
      <w:r w:rsidR="59940C8B">
        <w:t>’</w:t>
      </w:r>
      <w:r w:rsidR="0E92002D">
        <w:t xml:space="preserve">. </w:t>
      </w:r>
      <w:r w:rsidR="21D58A15">
        <w:t>T</w:t>
      </w:r>
      <w:r w:rsidR="3FCD8F11">
        <w:t>he ITU Innovation Hub</w:t>
      </w:r>
      <w:r w:rsidR="75AFA3C2">
        <w:t xml:space="preserve"> will serve as a</w:t>
      </w:r>
      <w:r w:rsidR="77E5F5BA">
        <w:t xml:space="preserve"> </w:t>
      </w:r>
      <w:r w:rsidR="3FCD8F11">
        <w:t>space in which staff are encouraged to innovate and learn</w:t>
      </w:r>
      <w:r w:rsidR="1F606208">
        <w:t>.</w:t>
      </w:r>
    </w:p>
    <w:p w14:paraId="20EFB27A" w14:textId="134D870D" w:rsidR="002C256F" w:rsidRDefault="002C256F" w:rsidP="001F4E41">
      <w:pPr>
        <w:pStyle w:val="enumlev2"/>
        <w:jc w:val="both"/>
      </w:pPr>
      <w:r>
        <w:t>4</w:t>
      </w:r>
      <w:r>
        <w:tab/>
      </w:r>
      <w:r w:rsidRPr="001F4E41">
        <w:rPr>
          <w:b/>
          <w:bCs/>
        </w:rPr>
        <w:t>Mentoring Programme</w:t>
      </w:r>
      <w:r w:rsidR="4A332DA3">
        <w:t xml:space="preserve"> – to foster both professional and personal development among staff through structured mentoring relationships</w:t>
      </w:r>
      <w:r>
        <w:t>.</w:t>
      </w:r>
      <w:r w:rsidR="150F67E8">
        <w:t xml:space="preserve"> </w:t>
      </w:r>
      <w:r w:rsidR="248630C4">
        <w:t xml:space="preserve">One facet of this mentorship programme is the Reverse Mentorship Programme, which teams younger staff mentors with more experienced mentees at ITU. </w:t>
      </w:r>
      <w:r w:rsidR="7E3C9AD4">
        <w:t>This initiative is</w:t>
      </w:r>
      <w:r w:rsidR="43040AB4">
        <w:t xml:space="preserve"> </w:t>
      </w:r>
      <w:r w:rsidR="7E3C9AD4">
        <w:t xml:space="preserve">linked to </w:t>
      </w:r>
      <w:r w:rsidR="00D34E81">
        <w:t>‘</w:t>
      </w:r>
      <w:r w:rsidR="7CADB6A9">
        <w:t>f</w:t>
      </w:r>
      <w:r w:rsidR="5C8E2519">
        <w:t>eedback &amp; recognition</w:t>
      </w:r>
      <w:r w:rsidR="00D34E81">
        <w:t>’</w:t>
      </w:r>
      <w:r w:rsidR="21B2EBBE">
        <w:t xml:space="preserve"> and</w:t>
      </w:r>
      <w:r w:rsidR="6B24BCD9">
        <w:t xml:space="preserve"> </w:t>
      </w:r>
      <w:r w:rsidR="00D34E81">
        <w:t>‘</w:t>
      </w:r>
      <w:r w:rsidR="37A4AB2E">
        <w:t>s</w:t>
      </w:r>
      <w:r w:rsidR="6B24BCD9">
        <w:t>peak-up culture and psychological safety</w:t>
      </w:r>
      <w:r w:rsidR="00D34E81">
        <w:t>’</w:t>
      </w:r>
      <w:r w:rsidR="6B24BCD9">
        <w:t>.</w:t>
      </w:r>
    </w:p>
    <w:p w14:paraId="269EA81F" w14:textId="5139054B" w:rsidR="002C256F" w:rsidRDefault="660AE03D" w:rsidP="002C256F">
      <w:pPr>
        <w:jc w:val="both"/>
      </w:pPr>
      <w:r>
        <w:lastRenderedPageBreak/>
        <w:t>Additionally, in 2025</w:t>
      </w:r>
      <w:r w:rsidR="60D3277B">
        <w:t>,</w:t>
      </w:r>
      <w:r>
        <w:t xml:space="preserve"> ITU </w:t>
      </w:r>
      <w:r w:rsidR="2E63D3E3" w:rsidRPr="7F56F0BE">
        <w:rPr>
          <w:color w:val="000000" w:themeColor="text1"/>
        </w:rPr>
        <w:t>initiated</w:t>
      </w:r>
      <w:r>
        <w:t xml:space="preserve"> an operational planning exercise</w:t>
      </w:r>
      <w:r w:rsidR="4620A9F2">
        <w:t xml:space="preserve"> </w:t>
      </w:r>
      <w:r>
        <w:t xml:space="preserve">designed to </w:t>
      </w:r>
      <w:r w:rsidR="2D11DA75">
        <w:t>assist</w:t>
      </w:r>
      <w:r>
        <w:t xml:space="preserve"> senior management with workload prioritization.</w:t>
      </w:r>
      <w:r w:rsidR="00061C3F">
        <w:t xml:space="preserve"> </w:t>
      </w:r>
      <w:r w:rsidR="002C256F">
        <w:t xml:space="preserve">Future editions of the Employee Engagement Survey will be refined based on lessons learned from the 2025 exercise, with a view to enhancing analytical depth, comparability over time and the effectiveness of resulting action plans. The continuation </w:t>
      </w:r>
      <w:r w:rsidR="002C256F" w:rsidRPr="00964BBA">
        <w:t xml:space="preserve">of the Employee Engagement Survey </w:t>
      </w:r>
      <w:r w:rsidR="002C256F">
        <w:t>process</w:t>
      </w:r>
      <w:r w:rsidR="002C256F" w:rsidRPr="00964BBA">
        <w:t xml:space="preserve"> will support ITU</w:t>
      </w:r>
      <w:r w:rsidR="00D34E81">
        <w:t>’</w:t>
      </w:r>
      <w:r w:rsidR="002C256F" w:rsidRPr="00964BBA">
        <w:t xml:space="preserve">s strategic objectives </w:t>
      </w:r>
      <w:r w:rsidR="002C256F">
        <w:t>by</w:t>
      </w:r>
      <w:r w:rsidR="002C256F" w:rsidRPr="00964BBA">
        <w:t xml:space="preserve"> fostering a more inclusive, collaborative and high-performing workplace culture, thereby contributing to the overall </w:t>
      </w:r>
      <w:r w:rsidR="002C256F">
        <w:t>organizational excellence</w:t>
      </w:r>
      <w:r w:rsidR="002C256F" w:rsidRPr="00964BBA">
        <w:t>.</w:t>
      </w:r>
    </w:p>
    <w:p w14:paraId="6DEC3A95" w14:textId="77777777" w:rsidR="002C256F" w:rsidRPr="009B0145" w:rsidRDefault="002C256F" w:rsidP="002C256F">
      <w:pPr>
        <w:jc w:val="both"/>
      </w:pPr>
    </w:p>
    <w:p w14:paraId="203B3655" w14:textId="467E4E94" w:rsidR="00A53323" w:rsidRPr="00C0458D" w:rsidRDefault="007A3FCD" w:rsidP="001B4DC1">
      <w:pPr>
        <w:jc w:val="center"/>
      </w:pPr>
      <w:r>
        <w:t>______________</w:t>
      </w:r>
    </w:p>
    <w:sectPr w:rsidR="00A53323" w:rsidRPr="00C0458D" w:rsidSect="00D302DB">
      <w:footerReference w:type="default" r:id="rId12"/>
      <w:headerReference w:type="first" r:id="rId13"/>
      <w:footerReference w:type="first" r:id="rId14"/>
      <w:pgSz w:w="11907" w:h="16834"/>
      <w:pgMar w:top="1418" w:right="1418" w:bottom="1418" w:left="1418" w:header="720" w:footer="720" w:gutter="0"/>
      <w:paperSrc w:first="286" w:other="286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5F3E9" w14:textId="77777777" w:rsidR="00EE1286" w:rsidRDefault="00EE1286">
      <w:r>
        <w:separator/>
      </w:r>
    </w:p>
  </w:endnote>
  <w:endnote w:type="continuationSeparator" w:id="0">
    <w:p w14:paraId="2E2C84B4" w14:textId="77777777" w:rsidR="00EE1286" w:rsidRDefault="00EE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1554201B" w14:textId="77777777">
      <w:trPr>
        <w:jc w:val="center"/>
      </w:trPr>
      <w:tc>
        <w:tcPr>
          <w:tcW w:w="1803" w:type="dxa"/>
          <w:vAlign w:val="center"/>
        </w:tcPr>
        <w:p w14:paraId="4EBEEAD9" w14:textId="2DA1A6E9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0D446E9C" w14:textId="21DF8A7E" w:rsidR="00EE49E8" w:rsidRPr="00E06FD5" w:rsidRDefault="00EE49E8" w:rsidP="001F5569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r w:rsidRPr="00623AE3">
            <w:rPr>
              <w:bCs/>
            </w:rPr>
            <w:t>/</w:t>
          </w:r>
          <w:r w:rsidR="009F7A61">
            <w:rPr>
              <w:bCs/>
            </w:rPr>
            <w:t>INF/2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57605F95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1AE7A6FF" w14:textId="77777777" w:rsidTr="006B77F1">
      <w:trPr>
        <w:jc w:val="center"/>
      </w:trPr>
      <w:tc>
        <w:tcPr>
          <w:tcW w:w="1803" w:type="dxa"/>
          <w:vAlign w:val="center"/>
        </w:tcPr>
        <w:p w14:paraId="3C7BD5C6" w14:textId="77777777" w:rsidR="00EE49E8" w:rsidRPr="006B77F1" w:rsidRDefault="00DE532B" w:rsidP="00EE49E8">
          <w:pPr>
            <w:pStyle w:val="Header"/>
            <w:jc w:val="left"/>
            <w:rPr>
              <w:noProof/>
            </w:rPr>
          </w:pPr>
          <w:hyperlink r:id="rId1" w:history="1">
            <w:r>
              <w:rPr>
                <w:rStyle w:val="Hyperlink"/>
                <w:u w:val="none"/>
              </w:rPr>
              <w:t>council.itu.int/2026</w:t>
            </w:r>
          </w:hyperlink>
        </w:p>
      </w:tc>
      <w:tc>
        <w:tcPr>
          <w:tcW w:w="8261" w:type="dxa"/>
        </w:tcPr>
        <w:p w14:paraId="75C4D336" w14:textId="3F740869" w:rsidR="00EE49E8" w:rsidRPr="00E06FD5" w:rsidRDefault="00EE49E8" w:rsidP="001F5569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r w:rsidRPr="00623AE3">
            <w:rPr>
              <w:bCs/>
            </w:rPr>
            <w:t>/</w:t>
          </w:r>
          <w:r w:rsidR="00CF5E38">
            <w:rPr>
              <w:bCs/>
            </w:rPr>
            <w:t>INF/</w:t>
          </w:r>
          <w:r w:rsidR="009F7A61">
            <w:rPr>
              <w:bCs/>
            </w:rPr>
            <w:t>2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3FE3929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FC072" w14:textId="77777777" w:rsidR="00EE1286" w:rsidRDefault="00EE1286">
      <w:r>
        <w:t>____________________</w:t>
      </w:r>
    </w:p>
  </w:footnote>
  <w:footnote w:type="continuationSeparator" w:id="0">
    <w:p w14:paraId="4C2489EA" w14:textId="77777777" w:rsidR="00EE1286" w:rsidRDefault="00EE1286">
      <w:r>
        <w:continuationSeparator/>
      </w:r>
    </w:p>
  </w:footnote>
  <w:footnote w:id="1">
    <w:p w14:paraId="6484FB5D" w14:textId="46DCA523" w:rsidR="2E9179E6" w:rsidRDefault="2E9179E6" w:rsidP="00F77235">
      <w:pPr>
        <w:pStyle w:val="FootnoteText"/>
      </w:pPr>
      <w:r w:rsidRPr="2E9179E6">
        <w:rPr>
          <w:rStyle w:val="FootnoteReference"/>
        </w:rPr>
        <w:footnoteRef/>
      </w:r>
      <w:r w:rsidR="00F77235">
        <w:tab/>
      </w:r>
      <w:r w:rsidRPr="2E9179E6">
        <w:t xml:space="preserve">The </w:t>
      </w:r>
      <w:r w:rsidRPr="00F77235">
        <w:t>survey</w:t>
      </w:r>
      <w:r w:rsidRPr="2E9179E6">
        <w:t xml:space="preserve"> was open to the following groups: </w:t>
      </w:r>
    </w:p>
    <w:p w14:paraId="6B102A7D" w14:textId="0C7D045D" w:rsidR="2E9179E6" w:rsidRDefault="00F77235" w:rsidP="00F77235">
      <w:pPr>
        <w:pStyle w:val="FootnoteText"/>
        <w:spacing w:before="80"/>
      </w:pPr>
      <w:r>
        <w:tab/>
        <w:t>–</w:t>
      </w:r>
      <w:r>
        <w:tab/>
      </w:r>
      <w:r w:rsidR="2E9179E6" w:rsidRPr="2E9179E6">
        <w:t xml:space="preserve">Permanent and fixed-term employees (full-time and part-time) </w:t>
      </w:r>
    </w:p>
    <w:p w14:paraId="0CE58DDD" w14:textId="488CADCE" w:rsidR="2E9179E6" w:rsidRDefault="00F77235" w:rsidP="00F77235">
      <w:pPr>
        <w:pStyle w:val="FootnoteText"/>
        <w:spacing w:before="80"/>
      </w:pPr>
      <w:r>
        <w:tab/>
        <w:t>–</w:t>
      </w:r>
      <w:r>
        <w:tab/>
      </w:r>
      <w:r w:rsidR="2E9179E6" w:rsidRPr="2E9179E6">
        <w:t>Short-term employees and consultants with contracts exceeding 3 months</w:t>
      </w:r>
    </w:p>
    <w:p w14:paraId="2D02462F" w14:textId="7BA9FD6D" w:rsidR="2E9179E6" w:rsidRDefault="00F77235" w:rsidP="00F77235">
      <w:pPr>
        <w:pStyle w:val="FootnoteText"/>
        <w:spacing w:before="80"/>
      </w:pPr>
      <w:r>
        <w:tab/>
        <w:t>–</w:t>
      </w:r>
      <w:r>
        <w:tab/>
      </w:r>
      <w:r w:rsidR="2E9179E6" w:rsidRPr="2E9179E6">
        <w:t>Interns with contracts longer than 6 months</w:t>
      </w:r>
    </w:p>
    <w:p w14:paraId="46EA7DAC" w14:textId="3CBDD6BA" w:rsidR="2E9179E6" w:rsidRDefault="00F77235" w:rsidP="00F77235">
      <w:pPr>
        <w:pStyle w:val="FootnoteText"/>
        <w:spacing w:before="80"/>
      </w:pPr>
      <w:r>
        <w:tab/>
        <w:t>–</w:t>
      </w:r>
      <w:r>
        <w:tab/>
      </w:r>
      <w:r w:rsidR="2E9179E6" w:rsidRPr="2E9179E6">
        <w:t>Employees based in headquarters, regional offices, or working remotely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8E9C1" w14:textId="77777777" w:rsidR="00AD3606" w:rsidRPr="00512087" w:rsidRDefault="00512087" w:rsidP="0049369C">
    <w:pPr>
      <w:pStyle w:val="Header"/>
    </w:pPr>
    <w:r>
      <w:rPr>
        <w:noProof/>
      </w:rPr>
      <w:drawing>
        <wp:inline distT="0" distB="0" distL="0" distR="0" wp14:anchorId="100E5F02" wp14:editId="125F908B">
          <wp:extent cx="5760085" cy="840740"/>
          <wp:effectExtent l="0" t="0" r="0" b="0"/>
          <wp:docPr id="13382676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791133" name="Picture 9987911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929709"/>
    <w:multiLevelType w:val="hybridMultilevel"/>
    <w:tmpl w:val="74CAF7BC"/>
    <w:lvl w:ilvl="0" w:tplc="A6C41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104F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9AE4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E2F8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67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ADC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3AA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E6D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807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917467">
    <w:abstractNumId w:val="1"/>
  </w:num>
  <w:num w:numId="2" w16cid:durableId="13748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6F"/>
    <w:rsid w:val="00000E1E"/>
    <w:rsid w:val="0001330F"/>
    <w:rsid w:val="000210D4"/>
    <w:rsid w:val="0005006A"/>
    <w:rsid w:val="000516F4"/>
    <w:rsid w:val="0006007D"/>
    <w:rsid w:val="00061C3F"/>
    <w:rsid w:val="00063016"/>
    <w:rsid w:val="00066795"/>
    <w:rsid w:val="00076AF6"/>
    <w:rsid w:val="00081038"/>
    <w:rsid w:val="00082DFB"/>
    <w:rsid w:val="00083F8B"/>
    <w:rsid w:val="00085CF2"/>
    <w:rsid w:val="000A3E32"/>
    <w:rsid w:val="000B1705"/>
    <w:rsid w:val="000C5409"/>
    <w:rsid w:val="000C7ECB"/>
    <w:rsid w:val="000D53B5"/>
    <w:rsid w:val="000D64B6"/>
    <w:rsid w:val="000D75B2"/>
    <w:rsid w:val="000E372C"/>
    <w:rsid w:val="000F4EB9"/>
    <w:rsid w:val="000F5DDB"/>
    <w:rsid w:val="00110E25"/>
    <w:rsid w:val="001121F5"/>
    <w:rsid w:val="001248C8"/>
    <w:rsid w:val="001400DC"/>
    <w:rsid w:val="00140CE1"/>
    <w:rsid w:val="0014592F"/>
    <w:rsid w:val="0015189A"/>
    <w:rsid w:val="00154B86"/>
    <w:rsid w:val="00167334"/>
    <w:rsid w:val="001678CC"/>
    <w:rsid w:val="0017083E"/>
    <w:rsid w:val="0017539C"/>
    <w:rsid w:val="00175AC2"/>
    <w:rsid w:val="0017609F"/>
    <w:rsid w:val="00176F47"/>
    <w:rsid w:val="00183A3E"/>
    <w:rsid w:val="001910FF"/>
    <w:rsid w:val="001A2D9C"/>
    <w:rsid w:val="001A3154"/>
    <w:rsid w:val="001A7D1D"/>
    <w:rsid w:val="001B4DC1"/>
    <w:rsid w:val="001B51DD"/>
    <w:rsid w:val="001C2EFA"/>
    <w:rsid w:val="001C2F5B"/>
    <w:rsid w:val="001C33C5"/>
    <w:rsid w:val="001C628E"/>
    <w:rsid w:val="001E0F7B"/>
    <w:rsid w:val="001F4E41"/>
    <w:rsid w:val="001F5569"/>
    <w:rsid w:val="0020487B"/>
    <w:rsid w:val="00210368"/>
    <w:rsid w:val="002119FD"/>
    <w:rsid w:val="002130E0"/>
    <w:rsid w:val="00221F46"/>
    <w:rsid w:val="00245D0D"/>
    <w:rsid w:val="00264425"/>
    <w:rsid w:val="00265875"/>
    <w:rsid w:val="002713A6"/>
    <w:rsid w:val="0027303B"/>
    <w:rsid w:val="00275389"/>
    <w:rsid w:val="00275DF7"/>
    <w:rsid w:val="00277DEA"/>
    <w:rsid w:val="0028109B"/>
    <w:rsid w:val="00290360"/>
    <w:rsid w:val="002916B4"/>
    <w:rsid w:val="00293227"/>
    <w:rsid w:val="0029783E"/>
    <w:rsid w:val="002A0615"/>
    <w:rsid w:val="002A133E"/>
    <w:rsid w:val="002A2188"/>
    <w:rsid w:val="002B097A"/>
    <w:rsid w:val="002B1F58"/>
    <w:rsid w:val="002C1C7A"/>
    <w:rsid w:val="002C256F"/>
    <w:rsid w:val="002C3F32"/>
    <w:rsid w:val="002C54E2"/>
    <w:rsid w:val="002C6C98"/>
    <w:rsid w:val="002D2BE1"/>
    <w:rsid w:val="0030160F"/>
    <w:rsid w:val="00302346"/>
    <w:rsid w:val="00305A38"/>
    <w:rsid w:val="0031408B"/>
    <w:rsid w:val="00320223"/>
    <w:rsid w:val="00322D0D"/>
    <w:rsid w:val="00342D54"/>
    <w:rsid w:val="00361465"/>
    <w:rsid w:val="00386EC6"/>
    <w:rsid w:val="003877F5"/>
    <w:rsid w:val="003936D3"/>
    <w:rsid w:val="003942D4"/>
    <w:rsid w:val="003958A8"/>
    <w:rsid w:val="003B29C2"/>
    <w:rsid w:val="003B4FAF"/>
    <w:rsid w:val="003C2533"/>
    <w:rsid w:val="003D5A7F"/>
    <w:rsid w:val="003E746A"/>
    <w:rsid w:val="003F0228"/>
    <w:rsid w:val="0040435A"/>
    <w:rsid w:val="00411806"/>
    <w:rsid w:val="00416A24"/>
    <w:rsid w:val="00431D9E"/>
    <w:rsid w:val="00433CE8"/>
    <w:rsid w:val="00434A5C"/>
    <w:rsid w:val="00453079"/>
    <w:rsid w:val="004544D9"/>
    <w:rsid w:val="00465C35"/>
    <w:rsid w:val="00472BAD"/>
    <w:rsid w:val="00484009"/>
    <w:rsid w:val="00490E72"/>
    <w:rsid w:val="00491157"/>
    <w:rsid w:val="00491BA9"/>
    <w:rsid w:val="004921C8"/>
    <w:rsid w:val="00492FDB"/>
    <w:rsid w:val="0049369C"/>
    <w:rsid w:val="00495615"/>
    <w:rsid w:val="00495B0B"/>
    <w:rsid w:val="004A1B8B"/>
    <w:rsid w:val="004C5B5B"/>
    <w:rsid w:val="004D1851"/>
    <w:rsid w:val="004D599D"/>
    <w:rsid w:val="004E2EA5"/>
    <w:rsid w:val="004E3AEB"/>
    <w:rsid w:val="0050223C"/>
    <w:rsid w:val="00512087"/>
    <w:rsid w:val="005243FF"/>
    <w:rsid w:val="00524AD0"/>
    <w:rsid w:val="00533E6E"/>
    <w:rsid w:val="0054197C"/>
    <w:rsid w:val="005634F1"/>
    <w:rsid w:val="00564FBC"/>
    <w:rsid w:val="00565170"/>
    <w:rsid w:val="005800BC"/>
    <w:rsid w:val="00582442"/>
    <w:rsid w:val="00586209"/>
    <w:rsid w:val="00596D4E"/>
    <w:rsid w:val="005C2491"/>
    <w:rsid w:val="005F3269"/>
    <w:rsid w:val="0061071E"/>
    <w:rsid w:val="00613981"/>
    <w:rsid w:val="00623AE3"/>
    <w:rsid w:val="0064737F"/>
    <w:rsid w:val="006535F1"/>
    <w:rsid w:val="0065557D"/>
    <w:rsid w:val="00660D50"/>
    <w:rsid w:val="0066236E"/>
    <w:rsid w:val="00662984"/>
    <w:rsid w:val="00664A40"/>
    <w:rsid w:val="006716BB"/>
    <w:rsid w:val="006826F3"/>
    <w:rsid w:val="00686D66"/>
    <w:rsid w:val="006A2F4B"/>
    <w:rsid w:val="006B1859"/>
    <w:rsid w:val="006B6680"/>
    <w:rsid w:val="006B6DCC"/>
    <w:rsid w:val="006B77F1"/>
    <w:rsid w:val="006C5A36"/>
    <w:rsid w:val="006D5B46"/>
    <w:rsid w:val="00702DEF"/>
    <w:rsid w:val="00706861"/>
    <w:rsid w:val="00722551"/>
    <w:rsid w:val="00725137"/>
    <w:rsid w:val="0075051B"/>
    <w:rsid w:val="00765C89"/>
    <w:rsid w:val="0077110E"/>
    <w:rsid w:val="00776446"/>
    <w:rsid w:val="00782139"/>
    <w:rsid w:val="00793188"/>
    <w:rsid w:val="00794D34"/>
    <w:rsid w:val="007A3FCD"/>
    <w:rsid w:val="007A40EB"/>
    <w:rsid w:val="007B19CF"/>
    <w:rsid w:val="007D01AF"/>
    <w:rsid w:val="00813E5E"/>
    <w:rsid w:val="00821261"/>
    <w:rsid w:val="0083581B"/>
    <w:rsid w:val="008365CE"/>
    <w:rsid w:val="008434F4"/>
    <w:rsid w:val="0084546D"/>
    <w:rsid w:val="00853F06"/>
    <w:rsid w:val="00854354"/>
    <w:rsid w:val="00863874"/>
    <w:rsid w:val="00864AFF"/>
    <w:rsid w:val="00865925"/>
    <w:rsid w:val="00870596"/>
    <w:rsid w:val="00876442"/>
    <w:rsid w:val="008B4A6A"/>
    <w:rsid w:val="008C7E27"/>
    <w:rsid w:val="008D1BAB"/>
    <w:rsid w:val="008F7448"/>
    <w:rsid w:val="008F7958"/>
    <w:rsid w:val="0090147A"/>
    <w:rsid w:val="009173EF"/>
    <w:rsid w:val="00932906"/>
    <w:rsid w:val="00940E11"/>
    <w:rsid w:val="00954C49"/>
    <w:rsid w:val="00961B0B"/>
    <w:rsid w:val="00962D33"/>
    <w:rsid w:val="009712DC"/>
    <w:rsid w:val="0098369E"/>
    <w:rsid w:val="009842A1"/>
    <w:rsid w:val="009951FD"/>
    <w:rsid w:val="009A2223"/>
    <w:rsid w:val="009A76A8"/>
    <w:rsid w:val="009B38C3"/>
    <w:rsid w:val="009E17BD"/>
    <w:rsid w:val="009E3E45"/>
    <w:rsid w:val="009E485A"/>
    <w:rsid w:val="009E5B2B"/>
    <w:rsid w:val="009F7A61"/>
    <w:rsid w:val="00A0124A"/>
    <w:rsid w:val="00A04CEC"/>
    <w:rsid w:val="00A054CA"/>
    <w:rsid w:val="00A109AF"/>
    <w:rsid w:val="00A16888"/>
    <w:rsid w:val="00A27F92"/>
    <w:rsid w:val="00A32257"/>
    <w:rsid w:val="00A32619"/>
    <w:rsid w:val="00A36D20"/>
    <w:rsid w:val="00A514A4"/>
    <w:rsid w:val="00A53323"/>
    <w:rsid w:val="00A55622"/>
    <w:rsid w:val="00A654E5"/>
    <w:rsid w:val="00A83502"/>
    <w:rsid w:val="00A93404"/>
    <w:rsid w:val="00A94BAB"/>
    <w:rsid w:val="00AD15B3"/>
    <w:rsid w:val="00AD3606"/>
    <w:rsid w:val="00AD4A3D"/>
    <w:rsid w:val="00AE309C"/>
    <w:rsid w:val="00AF6E49"/>
    <w:rsid w:val="00B04A67"/>
    <w:rsid w:val="00B0583C"/>
    <w:rsid w:val="00B17EBC"/>
    <w:rsid w:val="00B40A81"/>
    <w:rsid w:val="00B44910"/>
    <w:rsid w:val="00B4653C"/>
    <w:rsid w:val="00B72267"/>
    <w:rsid w:val="00B7604B"/>
    <w:rsid w:val="00B7656F"/>
    <w:rsid w:val="00B76EB6"/>
    <w:rsid w:val="00B7737B"/>
    <w:rsid w:val="00B824C8"/>
    <w:rsid w:val="00B84B9D"/>
    <w:rsid w:val="00B9131F"/>
    <w:rsid w:val="00BA1213"/>
    <w:rsid w:val="00BB0646"/>
    <w:rsid w:val="00BB796A"/>
    <w:rsid w:val="00BC251A"/>
    <w:rsid w:val="00BC4A20"/>
    <w:rsid w:val="00BC5202"/>
    <w:rsid w:val="00BD032B"/>
    <w:rsid w:val="00BD6471"/>
    <w:rsid w:val="00BE01C6"/>
    <w:rsid w:val="00BE1413"/>
    <w:rsid w:val="00BE2640"/>
    <w:rsid w:val="00BE5504"/>
    <w:rsid w:val="00BF1FDE"/>
    <w:rsid w:val="00C01189"/>
    <w:rsid w:val="00C0458D"/>
    <w:rsid w:val="00C374DE"/>
    <w:rsid w:val="00C4088C"/>
    <w:rsid w:val="00C47AD4"/>
    <w:rsid w:val="00C51EFA"/>
    <w:rsid w:val="00C52D81"/>
    <w:rsid w:val="00C55198"/>
    <w:rsid w:val="00C5605F"/>
    <w:rsid w:val="00C6520B"/>
    <w:rsid w:val="00C96711"/>
    <w:rsid w:val="00CA0693"/>
    <w:rsid w:val="00CA1C5E"/>
    <w:rsid w:val="00CA6393"/>
    <w:rsid w:val="00CA7995"/>
    <w:rsid w:val="00CB18FF"/>
    <w:rsid w:val="00CB4014"/>
    <w:rsid w:val="00CD0C08"/>
    <w:rsid w:val="00CE03FB"/>
    <w:rsid w:val="00CE433C"/>
    <w:rsid w:val="00CE7EA3"/>
    <w:rsid w:val="00CF0161"/>
    <w:rsid w:val="00CF33F3"/>
    <w:rsid w:val="00CF4A2B"/>
    <w:rsid w:val="00CF5E38"/>
    <w:rsid w:val="00D024CA"/>
    <w:rsid w:val="00D06183"/>
    <w:rsid w:val="00D06B20"/>
    <w:rsid w:val="00D22C42"/>
    <w:rsid w:val="00D302DB"/>
    <w:rsid w:val="00D34E81"/>
    <w:rsid w:val="00D37D4B"/>
    <w:rsid w:val="00D5660A"/>
    <w:rsid w:val="00D6273C"/>
    <w:rsid w:val="00D64C4C"/>
    <w:rsid w:val="00D65041"/>
    <w:rsid w:val="00D74E55"/>
    <w:rsid w:val="00DB1936"/>
    <w:rsid w:val="00DB384B"/>
    <w:rsid w:val="00DE2984"/>
    <w:rsid w:val="00DE532B"/>
    <w:rsid w:val="00DF0189"/>
    <w:rsid w:val="00E06FD5"/>
    <w:rsid w:val="00E10E80"/>
    <w:rsid w:val="00E124F0"/>
    <w:rsid w:val="00E17CD2"/>
    <w:rsid w:val="00E227F3"/>
    <w:rsid w:val="00E26B3F"/>
    <w:rsid w:val="00E333B3"/>
    <w:rsid w:val="00E359BC"/>
    <w:rsid w:val="00E45ED4"/>
    <w:rsid w:val="00E545C6"/>
    <w:rsid w:val="00E547F3"/>
    <w:rsid w:val="00E60F04"/>
    <w:rsid w:val="00E65B24"/>
    <w:rsid w:val="00E854E4"/>
    <w:rsid w:val="00E86DBF"/>
    <w:rsid w:val="00E91077"/>
    <w:rsid w:val="00E920DD"/>
    <w:rsid w:val="00E92717"/>
    <w:rsid w:val="00E931D6"/>
    <w:rsid w:val="00E969AF"/>
    <w:rsid w:val="00EA7BD2"/>
    <w:rsid w:val="00EB0D6F"/>
    <w:rsid w:val="00EB2232"/>
    <w:rsid w:val="00EB3ECC"/>
    <w:rsid w:val="00EC5337"/>
    <w:rsid w:val="00EE1286"/>
    <w:rsid w:val="00EE49E8"/>
    <w:rsid w:val="00EF239D"/>
    <w:rsid w:val="00F16BAB"/>
    <w:rsid w:val="00F2150A"/>
    <w:rsid w:val="00F2172A"/>
    <w:rsid w:val="00F231D8"/>
    <w:rsid w:val="00F445F0"/>
    <w:rsid w:val="00F44C00"/>
    <w:rsid w:val="00F45D2C"/>
    <w:rsid w:val="00F46C5F"/>
    <w:rsid w:val="00F6088F"/>
    <w:rsid w:val="00F632C0"/>
    <w:rsid w:val="00F641E1"/>
    <w:rsid w:val="00F77235"/>
    <w:rsid w:val="00F82C2C"/>
    <w:rsid w:val="00F86EF7"/>
    <w:rsid w:val="00F8745A"/>
    <w:rsid w:val="00F94A63"/>
    <w:rsid w:val="00FA1C28"/>
    <w:rsid w:val="00FA2E23"/>
    <w:rsid w:val="00FB1279"/>
    <w:rsid w:val="00FB6B76"/>
    <w:rsid w:val="00FB7596"/>
    <w:rsid w:val="00FE4077"/>
    <w:rsid w:val="00FE500D"/>
    <w:rsid w:val="00FE77D2"/>
    <w:rsid w:val="00FF39B1"/>
    <w:rsid w:val="0110541E"/>
    <w:rsid w:val="01313AD5"/>
    <w:rsid w:val="01CF44C8"/>
    <w:rsid w:val="02AB69E0"/>
    <w:rsid w:val="04CC33AE"/>
    <w:rsid w:val="04D88925"/>
    <w:rsid w:val="0591AA36"/>
    <w:rsid w:val="06A7AA0B"/>
    <w:rsid w:val="070154B2"/>
    <w:rsid w:val="076B4C24"/>
    <w:rsid w:val="077EE17E"/>
    <w:rsid w:val="08438434"/>
    <w:rsid w:val="0860B7CC"/>
    <w:rsid w:val="08651E1D"/>
    <w:rsid w:val="0881FDE6"/>
    <w:rsid w:val="09DBF28A"/>
    <w:rsid w:val="0B7AD7F7"/>
    <w:rsid w:val="0C706B6A"/>
    <w:rsid w:val="0C9E21D1"/>
    <w:rsid w:val="0CC3B2C9"/>
    <w:rsid w:val="0DCBAADA"/>
    <w:rsid w:val="0DE58D30"/>
    <w:rsid w:val="0E566F5E"/>
    <w:rsid w:val="0E92002D"/>
    <w:rsid w:val="1037CDD3"/>
    <w:rsid w:val="1088F8C2"/>
    <w:rsid w:val="108CA871"/>
    <w:rsid w:val="1299E9A2"/>
    <w:rsid w:val="1316F0EA"/>
    <w:rsid w:val="13452697"/>
    <w:rsid w:val="13803202"/>
    <w:rsid w:val="14FFC461"/>
    <w:rsid w:val="150F67E8"/>
    <w:rsid w:val="155F0F9D"/>
    <w:rsid w:val="16904CA6"/>
    <w:rsid w:val="17551F5B"/>
    <w:rsid w:val="1756E5FB"/>
    <w:rsid w:val="197726BE"/>
    <w:rsid w:val="19ADC8A2"/>
    <w:rsid w:val="1A26BD31"/>
    <w:rsid w:val="1B059906"/>
    <w:rsid w:val="1BBF735A"/>
    <w:rsid w:val="1C2EB1F1"/>
    <w:rsid w:val="1C4C691D"/>
    <w:rsid w:val="1C870AFD"/>
    <w:rsid w:val="1CA3DA83"/>
    <w:rsid w:val="1CBAD422"/>
    <w:rsid w:val="1CBBDD44"/>
    <w:rsid w:val="1CDCCC48"/>
    <w:rsid w:val="1CF20285"/>
    <w:rsid w:val="1DBDB419"/>
    <w:rsid w:val="1DDB1D57"/>
    <w:rsid w:val="1F0B3C58"/>
    <w:rsid w:val="1F5C401C"/>
    <w:rsid w:val="1F606208"/>
    <w:rsid w:val="1FE417AD"/>
    <w:rsid w:val="218B6C91"/>
    <w:rsid w:val="21B2EBBE"/>
    <w:rsid w:val="21BE10FD"/>
    <w:rsid w:val="21D58A15"/>
    <w:rsid w:val="22A40570"/>
    <w:rsid w:val="230A5B1D"/>
    <w:rsid w:val="23A0B530"/>
    <w:rsid w:val="24210CBE"/>
    <w:rsid w:val="24361381"/>
    <w:rsid w:val="2452794D"/>
    <w:rsid w:val="248630C4"/>
    <w:rsid w:val="24BE0A9D"/>
    <w:rsid w:val="25D6C6DC"/>
    <w:rsid w:val="25E26A81"/>
    <w:rsid w:val="25E94296"/>
    <w:rsid w:val="2615E2B7"/>
    <w:rsid w:val="2694B26D"/>
    <w:rsid w:val="27E86F8D"/>
    <w:rsid w:val="28088BF2"/>
    <w:rsid w:val="2826C01D"/>
    <w:rsid w:val="285D998F"/>
    <w:rsid w:val="28912A1C"/>
    <w:rsid w:val="289950F4"/>
    <w:rsid w:val="294D1117"/>
    <w:rsid w:val="2962F9FC"/>
    <w:rsid w:val="29AAF966"/>
    <w:rsid w:val="29AC6907"/>
    <w:rsid w:val="29C9D460"/>
    <w:rsid w:val="2AB84A12"/>
    <w:rsid w:val="2B2370D0"/>
    <w:rsid w:val="2BAB82EB"/>
    <w:rsid w:val="2BC1C3DC"/>
    <w:rsid w:val="2C5E16B6"/>
    <w:rsid w:val="2D11DA75"/>
    <w:rsid w:val="2E63D3E3"/>
    <w:rsid w:val="2E7C936F"/>
    <w:rsid w:val="2E9179E6"/>
    <w:rsid w:val="2ED155D3"/>
    <w:rsid w:val="2F17CBB5"/>
    <w:rsid w:val="3085C316"/>
    <w:rsid w:val="309B9EE0"/>
    <w:rsid w:val="30D784C7"/>
    <w:rsid w:val="30E12733"/>
    <w:rsid w:val="31603D42"/>
    <w:rsid w:val="3282ADC5"/>
    <w:rsid w:val="334BB67A"/>
    <w:rsid w:val="33554C61"/>
    <w:rsid w:val="344B31A0"/>
    <w:rsid w:val="34A13495"/>
    <w:rsid w:val="34FF5A60"/>
    <w:rsid w:val="361C0745"/>
    <w:rsid w:val="369E07EB"/>
    <w:rsid w:val="374CBD82"/>
    <w:rsid w:val="37A4AB2E"/>
    <w:rsid w:val="38979FC9"/>
    <w:rsid w:val="39B47D7F"/>
    <w:rsid w:val="3A374B3F"/>
    <w:rsid w:val="3A921363"/>
    <w:rsid w:val="3AD2BBDF"/>
    <w:rsid w:val="3C2596B5"/>
    <w:rsid w:val="3C441A7B"/>
    <w:rsid w:val="3D04223B"/>
    <w:rsid w:val="3F1040DF"/>
    <w:rsid w:val="3FCD8F11"/>
    <w:rsid w:val="41DCE573"/>
    <w:rsid w:val="42233EFF"/>
    <w:rsid w:val="4235FC34"/>
    <w:rsid w:val="42DD9DEE"/>
    <w:rsid w:val="43040AB4"/>
    <w:rsid w:val="431AA977"/>
    <w:rsid w:val="43222F6E"/>
    <w:rsid w:val="434E3F08"/>
    <w:rsid w:val="44FED155"/>
    <w:rsid w:val="451E9795"/>
    <w:rsid w:val="4620A9F2"/>
    <w:rsid w:val="464FF276"/>
    <w:rsid w:val="47703C7D"/>
    <w:rsid w:val="47BA9D84"/>
    <w:rsid w:val="485ABA70"/>
    <w:rsid w:val="485CD3EF"/>
    <w:rsid w:val="48B4ABA5"/>
    <w:rsid w:val="48BA72BE"/>
    <w:rsid w:val="4A1E4147"/>
    <w:rsid w:val="4A332DA3"/>
    <w:rsid w:val="4A900BD7"/>
    <w:rsid w:val="4AC678C6"/>
    <w:rsid w:val="4C2104F3"/>
    <w:rsid w:val="4DCD6F0A"/>
    <w:rsid w:val="4DD72514"/>
    <w:rsid w:val="4DEF21AE"/>
    <w:rsid w:val="4DFBA492"/>
    <w:rsid w:val="4F2E9A97"/>
    <w:rsid w:val="4F4AE9E8"/>
    <w:rsid w:val="4FE2DDFD"/>
    <w:rsid w:val="511A0CCC"/>
    <w:rsid w:val="512F2684"/>
    <w:rsid w:val="51321226"/>
    <w:rsid w:val="51790DC2"/>
    <w:rsid w:val="51C0CDFE"/>
    <w:rsid w:val="54192026"/>
    <w:rsid w:val="543C9F5C"/>
    <w:rsid w:val="5448110B"/>
    <w:rsid w:val="55A3464D"/>
    <w:rsid w:val="55BE9F95"/>
    <w:rsid w:val="5602EB67"/>
    <w:rsid w:val="565997F8"/>
    <w:rsid w:val="56F9CA72"/>
    <w:rsid w:val="57CCC8C6"/>
    <w:rsid w:val="59035B18"/>
    <w:rsid w:val="59710F25"/>
    <w:rsid w:val="59940C8B"/>
    <w:rsid w:val="5BF11323"/>
    <w:rsid w:val="5C0A2E22"/>
    <w:rsid w:val="5C166378"/>
    <w:rsid w:val="5C2D2985"/>
    <w:rsid w:val="5C8E2519"/>
    <w:rsid w:val="5C96957F"/>
    <w:rsid w:val="5CA3DC04"/>
    <w:rsid w:val="5D0231C0"/>
    <w:rsid w:val="5D18E073"/>
    <w:rsid w:val="5D38B603"/>
    <w:rsid w:val="5F8C3FB8"/>
    <w:rsid w:val="60005863"/>
    <w:rsid w:val="605E7E46"/>
    <w:rsid w:val="60CB5DAE"/>
    <w:rsid w:val="60D3277B"/>
    <w:rsid w:val="60DAD064"/>
    <w:rsid w:val="6137488D"/>
    <w:rsid w:val="61832D9B"/>
    <w:rsid w:val="6379C285"/>
    <w:rsid w:val="6440C4F5"/>
    <w:rsid w:val="6503EAF4"/>
    <w:rsid w:val="660AE03D"/>
    <w:rsid w:val="66B940CD"/>
    <w:rsid w:val="66CD22A2"/>
    <w:rsid w:val="67C5169D"/>
    <w:rsid w:val="67DE64CE"/>
    <w:rsid w:val="686228CE"/>
    <w:rsid w:val="686E87BB"/>
    <w:rsid w:val="69259D6E"/>
    <w:rsid w:val="6948C687"/>
    <w:rsid w:val="6A4EBE72"/>
    <w:rsid w:val="6ABEA74F"/>
    <w:rsid w:val="6B24BCD9"/>
    <w:rsid w:val="6CC0B082"/>
    <w:rsid w:val="6D634A91"/>
    <w:rsid w:val="6DD73D68"/>
    <w:rsid w:val="6EA34506"/>
    <w:rsid w:val="702701B6"/>
    <w:rsid w:val="704677B6"/>
    <w:rsid w:val="70EE061A"/>
    <w:rsid w:val="7145518F"/>
    <w:rsid w:val="71B8BAE1"/>
    <w:rsid w:val="71BB5C33"/>
    <w:rsid w:val="72A04996"/>
    <w:rsid w:val="732959EB"/>
    <w:rsid w:val="733007ED"/>
    <w:rsid w:val="73EBF454"/>
    <w:rsid w:val="73FF36AD"/>
    <w:rsid w:val="744BBED9"/>
    <w:rsid w:val="7485A95F"/>
    <w:rsid w:val="754785E0"/>
    <w:rsid w:val="75AFA3C2"/>
    <w:rsid w:val="76089893"/>
    <w:rsid w:val="7697E87B"/>
    <w:rsid w:val="775A9AE8"/>
    <w:rsid w:val="77E5F5BA"/>
    <w:rsid w:val="786BDFD9"/>
    <w:rsid w:val="7AC4C159"/>
    <w:rsid w:val="7ACC16E1"/>
    <w:rsid w:val="7C87D099"/>
    <w:rsid w:val="7CADB6A9"/>
    <w:rsid w:val="7DA2C236"/>
    <w:rsid w:val="7DB34E5D"/>
    <w:rsid w:val="7E3C9AD4"/>
    <w:rsid w:val="7F56F0BE"/>
    <w:rsid w:val="7F88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71953D"/>
  <w15:docId w15:val="{7ED70A30-CEF0-4919-A969-936933A5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9131F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9131F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9131F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9131F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B9131F"/>
    <w:pPr>
      <w:outlineLvl w:val="4"/>
    </w:pPr>
  </w:style>
  <w:style w:type="paragraph" w:styleId="Heading6">
    <w:name w:val="heading 6"/>
    <w:basedOn w:val="Heading4"/>
    <w:next w:val="Normal"/>
    <w:qFormat/>
    <w:rsid w:val="00B9131F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B9131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B9131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B9131F"/>
    <w:rPr>
      <w:rFonts w:asciiTheme="minorHAnsi" w:hAnsiTheme="minorHAnsi"/>
      <w:sz w:val="24"/>
    </w:rPr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D024CA"/>
    <w:pPr>
      <w:keepLines/>
      <w:tabs>
        <w:tab w:val="left" w:pos="284"/>
      </w:tabs>
      <w:ind w:left="284" w:hanging="284"/>
    </w:pPr>
    <w:rPr>
      <w:sz w:val="22"/>
    </w:r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qFormat/>
    <w:rsid w:val="001A3154"/>
    <w:pPr>
      <w:spacing w:before="80"/>
      <w:ind w:left="567" w:hanging="567"/>
    </w:pPr>
  </w:style>
  <w:style w:type="paragraph" w:customStyle="1" w:styleId="enumlev2">
    <w:name w:val="enumlev2"/>
    <w:basedOn w:val="enumlev1"/>
    <w:qFormat/>
    <w:rsid w:val="001A3154"/>
    <w:pPr>
      <w:ind w:left="1134"/>
    </w:pPr>
  </w:style>
  <w:style w:type="paragraph" w:customStyle="1" w:styleId="enumlev3">
    <w:name w:val="enumlev3"/>
    <w:basedOn w:val="enumlev2"/>
    <w:qFormat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2C54E2"/>
    <w:pPr>
      <w:framePr w:hSpace="180" w:wrap="around" w:vAnchor="page" w:hAnchor="margin" w:y="2101"/>
      <w:spacing w:before="840"/>
    </w:pPr>
    <w:rPr>
      <w:b/>
      <w:sz w:val="34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9131F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B9131F"/>
    <w:pPr>
      <w:spacing w:before="160"/>
      <w:ind w:left="0" w:firstLine="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qFormat/>
    <w:rsid w:val="00221F46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qFormat/>
    <w:rsid w:val="00221F46"/>
    <w:pPr>
      <w:keepNext/>
      <w:keepLines/>
      <w:spacing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qFormat/>
    <w:rsid w:val="00221F46"/>
    <w:pPr>
      <w:keepNext/>
      <w:keepLines/>
      <w:jc w:val="center"/>
    </w:pPr>
  </w:style>
  <w:style w:type="paragraph" w:customStyle="1" w:styleId="Call">
    <w:name w:val="Call"/>
    <w:basedOn w:val="Normal"/>
    <w:next w:val="Normal"/>
    <w:qFormat/>
    <w:rsid w:val="00F641E1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176F47"/>
    <w:pPr>
      <w:framePr w:wrap="around" w:vAnchor="margin" w:hAnchor="page" w:x="1821" w:y="2317"/>
      <w:spacing w:before="120" w:after="120"/>
    </w:pPr>
    <w:rPr>
      <w:sz w:val="32"/>
      <w:szCs w:val="32"/>
    </w:rPr>
  </w:style>
  <w:style w:type="paragraph" w:customStyle="1" w:styleId="Figure">
    <w:name w:val="Figure"/>
    <w:basedOn w:val="Normal"/>
    <w:next w:val="Figuretitle"/>
    <w:qFormat/>
    <w:rsid w:val="001A3154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qFormat/>
    <w:rsid w:val="001A3154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2C256F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84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qFormat/>
    <w:rsid w:val="00B9131F"/>
    <w:pPr>
      <w:spacing w:before="20" w:after="240"/>
    </w:pPr>
    <w:rPr>
      <w:sz w:val="20"/>
    </w:rPr>
  </w:style>
  <w:style w:type="paragraph" w:customStyle="1" w:styleId="FigureNo">
    <w:name w:val="Figure_No"/>
    <w:basedOn w:val="Normal"/>
    <w:next w:val="Figuretitle"/>
    <w:qFormat/>
    <w:rsid w:val="001A3154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1A3154"/>
  </w:style>
  <w:style w:type="paragraph" w:customStyle="1" w:styleId="Headingi">
    <w:name w:val="Heading_i"/>
    <w:basedOn w:val="Heading3"/>
    <w:next w:val="Normal"/>
    <w:rsid w:val="00B9131F"/>
    <w:pPr>
      <w:spacing w:before="160"/>
      <w:ind w:left="0" w:firstLine="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2C256F"/>
    <w:pPr>
      <w:spacing w:before="80" w:after="80"/>
      <w:jc w:val="center"/>
    </w:pPr>
    <w:rPr>
      <w:rFonts w:eastAsiaTheme="minorHAnsi" w:cstheme="minorBidi"/>
      <w:b/>
      <w:szCs w:val="22"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360"/>
      <w:jc w:val="center"/>
    </w:pPr>
    <w:rPr>
      <w:b/>
    </w:rPr>
  </w:style>
  <w:style w:type="paragraph" w:customStyle="1" w:styleId="ArtNo">
    <w:name w:val="Art_No"/>
    <w:basedOn w:val="Normal"/>
    <w:next w:val="Art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qFormat/>
    <w:rsid w:val="00813E5E"/>
  </w:style>
  <w:style w:type="paragraph" w:customStyle="1" w:styleId="Chaptitle">
    <w:name w:val="Chap_title"/>
    <w:basedOn w:val="Arttitle"/>
    <w:next w:val="Normal"/>
    <w:qFormat/>
    <w:rsid w:val="001A3154"/>
  </w:style>
  <w:style w:type="character" w:styleId="UnresolvedMention">
    <w:name w:val="Unresolved Mention"/>
    <w:basedOn w:val="DefaultParagraphFont"/>
    <w:uiPriority w:val="99"/>
    <w:semiHidden/>
    <w:unhideWhenUsed/>
    <w:rsid w:val="00BF1FD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A7995"/>
    <w:rPr>
      <w:color w:val="666666"/>
    </w:rPr>
  </w:style>
  <w:style w:type="paragraph" w:customStyle="1" w:styleId="Reasons">
    <w:name w:val="Reasons"/>
    <w:basedOn w:val="Normal"/>
    <w:qFormat/>
    <w:rsid w:val="007A3FC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customStyle="1" w:styleId="Tablefin">
    <w:name w:val="Table_fin"/>
    <w:basedOn w:val="Tabletext"/>
    <w:rsid w:val="002C256F"/>
    <w:pPr>
      <w:spacing w:before="0" w:after="0"/>
    </w:pPr>
    <w:rPr>
      <w:rFonts w:eastAsiaTheme="minorHAnsi" w:cstheme="minorBidi"/>
      <w:szCs w:val="22"/>
    </w:rPr>
  </w:style>
  <w:style w:type="paragraph" w:styleId="Revision">
    <w:name w:val="Revision"/>
    <w:hidden/>
    <w:uiPriority w:val="99"/>
    <w:semiHidden/>
    <w:rsid w:val="00EA7BD2"/>
    <w:rPr>
      <w:rFonts w:ascii="Calibri" w:hAnsi="Calibri"/>
      <w:sz w:val="24"/>
      <w:lang w:val="en-GB" w:eastAsia="en-US"/>
    </w:rPr>
  </w:style>
  <w:style w:type="paragraph" w:styleId="CommentText">
    <w:name w:val="annotation text"/>
    <w:basedOn w:val="Normal"/>
    <w:link w:val="CommentTextChar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hAnsi="Calibri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83F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83F8B"/>
    <w:rPr>
      <w:rFonts w:ascii="Calibri" w:hAnsi="Calibri"/>
      <w:b/>
      <w:bCs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565170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2E917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5-CL-C-0066/en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vino\AppData\Roaming\Microsoft\Templates\PE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E447ED7B9DA4C9F10BB2808D9DCA9" ma:contentTypeVersion="4" ma:contentTypeDescription="Create a new document." ma:contentTypeScope="" ma:versionID="50e10f4973fb8c33128ea71e835d6bdc">
  <xsd:schema xmlns:xsd="http://www.w3.org/2001/XMLSchema" xmlns:xs="http://www.w3.org/2001/XMLSchema" xmlns:p="http://schemas.microsoft.com/office/2006/metadata/properties" xmlns:ns2="a4c22657-7647-457b-a399-8471255bb166" targetNamespace="http://schemas.microsoft.com/office/2006/metadata/properties" ma:root="true" ma:fieldsID="4a7ff88f8157323695e407bed448c3fb" ns2:_="">
    <xsd:import namespace="a4c22657-7647-457b-a399-8471255bb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22657-7647-457b-a399-8471255bb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A0FDD1-B0D9-4E37-A5FB-8AA18EC6B256}">
  <ds:schemaRefs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a4c22657-7647-457b-a399-8471255bb16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40A53D-5DB2-40E0-BE94-7EAD0C4DD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22657-7647-457b-a399-8471255bb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6F7E45-3EC3-46F4-91ED-8F6CEF6B6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PE_Council26.dotx</Template>
  <TotalTime>19</TotalTime>
  <Pages>4</Pages>
  <Words>1008</Words>
  <Characters>6301</Characters>
  <Application>Microsoft Office Word</Application>
  <DocSecurity>0</DocSecurity>
  <Lines>136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Employee Engagement Survey 2025 – Report on results</vt:lpstr>
    </vt:vector>
  </TitlesOfParts>
  <Manager>General Secretariat</Manager>
  <Company>International Telecommunication Union (ITU)</Company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Employee Engagement Survey 2025 – Results and follow-up</dc:title>
  <dc:subject>ITU Council 2026</dc:subject>
  <cp:keywords>C26; C2026; Council 2026; PP26</cp:keywords>
  <dc:description/>
  <cp:lastPrinted>2000-07-19T16:30:00Z</cp:lastPrinted>
  <dcterms:created xsi:type="dcterms:W3CDTF">2026-04-10T14:26:00Z</dcterms:created>
  <dcterms:modified xsi:type="dcterms:W3CDTF">2026-04-10T15:07:00Z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caebc3b039d2086fae139bdca98a6c61c028c4ec16ce6ef236d196610d84ef77</vt:lpwstr>
  </property>
  <property fmtid="{D5CDD505-2E9C-101B-9397-08002B2CF9AE}" pid="9" name="ContentTypeId">
    <vt:lpwstr>0x010100814E447ED7B9DA4C9F10BB2808D9DCA9</vt:lpwstr>
  </property>
  <property fmtid="{D5CDD505-2E9C-101B-9397-08002B2CF9AE}" pid="10" name="docLang">
    <vt:lpwstr>en</vt:lpwstr>
  </property>
</Properties>
</file>