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DC482C" w14:paraId="6463EE60" w14:textId="77777777" w:rsidTr="00954C49">
        <w:trPr>
          <w:cantSplit/>
          <w:trHeight w:val="23"/>
        </w:trPr>
        <w:tc>
          <w:tcPr>
            <w:tcW w:w="3969" w:type="dxa"/>
            <w:vMerge w:val="restart"/>
            <w:tcMar>
              <w:left w:w="0" w:type="dxa"/>
            </w:tcMar>
          </w:tcPr>
          <w:p w14:paraId="1333BE71" w14:textId="34B40653" w:rsidR="00AD3606" w:rsidRPr="00CF1C18" w:rsidRDefault="00AD3606" w:rsidP="00954C49">
            <w:pPr>
              <w:tabs>
                <w:tab w:val="left" w:pos="851"/>
              </w:tabs>
              <w:spacing w:before="0" w:line="240" w:lineRule="atLeast"/>
              <w:rPr>
                <w:b/>
                <w:lang w:val="en-G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431DAC33" w14:textId="49F6FE60" w:rsidR="00AD3606" w:rsidRPr="00DC482C" w:rsidRDefault="00AD3606" w:rsidP="00954C49">
            <w:pPr>
              <w:tabs>
                <w:tab w:val="left" w:pos="851"/>
              </w:tabs>
              <w:spacing w:before="0" w:line="240" w:lineRule="atLeast"/>
              <w:jc w:val="right"/>
              <w:rPr>
                <w:b/>
                <w:lang w:val="en-GB"/>
              </w:rPr>
            </w:pPr>
            <w:r w:rsidRPr="00DC482C">
              <w:rPr>
                <w:b/>
                <w:lang w:val="en-GB"/>
              </w:rPr>
              <w:t>Document C2</w:t>
            </w:r>
            <w:r w:rsidR="00DE532B" w:rsidRPr="00DC482C">
              <w:rPr>
                <w:b/>
                <w:lang w:val="en-GB"/>
              </w:rPr>
              <w:t>6</w:t>
            </w:r>
            <w:r w:rsidRPr="00DC482C">
              <w:rPr>
                <w:b/>
                <w:lang w:val="en-GB"/>
              </w:rPr>
              <w:t>/</w:t>
            </w:r>
            <w:r w:rsidR="00E2400F" w:rsidRPr="00DC482C">
              <w:rPr>
                <w:b/>
                <w:lang w:val="en-GB"/>
              </w:rPr>
              <w:t>136</w:t>
            </w:r>
            <w:r w:rsidRPr="00DC482C">
              <w:rPr>
                <w:b/>
                <w:lang w:val="en-GB"/>
              </w:rPr>
              <w:t>-E</w:t>
            </w:r>
          </w:p>
        </w:tc>
      </w:tr>
      <w:tr w:rsidR="00AD3606" w:rsidRPr="00DC482C" w14:paraId="1B826EFF" w14:textId="77777777" w:rsidTr="00954C49">
        <w:trPr>
          <w:cantSplit/>
        </w:trPr>
        <w:tc>
          <w:tcPr>
            <w:tcW w:w="3969" w:type="dxa"/>
            <w:vMerge/>
          </w:tcPr>
          <w:p w14:paraId="68BCCE83" w14:textId="77777777" w:rsidR="00AD3606" w:rsidRPr="00DC482C" w:rsidRDefault="00AD3606" w:rsidP="00954C49">
            <w:pPr>
              <w:tabs>
                <w:tab w:val="left" w:pos="851"/>
              </w:tabs>
              <w:spacing w:line="240" w:lineRule="atLeast"/>
              <w:rPr>
                <w:b/>
                <w:lang w:val="en-GB"/>
              </w:rPr>
            </w:pPr>
            <w:bookmarkStart w:id="6" w:name="ddate" w:colFirst="1" w:colLast="1"/>
            <w:bookmarkEnd w:id="0"/>
            <w:bookmarkEnd w:id="1"/>
          </w:p>
        </w:tc>
        <w:tc>
          <w:tcPr>
            <w:tcW w:w="5245" w:type="dxa"/>
          </w:tcPr>
          <w:p w14:paraId="2E4B582C" w14:textId="23898E2E" w:rsidR="00AD3606" w:rsidRPr="00DC482C" w:rsidRDefault="00A657FA" w:rsidP="00954C49">
            <w:pPr>
              <w:tabs>
                <w:tab w:val="left" w:pos="851"/>
              </w:tabs>
              <w:spacing w:before="0"/>
              <w:jc w:val="right"/>
              <w:rPr>
                <w:b/>
                <w:lang w:val="en-GB"/>
              </w:rPr>
            </w:pPr>
            <w:r w:rsidRPr="00DC482C">
              <w:rPr>
                <w:b/>
                <w:lang w:val="en-GB"/>
              </w:rPr>
              <w:t xml:space="preserve">21 </w:t>
            </w:r>
            <w:r w:rsidR="006A3846" w:rsidRPr="00DC482C">
              <w:rPr>
                <w:b/>
                <w:lang w:val="en-GB"/>
              </w:rPr>
              <w:t xml:space="preserve">May </w:t>
            </w:r>
            <w:r w:rsidR="00625834" w:rsidRPr="00DC482C">
              <w:rPr>
                <w:b/>
                <w:lang w:val="en-GB"/>
              </w:rPr>
              <w:t>2026</w:t>
            </w:r>
          </w:p>
        </w:tc>
      </w:tr>
      <w:tr w:rsidR="00AD3606" w:rsidRPr="00DC482C" w14:paraId="42E0C2DD" w14:textId="77777777" w:rsidTr="00954C49">
        <w:trPr>
          <w:cantSplit/>
          <w:trHeight w:val="23"/>
        </w:trPr>
        <w:tc>
          <w:tcPr>
            <w:tcW w:w="3969" w:type="dxa"/>
            <w:vMerge/>
          </w:tcPr>
          <w:p w14:paraId="75E8EC66" w14:textId="77777777" w:rsidR="00AD3606" w:rsidRPr="00DC482C" w:rsidRDefault="00AD3606" w:rsidP="00954C49">
            <w:pPr>
              <w:tabs>
                <w:tab w:val="left" w:pos="851"/>
              </w:tabs>
              <w:spacing w:line="240" w:lineRule="atLeast"/>
              <w:rPr>
                <w:b/>
                <w:lang w:val="en-GB"/>
              </w:rPr>
            </w:pPr>
            <w:bookmarkStart w:id="7" w:name="dorlang" w:colFirst="1" w:colLast="1"/>
            <w:bookmarkEnd w:id="6"/>
          </w:p>
        </w:tc>
        <w:tc>
          <w:tcPr>
            <w:tcW w:w="5245" w:type="dxa"/>
          </w:tcPr>
          <w:p w14:paraId="03C1F500" w14:textId="3DEF78EF" w:rsidR="00AD3606" w:rsidRPr="00DC482C" w:rsidRDefault="00AD3606" w:rsidP="00954C49">
            <w:pPr>
              <w:tabs>
                <w:tab w:val="left" w:pos="851"/>
              </w:tabs>
              <w:spacing w:before="0" w:line="240" w:lineRule="atLeast"/>
              <w:jc w:val="right"/>
              <w:rPr>
                <w:b/>
                <w:lang w:val="en-GB"/>
              </w:rPr>
            </w:pPr>
            <w:r w:rsidRPr="00DC482C">
              <w:rPr>
                <w:b/>
                <w:lang w:val="en-GB"/>
              </w:rPr>
              <w:t xml:space="preserve">Original: </w:t>
            </w:r>
            <w:r w:rsidR="006A3846" w:rsidRPr="00DC482C">
              <w:rPr>
                <w:b/>
                <w:lang w:val="en-GB"/>
              </w:rPr>
              <w:t>English</w:t>
            </w:r>
          </w:p>
        </w:tc>
      </w:tr>
    </w:tbl>
    <w:bookmarkEnd w:id="2"/>
    <w:bookmarkEnd w:id="3"/>
    <w:bookmarkEnd w:id="4"/>
    <w:bookmarkEnd w:id="5"/>
    <w:bookmarkEnd w:id="7"/>
    <w:p w14:paraId="5BB755F0" w14:textId="575B2910" w:rsidR="005B3EF7" w:rsidRPr="00DC482C" w:rsidRDefault="005B3EF7" w:rsidP="005B3EF7">
      <w:pPr>
        <w:pStyle w:val="ResNo"/>
        <w:rPr>
          <w:lang w:val="en-GB"/>
        </w:rPr>
      </w:pPr>
      <w:r w:rsidRPr="00DC482C">
        <w:rPr>
          <w:lang w:val="en-GB"/>
        </w:rPr>
        <w:t xml:space="preserve">RESOLUTION 1386 (C17, </w:t>
      </w:r>
      <w:r w:rsidRPr="00DC482C">
        <w:rPr>
          <w:caps w:val="0"/>
          <w:lang w:val="en-GB"/>
        </w:rPr>
        <w:t xml:space="preserve">last amended </w:t>
      </w:r>
      <w:r w:rsidRPr="00DC482C">
        <w:rPr>
          <w:lang w:val="en-GB"/>
        </w:rPr>
        <w:t>C26)</w:t>
      </w:r>
    </w:p>
    <w:p w14:paraId="2368CCB4" w14:textId="43EB92D4" w:rsidR="005B3EF7" w:rsidRPr="00DC482C" w:rsidRDefault="005B3EF7" w:rsidP="005B3EF7">
      <w:pPr>
        <w:pStyle w:val="Resref"/>
        <w:rPr>
          <w:b/>
        </w:rPr>
      </w:pPr>
      <w:r w:rsidRPr="00DC482C">
        <w:t xml:space="preserve">(adopted at the </w:t>
      </w:r>
      <w:r w:rsidR="00E2400F" w:rsidRPr="00DC482C">
        <w:t xml:space="preserve">eighth </w:t>
      </w:r>
      <w:r w:rsidRPr="00DC482C">
        <w:t>Plenary meeting)</w:t>
      </w:r>
    </w:p>
    <w:p w14:paraId="0681DA2E" w14:textId="77777777" w:rsidR="005B3EF7" w:rsidRPr="00DC482C" w:rsidRDefault="005B3EF7" w:rsidP="005B3EF7">
      <w:pPr>
        <w:pStyle w:val="Restitle"/>
        <w:rPr>
          <w:lang w:val="en-GB"/>
        </w:rPr>
      </w:pPr>
      <w:bookmarkStart w:id="8" w:name="_Toc489512259"/>
      <w:bookmarkStart w:id="9" w:name="_Toc15484051"/>
      <w:bookmarkStart w:id="10" w:name="_Toc16001414"/>
      <w:bookmarkStart w:id="11" w:name="_Toc85721059"/>
      <w:r w:rsidRPr="00DC482C">
        <w:rPr>
          <w:lang w:val="en-GB"/>
        </w:rPr>
        <w:t>ITU Coordination Committee for Terminology (ITU CCT)</w:t>
      </w:r>
      <w:bookmarkEnd w:id="8"/>
      <w:bookmarkEnd w:id="9"/>
      <w:bookmarkEnd w:id="10"/>
      <w:bookmarkEnd w:id="11"/>
    </w:p>
    <w:p w14:paraId="3E9BC072" w14:textId="77777777" w:rsidR="005B3EF7" w:rsidRPr="00DC482C" w:rsidRDefault="005B3EF7" w:rsidP="005B3EF7">
      <w:pPr>
        <w:pStyle w:val="Normalaftertitle"/>
        <w:rPr>
          <w:lang w:val="en-GB"/>
        </w:rPr>
      </w:pPr>
      <w:r w:rsidRPr="00DC482C">
        <w:rPr>
          <w:lang w:val="en-GB"/>
        </w:rPr>
        <w:t>The ITU Council,</w:t>
      </w:r>
    </w:p>
    <w:p w14:paraId="7832B5EB" w14:textId="77777777" w:rsidR="005B3EF7" w:rsidRPr="00DC482C" w:rsidRDefault="005B3EF7" w:rsidP="005B3EF7">
      <w:pPr>
        <w:pStyle w:val="Call"/>
        <w:rPr>
          <w:lang w:val="en-GB"/>
        </w:rPr>
      </w:pPr>
      <w:r w:rsidRPr="00DC482C">
        <w:rPr>
          <w:lang w:val="en-GB"/>
        </w:rPr>
        <w:t>recalling</w:t>
      </w:r>
    </w:p>
    <w:p w14:paraId="4C79F6C6" w14:textId="77777777" w:rsidR="005B3EF7" w:rsidRPr="00DC482C" w:rsidRDefault="005B3EF7" w:rsidP="005B3EF7">
      <w:pPr>
        <w:jc w:val="both"/>
        <w:rPr>
          <w:lang w:val="en-GB"/>
        </w:rPr>
      </w:pPr>
      <w:r w:rsidRPr="00DC482C">
        <w:rPr>
          <w:i/>
          <w:iCs/>
          <w:lang w:val="en-GB"/>
        </w:rPr>
        <w:t>a)</w:t>
      </w:r>
      <w:r w:rsidRPr="00DC482C">
        <w:rPr>
          <w:i/>
          <w:iCs/>
          <w:lang w:val="en-GB"/>
        </w:rPr>
        <w:tab/>
      </w:r>
      <w:r w:rsidRPr="00DC482C">
        <w:rPr>
          <w:lang w:val="en-GB"/>
        </w:rPr>
        <w:t>Resolution 154 (Rev. Bucharest, 2022) of the Plenipotentiary Conference, on the use of the six official languages of the Union on an equal footing;</w:t>
      </w:r>
    </w:p>
    <w:p w14:paraId="7DFCF440" w14:textId="76CE73C5" w:rsidR="005B3EF7" w:rsidRPr="00DC482C" w:rsidRDefault="005B3EF7" w:rsidP="005B3EF7">
      <w:pPr>
        <w:jc w:val="both"/>
        <w:rPr>
          <w:lang w:val="en-GB"/>
        </w:rPr>
      </w:pPr>
      <w:r w:rsidRPr="00DC482C">
        <w:rPr>
          <w:i/>
          <w:iCs/>
          <w:lang w:val="en-GB"/>
        </w:rPr>
        <w:t>b)</w:t>
      </w:r>
      <w:r w:rsidRPr="00DC482C">
        <w:rPr>
          <w:i/>
          <w:iCs/>
          <w:lang w:val="en-GB"/>
        </w:rPr>
        <w:tab/>
      </w:r>
      <w:r w:rsidRPr="00DC482C">
        <w:rPr>
          <w:lang w:val="en-GB"/>
        </w:rPr>
        <w:t>Resolution 1372 of the Council, as revised at its 2024 session</w:t>
      </w:r>
      <w:r w:rsidR="00060C24" w:rsidRPr="00DC482C">
        <w:rPr>
          <w:lang w:val="en-GB"/>
        </w:rPr>
        <w:t>,</w:t>
      </w:r>
      <w:r w:rsidRPr="00DC482C">
        <w:rPr>
          <w:lang w:val="en-GB"/>
        </w:rPr>
        <w:t xml:space="preserve"> on Council Working Group on Languages (CWG-LANG);</w:t>
      </w:r>
    </w:p>
    <w:p w14:paraId="6C3331C9" w14:textId="77777777" w:rsidR="005B3EF7" w:rsidRPr="00DC482C" w:rsidRDefault="005B3EF7" w:rsidP="005B3EF7">
      <w:pPr>
        <w:jc w:val="both"/>
        <w:rPr>
          <w:lang w:val="en-GB"/>
        </w:rPr>
      </w:pPr>
      <w:r w:rsidRPr="00DC482C">
        <w:rPr>
          <w:i/>
          <w:iCs/>
          <w:lang w:val="en-GB"/>
        </w:rPr>
        <w:t>c)</w:t>
      </w:r>
      <w:r w:rsidRPr="00DC482C">
        <w:rPr>
          <w:i/>
          <w:iCs/>
          <w:lang w:val="en-GB"/>
        </w:rPr>
        <w:tab/>
      </w:r>
      <w:r w:rsidRPr="00DC482C">
        <w:rPr>
          <w:lang w:val="en-GB"/>
        </w:rPr>
        <w:t>the decisions of the Council centralizing the editing functions for languages in the General Secretariat (Conferences and Publications Department), calling upon the Sectors to provide the final texts in English only (this applies also to terms and definitions);</w:t>
      </w:r>
    </w:p>
    <w:p w14:paraId="0309D3A6" w14:textId="49DF3F8B" w:rsidR="005B3EF7" w:rsidRPr="00DC482C" w:rsidRDefault="005B3EF7" w:rsidP="005B3EF7">
      <w:pPr>
        <w:jc w:val="both"/>
        <w:rPr>
          <w:lang w:val="en-GB"/>
        </w:rPr>
      </w:pPr>
      <w:r w:rsidRPr="00DC482C">
        <w:rPr>
          <w:i/>
          <w:iCs/>
          <w:lang w:val="en-GB"/>
        </w:rPr>
        <w:t>d)</w:t>
      </w:r>
      <w:r w:rsidRPr="00DC482C">
        <w:rPr>
          <w:i/>
          <w:iCs/>
          <w:lang w:val="en-GB"/>
        </w:rPr>
        <w:tab/>
      </w:r>
      <w:r w:rsidRPr="00DC482C">
        <w:rPr>
          <w:lang w:val="en-GB"/>
        </w:rPr>
        <w:t>Resolution ITU-R 36-6 of the ITU Radiocommunication Assembly</w:t>
      </w:r>
      <w:r w:rsidR="00060C24" w:rsidRPr="00DC482C">
        <w:rPr>
          <w:lang w:val="en-GB"/>
        </w:rPr>
        <w:t>,</w:t>
      </w:r>
      <w:r w:rsidRPr="00DC482C">
        <w:rPr>
          <w:lang w:val="en-GB"/>
        </w:rPr>
        <w:t xml:space="preserve"> on coordination of vocabulary;</w:t>
      </w:r>
    </w:p>
    <w:p w14:paraId="2B0942E0" w14:textId="2A87FA22" w:rsidR="005B3EF7" w:rsidRPr="00DC482C" w:rsidRDefault="005B3EF7" w:rsidP="005B3EF7">
      <w:pPr>
        <w:jc w:val="both"/>
        <w:rPr>
          <w:lang w:val="en-GB"/>
        </w:rPr>
      </w:pPr>
      <w:r w:rsidRPr="00DC482C">
        <w:rPr>
          <w:i/>
          <w:iCs/>
          <w:lang w:val="en-GB"/>
        </w:rPr>
        <w:t>e)</w:t>
      </w:r>
      <w:r w:rsidRPr="00DC482C">
        <w:rPr>
          <w:i/>
          <w:iCs/>
          <w:lang w:val="en-GB"/>
        </w:rPr>
        <w:tab/>
      </w:r>
      <w:r w:rsidRPr="00DC482C">
        <w:rPr>
          <w:lang w:val="en-GB"/>
        </w:rPr>
        <w:t>Resolution 67 (Rev. New Delhi, 2024) of the World Telecommunication Standardization Assembly</w:t>
      </w:r>
      <w:r w:rsidR="00060C24" w:rsidRPr="00DC482C">
        <w:rPr>
          <w:lang w:val="en-GB"/>
        </w:rPr>
        <w:t>,</w:t>
      </w:r>
      <w:r w:rsidRPr="00DC482C">
        <w:rPr>
          <w:lang w:val="en-GB"/>
        </w:rPr>
        <w:t xml:space="preserve"> on use in the ITU Telecommunication Standardization Sector of the languages of the Union on an equal footing,</w:t>
      </w:r>
    </w:p>
    <w:p w14:paraId="1D574E5E" w14:textId="77777777" w:rsidR="005B3EF7" w:rsidRPr="00DC482C" w:rsidRDefault="005B3EF7" w:rsidP="005B3EF7">
      <w:pPr>
        <w:pStyle w:val="Call"/>
        <w:rPr>
          <w:lang w:val="en-GB"/>
        </w:rPr>
      </w:pPr>
      <w:r w:rsidRPr="00DC482C">
        <w:rPr>
          <w:lang w:val="en-GB"/>
        </w:rPr>
        <w:t>considering</w:t>
      </w:r>
    </w:p>
    <w:p w14:paraId="39661F1A" w14:textId="77777777" w:rsidR="005B3EF7" w:rsidRPr="00DC482C" w:rsidRDefault="005B3EF7" w:rsidP="005B3EF7">
      <w:pPr>
        <w:jc w:val="both"/>
        <w:rPr>
          <w:lang w:val="en-GB"/>
        </w:rPr>
      </w:pPr>
      <w:r w:rsidRPr="00DC482C">
        <w:rPr>
          <w:lang w:val="en-GB"/>
        </w:rPr>
        <w:t>that all the advisory groups at their meetings in 2017 expressed support for the creation of a joint "ITU Coordination Committee for Vocabulary",</w:t>
      </w:r>
    </w:p>
    <w:p w14:paraId="1DC3EFB4" w14:textId="77777777" w:rsidR="005B3EF7" w:rsidRPr="00DC482C" w:rsidRDefault="005B3EF7" w:rsidP="005B3EF7">
      <w:pPr>
        <w:pStyle w:val="Call"/>
        <w:rPr>
          <w:lang w:val="en-GB"/>
        </w:rPr>
      </w:pPr>
      <w:r w:rsidRPr="00DC482C">
        <w:rPr>
          <w:lang w:val="en-GB"/>
        </w:rPr>
        <w:t>considering further</w:t>
      </w:r>
    </w:p>
    <w:p w14:paraId="00CF9C45" w14:textId="5893BB31" w:rsidR="005B3EF7" w:rsidRPr="00DC482C" w:rsidRDefault="005B3EF7" w:rsidP="005B3EF7">
      <w:pPr>
        <w:jc w:val="both"/>
        <w:rPr>
          <w:lang w:val="en-GB"/>
        </w:rPr>
      </w:pPr>
      <w:r w:rsidRPr="00DC482C">
        <w:rPr>
          <w:i/>
          <w:iCs/>
          <w:lang w:val="en-GB"/>
        </w:rPr>
        <w:t>a)</w:t>
      </w:r>
      <w:r w:rsidRPr="00DC482C">
        <w:rPr>
          <w:i/>
          <w:iCs/>
          <w:lang w:val="en-GB"/>
        </w:rPr>
        <w:tab/>
      </w:r>
      <w:r w:rsidRPr="00DC482C">
        <w:rPr>
          <w:lang w:val="en-GB"/>
        </w:rPr>
        <w:t xml:space="preserve">that the Council in Resolution 1372 (C15, last amended </w:t>
      </w:r>
      <w:r w:rsidR="00060C24" w:rsidRPr="00DC482C">
        <w:rPr>
          <w:lang w:val="en-GB"/>
        </w:rPr>
        <w:t>C26</w:t>
      </w:r>
      <w:r w:rsidRPr="00DC482C">
        <w:rPr>
          <w:lang w:val="en-GB"/>
        </w:rPr>
        <w:t>), following the decision of the Plenipotentiary Conference, resolved to continue the work of the CWG-LANG, in order to monitor progress and report to the Council on the implementation of Resolution 154 (Rev.</w:t>
      </w:r>
      <w:r w:rsidR="00DC482C">
        <w:rPr>
          <w:lang w:val="en-GB"/>
        </w:rPr>
        <w:t> </w:t>
      </w:r>
      <w:r w:rsidRPr="00DC482C">
        <w:rPr>
          <w:lang w:val="en-GB"/>
        </w:rPr>
        <w:t>Bucharest, 2022) of the Plenipotentiary Conference;</w:t>
      </w:r>
    </w:p>
    <w:p w14:paraId="37AAA84E" w14:textId="77777777" w:rsidR="005B3EF7" w:rsidRPr="00DC482C" w:rsidRDefault="005B3EF7" w:rsidP="005B3EF7">
      <w:pPr>
        <w:jc w:val="both"/>
        <w:rPr>
          <w:lang w:val="en-GB"/>
        </w:rPr>
      </w:pPr>
      <w:r w:rsidRPr="00DC482C">
        <w:rPr>
          <w:i/>
          <w:iCs/>
          <w:lang w:val="en-GB"/>
        </w:rPr>
        <w:t>b)</w:t>
      </w:r>
      <w:r w:rsidRPr="00DC482C">
        <w:rPr>
          <w:i/>
          <w:iCs/>
          <w:lang w:val="en-GB"/>
        </w:rPr>
        <w:tab/>
      </w:r>
      <w:r w:rsidRPr="00DC482C">
        <w:rPr>
          <w:lang w:val="en-GB"/>
        </w:rPr>
        <w:t>that it is important for the work of ITU, and in particular of the Radiocommunication Sector (ITU</w:t>
      </w:r>
      <w:r w:rsidRPr="00DC482C">
        <w:rPr>
          <w:lang w:val="en-GB"/>
        </w:rPr>
        <w:noBreakHyphen/>
        <w:t>R), to liaise with other interested organizations about terms and definitions, graphical symbols for documentation, letter symbols and other means of expression, units of measurement, etc., with the objective of standardizing such elements;</w:t>
      </w:r>
    </w:p>
    <w:p w14:paraId="29079CBE" w14:textId="77777777" w:rsidR="005B3EF7" w:rsidRPr="00DC482C" w:rsidRDefault="005B3EF7" w:rsidP="005B3EF7">
      <w:pPr>
        <w:jc w:val="both"/>
        <w:rPr>
          <w:lang w:val="en-GB"/>
        </w:rPr>
      </w:pPr>
      <w:r w:rsidRPr="00DC482C">
        <w:rPr>
          <w:i/>
          <w:iCs/>
          <w:lang w:val="en-GB"/>
        </w:rPr>
        <w:t>c)</w:t>
      </w:r>
      <w:r w:rsidRPr="00DC482C">
        <w:rPr>
          <w:i/>
          <w:iCs/>
          <w:lang w:val="en-GB"/>
        </w:rPr>
        <w:tab/>
      </w:r>
      <w:r w:rsidRPr="00DC482C">
        <w:rPr>
          <w:lang w:val="en-GB"/>
        </w:rPr>
        <w:t>the difficulty of achieving agreement on definitions when more than one study group is involved, especially in different Sectors;</w:t>
      </w:r>
    </w:p>
    <w:p w14:paraId="2414F340" w14:textId="77777777" w:rsidR="005B3EF7" w:rsidRPr="00DC482C" w:rsidRDefault="005B3EF7" w:rsidP="005B3EF7">
      <w:pPr>
        <w:jc w:val="both"/>
        <w:rPr>
          <w:lang w:val="en-GB"/>
        </w:rPr>
      </w:pPr>
      <w:r w:rsidRPr="00DC482C">
        <w:rPr>
          <w:i/>
          <w:iCs/>
          <w:lang w:val="en-GB"/>
        </w:rPr>
        <w:lastRenderedPageBreak/>
        <w:t>d)</w:t>
      </w:r>
      <w:r w:rsidRPr="00DC482C">
        <w:rPr>
          <w:i/>
          <w:iCs/>
          <w:lang w:val="en-GB"/>
        </w:rPr>
        <w:tab/>
      </w:r>
      <w:r w:rsidRPr="00DC482C">
        <w:rPr>
          <w:lang w:val="en-GB"/>
        </w:rPr>
        <w:t>that ITU is collaborating with the International Electrotechnical Commission (IEC) in order to provide and maintain an internationally agreed vocabulary of telecommunications/ICT and in order to provide internationally agreed graphical symbols for diagrams and for use on equipment, and approved rules for the preparation of documentation and for item designation;</w:t>
      </w:r>
    </w:p>
    <w:p w14:paraId="52C4AA00" w14:textId="77777777" w:rsidR="005B3EF7" w:rsidRPr="00DC482C" w:rsidRDefault="005B3EF7" w:rsidP="005B3EF7">
      <w:pPr>
        <w:jc w:val="both"/>
        <w:rPr>
          <w:lang w:val="en-GB"/>
        </w:rPr>
      </w:pPr>
      <w:r w:rsidRPr="00DC482C">
        <w:rPr>
          <w:i/>
          <w:iCs/>
          <w:lang w:val="en-GB"/>
        </w:rPr>
        <w:t>e)</w:t>
      </w:r>
      <w:r w:rsidRPr="00DC482C">
        <w:rPr>
          <w:i/>
          <w:iCs/>
          <w:lang w:val="en-GB"/>
        </w:rPr>
        <w:tab/>
      </w:r>
      <w:r w:rsidRPr="00DC482C">
        <w:rPr>
          <w:lang w:val="en-GB"/>
        </w:rPr>
        <w:t>that ITU is collaborating with IEC (TC 25) in order to provide internationally agreed letter symbols and units, etc.;</w:t>
      </w:r>
    </w:p>
    <w:p w14:paraId="5DBAB457" w14:textId="77777777" w:rsidR="005B3EF7" w:rsidRPr="00DC482C" w:rsidRDefault="005B3EF7" w:rsidP="005B3EF7">
      <w:pPr>
        <w:jc w:val="both"/>
        <w:rPr>
          <w:lang w:val="en-GB"/>
        </w:rPr>
      </w:pPr>
      <w:r w:rsidRPr="00DC482C">
        <w:rPr>
          <w:i/>
          <w:iCs/>
          <w:lang w:val="en-GB"/>
        </w:rPr>
        <w:t>f)</w:t>
      </w:r>
      <w:r w:rsidRPr="00DC482C">
        <w:rPr>
          <w:i/>
          <w:iCs/>
          <w:lang w:val="en-GB"/>
        </w:rPr>
        <w:tab/>
      </w:r>
      <w:r w:rsidRPr="00DC482C">
        <w:rPr>
          <w:lang w:val="en-GB"/>
        </w:rPr>
        <w:t>that there is a continuing need for the publication of terms and definitions appropriate to the work of ITU;</w:t>
      </w:r>
    </w:p>
    <w:p w14:paraId="5EA54E7C" w14:textId="77777777" w:rsidR="005B3EF7" w:rsidRPr="00DC482C" w:rsidRDefault="005B3EF7" w:rsidP="005B3EF7">
      <w:pPr>
        <w:jc w:val="both"/>
        <w:rPr>
          <w:lang w:val="en-GB"/>
        </w:rPr>
      </w:pPr>
      <w:r w:rsidRPr="00DC482C">
        <w:rPr>
          <w:i/>
          <w:iCs/>
          <w:lang w:val="en-GB"/>
        </w:rPr>
        <w:t>g)</w:t>
      </w:r>
      <w:r w:rsidRPr="00DC482C">
        <w:rPr>
          <w:i/>
          <w:iCs/>
          <w:lang w:val="en-GB"/>
        </w:rPr>
        <w:tab/>
      </w:r>
      <w:r w:rsidRPr="00DC482C">
        <w:rPr>
          <w:lang w:val="en-GB"/>
        </w:rPr>
        <w:t>that unnecessary or duplicated work can be avoided by effective coordination and adoption of all work on vocabulary and related subjects carried out by ITU study groups;</w:t>
      </w:r>
    </w:p>
    <w:p w14:paraId="06C0E5EF" w14:textId="77777777" w:rsidR="005B3EF7" w:rsidRPr="00DC482C" w:rsidRDefault="005B3EF7" w:rsidP="005B3EF7">
      <w:pPr>
        <w:jc w:val="both"/>
        <w:rPr>
          <w:lang w:val="en-GB"/>
        </w:rPr>
      </w:pPr>
      <w:r w:rsidRPr="00DC482C">
        <w:rPr>
          <w:i/>
          <w:iCs/>
          <w:lang w:val="en-GB"/>
        </w:rPr>
        <w:t>h)</w:t>
      </w:r>
      <w:r w:rsidRPr="00DC482C">
        <w:rPr>
          <w:i/>
          <w:iCs/>
          <w:lang w:val="en-GB"/>
        </w:rPr>
        <w:tab/>
      </w:r>
      <w:r w:rsidRPr="00DC482C">
        <w:rPr>
          <w:lang w:val="en-GB"/>
        </w:rPr>
        <w:t>that the long-term objective of the terminology work must be the preparation of a comprehensive vocabulary of telecommunications/ICT in the official languages of ITU,</w:t>
      </w:r>
    </w:p>
    <w:p w14:paraId="3141B11B" w14:textId="77777777" w:rsidR="005B3EF7" w:rsidRPr="00DC482C" w:rsidRDefault="005B3EF7" w:rsidP="005B3EF7">
      <w:pPr>
        <w:pStyle w:val="Call"/>
        <w:rPr>
          <w:lang w:val="en-GB"/>
        </w:rPr>
      </w:pPr>
      <w:r w:rsidRPr="00DC482C">
        <w:rPr>
          <w:lang w:val="en-GB"/>
        </w:rPr>
        <w:t>recognizing</w:t>
      </w:r>
    </w:p>
    <w:p w14:paraId="403423E3" w14:textId="77777777" w:rsidR="005B3EF7" w:rsidRPr="00DC482C" w:rsidRDefault="005B3EF7" w:rsidP="005B3EF7">
      <w:pPr>
        <w:jc w:val="both"/>
        <w:rPr>
          <w:spacing w:val="-2"/>
          <w:lang w:val="en-GB"/>
        </w:rPr>
      </w:pPr>
      <w:r w:rsidRPr="00DC482C">
        <w:rPr>
          <w:spacing w:val="-2"/>
          <w:lang w:val="en-GB"/>
        </w:rPr>
        <w:t>the work accomplished by the ITU-R CCV and ITU-T SCV on the adoption and agreement of terms and definitions in the field of telecommunications/ICTs in all six official languages of the Union,</w:t>
      </w:r>
    </w:p>
    <w:p w14:paraId="2B519575" w14:textId="77777777" w:rsidR="005B3EF7" w:rsidRPr="00DC482C" w:rsidRDefault="005B3EF7" w:rsidP="005B3EF7">
      <w:pPr>
        <w:pStyle w:val="Call"/>
        <w:rPr>
          <w:lang w:val="en-GB"/>
        </w:rPr>
      </w:pPr>
      <w:r w:rsidRPr="00DC482C">
        <w:rPr>
          <w:lang w:val="en-GB"/>
        </w:rPr>
        <w:t>resolves</w:t>
      </w:r>
    </w:p>
    <w:p w14:paraId="73DF62BF" w14:textId="77777777" w:rsidR="005B3EF7" w:rsidRPr="00DC482C" w:rsidRDefault="005B3EF7" w:rsidP="005B3EF7">
      <w:pPr>
        <w:jc w:val="both"/>
        <w:rPr>
          <w:lang w:val="en-GB"/>
        </w:rPr>
      </w:pPr>
      <w:r w:rsidRPr="00DC482C">
        <w:rPr>
          <w:lang w:val="en-GB"/>
        </w:rPr>
        <w:t>1</w:t>
      </w:r>
      <w:r w:rsidRPr="00DC482C">
        <w:rPr>
          <w:lang w:val="en-GB"/>
        </w:rPr>
        <w:tab/>
        <w:t>that the joint ITU Coordination Committee for Terminology (CCT) consists of ITU-R CCV and ITU-T SCV functioning in accordance with relevant Resolutions of ITU-R and WTSA, representatives of ITU-D and the rapporteurs for vocabulary of study groups, in close collaboration with the secretariat and is responsible for coordinating ITU terminology work and for harmonizing and supporting the vocabulary of telecommunications and ICT;</w:t>
      </w:r>
    </w:p>
    <w:p w14:paraId="5BDC30E5" w14:textId="04184A57" w:rsidR="005B3EF7" w:rsidRPr="00DC482C" w:rsidRDefault="005B3EF7" w:rsidP="005B3EF7">
      <w:pPr>
        <w:jc w:val="both"/>
        <w:rPr>
          <w:lang w:val="en-GB"/>
        </w:rPr>
      </w:pPr>
      <w:r w:rsidRPr="00DC482C">
        <w:rPr>
          <w:lang w:val="en-GB"/>
        </w:rPr>
        <w:t>2</w:t>
      </w:r>
      <w:r w:rsidRPr="00DC482C">
        <w:rPr>
          <w:lang w:val="en-GB"/>
        </w:rPr>
        <w:tab/>
        <w:t xml:space="preserve">that the </w:t>
      </w:r>
      <w:r w:rsidR="00EF0071" w:rsidRPr="00DC482C">
        <w:rPr>
          <w:lang w:val="en-GB"/>
        </w:rPr>
        <w:t>T</w:t>
      </w:r>
      <w:r w:rsidRPr="00DC482C">
        <w:rPr>
          <w:lang w:val="en-GB"/>
        </w:rPr>
        <w:t xml:space="preserve">erms of </w:t>
      </w:r>
      <w:r w:rsidR="00EF0071" w:rsidRPr="00DC482C">
        <w:rPr>
          <w:lang w:val="en-GB"/>
        </w:rPr>
        <w:t>R</w:t>
      </w:r>
      <w:r w:rsidRPr="00DC482C">
        <w:rPr>
          <w:lang w:val="en-GB"/>
        </w:rPr>
        <w:t>eference of the ITU CCT are given in Annex 1 to this resolution;</w:t>
      </w:r>
    </w:p>
    <w:p w14:paraId="294CB69B" w14:textId="77777777" w:rsidR="005B3EF7" w:rsidRPr="00DC482C" w:rsidRDefault="005B3EF7" w:rsidP="005B3EF7">
      <w:pPr>
        <w:jc w:val="both"/>
        <w:rPr>
          <w:spacing w:val="-2"/>
          <w:lang w:val="en-GB"/>
        </w:rPr>
      </w:pPr>
      <w:r w:rsidRPr="00DC482C">
        <w:rPr>
          <w:spacing w:val="-2"/>
          <w:lang w:val="en-GB"/>
        </w:rPr>
        <w:t>3</w:t>
      </w:r>
      <w:r w:rsidRPr="00DC482C">
        <w:rPr>
          <w:spacing w:val="-2"/>
          <w:lang w:val="en-GB"/>
        </w:rPr>
        <w:tab/>
        <w:t>that the ITU CCT shall be guided by the decisions of Resolution 154 (Rev. Bucharest, 2022) of the Plenipotentiary Conference and examine proposals submitted by the study groups and working groups of the Council in English, and validate translations in the other official languages;</w:t>
      </w:r>
    </w:p>
    <w:p w14:paraId="7F0623FC" w14:textId="77777777" w:rsidR="005B3EF7" w:rsidRPr="00DC482C" w:rsidRDefault="005B3EF7" w:rsidP="005B3EF7">
      <w:pPr>
        <w:jc w:val="both"/>
        <w:rPr>
          <w:lang w:val="en-GB"/>
        </w:rPr>
      </w:pPr>
      <w:r w:rsidRPr="00DC482C">
        <w:rPr>
          <w:lang w:val="en-GB"/>
        </w:rPr>
        <w:t>4</w:t>
      </w:r>
      <w:r w:rsidRPr="00DC482C">
        <w:rPr>
          <w:lang w:val="en-GB"/>
        </w:rPr>
        <w:tab/>
        <w:t>that all ITU study groups, within their terms of reference, should continue their work on technical and operational terms and their definitions in English only;</w:t>
      </w:r>
    </w:p>
    <w:p w14:paraId="299F65EC" w14:textId="77777777" w:rsidR="005B3EF7" w:rsidRPr="00DC482C" w:rsidRDefault="005B3EF7" w:rsidP="005B3EF7">
      <w:pPr>
        <w:jc w:val="both"/>
        <w:rPr>
          <w:lang w:val="en-GB"/>
        </w:rPr>
      </w:pPr>
      <w:r w:rsidRPr="00DC482C">
        <w:rPr>
          <w:lang w:val="en-GB"/>
        </w:rPr>
        <w:t>5</w:t>
      </w:r>
      <w:r w:rsidRPr="00DC482C">
        <w:rPr>
          <w:lang w:val="en-GB"/>
        </w:rPr>
        <w:tab/>
        <w:t>that each study group should appoint a permanent rapporteur for vocabulary to coordinate efforts on terms and definitions and related subjects and to act as a contact person for the study group in this field;</w:t>
      </w:r>
    </w:p>
    <w:p w14:paraId="6315CD73" w14:textId="77777777" w:rsidR="005B3EF7" w:rsidRPr="00DC482C" w:rsidRDefault="005B3EF7" w:rsidP="005B3EF7">
      <w:pPr>
        <w:jc w:val="both"/>
        <w:rPr>
          <w:lang w:val="en-GB"/>
        </w:rPr>
      </w:pPr>
      <w:r w:rsidRPr="00DC482C">
        <w:rPr>
          <w:lang w:val="en-GB"/>
        </w:rPr>
        <w:t>6</w:t>
      </w:r>
      <w:r w:rsidRPr="00DC482C">
        <w:rPr>
          <w:lang w:val="en-GB"/>
        </w:rPr>
        <w:tab/>
        <w:t>that the responsibilities of rapporteurs for vocabulary are given in Annex 2 to this resolution;</w:t>
      </w:r>
    </w:p>
    <w:p w14:paraId="56778FE4" w14:textId="77777777" w:rsidR="005B3EF7" w:rsidRPr="00DC482C" w:rsidRDefault="005B3EF7" w:rsidP="005B3EF7">
      <w:pPr>
        <w:jc w:val="both"/>
        <w:rPr>
          <w:lang w:val="en-GB"/>
        </w:rPr>
      </w:pPr>
      <w:r w:rsidRPr="00DC482C">
        <w:rPr>
          <w:lang w:val="en-GB"/>
        </w:rPr>
        <w:t>7</w:t>
      </w:r>
      <w:r w:rsidRPr="00DC482C">
        <w:rPr>
          <w:lang w:val="en-GB"/>
        </w:rPr>
        <w:tab/>
        <w:t>that, where more than one ITU study group is defining the same term and/or concept, efforts should be made to select a single term and a single definition which is acceptable to all of the study groups concerned;</w:t>
      </w:r>
    </w:p>
    <w:p w14:paraId="43D7F2DF" w14:textId="77777777" w:rsidR="005B3EF7" w:rsidRPr="00DC482C" w:rsidRDefault="005B3EF7" w:rsidP="00AF0BF4">
      <w:pPr>
        <w:widowControl w:val="0"/>
        <w:jc w:val="both"/>
        <w:rPr>
          <w:rFonts w:asciiTheme="minorHAnsi" w:hAnsiTheme="minorHAnsi" w:cstheme="minorHAnsi"/>
          <w:rtl/>
          <w:lang w:val="en-GB"/>
        </w:rPr>
      </w:pPr>
      <w:r w:rsidRPr="00DC482C">
        <w:rPr>
          <w:lang w:val="en-GB"/>
        </w:rPr>
        <w:t>8</w:t>
      </w:r>
      <w:r w:rsidRPr="00DC482C">
        <w:rPr>
          <w:lang w:val="en-GB"/>
        </w:rPr>
        <w:tab/>
        <w:t xml:space="preserve">that, when selecting terms and preparing definitions, study groups and then ITU CCT shall take into account the established use of </w:t>
      </w:r>
      <w:r w:rsidRPr="00DC482C">
        <w:rPr>
          <w:rFonts w:asciiTheme="minorHAnsi" w:hAnsiTheme="minorHAnsi" w:cstheme="minorHAnsi"/>
          <w:lang w:val="en-GB"/>
        </w:rPr>
        <w:t>terms and existing definitions in ITU, in particular those included in the online ITU Terms and Definitions database;</w:t>
      </w:r>
    </w:p>
    <w:p w14:paraId="4E8D3512" w14:textId="77777777" w:rsidR="005B3EF7" w:rsidRPr="00DC482C" w:rsidRDefault="005B3EF7" w:rsidP="00AF0BF4">
      <w:pPr>
        <w:jc w:val="both"/>
        <w:rPr>
          <w:lang w:val="en-GB"/>
        </w:rPr>
      </w:pPr>
      <w:r w:rsidRPr="00DC482C">
        <w:rPr>
          <w:rFonts w:asciiTheme="minorHAnsi" w:hAnsiTheme="minorHAnsi" w:cstheme="minorHAnsi"/>
          <w:lang w:val="en-GB"/>
        </w:rPr>
        <w:lastRenderedPageBreak/>
        <w:t>9</w:t>
      </w:r>
      <w:r w:rsidRPr="00DC482C">
        <w:rPr>
          <w:rFonts w:asciiTheme="minorHAnsi" w:hAnsiTheme="minorHAnsi" w:cstheme="minorHAnsi"/>
          <w:lang w:val="en-GB"/>
        </w:rPr>
        <w:tab/>
        <w:t>that ITU-R CCV will continue to review and revise where necessary the existing Recommendations of the V series; new and revised Recommendations</w:t>
      </w:r>
      <w:r w:rsidRPr="00DC482C">
        <w:rPr>
          <w:lang w:val="en-GB"/>
        </w:rPr>
        <w:t xml:space="preserve"> should be adopted by ITU-R CCV and submitted for approval in accordance with Resolution ITU</w:t>
      </w:r>
      <w:r w:rsidRPr="00DC482C">
        <w:rPr>
          <w:lang w:val="en-GB"/>
        </w:rPr>
        <w:noBreakHyphen/>
        <w:t>R 1, through the Director of BR;</w:t>
      </w:r>
    </w:p>
    <w:p w14:paraId="1A39C823" w14:textId="77777777" w:rsidR="005B3EF7" w:rsidRPr="00DC482C" w:rsidRDefault="005B3EF7" w:rsidP="00AF0BF4">
      <w:pPr>
        <w:jc w:val="both"/>
        <w:rPr>
          <w:lang w:val="en-GB"/>
        </w:rPr>
      </w:pPr>
      <w:r w:rsidRPr="00DC482C">
        <w:rPr>
          <w:lang w:val="en-GB"/>
        </w:rPr>
        <w:t>10</w:t>
      </w:r>
      <w:r w:rsidRPr="00DC482C">
        <w:rPr>
          <w:lang w:val="en-GB"/>
        </w:rPr>
        <w:tab/>
        <w:t>that the relevant Bureau should collect all new terms and definitions proposed by ITU study groups in consultation with the ITU CCT and enter them in the online ITU Terms and Definitions database;</w:t>
      </w:r>
    </w:p>
    <w:p w14:paraId="35BF9CF7" w14:textId="77777777" w:rsidR="005B3EF7" w:rsidRPr="00DC482C" w:rsidRDefault="005B3EF7" w:rsidP="00AF0BF4">
      <w:pPr>
        <w:jc w:val="both"/>
        <w:rPr>
          <w:lang w:val="en-GB"/>
        </w:rPr>
      </w:pPr>
      <w:r w:rsidRPr="00DC482C">
        <w:rPr>
          <w:lang w:val="en-GB"/>
        </w:rPr>
        <w:t>11</w:t>
      </w:r>
      <w:r w:rsidRPr="00DC482C">
        <w:rPr>
          <w:lang w:val="en-GB"/>
        </w:rPr>
        <w:tab/>
        <w:t>that ITU CCT should work in close collaboration with CWG-LANG;</w:t>
      </w:r>
    </w:p>
    <w:p w14:paraId="12F576B1" w14:textId="77777777" w:rsidR="005B3EF7" w:rsidRPr="00DC482C" w:rsidRDefault="005B3EF7" w:rsidP="005B3EF7">
      <w:pPr>
        <w:jc w:val="both"/>
        <w:rPr>
          <w:lang w:val="en-GB"/>
        </w:rPr>
      </w:pPr>
      <w:r w:rsidRPr="00DC482C">
        <w:rPr>
          <w:lang w:val="en-GB"/>
        </w:rPr>
        <w:t>12</w:t>
      </w:r>
      <w:r w:rsidRPr="00DC482C">
        <w:rPr>
          <w:lang w:val="en-GB"/>
        </w:rPr>
        <w:tab/>
        <w:t>that information on ITU CCT activities should be displayed on a separate ITU CCT website, harmonized with the ITU-R CCV and ITU-T SCV websites and with cross-links to them;</w:t>
      </w:r>
    </w:p>
    <w:p w14:paraId="6DD7184C" w14:textId="77777777" w:rsidR="005B3EF7" w:rsidRPr="00DC482C" w:rsidRDefault="005B3EF7" w:rsidP="005B3EF7">
      <w:pPr>
        <w:jc w:val="both"/>
        <w:rPr>
          <w:lang w:val="en-GB"/>
        </w:rPr>
      </w:pPr>
      <w:r w:rsidRPr="00DC482C">
        <w:rPr>
          <w:lang w:val="en-GB"/>
        </w:rPr>
        <w:t>13</w:t>
      </w:r>
      <w:r w:rsidRPr="00DC482C">
        <w:rPr>
          <w:lang w:val="en-GB"/>
        </w:rPr>
        <w:tab/>
        <w:t>that the Radiocommunication Assembly and the World Telecommunication Standardization Assembly should nominate a Chair and six Vice-Chairs, each representing one of the official languages from each Sector; if two chairs are nominated by both Sectors, they shall act as co-chairs of ITU CCT;</w:t>
      </w:r>
    </w:p>
    <w:p w14:paraId="6FCC1E0F" w14:textId="673B1BE0" w:rsidR="005B3EF7" w:rsidRPr="00DC482C" w:rsidRDefault="005B3EF7" w:rsidP="005B3EF7">
      <w:pPr>
        <w:jc w:val="both"/>
        <w:rPr>
          <w:lang w:val="en-GB"/>
        </w:rPr>
      </w:pPr>
      <w:r w:rsidRPr="00DC482C">
        <w:rPr>
          <w:lang w:val="en-GB"/>
        </w:rPr>
        <w:t>14</w:t>
      </w:r>
      <w:r w:rsidRPr="00DC482C">
        <w:rPr>
          <w:lang w:val="en-GB"/>
        </w:rPr>
        <w:tab/>
        <w:t>that the World Telecommunication Development Conference should appoint two vice</w:t>
      </w:r>
      <w:r w:rsidRPr="00DC482C">
        <w:rPr>
          <w:lang w:val="en-GB"/>
        </w:rPr>
        <w:noBreakHyphen/>
        <w:t>chairs to represent ITU-D in ITU CCT,</w:t>
      </w:r>
    </w:p>
    <w:p w14:paraId="04AA086F" w14:textId="77777777" w:rsidR="005B3EF7" w:rsidRPr="00DC482C" w:rsidRDefault="005B3EF7" w:rsidP="005B3EF7">
      <w:pPr>
        <w:pStyle w:val="Call"/>
        <w:rPr>
          <w:lang w:val="en-GB"/>
        </w:rPr>
      </w:pPr>
      <w:r w:rsidRPr="00DC482C">
        <w:rPr>
          <w:lang w:val="en-GB"/>
        </w:rPr>
        <w:t>instructs the Secretary-General, in close coordination with the Directors of the Bureaux and in consultation with the Council Working Group on Languages,</w:t>
      </w:r>
    </w:p>
    <w:p w14:paraId="0A123BDB" w14:textId="77777777" w:rsidR="005B3EF7" w:rsidRPr="00DC482C" w:rsidRDefault="005B3EF7" w:rsidP="005B3EF7">
      <w:pPr>
        <w:jc w:val="both"/>
        <w:rPr>
          <w:lang w:val="en-GB"/>
        </w:rPr>
      </w:pPr>
      <w:r w:rsidRPr="00DC482C">
        <w:rPr>
          <w:lang w:val="en-GB"/>
        </w:rPr>
        <w:t>1</w:t>
      </w:r>
      <w:r w:rsidRPr="00DC482C">
        <w:rPr>
          <w:lang w:val="en-GB"/>
        </w:rPr>
        <w:tab/>
        <w:t>to provide ITU CCT with all relevant information and assistance;</w:t>
      </w:r>
    </w:p>
    <w:p w14:paraId="788EF681" w14:textId="77777777" w:rsidR="005B3EF7" w:rsidRPr="00DC482C" w:rsidRDefault="005B3EF7" w:rsidP="005B3EF7">
      <w:pPr>
        <w:jc w:val="both"/>
        <w:rPr>
          <w:lang w:val="en-GB"/>
        </w:rPr>
      </w:pPr>
      <w:r w:rsidRPr="00DC482C">
        <w:rPr>
          <w:lang w:val="en-GB"/>
        </w:rPr>
        <w:t>2</w:t>
      </w:r>
      <w:r w:rsidRPr="00DC482C">
        <w:rPr>
          <w:lang w:val="en-GB"/>
        </w:rPr>
        <w:tab/>
        <w:t>to monitor the quality of translation and associated costs,</w:t>
      </w:r>
    </w:p>
    <w:p w14:paraId="1F93AAAD" w14:textId="5E3B1BAA" w:rsidR="005B3EF7" w:rsidRPr="00DC482C" w:rsidRDefault="005B3EF7" w:rsidP="005B3EF7">
      <w:pPr>
        <w:pStyle w:val="Call"/>
        <w:rPr>
          <w:lang w:val="en-GB"/>
        </w:rPr>
      </w:pPr>
      <w:r w:rsidRPr="00DC482C">
        <w:rPr>
          <w:lang w:val="en-GB"/>
        </w:rPr>
        <w:t>instructs the Director of the Radiocommunication Bureau</w:t>
      </w:r>
    </w:p>
    <w:p w14:paraId="7F077367" w14:textId="77777777" w:rsidR="005B3EF7" w:rsidRPr="00DC482C" w:rsidRDefault="005B3EF7" w:rsidP="005B3EF7">
      <w:pPr>
        <w:jc w:val="both"/>
        <w:rPr>
          <w:lang w:val="en-GB"/>
        </w:rPr>
      </w:pPr>
      <w:r w:rsidRPr="00DC482C">
        <w:rPr>
          <w:lang w:val="en-GB"/>
        </w:rPr>
        <w:t>to continue to translate all ITU-R Recommendations in all six official languages of the Union,</w:t>
      </w:r>
    </w:p>
    <w:p w14:paraId="5BE33E56" w14:textId="1CA140DF" w:rsidR="005B3EF7" w:rsidRPr="00DC482C" w:rsidRDefault="005B3EF7" w:rsidP="005B3EF7">
      <w:pPr>
        <w:pStyle w:val="Call"/>
        <w:jc w:val="both"/>
        <w:rPr>
          <w:lang w:val="en-GB"/>
        </w:rPr>
      </w:pPr>
      <w:r w:rsidRPr="00DC482C">
        <w:rPr>
          <w:lang w:val="en-GB"/>
        </w:rPr>
        <w:t>instructs the Director of the Telecommunication Standardization Bureau</w:t>
      </w:r>
    </w:p>
    <w:p w14:paraId="37DB5644" w14:textId="2DC487E1" w:rsidR="005B3EF7" w:rsidRPr="00DC482C" w:rsidRDefault="005B3EF7" w:rsidP="005B3EF7">
      <w:pPr>
        <w:jc w:val="both"/>
        <w:rPr>
          <w:lang w:val="en-GB"/>
        </w:rPr>
      </w:pPr>
      <w:r w:rsidRPr="00DC482C">
        <w:rPr>
          <w:lang w:val="en-GB"/>
        </w:rPr>
        <w:t>1</w:t>
      </w:r>
      <w:r w:rsidRPr="00DC482C">
        <w:rPr>
          <w:lang w:val="en-GB"/>
        </w:rPr>
        <w:tab/>
        <w:t>to continue to translate all ITU-T Recommendations approved under the traditional approval process (TAP), and all ITU-T A-series Recommendations (ITU-T working methods), in all the official languages of the Union;</w:t>
      </w:r>
    </w:p>
    <w:p w14:paraId="74892D31" w14:textId="77777777" w:rsidR="005B3EF7" w:rsidRPr="00DC482C" w:rsidRDefault="005B3EF7" w:rsidP="005B3EF7">
      <w:pPr>
        <w:jc w:val="both"/>
        <w:rPr>
          <w:spacing w:val="-2"/>
          <w:lang w:val="en-GB"/>
        </w:rPr>
      </w:pPr>
      <w:r w:rsidRPr="00DC482C">
        <w:rPr>
          <w:spacing w:val="-2"/>
          <w:lang w:val="en-GB"/>
        </w:rPr>
        <w:t>2</w:t>
      </w:r>
      <w:r w:rsidRPr="00DC482C">
        <w:rPr>
          <w:spacing w:val="-2"/>
          <w:lang w:val="en-GB"/>
        </w:rPr>
        <w:tab/>
        <w:t xml:space="preserve">to translate all reports of the Telecommunication Standardization Advisory Group (TSAG), and the reports of study group plenary meetings, in all the official languages of the Union; </w:t>
      </w:r>
    </w:p>
    <w:p w14:paraId="4D979D5F" w14:textId="679D819A" w:rsidR="005B3EF7" w:rsidRPr="00DC482C" w:rsidRDefault="005B3EF7" w:rsidP="005B3EF7">
      <w:pPr>
        <w:jc w:val="both"/>
        <w:rPr>
          <w:lang w:val="en-GB"/>
        </w:rPr>
      </w:pPr>
      <w:r w:rsidRPr="00DC482C">
        <w:rPr>
          <w:lang w:val="en-GB"/>
        </w:rPr>
        <w:t>3</w:t>
      </w:r>
      <w:r w:rsidRPr="00DC482C">
        <w:rPr>
          <w:lang w:val="en-GB"/>
        </w:rPr>
        <w:tab/>
        <w:t>to translate documents relating to the mandates and working methods of the Director of TSB's ad-hoc groups;</w:t>
      </w:r>
    </w:p>
    <w:p w14:paraId="4C7D26FE" w14:textId="2081D9FF" w:rsidR="005B3EF7" w:rsidRPr="00DC482C" w:rsidRDefault="005B3EF7" w:rsidP="005B3EF7">
      <w:pPr>
        <w:jc w:val="both"/>
        <w:rPr>
          <w:lang w:val="en-GB"/>
        </w:rPr>
      </w:pPr>
      <w:r w:rsidRPr="00DC482C">
        <w:rPr>
          <w:lang w:val="en-GB"/>
        </w:rPr>
        <w:t>4</w:t>
      </w:r>
      <w:r w:rsidRPr="00DC482C">
        <w:rPr>
          <w:lang w:val="en-GB"/>
        </w:rPr>
        <w:tab/>
        <w:t>to include in the circular that announces the approval of an ITU-T Recommendation an indication of whether it will be translated;</w:t>
      </w:r>
    </w:p>
    <w:p w14:paraId="784DC42C" w14:textId="3094D871" w:rsidR="005B3EF7" w:rsidRPr="00DC482C" w:rsidRDefault="005B3EF7" w:rsidP="005B3EF7">
      <w:pPr>
        <w:jc w:val="both"/>
        <w:rPr>
          <w:spacing w:val="-2"/>
          <w:lang w:val="en-GB"/>
        </w:rPr>
      </w:pPr>
      <w:r w:rsidRPr="00DC482C">
        <w:rPr>
          <w:spacing w:val="-2"/>
          <w:lang w:val="en-GB"/>
        </w:rPr>
        <w:t>5</w:t>
      </w:r>
      <w:r w:rsidRPr="00DC482C">
        <w:rPr>
          <w:spacing w:val="-2"/>
          <w:lang w:val="en-GB"/>
        </w:rPr>
        <w:tab/>
        <w:t>to continue the practice of translating ITU-T Recommendations approved under the alternative approval process (AAP), up to 2 000 pages, within the financial resources of the Union;</w:t>
      </w:r>
    </w:p>
    <w:p w14:paraId="5A6BCD62" w14:textId="77777777" w:rsidR="005B3EF7" w:rsidRPr="00DC482C" w:rsidRDefault="005B3EF7" w:rsidP="005B3EF7">
      <w:pPr>
        <w:jc w:val="both"/>
        <w:rPr>
          <w:lang w:val="en-GB"/>
        </w:rPr>
      </w:pPr>
      <w:r w:rsidRPr="00DC482C">
        <w:rPr>
          <w:lang w:val="en-GB"/>
        </w:rPr>
        <w:t>6</w:t>
      </w:r>
      <w:r w:rsidRPr="00DC482C">
        <w:rPr>
          <w:lang w:val="en-GB"/>
        </w:rPr>
        <w:tab/>
        <w:t>to monitor the quality of translation and associated expenses.</w:t>
      </w:r>
    </w:p>
    <w:p w14:paraId="1670CCAF" w14:textId="07A0469A" w:rsidR="005B3EF7" w:rsidRPr="00DC482C" w:rsidRDefault="005B3EF7" w:rsidP="00DC482C">
      <w:pPr>
        <w:spacing w:before="720"/>
        <w:rPr>
          <w:caps/>
          <w:lang w:val="en-GB"/>
        </w:rPr>
      </w:pPr>
      <w:r w:rsidRPr="00DC482C">
        <w:rPr>
          <w:b/>
          <w:bCs/>
          <w:lang w:val="en-GB"/>
        </w:rPr>
        <w:t xml:space="preserve">Annexes: </w:t>
      </w:r>
      <w:r w:rsidRPr="00DC482C">
        <w:rPr>
          <w:lang w:val="en-GB"/>
        </w:rPr>
        <w:t>2</w:t>
      </w:r>
      <w:r w:rsidRPr="00DC482C">
        <w:rPr>
          <w:lang w:val="en-GB"/>
        </w:rPr>
        <w:br w:type="page"/>
      </w:r>
    </w:p>
    <w:p w14:paraId="006925D4" w14:textId="77777777" w:rsidR="005B3EF7" w:rsidRPr="00DC482C" w:rsidRDefault="005B3EF7" w:rsidP="005B3EF7">
      <w:pPr>
        <w:pStyle w:val="AnnexNo"/>
        <w:rPr>
          <w:lang w:val="en-GB"/>
        </w:rPr>
      </w:pPr>
      <w:r w:rsidRPr="00DC482C">
        <w:rPr>
          <w:lang w:val="en-GB"/>
        </w:rPr>
        <w:lastRenderedPageBreak/>
        <w:t xml:space="preserve">Annex 1 </w:t>
      </w:r>
    </w:p>
    <w:p w14:paraId="5CDCD7BB" w14:textId="77777777" w:rsidR="005B3EF7" w:rsidRPr="00DC482C" w:rsidRDefault="005B3EF7" w:rsidP="005B3EF7">
      <w:pPr>
        <w:pStyle w:val="Annextitle"/>
        <w:rPr>
          <w:lang w:val="en-GB"/>
        </w:rPr>
      </w:pPr>
      <w:r w:rsidRPr="00DC482C">
        <w:rPr>
          <w:lang w:val="en-GB"/>
        </w:rPr>
        <w:t xml:space="preserve">Terms of reference for the </w:t>
      </w:r>
      <w:r w:rsidRPr="00DC482C">
        <w:rPr>
          <w:rFonts w:eastAsia="Calibri"/>
          <w:lang w:val="en-GB"/>
        </w:rPr>
        <w:t xml:space="preserve">ITU Coordination Committee for Terminology </w:t>
      </w:r>
      <w:r w:rsidRPr="00DC482C">
        <w:rPr>
          <w:rFonts w:eastAsia="Calibri"/>
          <w:lang w:val="en-GB"/>
        </w:rPr>
        <w:br/>
        <w:t>(ITU CCT)</w:t>
      </w:r>
    </w:p>
    <w:p w14:paraId="1F4D1719" w14:textId="77777777" w:rsidR="005B3EF7" w:rsidRPr="00DC482C" w:rsidRDefault="005B3EF7" w:rsidP="005B3EF7">
      <w:pPr>
        <w:jc w:val="both"/>
        <w:rPr>
          <w:lang w:val="en-GB"/>
        </w:rPr>
      </w:pPr>
      <w:r w:rsidRPr="00DC482C">
        <w:rPr>
          <w:lang w:val="en-GB"/>
        </w:rPr>
        <w:t>1</w:t>
      </w:r>
      <w:r w:rsidRPr="00DC482C">
        <w:rPr>
          <w:lang w:val="en-GB"/>
        </w:rPr>
        <w:tab/>
        <w:t xml:space="preserve">To </w:t>
      </w:r>
      <w:r w:rsidRPr="00DC482C">
        <w:rPr>
          <w:rFonts w:eastAsia="SimSun" w:cstheme="minorHAnsi"/>
          <w:bCs/>
          <w:lang w:val="en-GB"/>
        </w:rPr>
        <w:t>advise on and validate</w:t>
      </w:r>
      <w:r w:rsidRPr="00DC482C">
        <w:rPr>
          <w:rFonts w:eastAsia="SimSun" w:cstheme="minorHAnsi"/>
          <w:bCs/>
          <w:i/>
          <w:iCs/>
          <w:lang w:val="en-GB"/>
        </w:rPr>
        <w:t xml:space="preserve"> </w:t>
      </w:r>
      <w:r w:rsidRPr="00DC482C">
        <w:rPr>
          <w:lang w:val="en-GB"/>
        </w:rPr>
        <w:t>terms and definitions for vocabulary work for ITU in all the official languages, including graphical symbols for documentation, letter symbols and other means of expression, units of measurements etc., in close collaboration with the General Secretariat (Conferences and Publications Department), the Bureaux of Sectors, editors for the English language as well as the relevant study group rapporteurs for vocabulary, and to seek harmonization among all ITU study groups concerned regarding terms and definitions.</w:t>
      </w:r>
    </w:p>
    <w:p w14:paraId="6B7BED1A" w14:textId="77777777" w:rsidR="005B3EF7" w:rsidRPr="00DC482C" w:rsidRDefault="005B3EF7" w:rsidP="005B3EF7">
      <w:pPr>
        <w:jc w:val="both"/>
        <w:rPr>
          <w:lang w:val="en-GB"/>
        </w:rPr>
      </w:pPr>
      <w:r w:rsidRPr="00DC482C">
        <w:rPr>
          <w:lang w:val="en-GB"/>
        </w:rPr>
        <w:t>2</w:t>
      </w:r>
      <w:r w:rsidRPr="00DC482C">
        <w:rPr>
          <w:lang w:val="en-GB"/>
        </w:rPr>
        <w:tab/>
        <w:t>To liaise with other organizations dealing with vocabulary work in the telecommunication field, for example the International Organization for Standardization (ISO) and the International Electrotechnical Commission (IEC) as well as the ISO/IEC Joint Technical Committee for information technology (ISO/IEC JTC 1), in order to eliminate duplication of terms and definitions.</w:t>
      </w:r>
    </w:p>
    <w:p w14:paraId="0C43E22E" w14:textId="77777777" w:rsidR="005B3EF7" w:rsidRPr="00DC482C" w:rsidRDefault="005B3EF7" w:rsidP="005B3EF7">
      <w:pPr>
        <w:jc w:val="both"/>
        <w:rPr>
          <w:szCs w:val="24"/>
          <w:lang w:val="en-GB"/>
        </w:rPr>
      </w:pPr>
      <w:r w:rsidRPr="00DC482C">
        <w:rPr>
          <w:szCs w:val="24"/>
          <w:lang w:val="en-GB"/>
        </w:rPr>
        <w:t>3</w:t>
      </w:r>
      <w:r w:rsidRPr="00DC482C">
        <w:rPr>
          <w:szCs w:val="24"/>
          <w:lang w:val="en-GB"/>
        </w:rPr>
        <w:tab/>
        <w:t xml:space="preserve">To be guided in their work by the </w:t>
      </w:r>
      <w:r w:rsidRPr="00DC482C">
        <w:rPr>
          <w:lang w:val="en-GB"/>
        </w:rPr>
        <w:t>decisions</w:t>
      </w:r>
      <w:r w:rsidRPr="00DC482C">
        <w:rPr>
          <w:szCs w:val="24"/>
          <w:lang w:val="en-GB"/>
        </w:rPr>
        <w:t xml:space="preserve"> of Resolution 154 (Rev. Bucharest, 2022) of the Plenipotentiary Conference and this resolution.</w:t>
      </w:r>
    </w:p>
    <w:p w14:paraId="2348A933" w14:textId="77777777" w:rsidR="005B3EF7" w:rsidRPr="00DC482C" w:rsidRDefault="005B3EF7" w:rsidP="005B3EF7">
      <w:pPr>
        <w:jc w:val="both"/>
        <w:rPr>
          <w:szCs w:val="24"/>
          <w:lang w:val="en-GB"/>
        </w:rPr>
      </w:pPr>
      <w:r w:rsidRPr="00DC482C">
        <w:rPr>
          <w:szCs w:val="24"/>
          <w:lang w:val="en-GB"/>
        </w:rPr>
        <w:t>4</w:t>
      </w:r>
      <w:r w:rsidRPr="00DC482C">
        <w:rPr>
          <w:szCs w:val="24"/>
          <w:lang w:val="en-GB"/>
        </w:rPr>
        <w:tab/>
        <w:t xml:space="preserve">To inform annually Sector Advisory </w:t>
      </w:r>
      <w:r w:rsidRPr="00DC482C">
        <w:rPr>
          <w:lang w:val="en-GB"/>
        </w:rPr>
        <w:t>Groups</w:t>
      </w:r>
      <w:r w:rsidRPr="00DC482C">
        <w:rPr>
          <w:szCs w:val="24"/>
          <w:lang w:val="en-GB"/>
        </w:rPr>
        <w:t xml:space="preserve"> and CWG-LANG on the ITU CCT activities, including through the ITU-R CCV and ITU-T SCV.</w:t>
      </w:r>
    </w:p>
    <w:p w14:paraId="358FBCA1" w14:textId="77777777" w:rsidR="005B3EF7" w:rsidRPr="00DC482C" w:rsidRDefault="005B3EF7" w:rsidP="005B3EF7">
      <w:pPr>
        <w:tabs>
          <w:tab w:val="clear" w:pos="567"/>
          <w:tab w:val="clear" w:pos="1134"/>
          <w:tab w:val="clear" w:pos="1701"/>
          <w:tab w:val="clear" w:pos="2268"/>
          <w:tab w:val="clear" w:pos="2835"/>
        </w:tabs>
        <w:overflowPunct/>
        <w:autoSpaceDE/>
        <w:autoSpaceDN/>
        <w:adjustRightInd/>
        <w:spacing w:before="0"/>
        <w:textAlignment w:val="auto"/>
        <w:rPr>
          <w:szCs w:val="24"/>
          <w:lang w:val="en-GB"/>
        </w:rPr>
      </w:pPr>
      <w:r w:rsidRPr="00DC482C">
        <w:rPr>
          <w:szCs w:val="24"/>
          <w:lang w:val="en-GB"/>
        </w:rPr>
        <w:br w:type="page"/>
      </w:r>
    </w:p>
    <w:p w14:paraId="664441AE" w14:textId="77777777" w:rsidR="005B3EF7" w:rsidRPr="00DC482C" w:rsidRDefault="005B3EF7" w:rsidP="005B3EF7">
      <w:pPr>
        <w:pStyle w:val="AnnexNo"/>
        <w:rPr>
          <w:lang w:val="en-GB"/>
        </w:rPr>
      </w:pPr>
      <w:r w:rsidRPr="00DC482C">
        <w:rPr>
          <w:lang w:val="en-GB"/>
        </w:rPr>
        <w:lastRenderedPageBreak/>
        <w:t>annex 2</w:t>
      </w:r>
    </w:p>
    <w:p w14:paraId="63989E34" w14:textId="77777777" w:rsidR="005B3EF7" w:rsidRPr="00DC482C" w:rsidRDefault="005B3EF7" w:rsidP="005B3EF7">
      <w:pPr>
        <w:pStyle w:val="Annextitle"/>
        <w:rPr>
          <w:lang w:val="en-GB"/>
        </w:rPr>
      </w:pPr>
      <w:r w:rsidRPr="00DC482C">
        <w:rPr>
          <w:lang w:val="en-GB"/>
        </w:rPr>
        <w:t>Responsibilities of rapporteurs for vocabulary</w:t>
      </w:r>
    </w:p>
    <w:p w14:paraId="70FA239A" w14:textId="77777777" w:rsidR="005B3EF7" w:rsidRPr="00DC482C" w:rsidRDefault="005B3EF7" w:rsidP="005B3EF7">
      <w:pPr>
        <w:pStyle w:val="Normalaftertitle"/>
        <w:jc w:val="both"/>
        <w:rPr>
          <w:lang w:val="en-GB"/>
        </w:rPr>
      </w:pPr>
      <w:r w:rsidRPr="00DC482C">
        <w:rPr>
          <w:lang w:val="en-GB"/>
        </w:rPr>
        <w:t>1</w:t>
      </w:r>
      <w:r w:rsidRPr="00DC482C">
        <w:rPr>
          <w:lang w:val="en-GB"/>
        </w:rPr>
        <w:tab/>
        <w:t>Rapporteurs should coordinate the study, review and analysis of terminology and related subjects referred to them by:</w:t>
      </w:r>
    </w:p>
    <w:p w14:paraId="4734CEAB" w14:textId="77777777" w:rsidR="005B3EF7" w:rsidRPr="00DC482C" w:rsidRDefault="005B3EF7" w:rsidP="005B3EF7">
      <w:pPr>
        <w:pStyle w:val="enumlev1"/>
        <w:jc w:val="both"/>
        <w:rPr>
          <w:lang w:val="en-GB"/>
        </w:rPr>
      </w:pPr>
      <w:r w:rsidRPr="00DC482C">
        <w:rPr>
          <w:rFonts w:cs="Calibri"/>
          <w:lang w:val="en-GB"/>
        </w:rPr>
        <w:t>–</w:t>
      </w:r>
      <w:r w:rsidRPr="00DC482C">
        <w:rPr>
          <w:lang w:val="en-GB"/>
        </w:rPr>
        <w:tab/>
        <w:t>working parties or rapporteur groups of the same study group;</w:t>
      </w:r>
    </w:p>
    <w:p w14:paraId="4FE95C8C" w14:textId="77777777" w:rsidR="005B3EF7" w:rsidRPr="00DC482C" w:rsidRDefault="005B3EF7" w:rsidP="005B3EF7">
      <w:pPr>
        <w:pStyle w:val="enumlev1"/>
        <w:jc w:val="both"/>
        <w:rPr>
          <w:rFonts w:cs="Calibri"/>
          <w:lang w:val="en-GB"/>
        </w:rPr>
      </w:pPr>
      <w:r w:rsidRPr="00DC482C">
        <w:rPr>
          <w:rFonts w:cs="Calibri"/>
          <w:lang w:val="en-GB"/>
        </w:rPr>
        <w:t>–</w:t>
      </w:r>
      <w:r w:rsidRPr="00DC482C">
        <w:rPr>
          <w:lang w:val="en-GB"/>
        </w:rPr>
        <w:tab/>
        <w:t>the ITU study group as a whole;</w:t>
      </w:r>
    </w:p>
    <w:p w14:paraId="46904C50" w14:textId="77777777" w:rsidR="005B3EF7" w:rsidRPr="00DC482C" w:rsidRDefault="005B3EF7" w:rsidP="005B3EF7">
      <w:pPr>
        <w:pStyle w:val="enumlev1"/>
        <w:jc w:val="both"/>
        <w:rPr>
          <w:lang w:val="en-GB"/>
        </w:rPr>
      </w:pPr>
      <w:r w:rsidRPr="00DC482C">
        <w:rPr>
          <w:rFonts w:cs="Calibri"/>
          <w:lang w:val="en-GB"/>
        </w:rPr>
        <w:t>–</w:t>
      </w:r>
      <w:r w:rsidRPr="00DC482C">
        <w:rPr>
          <w:lang w:val="en-GB"/>
        </w:rPr>
        <w:tab/>
        <w:t>the rapporteurs for vocabulary of other ITU study groups;</w:t>
      </w:r>
    </w:p>
    <w:p w14:paraId="28CC70A8" w14:textId="77777777" w:rsidR="005B3EF7" w:rsidRPr="00DC482C" w:rsidRDefault="005B3EF7" w:rsidP="005B3EF7">
      <w:pPr>
        <w:pStyle w:val="enumlev1"/>
        <w:jc w:val="both"/>
        <w:rPr>
          <w:lang w:val="en-GB"/>
        </w:rPr>
      </w:pPr>
      <w:r w:rsidRPr="00DC482C">
        <w:rPr>
          <w:rFonts w:cs="Calibri"/>
          <w:lang w:val="en-GB"/>
        </w:rPr>
        <w:t>–</w:t>
      </w:r>
      <w:r w:rsidRPr="00DC482C">
        <w:rPr>
          <w:lang w:val="en-GB"/>
        </w:rPr>
        <w:tab/>
        <w:t>the Coordination Committee for Vocabulary (CCV) of the ITU Radiocommunication Sector (ITU-R)/the Standardization Committee for Vocabulary (SCV) of the ITU Telecommunication Standardization Sector (ITU-T)/the ITU Coordination Committee for Terminology (ITU CCT),</w:t>
      </w:r>
    </w:p>
    <w:p w14:paraId="460A9D78" w14:textId="77777777" w:rsidR="005B3EF7" w:rsidRPr="00DC482C" w:rsidRDefault="005B3EF7" w:rsidP="005B3EF7">
      <w:pPr>
        <w:jc w:val="both"/>
        <w:rPr>
          <w:lang w:val="en-GB"/>
        </w:rPr>
      </w:pPr>
      <w:r w:rsidRPr="00DC482C">
        <w:rPr>
          <w:lang w:val="en-GB"/>
        </w:rPr>
        <w:t>and provide guidance on the proposed terms and definitions, as appropriate.</w:t>
      </w:r>
    </w:p>
    <w:p w14:paraId="2047E687" w14:textId="77777777" w:rsidR="005B3EF7" w:rsidRPr="00DC482C" w:rsidRDefault="005B3EF7" w:rsidP="005B3EF7">
      <w:pPr>
        <w:jc w:val="both"/>
        <w:rPr>
          <w:lang w:val="en-GB"/>
        </w:rPr>
      </w:pPr>
      <w:r w:rsidRPr="00DC482C">
        <w:rPr>
          <w:lang w:val="en-GB"/>
        </w:rPr>
        <w:t>2</w:t>
      </w:r>
      <w:r w:rsidRPr="00DC482C">
        <w:rPr>
          <w:lang w:val="en-GB"/>
        </w:rPr>
        <w:tab/>
        <w:t>Rapporteurs for vocabulary in the relevant sphere of telecommunication/ICT should be responsible for coordinating work on vocabulary and related subjects within their own study groups and with other ITU study groups, the objective being to reach agreement among the responsible study groups on the proposed terms and definitions.</w:t>
      </w:r>
    </w:p>
    <w:p w14:paraId="01638C08" w14:textId="77777777" w:rsidR="005B3EF7" w:rsidRPr="00DC482C" w:rsidRDefault="005B3EF7" w:rsidP="005B3EF7">
      <w:pPr>
        <w:jc w:val="both"/>
        <w:rPr>
          <w:lang w:val="en-GB"/>
        </w:rPr>
      </w:pPr>
      <w:r w:rsidRPr="00DC482C">
        <w:rPr>
          <w:lang w:val="en-GB"/>
        </w:rPr>
        <w:t>3</w:t>
      </w:r>
      <w:r w:rsidRPr="00DC482C">
        <w:rPr>
          <w:lang w:val="en-GB"/>
        </w:rPr>
        <w:tab/>
        <w:t>Rapporteurs shall serve as the liaison for vocabulary between their respective study group and CCV/SCV/ITU CCТ, ensuring ongoing communication. Their participation in any meetings, either virtually or in person, that may be held by CCV/SCV/ITU CCT is encouraged to keep abreast of new developments and to contribute to discussions.</w:t>
      </w:r>
    </w:p>
    <w:p w14:paraId="62FFD137" w14:textId="77777777" w:rsidR="005B3EF7" w:rsidRPr="00DC482C" w:rsidRDefault="005B3EF7" w:rsidP="005B3EF7">
      <w:pPr>
        <w:jc w:val="both"/>
        <w:rPr>
          <w:lang w:val="en-GB"/>
        </w:rPr>
      </w:pPr>
      <w:r w:rsidRPr="00DC482C">
        <w:rPr>
          <w:lang w:val="en-GB"/>
        </w:rPr>
        <w:t>4</w:t>
      </w:r>
      <w:r w:rsidRPr="00DC482C">
        <w:rPr>
          <w:lang w:val="en-GB"/>
        </w:rPr>
        <w:tab/>
        <w:t>Rapporteurs for vocabulary should collaborate actively with counterparts in other ITU study groups to maintain consistency across the vocabulary used in all technical areas.</w:t>
      </w:r>
    </w:p>
    <w:p w14:paraId="0B0A21AC" w14:textId="77777777" w:rsidR="005B3EF7" w:rsidRPr="00DC482C" w:rsidRDefault="005B3EF7" w:rsidP="005B3EF7">
      <w:pPr>
        <w:rPr>
          <w:lang w:val="en-GB"/>
        </w:rPr>
      </w:pPr>
    </w:p>
    <w:p w14:paraId="310A3D0C" w14:textId="33005125" w:rsidR="00625834" w:rsidRPr="00CF1C18" w:rsidRDefault="00625834" w:rsidP="00AF0BF4">
      <w:pPr>
        <w:spacing w:before="480"/>
        <w:jc w:val="center"/>
        <w:rPr>
          <w:lang w:val="en-GB"/>
        </w:rPr>
      </w:pPr>
      <w:r w:rsidRPr="00DC482C">
        <w:rPr>
          <w:lang w:val="en-GB"/>
        </w:rPr>
        <w:t>_____________</w:t>
      </w:r>
    </w:p>
    <w:sectPr w:rsidR="00625834" w:rsidRPr="00CF1C18" w:rsidSect="002F4B58">
      <w:footerReference w:type="default" r:id="rId8"/>
      <w:headerReference w:type="first" r:id="rId9"/>
      <w:footerReference w:type="first" r:id="rId10"/>
      <w:pgSz w:w="11907" w:h="16834" w:code="9"/>
      <w:pgMar w:top="1418" w:right="1418" w:bottom="1418" w:left="1418"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15FA8" w14:textId="77777777" w:rsidR="0072399D" w:rsidRDefault="0072399D">
      <w:r>
        <w:separator/>
      </w:r>
    </w:p>
  </w:endnote>
  <w:endnote w:type="continuationSeparator" w:id="0">
    <w:p w14:paraId="33641558" w14:textId="77777777" w:rsidR="0072399D" w:rsidRDefault="0072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56F98291" w14:textId="77777777" w:rsidTr="0042469C">
      <w:trPr>
        <w:jc w:val="center"/>
      </w:trPr>
      <w:tc>
        <w:tcPr>
          <w:tcW w:w="1803" w:type="dxa"/>
          <w:vAlign w:val="center"/>
        </w:tcPr>
        <w:p w14:paraId="40D4AA38" w14:textId="41604DAC" w:rsidR="00EE49E8" w:rsidRDefault="00EE49E8" w:rsidP="00EE49E8">
          <w:pPr>
            <w:pStyle w:val="Header"/>
            <w:jc w:val="left"/>
            <w:rPr>
              <w:noProof/>
            </w:rPr>
          </w:pPr>
        </w:p>
      </w:tc>
      <w:tc>
        <w:tcPr>
          <w:tcW w:w="8261" w:type="dxa"/>
        </w:tcPr>
        <w:p w14:paraId="3992FCD0" w14:textId="327889FE"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AF0BF4">
            <w:rPr>
              <w:bCs/>
            </w:rPr>
            <w:t>136</w:t>
          </w:r>
          <w:r w:rsidRPr="00623AE3">
            <w:rPr>
              <w:bCs/>
            </w:rPr>
            <w:t>-E</w:t>
          </w:r>
          <w:r>
            <w:rPr>
              <w:bCs/>
            </w:rPr>
            <w:tab/>
          </w:r>
          <w:r>
            <w:fldChar w:fldCharType="begin"/>
          </w:r>
          <w:r>
            <w:instrText>PAGE</w:instrText>
          </w:r>
          <w:r>
            <w:fldChar w:fldCharType="separate"/>
          </w:r>
          <w:r>
            <w:t>1</w:t>
          </w:r>
          <w:r>
            <w:rPr>
              <w:noProof/>
            </w:rPr>
            <w:fldChar w:fldCharType="end"/>
          </w:r>
        </w:p>
      </w:tc>
    </w:tr>
  </w:tbl>
  <w:p w14:paraId="3D12C7B2"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4A82515" w14:textId="77777777" w:rsidTr="006B77F1">
      <w:trPr>
        <w:jc w:val="center"/>
      </w:trPr>
      <w:tc>
        <w:tcPr>
          <w:tcW w:w="1803" w:type="dxa"/>
          <w:vAlign w:val="center"/>
        </w:tcPr>
        <w:p w14:paraId="251975E3" w14:textId="77777777" w:rsidR="00EE49E8" w:rsidRPr="006B77F1" w:rsidRDefault="00DE532B" w:rsidP="00EE49E8">
          <w:pPr>
            <w:pStyle w:val="Header"/>
            <w:jc w:val="left"/>
            <w:rPr>
              <w:noProof/>
            </w:rPr>
          </w:pPr>
          <w:hyperlink r:id="rId1" w:history="1">
            <w:r>
              <w:rPr>
                <w:rStyle w:val="Hyperlink"/>
              </w:rPr>
              <w:t>council.itu.int/2026</w:t>
            </w:r>
          </w:hyperlink>
        </w:p>
      </w:tc>
      <w:tc>
        <w:tcPr>
          <w:tcW w:w="8261" w:type="dxa"/>
        </w:tcPr>
        <w:p w14:paraId="5CCC4CB8" w14:textId="43C2B043"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AF0BF4">
            <w:rPr>
              <w:bCs/>
            </w:rPr>
            <w:t>136</w:t>
          </w:r>
          <w:r w:rsidRPr="00623AE3">
            <w:rPr>
              <w:bCs/>
            </w:rPr>
            <w:t>-E</w:t>
          </w:r>
          <w:r>
            <w:rPr>
              <w:bCs/>
            </w:rPr>
            <w:tab/>
          </w:r>
          <w:r>
            <w:fldChar w:fldCharType="begin"/>
          </w:r>
          <w:r>
            <w:instrText>PAGE</w:instrText>
          </w:r>
          <w:r>
            <w:fldChar w:fldCharType="separate"/>
          </w:r>
          <w:r>
            <w:t>1</w:t>
          </w:r>
          <w:r>
            <w:rPr>
              <w:noProof/>
            </w:rPr>
            <w:fldChar w:fldCharType="end"/>
          </w:r>
        </w:p>
      </w:tc>
    </w:tr>
  </w:tbl>
  <w:p w14:paraId="61A3623B"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338AD" w14:textId="77777777" w:rsidR="0072399D" w:rsidRDefault="0072399D">
      <w:r>
        <w:t>____________________</w:t>
      </w:r>
    </w:p>
  </w:footnote>
  <w:footnote w:type="continuationSeparator" w:id="0">
    <w:p w14:paraId="3F8FA162" w14:textId="77777777" w:rsidR="0072399D" w:rsidRDefault="0072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8277"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34"/>
    <w:rsid w:val="0001390C"/>
    <w:rsid w:val="000210D4"/>
    <w:rsid w:val="00045C9B"/>
    <w:rsid w:val="0006007D"/>
    <w:rsid w:val="00060C24"/>
    <w:rsid w:val="00063016"/>
    <w:rsid w:val="00066795"/>
    <w:rsid w:val="0007173C"/>
    <w:rsid w:val="00076AF6"/>
    <w:rsid w:val="00085CF2"/>
    <w:rsid w:val="000A7F46"/>
    <w:rsid w:val="000B1705"/>
    <w:rsid w:val="000C7EFD"/>
    <w:rsid w:val="000D40BA"/>
    <w:rsid w:val="000D75B2"/>
    <w:rsid w:val="000E372C"/>
    <w:rsid w:val="000E704C"/>
    <w:rsid w:val="000F5DDB"/>
    <w:rsid w:val="00101494"/>
    <w:rsid w:val="0011104B"/>
    <w:rsid w:val="001121F5"/>
    <w:rsid w:val="001208F0"/>
    <w:rsid w:val="001400DC"/>
    <w:rsid w:val="00140CE1"/>
    <w:rsid w:val="0015189A"/>
    <w:rsid w:val="00154453"/>
    <w:rsid w:val="0017539C"/>
    <w:rsid w:val="00175AC2"/>
    <w:rsid w:val="0017609F"/>
    <w:rsid w:val="00176F47"/>
    <w:rsid w:val="001A3154"/>
    <w:rsid w:val="001A7D1D"/>
    <w:rsid w:val="001B2E7E"/>
    <w:rsid w:val="001B51DD"/>
    <w:rsid w:val="001C628E"/>
    <w:rsid w:val="001E0F7B"/>
    <w:rsid w:val="001F5569"/>
    <w:rsid w:val="0020487B"/>
    <w:rsid w:val="002108DE"/>
    <w:rsid w:val="002119FD"/>
    <w:rsid w:val="002130E0"/>
    <w:rsid w:val="00221F46"/>
    <w:rsid w:val="002358A0"/>
    <w:rsid w:val="002642E9"/>
    <w:rsid w:val="00264425"/>
    <w:rsid w:val="00265875"/>
    <w:rsid w:val="0027303B"/>
    <w:rsid w:val="00277DEA"/>
    <w:rsid w:val="0028109B"/>
    <w:rsid w:val="002916B4"/>
    <w:rsid w:val="002A0284"/>
    <w:rsid w:val="002A0615"/>
    <w:rsid w:val="002A133E"/>
    <w:rsid w:val="002A2188"/>
    <w:rsid w:val="002B1F58"/>
    <w:rsid w:val="002B6780"/>
    <w:rsid w:val="002C1C7A"/>
    <w:rsid w:val="002C3F32"/>
    <w:rsid w:val="002C54E2"/>
    <w:rsid w:val="002F4B58"/>
    <w:rsid w:val="0030160F"/>
    <w:rsid w:val="00320223"/>
    <w:rsid w:val="00322568"/>
    <w:rsid w:val="00322D0D"/>
    <w:rsid w:val="00336C34"/>
    <w:rsid w:val="00341BE9"/>
    <w:rsid w:val="00361465"/>
    <w:rsid w:val="003877F5"/>
    <w:rsid w:val="003936D3"/>
    <w:rsid w:val="003942D4"/>
    <w:rsid w:val="003958A8"/>
    <w:rsid w:val="003A0BF3"/>
    <w:rsid w:val="003B29C2"/>
    <w:rsid w:val="003B4FAF"/>
    <w:rsid w:val="003C2533"/>
    <w:rsid w:val="003D5A7F"/>
    <w:rsid w:val="003E623E"/>
    <w:rsid w:val="003F0228"/>
    <w:rsid w:val="003F3496"/>
    <w:rsid w:val="0040435A"/>
    <w:rsid w:val="004159C5"/>
    <w:rsid w:val="00416A24"/>
    <w:rsid w:val="00431D9E"/>
    <w:rsid w:val="00433CE8"/>
    <w:rsid w:val="00434A5C"/>
    <w:rsid w:val="00453079"/>
    <w:rsid w:val="00453F6F"/>
    <w:rsid w:val="004544D9"/>
    <w:rsid w:val="00465C35"/>
    <w:rsid w:val="00472BAD"/>
    <w:rsid w:val="00472C7A"/>
    <w:rsid w:val="00484009"/>
    <w:rsid w:val="00490E72"/>
    <w:rsid w:val="00491157"/>
    <w:rsid w:val="00491BA9"/>
    <w:rsid w:val="004921C8"/>
    <w:rsid w:val="0049369C"/>
    <w:rsid w:val="00495615"/>
    <w:rsid w:val="00495B0B"/>
    <w:rsid w:val="004A1B8B"/>
    <w:rsid w:val="004D1851"/>
    <w:rsid w:val="004D599D"/>
    <w:rsid w:val="004E2EA5"/>
    <w:rsid w:val="004E3AEB"/>
    <w:rsid w:val="0050223C"/>
    <w:rsid w:val="00512087"/>
    <w:rsid w:val="005243FF"/>
    <w:rsid w:val="005302EB"/>
    <w:rsid w:val="00564FBC"/>
    <w:rsid w:val="005800BC"/>
    <w:rsid w:val="00582442"/>
    <w:rsid w:val="005B3EF7"/>
    <w:rsid w:val="005F3269"/>
    <w:rsid w:val="0061071E"/>
    <w:rsid w:val="00623AE3"/>
    <w:rsid w:val="00625834"/>
    <w:rsid w:val="0064737F"/>
    <w:rsid w:val="00647D35"/>
    <w:rsid w:val="006535F1"/>
    <w:rsid w:val="0065557D"/>
    <w:rsid w:val="00660D50"/>
    <w:rsid w:val="00662984"/>
    <w:rsid w:val="006716BB"/>
    <w:rsid w:val="00680E2C"/>
    <w:rsid w:val="0068533D"/>
    <w:rsid w:val="006A0006"/>
    <w:rsid w:val="006A2F4B"/>
    <w:rsid w:val="006A3846"/>
    <w:rsid w:val="006B1859"/>
    <w:rsid w:val="006B6680"/>
    <w:rsid w:val="006B6DCC"/>
    <w:rsid w:val="006B77F1"/>
    <w:rsid w:val="00702C89"/>
    <w:rsid w:val="00702DEF"/>
    <w:rsid w:val="00706861"/>
    <w:rsid w:val="00722551"/>
    <w:rsid w:val="0072399D"/>
    <w:rsid w:val="00742E84"/>
    <w:rsid w:val="0075051B"/>
    <w:rsid w:val="00765C89"/>
    <w:rsid w:val="0077110E"/>
    <w:rsid w:val="00793188"/>
    <w:rsid w:val="00794D34"/>
    <w:rsid w:val="007A3FCD"/>
    <w:rsid w:val="007B19CF"/>
    <w:rsid w:val="007B6C80"/>
    <w:rsid w:val="007D01AF"/>
    <w:rsid w:val="00810378"/>
    <w:rsid w:val="00813E5E"/>
    <w:rsid w:val="0083581B"/>
    <w:rsid w:val="0084546D"/>
    <w:rsid w:val="00860A62"/>
    <w:rsid w:val="00863874"/>
    <w:rsid w:val="00864AFF"/>
    <w:rsid w:val="00865925"/>
    <w:rsid w:val="008B4A6A"/>
    <w:rsid w:val="008C7E27"/>
    <w:rsid w:val="008F55B7"/>
    <w:rsid w:val="008F7448"/>
    <w:rsid w:val="0090147A"/>
    <w:rsid w:val="009173EF"/>
    <w:rsid w:val="00932906"/>
    <w:rsid w:val="00940F65"/>
    <w:rsid w:val="00954C49"/>
    <w:rsid w:val="00961B0B"/>
    <w:rsid w:val="00962D33"/>
    <w:rsid w:val="0096623E"/>
    <w:rsid w:val="009842A1"/>
    <w:rsid w:val="009A1136"/>
    <w:rsid w:val="009A76A8"/>
    <w:rsid w:val="009B38C3"/>
    <w:rsid w:val="009E17BD"/>
    <w:rsid w:val="009E485A"/>
    <w:rsid w:val="009F3818"/>
    <w:rsid w:val="00A01F4F"/>
    <w:rsid w:val="00A04CEC"/>
    <w:rsid w:val="00A109AF"/>
    <w:rsid w:val="00A23CDB"/>
    <w:rsid w:val="00A27F92"/>
    <w:rsid w:val="00A32257"/>
    <w:rsid w:val="00A36D20"/>
    <w:rsid w:val="00A44095"/>
    <w:rsid w:val="00A514A4"/>
    <w:rsid w:val="00A55622"/>
    <w:rsid w:val="00A64FDC"/>
    <w:rsid w:val="00A657FA"/>
    <w:rsid w:val="00A769C2"/>
    <w:rsid w:val="00A83502"/>
    <w:rsid w:val="00A94BAB"/>
    <w:rsid w:val="00A94C32"/>
    <w:rsid w:val="00AA1F19"/>
    <w:rsid w:val="00AD15B3"/>
    <w:rsid w:val="00AD3606"/>
    <w:rsid w:val="00AD4A3D"/>
    <w:rsid w:val="00AF0BF4"/>
    <w:rsid w:val="00AF6E49"/>
    <w:rsid w:val="00B04A67"/>
    <w:rsid w:val="00B0583C"/>
    <w:rsid w:val="00B0717C"/>
    <w:rsid w:val="00B1675F"/>
    <w:rsid w:val="00B40A81"/>
    <w:rsid w:val="00B44910"/>
    <w:rsid w:val="00B67A1F"/>
    <w:rsid w:val="00B67D46"/>
    <w:rsid w:val="00B72267"/>
    <w:rsid w:val="00B76EB6"/>
    <w:rsid w:val="00B7737B"/>
    <w:rsid w:val="00B824C8"/>
    <w:rsid w:val="00B84B9D"/>
    <w:rsid w:val="00B9131F"/>
    <w:rsid w:val="00BB0646"/>
    <w:rsid w:val="00BC251A"/>
    <w:rsid w:val="00BC4A20"/>
    <w:rsid w:val="00BD032B"/>
    <w:rsid w:val="00BE01C6"/>
    <w:rsid w:val="00BE2640"/>
    <w:rsid w:val="00BF1FDE"/>
    <w:rsid w:val="00C01189"/>
    <w:rsid w:val="00C02762"/>
    <w:rsid w:val="00C0458D"/>
    <w:rsid w:val="00C32445"/>
    <w:rsid w:val="00C374DE"/>
    <w:rsid w:val="00C44F85"/>
    <w:rsid w:val="00C47AD4"/>
    <w:rsid w:val="00C52D81"/>
    <w:rsid w:val="00C55198"/>
    <w:rsid w:val="00C5605F"/>
    <w:rsid w:val="00C6520B"/>
    <w:rsid w:val="00C83927"/>
    <w:rsid w:val="00CA6393"/>
    <w:rsid w:val="00CA7995"/>
    <w:rsid w:val="00CB18FF"/>
    <w:rsid w:val="00CC169F"/>
    <w:rsid w:val="00CD0C08"/>
    <w:rsid w:val="00CE03FB"/>
    <w:rsid w:val="00CE2553"/>
    <w:rsid w:val="00CE2FE0"/>
    <w:rsid w:val="00CE433C"/>
    <w:rsid w:val="00CF0161"/>
    <w:rsid w:val="00CF1C18"/>
    <w:rsid w:val="00CF33F3"/>
    <w:rsid w:val="00CF4A2B"/>
    <w:rsid w:val="00D024CA"/>
    <w:rsid w:val="00D03A66"/>
    <w:rsid w:val="00D06183"/>
    <w:rsid w:val="00D071D3"/>
    <w:rsid w:val="00D22C42"/>
    <w:rsid w:val="00D54FEB"/>
    <w:rsid w:val="00D65041"/>
    <w:rsid w:val="00D93744"/>
    <w:rsid w:val="00D9600A"/>
    <w:rsid w:val="00DB1936"/>
    <w:rsid w:val="00DB384B"/>
    <w:rsid w:val="00DC482C"/>
    <w:rsid w:val="00DD564F"/>
    <w:rsid w:val="00DD71D4"/>
    <w:rsid w:val="00DE27F4"/>
    <w:rsid w:val="00DE532B"/>
    <w:rsid w:val="00DF0189"/>
    <w:rsid w:val="00E06FD5"/>
    <w:rsid w:val="00E10E80"/>
    <w:rsid w:val="00E112FD"/>
    <w:rsid w:val="00E124F0"/>
    <w:rsid w:val="00E15B25"/>
    <w:rsid w:val="00E227F3"/>
    <w:rsid w:val="00E2400F"/>
    <w:rsid w:val="00E545C6"/>
    <w:rsid w:val="00E60F04"/>
    <w:rsid w:val="00E65B24"/>
    <w:rsid w:val="00E854E4"/>
    <w:rsid w:val="00E86DBF"/>
    <w:rsid w:val="00E969AF"/>
    <w:rsid w:val="00EB0D6F"/>
    <w:rsid w:val="00EB2232"/>
    <w:rsid w:val="00EC48E2"/>
    <w:rsid w:val="00EC5337"/>
    <w:rsid w:val="00EE49E8"/>
    <w:rsid w:val="00EF0071"/>
    <w:rsid w:val="00F16BAB"/>
    <w:rsid w:val="00F2150A"/>
    <w:rsid w:val="00F231D8"/>
    <w:rsid w:val="00F344AD"/>
    <w:rsid w:val="00F408CB"/>
    <w:rsid w:val="00F44C00"/>
    <w:rsid w:val="00F45D2C"/>
    <w:rsid w:val="00F468D7"/>
    <w:rsid w:val="00F46C5F"/>
    <w:rsid w:val="00F632C0"/>
    <w:rsid w:val="00F641E1"/>
    <w:rsid w:val="00F94A63"/>
    <w:rsid w:val="00FA1C28"/>
    <w:rsid w:val="00FB1279"/>
    <w:rsid w:val="00FB6B76"/>
    <w:rsid w:val="00FB7596"/>
    <w:rsid w:val="00FC118C"/>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3908F"/>
  <w15:docId w15:val="{963FE36D-90EE-4083-B287-3CFC417C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8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C48E2"/>
    <w:pPr>
      <w:keepNext/>
      <w:keepLines/>
      <w:spacing w:before="360"/>
      <w:ind w:left="567" w:hanging="567"/>
      <w:outlineLvl w:val="0"/>
    </w:pPr>
    <w:rPr>
      <w:b/>
      <w:sz w:val="28"/>
    </w:rPr>
  </w:style>
  <w:style w:type="paragraph" w:styleId="Heading2">
    <w:name w:val="heading 2"/>
    <w:basedOn w:val="Heading1"/>
    <w:next w:val="Normal"/>
    <w:qFormat/>
    <w:rsid w:val="00EC48E2"/>
    <w:pPr>
      <w:spacing w:before="200"/>
      <w:outlineLvl w:val="1"/>
    </w:pPr>
    <w:rPr>
      <w:sz w:val="24"/>
    </w:rPr>
  </w:style>
  <w:style w:type="paragraph" w:styleId="Heading3">
    <w:name w:val="heading 3"/>
    <w:basedOn w:val="Heading1"/>
    <w:next w:val="Normal"/>
    <w:qFormat/>
    <w:rsid w:val="00EC48E2"/>
    <w:pPr>
      <w:spacing w:before="200"/>
      <w:outlineLvl w:val="2"/>
    </w:pPr>
    <w:rPr>
      <w:sz w:val="24"/>
    </w:rPr>
  </w:style>
  <w:style w:type="paragraph" w:styleId="Heading4">
    <w:name w:val="heading 4"/>
    <w:basedOn w:val="Heading3"/>
    <w:next w:val="Normal"/>
    <w:qFormat/>
    <w:rsid w:val="00EC48E2"/>
    <w:pPr>
      <w:ind w:left="1134" w:hanging="1134"/>
      <w:outlineLvl w:val="3"/>
    </w:pPr>
  </w:style>
  <w:style w:type="paragraph" w:styleId="Heading5">
    <w:name w:val="heading 5"/>
    <w:basedOn w:val="Heading4"/>
    <w:next w:val="Normal"/>
    <w:qFormat/>
    <w:rsid w:val="00EC48E2"/>
    <w:pPr>
      <w:outlineLvl w:val="4"/>
    </w:pPr>
  </w:style>
  <w:style w:type="paragraph" w:styleId="Heading6">
    <w:name w:val="heading 6"/>
    <w:basedOn w:val="Heading4"/>
    <w:next w:val="Normal"/>
    <w:qFormat/>
    <w:rsid w:val="00EC48E2"/>
    <w:pPr>
      <w:outlineLvl w:val="5"/>
    </w:pPr>
  </w:style>
  <w:style w:type="paragraph" w:styleId="Heading7">
    <w:name w:val="heading 7"/>
    <w:basedOn w:val="Heading4"/>
    <w:next w:val="Normal"/>
    <w:qFormat/>
    <w:rsid w:val="00EC48E2"/>
    <w:pPr>
      <w:ind w:left="1701" w:hanging="1701"/>
      <w:outlineLvl w:val="6"/>
    </w:pPr>
  </w:style>
  <w:style w:type="paragraph" w:styleId="Heading8">
    <w:name w:val="heading 8"/>
    <w:basedOn w:val="Heading4"/>
    <w:next w:val="Normal"/>
    <w:qFormat/>
    <w:rsid w:val="00EC48E2"/>
    <w:pPr>
      <w:ind w:left="1701" w:hanging="1701"/>
      <w:outlineLvl w:val="7"/>
    </w:pPr>
  </w:style>
  <w:style w:type="paragraph" w:styleId="Heading9">
    <w:name w:val="heading 9"/>
    <w:basedOn w:val="Heading4"/>
    <w:next w:val="Normal"/>
    <w:qFormat/>
    <w:rsid w:val="00EC48E2"/>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EC48E2"/>
  </w:style>
  <w:style w:type="paragraph" w:styleId="TOC4">
    <w:name w:val="toc 4"/>
    <w:basedOn w:val="TOC1"/>
    <w:next w:val="Normal"/>
    <w:rsid w:val="00EC48E2"/>
  </w:style>
  <w:style w:type="paragraph" w:styleId="TOC3">
    <w:name w:val="toc 3"/>
    <w:basedOn w:val="TOC1"/>
    <w:next w:val="Normal"/>
    <w:rsid w:val="00EC48E2"/>
  </w:style>
  <w:style w:type="paragraph" w:styleId="TOC2">
    <w:name w:val="toc 2"/>
    <w:basedOn w:val="TOC1"/>
    <w:next w:val="Normal"/>
    <w:rsid w:val="00EC48E2"/>
    <w:pPr>
      <w:spacing w:before="160"/>
    </w:pPr>
  </w:style>
  <w:style w:type="paragraph" w:styleId="TOC1">
    <w:name w:val="toc 1"/>
    <w:basedOn w:val="Normal"/>
    <w:rsid w:val="00EC48E2"/>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EC48E2"/>
  </w:style>
  <w:style w:type="paragraph" w:styleId="TOC6">
    <w:name w:val="toc 6"/>
    <w:basedOn w:val="TOC5"/>
    <w:next w:val="Normal"/>
    <w:rsid w:val="00EC48E2"/>
  </w:style>
  <w:style w:type="paragraph" w:styleId="TOC5">
    <w:name w:val="toc 5"/>
    <w:basedOn w:val="TOC4"/>
    <w:next w:val="Normal"/>
    <w:rsid w:val="00EC48E2"/>
    <w:rPr>
      <w:lang w:val="fr-CH"/>
    </w:rPr>
  </w:style>
  <w:style w:type="paragraph" w:styleId="Index7">
    <w:name w:val="index 7"/>
    <w:basedOn w:val="Normal"/>
    <w:next w:val="Normal"/>
    <w:rsid w:val="00EC48E2"/>
    <w:pPr>
      <w:ind w:left="1698"/>
    </w:pPr>
  </w:style>
  <w:style w:type="paragraph" w:styleId="Index6">
    <w:name w:val="index 6"/>
    <w:basedOn w:val="Normal"/>
    <w:next w:val="Normal"/>
    <w:rsid w:val="00EC48E2"/>
    <w:pPr>
      <w:ind w:left="1415"/>
    </w:pPr>
  </w:style>
  <w:style w:type="paragraph" w:styleId="Index5">
    <w:name w:val="index 5"/>
    <w:basedOn w:val="Normal"/>
    <w:next w:val="Normal"/>
    <w:rsid w:val="00EC48E2"/>
    <w:pPr>
      <w:ind w:left="1132"/>
    </w:pPr>
  </w:style>
  <w:style w:type="paragraph" w:styleId="Index4">
    <w:name w:val="index 4"/>
    <w:basedOn w:val="Normal"/>
    <w:next w:val="Normal"/>
    <w:rsid w:val="00EC48E2"/>
    <w:pPr>
      <w:ind w:left="849"/>
    </w:pPr>
  </w:style>
  <w:style w:type="paragraph" w:styleId="Index3">
    <w:name w:val="index 3"/>
    <w:basedOn w:val="Normal"/>
    <w:next w:val="Normal"/>
    <w:rsid w:val="00EC48E2"/>
    <w:pPr>
      <w:ind w:left="566"/>
    </w:pPr>
  </w:style>
  <w:style w:type="paragraph" w:styleId="Index2">
    <w:name w:val="index 2"/>
    <w:basedOn w:val="Normal"/>
    <w:next w:val="Normal"/>
    <w:rsid w:val="00EC48E2"/>
    <w:pPr>
      <w:ind w:left="283"/>
    </w:pPr>
  </w:style>
  <w:style w:type="paragraph" w:styleId="Index1">
    <w:name w:val="index 1"/>
    <w:basedOn w:val="Normal"/>
    <w:next w:val="Normal"/>
    <w:rsid w:val="00EC48E2"/>
  </w:style>
  <w:style w:type="character" w:styleId="LineNumber">
    <w:name w:val="line number"/>
    <w:basedOn w:val="DefaultParagraphFont"/>
    <w:rsid w:val="00EC48E2"/>
  </w:style>
  <w:style w:type="paragraph" w:styleId="IndexHeading">
    <w:name w:val="index heading"/>
    <w:basedOn w:val="Normal"/>
    <w:next w:val="Index1"/>
    <w:rsid w:val="00EC48E2"/>
  </w:style>
  <w:style w:type="paragraph" w:styleId="Footer">
    <w:name w:val="footer"/>
    <w:basedOn w:val="Normal"/>
    <w:rsid w:val="00EC48E2"/>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EC48E2"/>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EC48E2"/>
    <w:rPr>
      <w:rFonts w:ascii="Calibri" w:hAnsi="Calibri"/>
      <w:position w:val="6"/>
      <w:sz w:val="16"/>
    </w:rPr>
  </w:style>
  <w:style w:type="paragraph" w:styleId="FootnoteText">
    <w:name w:val="footnote text"/>
    <w:basedOn w:val="Normal"/>
    <w:rsid w:val="00EC48E2"/>
    <w:pPr>
      <w:keepLines/>
      <w:tabs>
        <w:tab w:val="left" w:pos="256"/>
      </w:tabs>
      <w:ind w:left="256" w:hanging="256"/>
    </w:pPr>
    <w:rPr>
      <w:sz w:val="22"/>
    </w:rPr>
  </w:style>
  <w:style w:type="paragraph" w:styleId="NormalIndent">
    <w:name w:val="Normal Indent"/>
    <w:basedOn w:val="Normal"/>
    <w:rsid w:val="00EC48E2"/>
    <w:pPr>
      <w:ind w:left="567"/>
    </w:pPr>
  </w:style>
  <w:style w:type="paragraph" w:customStyle="1" w:styleId="enumlev1">
    <w:name w:val="enumlev1"/>
    <w:basedOn w:val="Normal"/>
    <w:rsid w:val="00EC48E2"/>
    <w:pPr>
      <w:spacing w:before="80"/>
      <w:ind w:left="567" w:hanging="567"/>
    </w:pPr>
  </w:style>
  <w:style w:type="paragraph" w:customStyle="1" w:styleId="enumlev2">
    <w:name w:val="enumlev2"/>
    <w:basedOn w:val="enumlev1"/>
    <w:rsid w:val="00EC48E2"/>
    <w:pPr>
      <w:ind w:left="1134"/>
    </w:pPr>
  </w:style>
  <w:style w:type="paragraph" w:customStyle="1" w:styleId="enumlev3">
    <w:name w:val="enumlev3"/>
    <w:basedOn w:val="enumlev2"/>
    <w:rsid w:val="00EC48E2"/>
    <w:pPr>
      <w:ind w:left="1701"/>
    </w:pPr>
  </w:style>
  <w:style w:type="paragraph" w:customStyle="1" w:styleId="Normalaftertitle">
    <w:name w:val="Normal after title"/>
    <w:basedOn w:val="Normal"/>
    <w:next w:val="Normal"/>
    <w:rsid w:val="00EC48E2"/>
    <w:pPr>
      <w:spacing w:before="240"/>
    </w:pPr>
  </w:style>
  <w:style w:type="character" w:customStyle="1" w:styleId="HeaderChar">
    <w:name w:val="Header Char"/>
    <w:basedOn w:val="DefaultParagraphFont"/>
    <w:link w:val="Header"/>
    <w:uiPriority w:val="99"/>
    <w:rsid w:val="00EC48E2"/>
    <w:rPr>
      <w:rFonts w:ascii="Calibri" w:hAnsi="Calibri"/>
      <w:sz w:val="18"/>
      <w:lang w:val="fr-FR" w:eastAsia="en-US"/>
    </w:rPr>
  </w:style>
  <w:style w:type="paragraph" w:customStyle="1" w:styleId="Head">
    <w:name w:val="Head"/>
    <w:basedOn w:val="Normal"/>
    <w:rsid w:val="00EC48E2"/>
    <w:pPr>
      <w:tabs>
        <w:tab w:val="left" w:pos="6663"/>
      </w:tabs>
      <w:overflowPunct/>
      <w:autoSpaceDE/>
      <w:autoSpaceDN/>
      <w:adjustRightInd/>
      <w:spacing w:before="0"/>
      <w:textAlignment w:val="auto"/>
    </w:pPr>
  </w:style>
  <w:style w:type="paragraph" w:customStyle="1" w:styleId="toc0">
    <w:name w:val="toc 0"/>
    <w:basedOn w:val="Normal"/>
    <w:next w:val="TOC1"/>
    <w:rsid w:val="00EC48E2"/>
    <w:pPr>
      <w:tabs>
        <w:tab w:val="clear" w:pos="567"/>
        <w:tab w:val="clear" w:pos="1134"/>
        <w:tab w:val="clear" w:pos="1701"/>
        <w:tab w:val="clear" w:pos="2268"/>
        <w:tab w:val="clear" w:pos="2835"/>
        <w:tab w:val="right" w:pos="9781"/>
      </w:tabs>
    </w:pPr>
    <w:rPr>
      <w:b/>
    </w:rPr>
  </w:style>
  <w:style w:type="paragraph" w:styleId="List">
    <w:name w:val="List"/>
    <w:basedOn w:val="Normal"/>
    <w:rsid w:val="00EC48E2"/>
    <w:pPr>
      <w:tabs>
        <w:tab w:val="left" w:pos="2127"/>
      </w:tabs>
      <w:ind w:left="2127" w:hanging="2127"/>
    </w:pPr>
  </w:style>
  <w:style w:type="paragraph" w:customStyle="1" w:styleId="Part">
    <w:name w:val="Part"/>
    <w:basedOn w:val="Normal"/>
    <w:rsid w:val="00EC48E2"/>
    <w:pPr>
      <w:tabs>
        <w:tab w:val="left" w:pos="1276"/>
      </w:tabs>
      <w:spacing w:before="199"/>
      <w:ind w:left="1701" w:hanging="1701"/>
    </w:pPr>
    <w:rPr>
      <w:caps/>
    </w:rPr>
  </w:style>
  <w:style w:type="paragraph" w:customStyle="1" w:styleId="Source">
    <w:name w:val="Source"/>
    <w:basedOn w:val="Normal"/>
    <w:next w:val="Title1"/>
    <w:rsid w:val="00EC48E2"/>
    <w:pPr>
      <w:spacing w:before="840"/>
      <w:jc w:val="center"/>
    </w:pPr>
    <w:rPr>
      <w:b/>
      <w:sz w:val="28"/>
    </w:rPr>
  </w:style>
  <w:style w:type="paragraph" w:customStyle="1" w:styleId="meeting">
    <w:name w:val="meeting"/>
    <w:basedOn w:val="Head"/>
    <w:next w:val="Head"/>
    <w:rsid w:val="00EC48E2"/>
    <w:pPr>
      <w:tabs>
        <w:tab w:val="left" w:pos="7371"/>
      </w:tabs>
      <w:spacing w:after="567"/>
    </w:pPr>
  </w:style>
  <w:style w:type="paragraph" w:customStyle="1" w:styleId="Subject">
    <w:name w:val="Subject"/>
    <w:basedOn w:val="Normal"/>
    <w:next w:val="Source"/>
    <w:rsid w:val="00EC48E2"/>
    <w:pPr>
      <w:tabs>
        <w:tab w:val="left" w:pos="709"/>
      </w:tabs>
      <w:spacing w:before="0"/>
      <w:ind w:left="709" w:hanging="709"/>
    </w:pPr>
  </w:style>
  <w:style w:type="paragraph" w:customStyle="1" w:styleId="Object">
    <w:name w:val="Object"/>
    <w:basedOn w:val="Subject"/>
    <w:next w:val="Subject"/>
    <w:rsid w:val="00EC48E2"/>
  </w:style>
  <w:style w:type="paragraph" w:customStyle="1" w:styleId="Data">
    <w:name w:val="Data"/>
    <w:basedOn w:val="Subject"/>
    <w:next w:val="Subject"/>
    <w:rsid w:val="00EC48E2"/>
  </w:style>
  <w:style w:type="table" w:styleId="TableGrid">
    <w:name w:val="Table Grid"/>
    <w:basedOn w:val="TableNormal"/>
    <w:uiPriority w:val="39"/>
    <w:rsid w:val="00EC48E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C48E2"/>
    <w:rPr>
      <w:rFonts w:eastAsiaTheme="minorHAnsi" w:cstheme="minorBidi"/>
      <w:color w:val="4F81BD" w:themeColor="accent1"/>
      <w:szCs w:val="22"/>
    </w:rPr>
  </w:style>
  <w:style w:type="paragraph" w:customStyle="1" w:styleId="FirstFooter">
    <w:name w:val="FirstFooter"/>
    <w:basedOn w:val="Footer"/>
    <w:rsid w:val="00EC48E2"/>
    <w:rPr>
      <w:caps w:val="0"/>
    </w:rPr>
  </w:style>
  <w:style w:type="paragraph" w:customStyle="1" w:styleId="Note">
    <w:name w:val="Note"/>
    <w:basedOn w:val="Normal"/>
    <w:rsid w:val="00EC48E2"/>
    <w:pPr>
      <w:spacing w:before="80"/>
    </w:pPr>
    <w:rPr>
      <w:sz w:val="22"/>
    </w:rPr>
  </w:style>
  <w:style w:type="paragraph" w:styleId="TOC9">
    <w:name w:val="toc 9"/>
    <w:basedOn w:val="Normal"/>
    <w:next w:val="Normal"/>
    <w:rsid w:val="00EC48E2"/>
    <w:pPr>
      <w:tabs>
        <w:tab w:val="clear" w:pos="567"/>
        <w:tab w:val="clear" w:pos="1134"/>
        <w:tab w:val="clear" w:pos="1701"/>
        <w:tab w:val="clear" w:pos="2268"/>
        <w:tab w:val="clear" w:pos="2835"/>
        <w:tab w:val="right" w:leader="dot" w:pos="9645"/>
      </w:tabs>
      <w:ind w:left="1920"/>
    </w:pPr>
  </w:style>
  <w:style w:type="paragraph" w:customStyle="1" w:styleId="Headingb">
    <w:name w:val="Heading_b"/>
    <w:basedOn w:val="Heading3"/>
    <w:next w:val="Normal"/>
    <w:rsid w:val="00EC48E2"/>
    <w:pPr>
      <w:spacing w:before="160"/>
      <w:ind w:left="0" w:firstLine="0"/>
      <w:outlineLvl w:val="0"/>
    </w:pPr>
  </w:style>
  <w:style w:type="character" w:styleId="FollowedHyperlink">
    <w:name w:val="FollowedHyperlink"/>
    <w:basedOn w:val="DefaultParagraphFont"/>
    <w:rsid w:val="00EC48E2"/>
    <w:rPr>
      <w:color w:val="800080"/>
      <w:u w:val="single"/>
    </w:rPr>
  </w:style>
  <w:style w:type="paragraph" w:customStyle="1" w:styleId="Title1">
    <w:name w:val="Title 1"/>
    <w:basedOn w:val="Normal"/>
    <w:next w:val="Normalaftertitle"/>
    <w:rsid w:val="00EC48E2"/>
    <w:pPr>
      <w:spacing w:before="360"/>
      <w:jc w:val="center"/>
    </w:pPr>
    <w:rPr>
      <w:caps/>
    </w:rPr>
  </w:style>
  <w:style w:type="paragraph" w:customStyle="1" w:styleId="Title2">
    <w:name w:val="Title 2"/>
    <w:basedOn w:val="Title1"/>
    <w:next w:val="Normalaftertitle"/>
    <w:rsid w:val="00EC48E2"/>
    <w:pPr>
      <w:keepNext/>
      <w:keepLines/>
      <w:spacing w:before="240"/>
    </w:pPr>
    <w:rPr>
      <w:b/>
      <w:caps w:val="0"/>
    </w:rPr>
  </w:style>
  <w:style w:type="paragraph" w:customStyle="1" w:styleId="Title3">
    <w:name w:val="Title 3"/>
    <w:basedOn w:val="Title2"/>
    <w:next w:val="Normalaftertitle"/>
    <w:rsid w:val="00EC48E2"/>
    <w:rPr>
      <w:b w:val="0"/>
      <w:caps/>
    </w:rPr>
  </w:style>
  <w:style w:type="paragraph" w:customStyle="1" w:styleId="Title4">
    <w:name w:val="Title 4"/>
    <w:basedOn w:val="Annextitle"/>
    <w:next w:val="Normal"/>
    <w:rsid w:val="00EC48E2"/>
    <w:pPr>
      <w:spacing w:after="120"/>
    </w:pPr>
    <w:rPr>
      <w:b w:val="0"/>
    </w:rPr>
  </w:style>
  <w:style w:type="paragraph" w:customStyle="1" w:styleId="dnum">
    <w:name w:val="dnum"/>
    <w:basedOn w:val="Normal"/>
    <w:rsid w:val="00EC48E2"/>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EC48E2"/>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EC48E2"/>
    <w:pPr>
      <w:framePr w:hSpace="181" w:wrap="notBeside" w:vAnchor="page" w:hAnchor="margin" w:x="1" w:y="852"/>
      <w:shd w:val="solid" w:color="FFFFFF" w:fill="FFFFFF"/>
      <w:tabs>
        <w:tab w:val="left" w:pos="1871"/>
      </w:tabs>
      <w:spacing w:before="0"/>
    </w:pPr>
    <w:rPr>
      <w:b/>
      <w:bCs/>
    </w:rPr>
  </w:style>
  <w:style w:type="paragraph" w:customStyle="1" w:styleId="AnnexNo">
    <w:name w:val="Annex_No"/>
    <w:basedOn w:val="Normal"/>
    <w:next w:val="Annexref"/>
    <w:rsid w:val="00EC48E2"/>
    <w:pPr>
      <w:keepNext/>
      <w:keepLines/>
      <w:spacing w:before="720"/>
      <w:jc w:val="center"/>
    </w:pPr>
    <w:rPr>
      <w:caps/>
      <w:sz w:val="28"/>
    </w:rPr>
  </w:style>
  <w:style w:type="paragraph" w:customStyle="1" w:styleId="Annextitle">
    <w:name w:val="Annex_title"/>
    <w:basedOn w:val="Normal"/>
    <w:next w:val="Normalaftertitle"/>
    <w:rsid w:val="00EC48E2"/>
    <w:pPr>
      <w:keepNext/>
      <w:keepLines/>
      <w:spacing w:before="240" w:after="240"/>
      <w:jc w:val="center"/>
    </w:pPr>
    <w:rPr>
      <w:b/>
      <w:sz w:val="28"/>
    </w:rPr>
  </w:style>
  <w:style w:type="paragraph" w:customStyle="1" w:styleId="Annexref">
    <w:name w:val="Annex_ref"/>
    <w:basedOn w:val="Normal"/>
    <w:next w:val="Annextitle"/>
    <w:rsid w:val="00EC48E2"/>
    <w:pPr>
      <w:keepNext/>
      <w:keepLines/>
      <w:jc w:val="center"/>
    </w:pPr>
    <w:rPr>
      <w:sz w:val="28"/>
    </w:rPr>
  </w:style>
  <w:style w:type="paragraph" w:customStyle="1" w:styleId="Call">
    <w:name w:val="Call"/>
    <w:basedOn w:val="Normal"/>
    <w:next w:val="Normal"/>
    <w:link w:val="CallChar"/>
    <w:uiPriority w:val="99"/>
    <w:qFormat/>
    <w:rsid w:val="00EC48E2"/>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Normal"/>
    <w:qFormat/>
    <w:rsid w:val="00EC48E2"/>
    <w:pPr>
      <w:framePr w:hSpace="180" w:wrap="around" w:hAnchor="page" w:x="1821" w:y="2317"/>
      <w:spacing w:after="160"/>
    </w:pPr>
    <w:rPr>
      <w:sz w:val="34"/>
      <w:lang w:val="en-GB"/>
    </w:rPr>
  </w:style>
  <w:style w:type="paragraph" w:customStyle="1" w:styleId="Figure">
    <w:name w:val="Figure"/>
    <w:basedOn w:val="Normal"/>
    <w:next w:val="Normal"/>
    <w:rsid w:val="00EC48E2"/>
    <w:pPr>
      <w:spacing w:after="240"/>
      <w:jc w:val="center"/>
    </w:pPr>
  </w:style>
  <w:style w:type="paragraph" w:customStyle="1" w:styleId="Figuretitle">
    <w:name w:val="Figure_title"/>
    <w:basedOn w:val="Tabletitle"/>
    <w:next w:val="Normalaftertitle"/>
    <w:rsid w:val="00EC48E2"/>
    <w:pPr>
      <w:spacing w:before="120" w:after="0"/>
    </w:pPr>
  </w:style>
  <w:style w:type="paragraph" w:customStyle="1" w:styleId="Tabletitle">
    <w:name w:val="Table_title"/>
    <w:basedOn w:val="TableNo"/>
    <w:next w:val="Tabletext"/>
    <w:rsid w:val="00EC48E2"/>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EC48E2"/>
    <w:pPr>
      <w:keepNext/>
      <w:keepLines/>
      <w:spacing w:before="480" w:after="120"/>
      <w:jc w:val="center"/>
    </w:pPr>
    <w:rPr>
      <w:caps/>
    </w:rPr>
  </w:style>
  <w:style w:type="paragraph" w:customStyle="1" w:styleId="Tabletext">
    <w:name w:val="Table_text"/>
    <w:basedOn w:val="Normal"/>
    <w:rsid w:val="00EC48E2"/>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EC48E2"/>
    <w:pPr>
      <w:spacing w:before="20" w:after="240"/>
    </w:pPr>
    <w:rPr>
      <w:sz w:val="18"/>
    </w:rPr>
  </w:style>
  <w:style w:type="paragraph" w:customStyle="1" w:styleId="FigureNo">
    <w:name w:val="Figure_No"/>
    <w:basedOn w:val="Normal"/>
    <w:next w:val="Figuretitle"/>
    <w:rsid w:val="00EC48E2"/>
    <w:pPr>
      <w:keepNext/>
      <w:keepLines/>
      <w:spacing w:before="480" w:after="120"/>
      <w:jc w:val="center"/>
    </w:pPr>
    <w:rPr>
      <w:caps/>
    </w:rPr>
  </w:style>
  <w:style w:type="paragraph" w:customStyle="1" w:styleId="Figurewithouttitle">
    <w:name w:val="Figure_without_title"/>
    <w:basedOn w:val="Figure"/>
    <w:next w:val="Normal"/>
    <w:rsid w:val="00EC48E2"/>
  </w:style>
  <w:style w:type="paragraph" w:customStyle="1" w:styleId="Headingi">
    <w:name w:val="Heading_i"/>
    <w:basedOn w:val="Heading3"/>
    <w:next w:val="Normal"/>
    <w:rsid w:val="00EC48E2"/>
    <w:pPr>
      <w:spacing w:before="160"/>
      <w:ind w:left="0" w:firstLine="0"/>
      <w:outlineLvl w:val="0"/>
    </w:pPr>
    <w:rPr>
      <w:b w:val="0"/>
      <w:i/>
    </w:rPr>
  </w:style>
  <w:style w:type="character" w:styleId="PageNumber">
    <w:name w:val="page number"/>
    <w:basedOn w:val="DefaultParagraphFont"/>
    <w:rsid w:val="00EC48E2"/>
    <w:rPr>
      <w:rFonts w:ascii="Calibri" w:hAnsi="Calibri"/>
    </w:rPr>
  </w:style>
  <w:style w:type="paragraph" w:customStyle="1" w:styleId="PartNo">
    <w:name w:val="Part_No"/>
    <w:basedOn w:val="AnnexNo"/>
    <w:next w:val="Parttitle"/>
    <w:rsid w:val="00EC48E2"/>
  </w:style>
  <w:style w:type="paragraph" w:customStyle="1" w:styleId="Parttitle">
    <w:name w:val="Part_title"/>
    <w:basedOn w:val="Annextitle"/>
    <w:next w:val="Partref"/>
    <w:rsid w:val="00EC48E2"/>
  </w:style>
  <w:style w:type="paragraph" w:customStyle="1" w:styleId="Partref">
    <w:name w:val="Part_ref"/>
    <w:basedOn w:val="Annexref"/>
    <w:next w:val="Normalaftertitle"/>
    <w:rsid w:val="00EC48E2"/>
  </w:style>
  <w:style w:type="paragraph" w:customStyle="1" w:styleId="RecNo">
    <w:name w:val="Rec_No"/>
    <w:basedOn w:val="Normal"/>
    <w:next w:val="Rectitle"/>
    <w:rsid w:val="00EC48E2"/>
    <w:pPr>
      <w:keepNext/>
      <w:keepLines/>
      <w:spacing w:before="720"/>
      <w:jc w:val="center"/>
    </w:pPr>
    <w:rPr>
      <w:caps/>
      <w:sz w:val="28"/>
    </w:rPr>
  </w:style>
  <w:style w:type="paragraph" w:customStyle="1" w:styleId="Rectitle">
    <w:name w:val="Rec_title"/>
    <w:basedOn w:val="Normal"/>
    <w:next w:val="Heading1"/>
    <w:rsid w:val="00EC48E2"/>
    <w:pPr>
      <w:keepNext/>
      <w:keepLines/>
      <w:jc w:val="center"/>
    </w:pPr>
    <w:rPr>
      <w:b/>
      <w:sz w:val="28"/>
    </w:rPr>
  </w:style>
  <w:style w:type="paragraph" w:customStyle="1" w:styleId="Recref">
    <w:name w:val="Rec_ref"/>
    <w:basedOn w:val="Rectitle"/>
    <w:next w:val="Recdate"/>
    <w:rsid w:val="00EC48E2"/>
    <w:rPr>
      <w:rFonts w:ascii="Times New Roman" w:hAnsi="Times New Roman"/>
      <w:b w:val="0"/>
      <w:sz w:val="24"/>
    </w:rPr>
  </w:style>
  <w:style w:type="paragraph" w:customStyle="1" w:styleId="Recdate">
    <w:name w:val="Rec_date"/>
    <w:basedOn w:val="Recref"/>
    <w:next w:val="Normalaftertitle"/>
    <w:rsid w:val="00EC48E2"/>
    <w:pPr>
      <w:jc w:val="right"/>
    </w:pPr>
    <w:rPr>
      <w:sz w:val="22"/>
    </w:rPr>
  </w:style>
  <w:style w:type="paragraph" w:customStyle="1" w:styleId="Questiondate">
    <w:name w:val="Question_date"/>
    <w:basedOn w:val="Recdate"/>
    <w:next w:val="Normalaftertitle"/>
    <w:rsid w:val="00EC48E2"/>
  </w:style>
  <w:style w:type="paragraph" w:customStyle="1" w:styleId="QuestionNo">
    <w:name w:val="Question_No"/>
    <w:basedOn w:val="RecNo"/>
    <w:next w:val="Questiontitle"/>
    <w:rsid w:val="00EC48E2"/>
  </w:style>
  <w:style w:type="paragraph" w:customStyle="1" w:styleId="Questionref">
    <w:name w:val="Question_ref"/>
    <w:basedOn w:val="Recref"/>
    <w:next w:val="Questiondate"/>
    <w:rsid w:val="00EC48E2"/>
  </w:style>
  <w:style w:type="paragraph" w:customStyle="1" w:styleId="Questiontitle">
    <w:name w:val="Question_title"/>
    <w:basedOn w:val="Rectitle"/>
    <w:next w:val="Questionref"/>
    <w:rsid w:val="00EC48E2"/>
  </w:style>
  <w:style w:type="paragraph" w:customStyle="1" w:styleId="Reftext">
    <w:name w:val="Ref_text"/>
    <w:basedOn w:val="Normal"/>
    <w:rsid w:val="00EC48E2"/>
    <w:pPr>
      <w:ind w:left="567" w:hanging="567"/>
    </w:pPr>
  </w:style>
  <w:style w:type="paragraph" w:customStyle="1" w:styleId="Reftitle">
    <w:name w:val="Ref_title"/>
    <w:basedOn w:val="Normal"/>
    <w:next w:val="Reftext"/>
    <w:rsid w:val="00EC48E2"/>
    <w:pPr>
      <w:spacing w:before="480"/>
      <w:jc w:val="center"/>
    </w:pPr>
    <w:rPr>
      <w:caps/>
      <w:sz w:val="28"/>
    </w:rPr>
  </w:style>
  <w:style w:type="paragraph" w:customStyle="1" w:styleId="Resdate">
    <w:name w:val="Res_date"/>
    <w:basedOn w:val="Recdate"/>
    <w:next w:val="Normalaftertitle"/>
    <w:rsid w:val="00EC48E2"/>
  </w:style>
  <w:style w:type="paragraph" w:customStyle="1" w:styleId="ResNo">
    <w:name w:val="Res_No"/>
    <w:basedOn w:val="AnnexNo"/>
    <w:next w:val="Restitle"/>
    <w:rsid w:val="00EC48E2"/>
  </w:style>
  <w:style w:type="paragraph" w:customStyle="1" w:styleId="Restitle">
    <w:name w:val="Res_title"/>
    <w:basedOn w:val="Annextitle"/>
    <w:next w:val="Normal"/>
    <w:link w:val="RestitleChar"/>
    <w:rsid w:val="00EC48E2"/>
  </w:style>
  <w:style w:type="paragraph" w:customStyle="1" w:styleId="Resref">
    <w:name w:val="Res_ref"/>
    <w:basedOn w:val="Recref"/>
    <w:next w:val="Resdate"/>
    <w:rsid w:val="002B6780"/>
    <w:rPr>
      <w:rFonts w:asciiTheme="minorHAnsi" w:hAnsiTheme="minorHAnsi" w:cstheme="minorHAnsi"/>
      <w:lang w:val="en-GB"/>
    </w:rPr>
  </w:style>
  <w:style w:type="paragraph" w:customStyle="1" w:styleId="SectionNo">
    <w:name w:val="Section_No"/>
    <w:basedOn w:val="AnnexNo"/>
    <w:next w:val="Sectiontitle"/>
    <w:rsid w:val="00EC48E2"/>
  </w:style>
  <w:style w:type="paragraph" w:customStyle="1" w:styleId="Sectiontitle">
    <w:name w:val="Section_title"/>
    <w:basedOn w:val="Normal"/>
    <w:next w:val="Normalaftertitle"/>
    <w:rsid w:val="00EC48E2"/>
    <w:rPr>
      <w:sz w:val="28"/>
    </w:rPr>
  </w:style>
  <w:style w:type="paragraph" w:customStyle="1" w:styleId="Tablehead">
    <w:name w:val="Table_head"/>
    <w:basedOn w:val="Tabletext"/>
    <w:rsid w:val="00EC48E2"/>
    <w:pPr>
      <w:keepNext/>
      <w:keepLines/>
      <w:spacing w:before="80" w:after="80"/>
      <w:jc w:val="center"/>
    </w:pPr>
    <w:rPr>
      <w:b/>
    </w:rPr>
  </w:style>
  <w:style w:type="paragraph" w:customStyle="1" w:styleId="Tablelegend">
    <w:name w:val="Table_legend"/>
    <w:basedOn w:val="Tabletext"/>
    <w:rsid w:val="00EC48E2"/>
    <w:pPr>
      <w:ind w:left="284" w:hanging="284"/>
    </w:pPr>
    <w:rPr>
      <w:sz w:val="20"/>
    </w:rPr>
  </w:style>
  <w:style w:type="paragraph" w:customStyle="1" w:styleId="Tableref">
    <w:name w:val="Table_ref"/>
    <w:basedOn w:val="Normal"/>
    <w:next w:val="Tabletitle"/>
    <w:rsid w:val="00EC48E2"/>
    <w:pPr>
      <w:keepNext/>
      <w:keepLines/>
      <w:jc w:val="center"/>
    </w:pPr>
    <w:rPr>
      <w:sz w:val="20"/>
    </w:rPr>
  </w:style>
  <w:style w:type="paragraph" w:customStyle="1" w:styleId="Artheading">
    <w:name w:val="Art_heading"/>
    <w:basedOn w:val="Normal"/>
    <w:next w:val="Normalaftertitle"/>
    <w:rsid w:val="00EC48E2"/>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EC48E2"/>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EC48E2"/>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EC48E2"/>
  </w:style>
  <w:style w:type="paragraph" w:customStyle="1" w:styleId="Chaptitle">
    <w:name w:val="Chap_title"/>
    <w:basedOn w:val="Arttitle"/>
    <w:next w:val="Normalaftertitle"/>
    <w:rsid w:val="00EC48E2"/>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EC48E2"/>
    <w:rPr>
      <w:color w:val="666666"/>
    </w:rPr>
  </w:style>
  <w:style w:type="paragraph" w:customStyle="1" w:styleId="Reasons">
    <w:name w:val="Reasons"/>
    <w:basedOn w:val="Normal"/>
    <w:qFormat/>
    <w:rsid w:val="00EC48E2"/>
  </w:style>
  <w:style w:type="paragraph" w:customStyle="1" w:styleId="AppendixNo">
    <w:name w:val="Appendix_No"/>
    <w:basedOn w:val="AnnexNo"/>
    <w:next w:val="Normal"/>
    <w:rsid w:val="00EC48E2"/>
  </w:style>
  <w:style w:type="paragraph" w:customStyle="1" w:styleId="Appendixref">
    <w:name w:val="Appendix_ref"/>
    <w:basedOn w:val="Annexref"/>
    <w:next w:val="Normal"/>
    <w:rsid w:val="00EC48E2"/>
  </w:style>
  <w:style w:type="paragraph" w:customStyle="1" w:styleId="Appendixtitle">
    <w:name w:val="Appendix_title"/>
    <w:basedOn w:val="Annextitle"/>
    <w:next w:val="Normalaftertitle"/>
    <w:rsid w:val="00EC48E2"/>
  </w:style>
  <w:style w:type="paragraph" w:customStyle="1" w:styleId="Equation">
    <w:name w:val="Equation"/>
    <w:basedOn w:val="Normal"/>
    <w:rsid w:val="00EC48E2"/>
    <w:pPr>
      <w:tabs>
        <w:tab w:val="center" w:pos="4820"/>
        <w:tab w:val="right" w:pos="9639"/>
      </w:tabs>
    </w:pPr>
  </w:style>
  <w:style w:type="paragraph" w:customStyle="1" w:styleId="Equationlegend">
    <w:name w:val="Equation_legend"/>
    <w:basedOn w:val="NormalIndent"/>
    <w:rsid w:val="00EC48E2"/>
    <w:pPr>
      <w:tabs>
        <w:tab w:val="right" w:pos="1531"/>
      </w:tabs>
      <w:spacing w:before="80"/>
      <w:ind w:left="1701" w:hanging="1701"/>
    </w:pPr>
  </w:style>
  <w:style w:type="paragraph" w:customStyle="1" w:styleId="firstfooter0">
    <w:name w:val="firstfooter"/>
    <w:basedOn w:val="Normal"/>
    <w:rsid w:val="00EC48E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Referencetext">
    <w:name w:val="Reference_text"/>
    <w:basedOn w:val="Normal"/>
    <w:rsid w:val="00EC48E2"/>
    <w:pPr>
      <w:framePr w:hSpace="181" w:wrap="around" w:vAnchor="page" w:hAnchor="page" w:x="1589" w:y="2314"/>
      <w:spacing w:after="160"/>
    </w:pPr>
    <w:rPr>
      <w:i/>
      <w:iCs/>
      <w:sz w:val="22"/>
      <w:szCs w:val="22"/>
    </w:rPr>
  </w:style>
  <w:style w:type="paragraph" w:customStyle="1" w:styleId="Repdate">
    <w:name w:val="Rep_date"/>
    <w:basedOn w:val="Recdate"/>
    <w:next w:val="Normalaftertitle"/>
    <w:rsid w:val="00EC48E2"/>
  </w:style>
  <w:style w:type="paragraph" w:customStyle="1" w:styleId="RepNo">
    <w:name w:val="Rep_No"/>
    <w:basedOn w:val="RecNo"/>
    <w:next w:val="Normal"/>
    <w:rsid w:val="00EC48E2"/>
  </w:style>
  <w:style w:type="paragraph" w:customStyle="1" w:styleId="Repref">
    <w:name w:val="Rep_ref"/>
    <w:basedOn w:val="Recref"/>
    <w:next w:val="Repdate"/>
    <w:rsid w:val="00EC48E2"/>
  </w:style>
  <w:style w:type="paragraph" w:customStyle="1" w:styleId="Reptitle">
    <w:name w:val="Rep_title"/>
    <w:basedOn w:val="Rectitle"/>
    <w:next w:val="Repref"/>
    <w:rsid w:val="00EC48E2"/>
  </w:style>
  <w:style w:type="paragraph" w:customStyle="1" w:styleId="SpecialFooter">
    <w:name w:val="Special Footer"/>
    <w:basedOn w:val="Footer"/>
    <w:rsid w:val="00EC48E2"/>
    <w:pPr>
      <w:tabs>
        <w:tab w:val="left" w:pos="567"/>
        <w:tab w:val="left" w:pos="1134"/>
        <w:tab w:val="left" w:pos="1701"/>
        <w:tab w:val="left" w:pos="2268"/>
        <w:tab w:val="left" w:pos="2835"/>
      </w:tabs>
      <w:jc w:val="both"/>
    </w:pPr>
    <w:rPr>
      <w:caps w:val="0"/>
      <w:noProof w:val="0"/>
    </w:rPr>
  </w:style>
  <w:style w:type="paragraph" w:styleId="Revision">
    <w:name w:val="Revision"/>
    <w:hidden/>
    <w:uiPriority w:val="99"/>
    <w:semiHidden/>
    <w:rsid w:val="00625834"/>
    <w:rPr>
      <w:rFonts w:ascii="Calibri" w:hAnsi="Calibri"/>
      <w:sz w:val="24"/>
      <w:lang w:val="fr-FR" w:eastAsia="en-US"/>
    </w:rPr>
  </w:style>
  <w:style w:type="character" w:customStyle="1" w:styleId="RestitleChar">
    <w:name w:val="Res_title Char"/>
    <w:basedOn w:val="DefaultParagraphFont"/>
    <w:link w:val="Restitle"/>
    <w:rsid w:val="00702C89"/>
    <w:rPr>
      <w:rFonts w:ascii="Calibri" w:hAnsi="Calibri"/>
      <w:b/>
      <w:sz w:val="28"/>
      <w:lang w:val="fr-FR" w:eastAsia="en-US"/>
    </w:rPr>
  </w:style>
  <w:style w:type="character" w:customStyle="1" w:styleId="CallChar">
    <w:name w:val="Call Char"/>
    <w:basedOn w:val="DefaultParagraphFont"/>
    <w:link w:val="Call"/>
    <w:uiPriority w:val="99"/>
    <w:qFormat/>
    <w:rsid w:val="00702C89"/>
    <w:rPr>
      <w:rFonts w:ascii="Calibri" w:hAnsi="Calibri"/>
      <w:i/>
      <w:sz w:val="24"/>
      <w:lang w:val="fr-FR" w:eastAsia="en-US"/>
    </w:rPr>
  </w:style>
  <w:style w:type="paragraph" w:customStyle="1" w:styleId="AnnexNotitle">
    <w:name w:val="Annex_No &amp; title"/>
    <w:basedOn w:val="Normal"/>
    <w:next w:val="Normal"/>
    <w:rsid w:val="00154453"/>
    <w:pPr>
      <w:keepNext/>
      <w:keepLines/>
      <w:tabs>
        <w:tab w:val="clear" w:pos="567"/>
        <w:tab w:val="clear" w:pos="1134"/>
        <w:tab w:val="clear" w:pos="1701"/>
        <w:tab w:val="clear" w:pos="2268"/>
        <w:tab w:val="clear" w:pos="2835"/>
        <w:tab w:val="left" w:pos="794"/>
        <w:tab w:val="left" w:pos="1191"/>
        <w:tab w:val="left" w:pos="1588"/>
        <w:tab w:val="left" w:pos="1985"/>
      </w:tabs>
      <w:spacing w:before="480"/>
      <w:jc w:val="center"/>
      <w:textAlignment w:val="auto"/>
    </w:pPr>
    <w:rPr>
      <w:rFonts w:ascii="Times New Roman" w:hAnsi="Times New Roman"/>
      <w:b/>
      <w:sz w:val="28"/>
      <w:lang w:val="en-GB"/>
    </w:rPr>
  </w:style>
  <w:style w:type="paragraph" w:customStyle="1" w:styleId="TabletitleBR">
    <w:name w:val="Table_title_BR"/>
    <w:basedOn w:val="Normal"/>
    <w:next w:val="Normal"/>
    <w:rsid w:val="00154453"/>
    <w:pPr>
      <w:keepNext/>
      <w:keepLines/>
      <w:tabs>
        <w:tab w:val="clear" w:pos="567"/>
        <w:tab w:val="clear" w:pos="1134"/>
        <w:tab w:val="clear" w:pos="1701"/>
        <w:tab w:val="clear" w:pos="2268"/>
        <w:tab w:val="clear" w:pos="2835"/>
        <w:tab w:val="left" w:pos="794"/>
        <w:tab w:val="left" w:pos="1191"/>
        <w:tab w:val="left" w:pos="1588"/>
        <w:tab w:val="left" w:pos="1985"/>
      </w:tabs>
      <w:spacing w:before="0" w:after="120"/>
      <w:jc w:val="center"/>
      <w:textAlignment w:val="auto"/>
    </w:pPr>
    <w:rPr>
      <w:rFonts w:ascii="Times New Roman" w:hAnsi="Times New Roman"/>
      <w:b/>
      <w:lang w:val="en-GB"/>
    </w:rPr>
  </w:style>
  <w:style w:type="character" w:customStyle="1" w:styleId="href">
    <w:name w:val="href"/>
    <w:basedOn w:val="DefaultParagraphFont"/>
    <w:rsid w:val="00154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1477">
      <w:bodyDiv w:val="1"/>
      <w:marLeft w:val="0"/>
      <w:marRight w:val="0"/>
      <w:marTop w:val="0"/>
      <w:marBottom w:val="0"/>
      <w:divBdr>
        <w:top w:val="none" w:sz="0" w:space="0" w:color="auto"/>
        <w:left w:val="none" w:sz="0" w:space="0" w:color="auto"/>
        <w:bottom w:val="none" w:sz="0" w:space="0" w:color="auto"/>
        <w:right w:val="none" w:sz="0" w:space="0" w:color="auto"/>
      </w:divBdr>
    </w:div>
    <w:div w:id="61494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PE_Council26.dotx</Template>
  <TotalTime>24</TotalTime>
  <Pages>5</Pages>
  <Words>1565</Words>
  <Characters>8707</Characters>
  <Application>Microsoft Office Word</Application>
  <DocSecurity>0</DocSecurity>
  <Lines>158</Lines>
  <Paragraphs>84</Paragraphs>
  <ScaleCrop>false</ScaleCrop>
  <HeadingPairs>
    <vt:vector size="2" baseType="variant">
      <vt:variant>
        <vt:lpstr>Title</vt:lpstr>
      </vt:variant>
      <vt:variant>
        <vt:i4>1</vt:i4>
      </vt:variant>
    </vt:vector>
  </HeadingPairs>
  <TitlesOfParts>
    <vt:vector size="1" baseType="lpstr">
      <vt:lpstr>Resolution 1386 (Modified 2026) - ITU Coordination Committee for Terminology (ITU CCT)</vt:lpstr>
    </vt:vector>
  </TitlesOfParts>
  <Manager>General Secretariat</Manager>
  <Company>International Telecommunication Union (ITU)</Company>
  <LinksUpToDate>false</LinksUpToDate>
  <CharactersWithSpaces>10188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1386 (Modified 2026) - ITU Coordination Committee for Terminology (ITU CCT)</dc:title>
  <dc:subject>ITU Council 2026</dc:subject>
  <cp:keywords>C26; C2026; Council 2026; PP26</cp:keywords>
  <dc:description/>
  <cp:lastPrinted>2000-07-18T13:30:00Z</cp:lastPrinted>
  <dcterms:created xsi:type="dcterms:W3CDTF">2026-05-27T14:59:00Z</dcterms:created>
  <dcterms:modified xsi:type="dcterms:W3CDTF">2026-05-27T15:22:00Z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