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41082A" w14:paraId="70555612" w14:textId="77777777" w:rsidTr="00796BDB">
        <w:trPr>
          <w:cantSplit/>
          <w:trHeight w:val="23"/>
        </w:trPr>
        <w:tc>
          <w:tcPr>
            <w:tcW w:w="3969" w:type="dxa"/>
            <w:vMerge w:val="restart"/>
            <w:tcMar>
              <w:left w:w="0" w:type="dxa"/>
            </w:tcMar>
          </w:tcPr>
          <w:p w14:paraId="0F970BB9" w14:textId="5349BDDF" w:rsidR="00D72F49" w:rsidRPr="0041082A" w:rsidRDefault="00D72F49" w:rsidP="00796BDB">
            <w:pPr>
              <w:tabs>
                <w:tab w:val="left" w:pos="851"/>
              </w:tabs>
              <w:spacing w:before="0" w:line="240" w:lineRule="atLeast"/>
              <w:rPr>
                <w:b/>
              </w:rPr>
            </w:pPr>
          </w:p>
        </w:tc>
        <w:tc>
          <w:tcPr>
            <w:tcW w:w="5245" w:type="dxa"/>
          </w:tcPr>
          <w:p w14:paraId="30A9775F" w14:textId="1651A56F" w:rsidR="00D72F49" w:rsidRPr="0041082A" w:rsidRDefault="00D72F49" w:rsidP="001044B2">
            <w:pPr>
              <w:tabs>
                <w:tab w:val="left" w:pos="851"/>
              </w:tabs>
              <w:spacing w:before="0" w:line="240" w:lineRule="atLeast"/>
              <w:jc w:val="right"/>
              <w:rPr>
                <w:b/>
              </w:rPr>
            </w:pPr>
            <w:r w:rsidRPr="0041082A">
              <w:rPr>
                <w:b/>
              </w:rPr>
              <w:t>Document C2</w:t>
            </w:r>
            <w:r w:rsidR="00E4448E" w:rsidRPr="0041082A">
              <w:rPr>
                <w:b/>
              </w:rPr>
              <w:t>6</w:t>
            </w:r>
            <w:r w:rsidRPr="0041082A">
              <w:rPr>
                <w:b/>
              </w:rPr>
              <w:t>/</w:t>
            </w:r>
            <w:r w:rsidR="009C7CF0">
              <w:rPr>
                <w:b/>
              </w:rPr>
              <w:t>13</w:t>
            </w:r>
            <w:r w:rsidR="000D7A93">
              <w:rPr>
                <w:b/>
              </w:rPr>
              <w:t>3</w:t>
            </w:r>
            <w:r w:rsidRPr="0041082A">
              <w:rPr>
                <w:b/>
              </w:rPr>
              <w:t>-F</w:t>
            </w:r>
          </w:p>
        </w:tc>
      </w:tr>
      <w:tr w:rsidR="00D72F49" w:rsidRPr="0041082A" w14:paraId="445EBF01" w14:textId="77777777" w:rsidTr="00796BDB">
        <w:trPr>
          <w:cantSplit/>
        </w:trPr>
        <w:tc>
          <w:tcPr>
            <w:tcW w:w="3969" w:type="dxa"/>
            <w:vMerge/>
          </w:tcPr>
          <w:p w14:paraId="14D3D339" w14:textId="77777777" w:rsidR="00D72F49" w:rsidRPr="0041082A" w:rsidRDefault="00D72F49" w:rsidP="00796BDB">
            <w:pPr>
              <w:tabs>
                <w:tab w:val="left" w:pos="851"/>
              </w:tabs>
              <w:spacing w:line="240" w:lineRule="atLeast"/>
              <w:rPr>
                <w:b/>
              </w:rPr>
            </w:pPr>
          </w:p>
        </w:tc>
        <w:tc>
          <w:tcPr>
            <w:tcW w:w="5245" w:type="dxa"/>
          </w:tcPr>
          <w:p w14:paraId="1D5AEDBA" w14:textId="69673E49" w:rsidR="00D72F49" w:rsidRPr="0041082A" w:rsidRDefault="009C7CF0" w:rsidP="00796BDB">
            <w:pPr>
              <w:tabs>
                <w:tab w:val="left" w:pos="851"/>
              </w:tabs>
              <w:spacing w:before="0"/>
              <w:jc w:val="right"/>
              <w:rPr>
                <w:b/>
              </w:rPr>
            </w:pPr>
            <w:r>
              <w:rPr>
                <w:b/>
              </w:rPr>
              <w:t>21</w:t>
            </w:r>
            <w:r w:rsidR="00BB567B" w:rsidRPr="0041082A">
              <w:rPr>
                <w:b/>
              </w:rPr>
              <w:t xml:space="preserve"> </w:t>
            </w:r>
            <w:r w:rsidR="00737272">
              <w:rPr>
                <w:b/>
              </w:rPr>
              <w:t>mai</w:t>
            </w:r>
            <w:r w:rsidR="00BB567B" w:rsidRPr="0041082A">
              <w:rPr>
                <w:b/>
              </w:rPr>
              <w:t xml:space="preserve"> </w:t>
            </w:r>
            <w:r w:rsidR="00506448" w:rsidRPr="0041082A">
              <w:rPr>
                <w:b/>
              </w:rPr>
              <w:t>2026</w:t>
            </w:r>
          </w:p>
        </w:tc>
      </w:tr>
      <w:tr w:rsidR="00D72F49" w:rsidRPr="0041082A" w14:paraId="42BF3B23" w14:textId="77777777" w:rsidTr="00796BDB">
        <w:trPr>
          <w:cantSplit/>
          <w:trHeight w:val="23"/>
        </w:trPr>
        <w:tc>
          <w:tcPr>
            <w:tcW w:w="3969" w:type="dxa"/>
            <w:vMerge/>
          </w:tcPr>
          <w:p w14:paraId="01D25951" w14:textId="77777777" w:rsidR="00D72F49" w:rsidRPr="0041082A" w:rsidRDefault="00D72F49" w:rsidP="00796BDB">
            <w:pPr>
              <w:tabs>
                <w:tab w:val="left" w:pos="851"/>
              </w:tabs>
              <w:spacing w:line="240" w:lineRule="atLeast"/>
              <w:rPr>
                <w:b/>
              </w:rPr>
            </w:pPr>
          </w:p>
        </w:tc>
        <w:tc>
          <w:tcPr>
            <w:tcW w:w="5245" w:type="dxa"/>
          </w:tcPr>
          <w:p w14:paraId="7DB924A1" w14:textId="77777777" w:rsidR="00D72F49" w:rsidRPr="0041082A" w:rsidRDefault="00D72F49" w:rsidP="00796BDB">
            <w:pPr>
              <w:tabs>
                <w:tab w:val="left" w:pos="851"/>
              </w:tabs>
              <w:spacing w:before="0" w:line="240" w:lineRule="atLeast"/>
              <w:jc w:val="right"/>
              <w:rPr>
                <w:b/>
              </w:rPr>
            </w:pPr>
            <w:r w:rsidRPr="0041082A">
              <w:rPr>
                <w:b/>
              </w:rPr>
              <w:t>Original: anglais</w:t>
            </w:r>
          </w:p>
        </w:tc>
      </w:tr>
      <w:tr w:rsidR="00D72F49" w:rsidRPr="0041082A" w14:paraId="190A78EE" w14:textId="77777777" w:rsidTr="00796BDB">
        <w:trPr>
          <w:cantSplit/>
          <w:trHeight w:val="23"/>
        </w:trPr>
        <w:tc>
          <w:tcPr>
            <w:tcW w:w="3969" w:type="dxa"/>
          </w:tcPr>
          <w:p w14:paraId="3D4C87DB" w14:textId="77777777" w:rsidR="00D72F49" w:rsidRPr="0041082A" w:rsidRDefault="00D72F49" w:rsidP="000D7A93">
            <w:pPr>
              <w:tabs>
                <w:tab w:val="left" w:pos="851"/>
              </w:tabs>
              <w:spacing w:before="0" w:line="240" w:lineRule="atLeast"/>
              <w:rPr>
                <w:b/>
              </w:rPr>
            </w:pPr>
          </w:p>
        </w:tc>
        <w:tc>
          <w:tcPr>
            <w:tcW w:w="5245" w:type="dxa"/>
          </w:tcPr>
          <w:p w14:paraId="3C04A3BE" w14:textId="77777777" w:rsidR="00D72F49" w:rsidRPr="0041082A" w:rsidRDefault="00D72F49" w:rsidP="00796BDB">
            <w:pPr>
              <w:tabs>
                <w:tab w:val="left" w:pos="851"/>
              </w:tabs>
              <w:spacing w:before="0" w:line="240" w:lineRule="atLeast"/>
              <w:jc w:val="right"/>
              <w:rPr>
                <w:b/>
              </w:rPr>
            </w:pPr>
          </w:p>
        </w:tc>
      </w:tr>
    </w:tbl>
    <w:p w14:paraId="4BBB39BF" w14:textId="3634E577" w:rsidR="00C50060" w:rsidRDefault="00C50060" w:rsidP="00C50060">
      <w:pPr>
        <w:pStyle w:val="ResNo"/>
        <w:tabs>
          <w:tab w:val="clear" w:pos="567"/>
          <w:tab w:val="clear" w:pos="1134"/>
          <w:tab w:val="clear" w:pos="1701"/>
          <w:tab w:val="clear" w:pos="2268"/>
          <w:tab w:val="clear" w:pos="2835"/>
        </w:tabs>
      </w:pPr>
      <w:r w:rsidRPr="0041082A">
        <w:t xml:space="preserve">résolution </w:t>
      </w:r>
      <w:r w:rsidR="009C7CF0">
        <w:t>143</w:t>
      </w:r>
      <w:r w:rsidR="000D7A93">
        <w:t>9</w:t>
      </w:r>
    </w:p>
    <w:p w14:paraId="72B47C7E" w14:textId="0DF1DF65" w:rsidR="00737272" w:rsidRPr="00737272" w:rsidRDefault="00737272" w:rsidP="00737272">
      <w:pPr>
        <w:pStyle w:val="Resref"/>
      </w:pPr>
      <w:r>
        <w:t xml:space="preserve">(adoptée à la </w:t>
      </w:r>
      <w:r w:rsidR="000303F9">
        <w:t>neuvième</w:t>
      </w:r>
      <w:r>
        <w:t xml:space="preserve"> séance </w:t>
      </w:r>
      <w:r w:rsidRPr="00737272">
        <w:t>Plénière</w:t>
      </w:r>
      <w:r>
        <w:t>)</w:t>
      </w:r>
    </w:p>
    <w:p w14:paraId="6F01FC5A" w14:textId="77777777" w:rsidR="000D7A93" w:rsidRPr="00386F72" w:rsidRDefault="000D7A93" w:rsidP="000D7A93">
      <w:pPr>
        <w:pStyle w:val="Restitle"/>
      </w:pPr>
      <w:r w:rsidRPr="00386F72">
        <w:t>Affectation des économies réalisées dans le cadre</w:t>
      </w:r>
      <w:r w:rsidRPr="00386F72">
        <w:br/>
        <w:t>de l'exécution du budget pour 2025</w:t>
      </w:r>
    </w:p>
    <w:p w14:paraId="3A3B05AD" w14:textId="77777777" w:rsidR="000D7A93" w:rsidRPr="00386F72" w:rsidRDefault="000D7A93" w:rsidP="000D7A93">
      <w:pPr>
        <w:pStyle w:val="Normalaftertitle"/>
      </w:pPr>
      <w:r w:rsidRPr="00386F72">
        <w:t>Le Conseil de l'UIT,</w:t>
      </w:r>
    </w:p>
    <w:p w14:paraId="055596CB" w14:textId="77777777" w:rsidR="000D7A93" w:rsidRPr="00386F72" w:rsidRDefault="000D7A93" w:rsidP="000D7A93">
      <w:pPr>
        <w:pStyle w:val="Call"/>
      </w:pPr>
      <w:r w:rsidRPr="00386F72">
        <w:t>ayant examiné</w:t>
      </w:r>
    </w:p>
    <w:p w14:paraId="3F868E29" w14:textId="77777777" w:rsidR="000D7A93" w:rsidRPr="00386F72" w:rsidRDefault="000D7A93" w:rsidP="000D7A93">
      <w:r w:rsidRPr="00386F72">
        <w:rPr>
          <w:i/>
          <w:iCs/>
        </w:rPr>
        <w:t>a)</w:t>
      </w:r>
      <w:r w:rsidRPr="00386F72">
        <w:tab/>
        <w:t>les économies réalisées dans le cadre de la mise en œuvre du budget de 2025, d'un montant de 11,44 millions CHF;</w:t>
      </w:r>
    </w:p>
    <w:p w14:paraId="28089F60" w14:textId="77777777" w:rsidR="000D7A93" w:rsidRPr="00386F72" w:rsidRDefault="000D7A93" w:rsidP="000D7A93">
      <w:r w:rsidRPr="00386F72">
        <w:rPr>
          <w:i/>
          <w:iCs/>
        </w:rPr>
        <w:t>b)</w:t>
      </w:r>
      <w:r w:rsidRPr="00386F72">
        <w:tab/>
        <w:t xml:space="preserve">le </w:t>
      </w:r>
      <w:hyperlink r:id="rId7" w:history="1">
        <w:r w:rsidRPr="00386F72">
          <w:rPr>
            <w:rStyle w:val="Hyperlink"/>
            <w:rFonts w:eastAsia="Times New Roman" w:cs="Times New Roman"/>
            <w:szCs w:val="20"/>
          </w:rPr>
          <w:t>Document C26/42(Rév.2)</w:t>
        </w:r>
      </w:hyperlink>
      <w:r w:rsidRPr="00386F72">
        <w:t>,</w:t>
      </w:r>
    </w:p>
    <w:p w14:paraId="6DD6EF9A" w14:textId="77777777" w:rsidR="000D7A93" w:rsidRPr="00386F72" w:rsidRDefault="000D7A93" w:rsidP="000D7A93">
      <w:pPr>
        <w:pStyle w:val="Call"/>
      </w:pPr>
      <w:r w:rsidRPr="00386F72">
        <w:t>décide</w:t>
      </w:r>
    </w:p>
    <w:p w14:paraId="69B2DCF5" w14:textId="77777777" w:rsidR="000D7A93" w:rsidRPr="00386F72" w:rsidRDefault="000D7A93" w:rsidP="000D7A93">
      <w:r w:rsidRPr="00386F72">
        <w:t>1</w:t>
      </w:r>
      <w:r w:rsidRPr="00386F72">
        <w:tab/>
        <w:t>d'affecter ces économies comme suit:</w:t>
      </w:r>
    </w:p>
    <w:p w14:paraId="0DD38025" w14:textId="77777777" w:rsidR="000D7A93" w:rsidRPr="00386F72" w:rsidRDefault="000D7A93" w:rsidP="000D7A93">
      <w:pPr>
        <w:pStyle w:val="enumlev1"/>
      </w:pPr>
      <w:r w:rsidRPr="00386F72">
        <w:t>–</w:t>
      </w:r>
      <w:r w:rsidRPr="00386F72">
        <w:tab/>
        <w:t>financement de l'initiative approuvée précédemment par le Conseil concernant le Programme à l'intention des jeunes professionnels (1,2 million CHF); et</w:t>
      </w:r>
    </w:p>
    <w:p w14:paraId="05E7B674" w14:textId="77777777" w:rsidR="000D7A93" w:rsidRPr="00386F72" w:rsidRDefault="000D7A93" w:rsidP="000D7A93">
      <w:pPr>
        <w:pStyle w:val="enumlev1"/>
      </w:pPr>
      <w:r w:rsidRPr="00386F72">
        <w:t>–</w:t>
      </w:r>
      <w:r w:rsidRPr="00386F72">
        <w:tab/>
        <w:t>autres propositions d'affectation:</w:t>
      </w:r>
    </w:p>
    <w:p w14:paraId="254F3DA9" w14:textId="77777777" w:rsidR="000D7A93" w:rsidRPr="00386F72" w:rsidRDefault="000D7A93" w:rsidP="000D7A93">
      <w:pPr>
        <w:pStyle w:val="enumlev2"/>
      </w:pPr>
      <w:r w:rsidRPr="00386F72">
        <w:t>•</w:t>
      </w:r>
      <w:r w:rsidRPr="00386F72">
        <w:tab/>
        <w:t>départs par accord mutuel (2,5 millions CHF);</w:t>
      </w:r>
    </w:p>
    <w:p w14:paraId="6BFD34BD" w14:textId="77777777" w:rsidR="000D7A93" w:rsidRPr="00386F72" w:rsidRDefault="000D7A93" w:rsidP="000D7A93">
      <w:pPr>
        <w:pStyle w:val="enumlev2"/>
      </w:pPr>
      <w:r w:rsidRPr="00386F72">
        <w:tab/>
        <w:t>•</w:t>
      </w:r>
      <w:r w:rsidRPr="00386F72">
        <w:tab/>
        <w:t>résorption du retard pris dans le traitement des fiches de notification de réseaux à satellite (1 million CHF);</w:t>
      </w:r>
    </w:p>
    <w:p w14:paraId="6BDD2746" w14:textId="77777777" w:rsidR="000D7A93" w:rsidRPr="00386F72" w:rsidRDefault="000D7A93" w:rsidP="000D7A93">
      <w:pPr>
        <w:pStyle w:val="enumlev2"/>
      </w:pPr>
      <w:r w:rsidRPr="00386F72">
        <w:tab/>
        <w:t>•</w:t>
      </w:r>
      <w:r w:rsidRPr="00386F72">
        <w:tab/>
        <w:t>renforcement et modernisation des systèmes essentiels de traitement des fiches de notification de réseaux à satellite (1,3 million CHF);</w:t>
      </w:r>
    </w:p>
    <w:p w14:paraId="1E38A8EF" w14:textId="77777777" w:rsidR="000D7A93" w:rsidRPr="00386F72" w:rsidRDefault="000D7A93" w:rsidP="000D7A93">
      <w:pPr>
        <w:pStyle w:val="enumlev2"/>
      </w:pPr>
      <w:r w:rsidRPr="00386F72">
        <w:tab/>
        <w:t>•</w:t>
      </w:r>
      <w:r w:rsidRPr="00386F72">
        <w:tab/>
        <w:t>modernisation des systèmes institutionnels (1,44 million CHF);</w:t>
      </w:r>
    </w:p>
    <w:p w14:paraId="7EB5A014" w14:textId="77777777" w:rsidR="000D7A93" w:rsidRPr="00386F72" w:rsidRDefault="000D7A93" w:rsidP="000D7A93">
      <w:pPr>
        <w:pStyle w:val="enumlev2"/>
      </w:pPr>
      <w:r w:rsidRPr="00386F72">
        <w:tab/>
        <w:t>•</w:t>
      </w:r>
      <w:r w:rsidRPr="00386F72">
        <w:tab/>
        <w:t>mesures en faveur de la continuité des activités (1,5 million CHF);</w:t>
      </w:r>
    </w:p>
    <w:p w14:paraId="18CB1581" w14:textId="77777777" w:rsidR="000D7A93" w:rsidRPr="00386F72" w:rsidRDefault="000D7A93" w:rsidP="000D7A93">
      <w:pPr>
        <w:pStyle w:val="enumlev2"/>
      </w:pPr>
      <w:r w:rsidRPr="00386F72">
        <w:tab/>
        <w:t>•</w:t>
      </w:r>
      <w:r w:rsidRPr="00386F72">
        <w:tab/>
        <w:t>initiatives régionales (1,3 million CHF);</w:t>
      </w:r>
    </w:p>
    <w:p w14:paraId="4204C19E" w14:textId="77777777" w:rsidR="000D7A93" w:rsidRPr="00386F72" w:rsidRDefault="000D7A93" w:rsidP="000D7A93">
      <w:pPr>
        <w:pStyle w:val="enumlev2"/>
      </w:pPr>
      <w:r w:rsidRPr="00386F72">
        <w:tab/>
        <w:t>•</w:t>
      </w:r>
      <w:r w:rsidRPr="00386F72">
        <w:tab/>
        <w:t>emploi de 18 membres du personnel au titre de contrats de consultants (SSA) ou de contrats de courte durée pour le sommet sur l'IA au service du bien social en 2026-2027 (1,0 million CHF);</w:t>
      </w:r>
    </w:p>
    <w:p w14:paraId="4B849660" w14:textId="1A66D582" w:rsidR="000D7A93" w:rsidRPr="00386F72" w:rsidRDefault="000D7A93" w:rsidP="000D7A93">
      <w:pPr>
        <w:pStyle w:val="enumlev2"/>
      </w:pPr>
      <w:r w:rsidRPr="00386F72">
        <w:tab/>
        <w:t>•</w:t>
      </w:r>
      <w:r w:rsidRPr="00386F72">
        <w:tab/>
        <w:t>et versement sur le Fonds de réserve de l'UIT (0,20 million</w:t>
      </w:r>
      <w:r w:rsidR="00147814">
        <w:t xml:space="preserve"> CHF</w:t>
      </w:r>
      <w:proofErr w:type="gramStart"/>
      <w:r w:rsidRPr="00386F72">
        <w:t>);</w:t>
      </w:r>
      <w:proofErr w:type="gramEnd"/>
    </w:p>
    <w:p w14:paraId="3889C1C2" w14:textId="77777777" w:rsidR="000D7A93" w:rsidRPr="00386F72" w:rsidRDefault="000D7A93" w:rsidP="000D7A93">
      <w:r w:rsidRPr="00386F72">
        <w:t>2</w:t>
      </w:r>
      <w:r w:rsidRPr="00386F72">
        <w:tab/>
        <w:t>de transférer sur le Fonds de réserve de l'UIT tous les fonds qui n'auraient pas été dépensés à la fin de l'année 2029, à l'exception de ceux concernant le renforcement et la modernisation des systèmes essentiels de traitement des fiches de notification de réseaux à satellite et la continuité des activités,</w:t>
      </w:r>
    </w:p>
    <w:p w14:paraId="17DB0400" w14:textId="5083DA65" w:rsidR="000D7A93" w:rsidRPr="00386F72" w:rsidRDefault="000D7A93" w:rsidP="000D7A93">
      <w:pPr>
        <w:pStyle w:val="Call"/>
      </w:pPr>
      <w:proofErr w:type="gramStart"/>
      <w:r w:rsidRPr="00386F72">
        <w:lastRenderedPageBreak/>
        <w:t>charge</w:t>
      </w:r>
      <w:proofErr w:type="gramEnd"/>
      <w:r w:rsidRPr="00386F72">
        <w:t xml:space="preserve"> </w:t>
      </w:r>
      <w:r w:rsidR="002453B0">
        <w:t>au</w:t>
      </w:r>
      <w:r w:rsidRPr="00386F72">
        <w:t xml:space="preserve"> Secrétaire général</w:t>
      </w:r>
    </w:p>
    <w:p w14:paraId="48352348" w14:textId="77777777" w:rsidR="000D7A93" w:rsidRPr="00386F72" w:rsidRDefault="000D7A93" w:rsidP="000D7A93">
      <w:r w:rsidRPr="00386F72">
        <w:t>1</w:t>
      </w:r>
      <w:r w:rsidRPr="00386F72">
        <w:tab/>
        <w:t>de soumettre à la Conférence de plénipotentiaires de 2026 un rapport détaillé donnant un aperçu financier et opérationnel de l'initiative sur l'IA au service du bien social et des initiatives connexes bénéficiant d'un financement extérieur (par exemple les défis sur l'apprentissage automatique, la Coalition pour les compétences en matière d'IA et les concours de présentation des startups dans le domaine de l'IA), notamment en ce qui concerne l'ensemble des contributions en nature, des contributions extrabudgétaires et des contributions volontaires, assorti de recommandations quant à la façon d'assurer la pérennité de cette initiative;</w:t>
      </w:r>
    </w:p>
    <w:p w14:paraId="39974C3C" w14:textId="77777777" w:rsidR="000D7A93" w:rsidRPr="00386F72" w:rsidRDefault="000D7A93" w:rsidP="000D7A93">
      <w:r w:rsidRPr="00386F72">
        <w:t>2</w:t>
      </w:r>
      <w:r w:rsidRPr="00386F72">
        <w:tab/>
        <w:t>de faire rapport au Conseil sur la mise en œuvre des économies budgétaires, notamment les gains d'efficacité et les analyses du retour sur investissement/la description de la valeur ajoutée des investissements effectuées au moyen de ces affectations budgétaires;</w:t>
      </w:r>
    </w:p>
    <w:p w14:paraId="7C5473C8" w14:textId="77777777" w:rsidR="000D7A93" w:rsidRPr="00386F72" w:rsidRDefault="000D7A93" w:rsidP="000D7A93">
      <w:r w:rsidRPr="00386F72">
        <w:t>3</w:t>
      </w:r>
      <w:r w:rsidRPr="00386F72">
        <w:tab/>
        <w:t>de faire rapport au Conseil concernant la mise en œuvre du nouveau programme de départ volontaire approuvé et le plan de réorganisation du Secrétariat général et des trois Bureaux, le cas échéant, en précisant le nombre, le département et le grade des fonctionnaires qui quittent leur fonction dans le cadre de ce programme.</w:t>
      </w:r>
    </w:p>
    <w:p w14:paraId="74C513ED" w14:textId="786C7816" w:rsidR="001C7364" w:rsidRPr="0041082A" w:rsidRDefault="00C50060" w:rsidP="009C7CF0">
      <w:pPr>
        <w:spacing w:before="600"/>
        <w:jc w:val="center"/>
      </w:pPr>
      <w:r w:rsidRPr="0041082A">
        <w:t>______________</w:t>
      </w:r>
    </w:p>
    <w:sectPr w:rsidR="001C7364" w:rsidRPr="0041082A" w:rsidSect="000D7A93">
      <w:footerReference w:type="default" r:id="rId8"/>
      <w:headerReference w:type="first" r:id="rId9"/>
      <w:footerReference w:type="first" r:id="rId10"/>
      <w:pgSz w:w="11907" w:h="16840" w:code="9"/>
      <w:pgMar w:top="1418" w:right="1418" w:bottom="1418" w:left="1418" w:header="720" w:footer="720" w:gutter="0"/>
      <w:paperSrc w:first="286" w:other="286"/>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6B065" w14:textId="77777777" w:rsidR="002669F7" w:rsidRDefault="002669F7">
      <w:r>
        <w:separator/>
      </w:r>
    </w:p>
  </w:endnote>
  <w:endnote w:type="continuationSeparator" w:id="0">
    <w:p w14:paraId="754A147E" w14:textId="77777777" w:rsidR="002669F7" w:rsidRDefault="00266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737272" w:rsidRPr="00784011" w14:paraId="637E2B8A" w14:textId="77777777" w:rsidTr="007137AF">
      <w:trPr>
        <w:jc w:val="center"/>
      </w:trPr>
      <w:tc>
        <w:tcPr>
          <w:tcW w:w="1803" w:type="dxa"/>
          <w:vAlign w:val="center"/>
        </w:tcPr>
        <w:p w14:paraId="6233D486" w14:textId="0DEC3C79" w:rsidR="00737272" w:rsidRPr="00FC6D7D" w:rsidRDefault="00737272" w:rsidP="00737272">
          <w:pPr>
            <w:pStyle w:val="Header"/>
            <w:jc w:val="left"/>
            <w:rPr>
              <w:noProof/>
              <w:color w:val="0563C1"/>
            </w:rPr>
          </w:pPr>
        </w:p>
      </w:tc>
      <w:tc>
        <w:tcPr>
          <w:tcW w:w="8261" w:type="dxa"/>
        </w:tcPr>
        <w:p w14:paraId="796CF19E" w14:textId="264273A4" w:rsidR="00737272" w:rsidRPr="00E06FD5" w:rsidRDefault="00737272" w:rsidP="00737272">
          <w:pPr>
            <w:pStyle w:val="Header"/>
            <w:tabs>
              <w:tab w:val="left" w:pos="6593"/>
              <w:tab w:val="right" w:pos="8505"/>
              <w:tab w:val="right" w:pos="9639"/>
            </w:tabs>
            <w:jc w:val="left"/>
            <w:rPr>
              <w:rFonts w:ascii="Arial" w:hAnsi="Arial" w:cs="Arial"/>
              <w:b/>
              <w:bCs/>
              <w:szCs w:val="18"/>
            </w:rPr>
          </w:pPr>
          <w:r>
            <w:rPr>
              <w:bCs/>
            </w:rPr>
            <w:tab/>
          </w:r>
          <w:proofErr w:type="spellStart"/>
          <w:r w:rsidRPr="00623AE3">
            <w:rPr>
              <w:bCs/>
            </w:rPr>
            <w:t>C</w:t>
          </w:r>
          <w:r>
            <w:rPr>
              <w:bCs/>
            </w:rPr>
            <w:t>26</w:t>
          </w:r>
          <w:proofErr w:type="spellEnd"/>
          <w:r w:rsidRPr="00623AE3">
            <w:rPr>
              <w:bCs/>
            </w:rPr>
            <w:t>/</w:t>
          </w:r>
          <w:r w:rsidR="009C7CF0">
            <w:rPr>
              <w:bCs/>
            </w:rPr>
            <w:t>13</w:t>
          </w:r>
          <w:r w:rsidR="000D7A93">
            <w:rPr>
              <w:bCs/>
            </w:rPr>
            <w:t>3</w:t>
          </w:r>
          <w:r w:rsidRPr="00623AE3">
            <w:rPr>
              <w:bCs/>
            </w:rPr>
            <w:t>-</w:t>
          </w:r>
          <w:r>
            <w:rPr>
              <w:bCs/>
            </w:rPr>
            <w:t>F</w:t>
          </w:r>
          <w:r>
            <w:rPr>
              <w:bCs/>
            </w:rPr>
            <w:tab/>
          </w:r>
          <w:r>
            <w:fldChar w:fldCharType="begin"/>
          </w:r>
          <w:r>
            <w:instrText>PAGE</w:instrText>
          </w:r>
          <w:r>
            <w:fldChar w:fldCharType="separate"/>
          </w:r>
          <w:r>
            <w:t>1</w:t>
          </w:r>
          <w:r>
            <w:rPr>
              <w:noProof/>
            </w:rPr>
            <w:fldChar w:fldCharType="end"/>
          </w:r>
        </w:p>
      </w:tc>
    </w:tr>
  </w:tbl>
  <w:p w14:paraId="3A404133" w14:textId="77777777" w:rsidR="00C50060" w:rsidRPr="00737272" w:rsidRDefault="00C50060" w:rsidP="007372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0D7A93" w:rsidRPr="00784011" w14:paraId="5D3A2FB4" w14:textId="77777777" w:rsidTr="00672BBD">
      <w:trPr>
        <w:jc w:val="center"/>
      </w:trPr>
      <w:tc>
        <w:tcPr>
          <w:tcW w:w="1803" w:type="dxa"/>
          <w:vAlign w:val="center"/>
        </w:tcPr>
        <w:p w14:paraId="792CDC05" w14:textId="77777777" w:rsidR="000D7A93" w:rsidRPr="00FC6D7D" w:rsidRDefault="000D7A93" w:rsidP="000D7A93">
          <w:pPr>
            <w:pStyle w:val="Header"/>
            <w:jc w:val="left"/>
            <w:rPr>
              <w:noProof/>
              <w:color w:val="0563C1"/>
            </w:rPr>
          </w:pPr>
          <w:hyperlink r:id="rId1" w:anchor="/fr" w:history="1">
            <w:proofErr w:type="spellStart"/>
            <w:r>
              <w:rPr>
                <w:rStyle w:val="Hyperlink"/>
              </w:rPr>
              <w:t>council.itu.int</w:t>
            </w:r>
            <w:proofErr w:type="spellEnd"/>
            <w:r>
              <w:rPr>
                <w:rStyle w:val="Hyperlink"/>
              </w:rPr>
              <w:t>/2026</w:t>
            </w:r>
          </w:hyperlink>
        </w:p>
      </w:tc>
      <w:tc>
        <w:tcPr>
          <w:tcW w:w="8261" w:type="dxa"/>
        </w:tcPr>
        <w:p w14:paraId="4901983D" w14:textId="74BB5367" w:rsidR="000D7A93" w:rsidRPr="00E06FD5" w:rsidRDefault="000D7A93" w:rsidP="000D7A93">
          <w:pPr>
            <w:pStyle w:val="Header"/>
            <w:tabs>
              <w:tab w:val="left" w:pos="6593"/>
              <w:tab w:val="right" w:pos="8505"/>
              <w:tab w:val="right" w:pos="9639"/>
            </w:tabs>
            <w:jc w:val="left"/>
            <w:rPr>
              <w:rFonts w:ascii="Arial" w:hAnsi="Arial" w:cs="Arial"/>
              <w:b/>
              <w:bCs/>
              <w:szCs w:val="18"/>
            </w:rPr>
          </w:pPr>
          <w:r>
            <w:rPr>
              <w:bCs/>
            </w:rPr>
            <w:tab/>
          </w:r>
          <w:proofErr w:type="spellStart"/>
          <w:r w:rsidRPr="00623AE3">
            <w:rPr>
              <w:bCs/>
            </w:rPr>
            <w:t>C</w:t>
          </w:r>
          <w:r>
            <w:rPr>
              <w:bCs/>
            </w:rPr>
            <w:t>26</w:t>
          </w:r>
          <w:proofErr w:type="spellEnd"/>
          <w:r w:rsidRPr="00623AE3">
            <w:rPr>
              <w:bCs/>
            </w:rPr>
            <w:t>/</w:t>
          </w:r>
          <w:r>
            <w:rPr>
              <w:bCs/>
            </w:rPr>
            <w:t>133</w:t>
          </w:r>
          <w:r w:rsidRPr="00623AE3">
            <w:rPr>
              <w:bCs/>
            </w:rPr>
            <w:t>-</w:t>
          </w:r>
          <w:r>
            <w:rPr>
              <w:bCs/>
            </w:rPr>
            <w:t>F</w:t>
          </w:r>
          <w:r>
            <w:rPr>
              <w:bCs/>
            </w:rPr>
            <w:tab/>
          </w:r>
          <w:r>
            <w:fldChar w:fldCharType="begin"/>
          </w:r>
          <w:r>
            <w:instrText>PAGE</w:instrText>
          </w:r>
          <w:r>
            <w:fldChar w:fldCharType="separate"/>
          </w:r>
          <w:r>
            <w:t>1</w:t>
          </w:r>
          <w:r>
            <w:rPr>
              <w:noProof/>
            </w:rPr>
            <w:fldChar w:fldCharType="end"/>
          </w:r>
        </w:p>
      </w:tc>
    </w:tr>
  </w:tbl>
  <w:p w14:paraId="2F585762" w14:textId="77777777" w:rsidR="000D7A93" w:rsidRDefault="000D7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3455F" w14:textId="77777777" w:rsidR="002669F7" w:rsidRDefault="002669F7">
      <w:r>
        <w:t>____________________</w:t>
      </w:r>
    </w:p>
  </w:footnote>
  <w:footnote w:type="continuationSeparator" w:id="0">
    <w:p w14:paraId="53B35EAC" w14:textId="77777777" w:rsidR="002669F7" w:rsidRDefault="00266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61EB5" w14:textId="30FCF6AF" w:rsidR="000D7A93" w:rsidRDefault="000D7A93">
    <w:pPr>
      <w:pStyle w:val="Header"/>
    </w:pPr>
    <w:r>
      <w:rPr>
        <w:noProof/>
      </w:rPr>
      <w:drawing>
        <wp:inline distT="0" distB="0" distL="0" distR="0" wp14:anchorId="73905FBA" wp14:editId="10C60D59">
          <wp:extent cx="5760085" cy="840740"/>
          <wp:effectExtent l="0" t="0" r="0" b="0"/>
          <wp:docPr id="728194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3ED"/>
    <w:rsid w:val="000303F9"/>
    <w:rsid w:val="00076A2C"/>
    <w:rsid w:val="000A2DE9"/>
    <w:rsid w:val="000C10D9"/>
    <w:rsid w:val="000D0D0A"/>
    <w:rsid w:val="000D7A93"/>
    <w:rsid w:val="000E704C"/>
    <w:rsid w:val="00103163"/>
    <w:rsid w:val="001044B2"/>
    <w:rsid w:val="00106B19"/>
    <w:rsid w:val="001133EF"/>
    <w:rsid w:val="00115D93"/>
    <w:rsid w:val="001247A8"/>
    <w:rsid w:val="001342E0"/>
    <w:rsid w:val="001370B2"/>
    <w:rsid w:val="001378C0"/>
    <w:rsid w:val="00140F2E"/>
    <w:rsid w:val="00141A01"/>
    <w:rsid w:val="00147814"/>
    <w:rsid w:val="001658F9"/>
    <w:rsid w:val="0016756B"/>
    <w:rsid w:val="00180668"/>
    <w:rsid w:val="0018694A"/>
    <w:rsid w:val="0019129B"/>
    <w:rsid w:val="001A3287"/>
    <w:rsid w:val="001A6508"/>
    <w:rsid w:val="001C7364"/>
    <w:rsid w:val="001D4C31"/>
    <w:rsid w:val="001E4D21"/>
    <w:rsid w:val="00205124"/>
    <w:rsid w:val="00207CD1"/>
    <w:rsid w:val="00226657"/>
    <w:rsid w:val="002453B0"/>
    <w:rsid w:val="002477A2"/>
    <w:rsid w:val="00263A51"/>
    <w:rsid w:val="002669F7"/>
    <w:rsid w:val="00267E02"/>
    <w:rsid w:val="00271321"/>
    <w:rsid w:val="00277DEA"/>
    <w:rsid w:val="002A5D44"/>
    <w:rsid w:val="002A6BC0"/>
    <w:rsid w:val="002C3F32"/>
    <w:rsid w:val="002C4E3D"/>
    <w:rsid w:val="002D2336"/>
    <w:rsid w:val="002E0BC4"/>
    <w:rsid w:val="002F1B76"/>
    <w:rsid w:val="002F2656"/>
    <w:rsid w:val="00311B87"/>
    <w:rsid w:val="00327959"/>
    <w:rsid w:val="0033568E"/>
    <w:rsid w:val="00355FF5"/>
    <w:rsid w:val="00361350"/>
    <w:rsid w:val="00395642"/>
    <w:rsid w:val="003A32B0"/>
    <w:rsid w:val="003C3FAE"/>
    <w:rsid w:val="003C4D8A"/>
    <w:rsid w:val="003D2A18"/>
    <w:rsid w:val="003E21D8"/>
    <w:rsid w:val="004038CB"/>
    <w:rsid w:val="0040546F"/>
    <w:rsid w:val="0041082A"/>
    <w:rsid w:val="004121F9"/>
    <w:rsid w:val="004177BD"/>
    <w:rsid w:val="00421262"/>
    <w:rsid w:val="0042404A"/>
    <w:rsid w:val="004379D8"/>
    <w:rsid w:val="00437C12"/>
    <w:rsid w:val="0044618F"/>
    <w:rsid w:val="004644BF"/>
    <w:rsid w:val="00465C35"/>
    <w:rsid w:val="0046769A"/>
    <w:rsid w:val="00475FB3"/>
    <w:rsid w:val="004A0DE0"/>
    <w:rsid w:val="004C37A9"/>
    <w:rsid w:val="004C5127"/>
    <w:rsid w:val="004D1D50"/>
    <w:rsid w:val="004F259E"/>
    <w:rsid w:val="004F633A"/>
    <w:rsid w:val="00504C7F"/>
    <w:rsid w:val="00506448"/>
    <w:rsid w:val="00511F1D"/>
    <w:rsid w:val="00520F36"/>
    <w:rsid w:val="00524E8D"/>
    <w:rsid w:val="00534E13"/>
    <w:rsid w:val="005363A6"/>
    <w:rsid w:val="00540615"/>
    <w:rsid w:val="00540A6D"/>
    <w:rsid w:val="00540C94"/>
    <w:rsid w:val="00547F2E"/>
    <w:rsid w:val="00553536"/>
    <w:rsid w:val="0055380B"/>
    <w:rsid w:val="00566679"/>
    <w:rsid w:val="00571EEA"/>
    <w:rsid w:val="00575417"/>
    <w:rsid w:val="005768E1"/>
    <w:rsid w:val="005A7959"/>
    <w:rsid w:val="005B1938"/>
    <w:rsid w:val="005B7187"/>
    <w:rsid w:val="005C01DF"/>
    <w:rsid w:val="005C2B20"/>
    <w:rsid w:val="005C3890"/>
    <w:rsid w:val="005E3749"/>
    <w:rsid w:val="005F7BFE"/>
    <w:rsid w:val="00600017"/>
    <w:rsid w:val="00602682"/>
    <w:rsid w:val="006140BE"/>
    <w:rsid w:val="006235CA"/>
    <w:rsid w:val="0062366E"/>
    <w:rsid w:val="00634C95"/>
    <w:rsid w:val="00642965"/>
    <w:rsid w:val="006643AB"/>
    <w:rsid w:val="00664B40"/>
    <w:rsid w:val="006A11AE"/>
    <w:rsid w:val="006B224B"/>
    <w:rsid w:val="006F0A53"/>
    <w:rsid w:val="00711AC1"/>
    <w:rsid w:val="0071402E"/>
    <w:rsid w:val="007210CD"/>
    <w:rsid w:val="00732045"/>
    <w:rsid w:val="0073275D"/>
    <w:rsid w:val="007369DB"/>
    <w:rsid w:val="00736CED"/>
    <w:rsid w:val="00737272"/>
    <w:rsid w:val="00750A29"/>
    <w:rsid w:val="0077110E"/>
    <w:rsid w:val="0077503B"/>
    <w:rsid w:val="007956C2"/>
    <w:rsid w:val="00796BDB"/>
    <w:rsid w:val="007A187E"/>
    <w:rsid w:val="007C72C2"/>
    <w:rsid w:val="007D4436"/>
    <w:rsid w:val="007F257A"/>
    <w:rsid w:val="007F2BCA"/>
    <w:rsid w:val="007F3665"/>
    <w:rsid w:val="00800037"/>
    <w:rsid w:val="0082299A"/>
    <w:rsid w:val="0083391C"/>
    <w:rsid w:val="0084546D"/>
    <w:rsid w:val="00861D73"/>
    <w:rsid w:val="00882919"/>
    <w:rsid w:val="00897553"/>
    <w:rsid w:val="008A4E87"/>
    <w:rsid w:val="008B36C4"/>
    <w:rsid w:val="008D1D29"/>
    <w:rsid w:val="008D76E6"/>
    <w:rsid w:val="008E7ADC"/>
    <w:rsid w:val="008F5610"/>
    <w:rsid w:val="0090087E"/>
    <w:rsid w:val="0092392D"/>
    <w:rsid w:val="0093234A"/>
    <w:rsid w:val="00946E79"/>
    <w:rsid w:val="00956A78"/>
    <w:rsid w:val="009603ED"/>
    <w:rsid w:val="0097363B"/>
    <w:rsid w:val="00973F53"/>
    <w:rsid w:val="0098348E"/>
    <w:rsid w:val="009A6BAA"/>
    <w:rsid w:val="009A76A8"/>
    <w:rsid w:val="009C06ED"/>
    <w:rsid w:val="009C307F"/>
    <w:rsid w:val="009C353C"/>
    <w:rsid w:val="009C7CF0"/>
    <w:rsid w:val="009D5955"/>
    <w:rsid w:val="009F0FB8"/>
    <w:rsid w:val="00A01F4F"/>
    <w:rsid w:val="00A05DB2"/>
    <w:rsid w:val="00A109AF"/>
    <w:rsid w:val="00A125FB"/>
    <w:rsid w:val="00A2113E"/>
    <w:rsid w:val="00A22CDF"/>
    <w:rsid w:val="00A23A51"/>
    <w:rsid w:val="00A24607"/>
    <w:rsid w:val="00A25CD3"/>
    <w:rsid w:val="00A51849"/>
    <w:rsid w:val="00A709FE"/>
    <w:rsid w:val="00A73C60"/>
    <w:rsid w:val="00A82767"/>
    <w:rsid w:val="00AA332F"/>
    <w:rsid w:val="00AA7BBB"/>
    <w:rsid w:val="00AB64A8"/>
    <w:rsid w:val="00AC0266"/>
    <w:rsid w:val="00AC0F1D"/>
    <w:rsid w:val="00AD24EC"/>
    <w:rsid w:val="00B0157C"/>
    <w:rsid w:val="00B27B00"/>
    <w:rsid w:val="00B309F9"/>
    <w:rsid w:val="00B32B60"/>
    <w:rsid w:val="00B41DCA"/>
    <w:rsid w:val="00B51005"/>
    <w:rsid w:val="00B51FD7"/>
    <w:rsid w:val="00B61619"/>
    <w:rsid w:val="00B71C31"/>
    <w:rsid w:val="00BB38C1"/>
    <w:rsid w:val="00BB4545"/>
    <w:rsid w:val="00BB567B"/>
    <w:rsid w:val="00BD5873"/>
    <w:rsid w:val="00BF4B60"/>
    <w:rsid w:val="00C049D7"/>
    <w:rsid w:val="00C04BE3"/>
    <w:rsid w:val="00C25D29"/>
    <w:rsid w:val="00C2625E"/>
    <w:rsid w:val="00C269D1"/>
    <w:rsid w:val="00C27A7C"/>
    <w:rsid w:val="00C3114E"/>
    <w:rsid w:val="00C42437"/>
    <w:rsid w:val="00C50060"/>
    <w:rsid w:val="00C6150F"/>
    <w:rsid w:val="00C82487"/>
    <w:rsid w:val="00C83927"/>
    <w:rsid w:val="00C968EA"/>
    <w:rsid w:val="00CA08ED"/>
    <w:rsid w:val="00CC6EAA"/>
    <w:rsid w:val="00CE1F94"/>
    <w:rsid w:val="00CE5172"/>
    <w:rsid w:val="00CF0534"/>
    <w:rsid w:val="00CF183B"/>
    <w:rsid w:val="00D00DB2"/>
    <w:rsid w:val="00D22A71"/>
    <w:rsid w:val="00D25173"/>
    <w:rsid w:val="00D341E9"/>
    <w:rsid w:val="00D367A8"/>
    <w:rsid w:val="00D371A5"/>
    <w:rsid w:val="00D375CD"/>
    <w:rsid w:val="00D37B53"/>
    <w:rsid w:val="00D42029"/>
    <w:rsid w:val="00D553A2"/>
    <w:rsid w:val="00D72F49"/>
    <w:rsid w:val="00D774D3"/>
    <w:rsid w:val="00D82212"/>
    <w:rsid w:val="00D904E8"/>
    <w:rsid w:val="00DA08C3"/>
    <w:rsid w:val="00DB5A3E"/>
    <w:rsid w:val="00DC22AA"/>
    <w:rsid w:val="00DD1A99"/>
    <w:rsid w:val="00DE62C6"/>
    <w:rsid w:val="00DF74DD"/>
    <w:rsid w:val="00E20D3C"/>
    <w:rsid w:val="00E25AD0"/>
    <w:rsid w:val="00E4428F"/>
    <w:rsid w:val="00E4448E"/>
    <w:rsid w:val="00E47427"/>
    <w:rsid w:val="00E57B1C"/>
    <w:rsid w:val="00E72CA7"/>
    <w:rsid w:val="00E863B6"/>
    <w:rsid w:val="00E93668"/>
    <w:rsid w:val="00E95647"/>
    <w:rsid w:val="00EB6350"/>
    <w:rsid w:val="00ED799B"/>
    <w:rsid w:val="00EE2B43"/>
    <w:rsid w:val="00F15B57"/>
    <w:rsid w:val="00F22A46"/>
    <w:rsid w:val="00F22BFC"/>
    <w:rsid w:val="00F35EF4"/>
    <w:rsid w:val="00F37FE5"/>
    <w:rsid w:val="00F427DB"/>
    <w:rsid w:val="00F8086E"/>
    <w:rsid w:val="00FA5EB1"/>
    <w:rsid w:val="00FA7439"/>
    <w:rsid w:val="00FC3A2B"/>
    <w:rsid w:val="00FC4EC0"/>
    <w:rsid w:val="00FC6D7D"/>
    <w:rsid w:val="00FD7A0B"/>
    <w:rsid w:val="00FF0181"/>
    <w:rsid w:val="00FF1071"/>
    <w:rsid w:val="00FF3ACB"/>
    <w:rsid w:val="00FF70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B33D28"/>
  <w15:docId w15:val="{CFA7D635-C06E-4D2F-9E4A-2EF648242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link w:val="FooterChar"/>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qFormat/>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qFormat/>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qFormat/>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qFormat/>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qFormat/>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737272"/>
    <w:rPr>
      <w:rFonts w:asciiTheme="minorHAnsi" w:hAnsiTheme="minorHAnsi" w:cstheme="minorHAnsi"/>
    </w:rPr>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qFormat/>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 w:type="table" w:customStyle="1" w:styleId="TableGrid1">
    <w:name w:val="Table Grid1"/>
    <w:basedOn w:val="TableNormal"/>
    <w:next w:val="TableGrid"/>
    <w:uiPriority w:val="39"/>
    <w:rsid w:val="00C50060"/>
    <w:pPr>
      <w:spacing w:before="200"/>
      <w:ind w:left="547" w:hanging="547"/>
      <w:jc w:val="both"/>
    </w:pPr>
    <w:rPr>
      <w:rFonts w:ascii="Aptos" w:eastAsia="Aptos" w:hAnsi="Aptos"/>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737272"/>
    <w:rPr>
      <w:rFonts w:ascii="Calibri" w:hAnsi="Calibri"/>
      <w:caps/>
      <w:noProof/>
      <w:sz w:val="16"/>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tu.int/md/S26-CL-C-0042/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PF_Council26.dotx</Template>
  <TotalTime>1</TotalTime>
  <Pages>2</Pages>
  <Words>452</Words>
  <Characters>2558</Characters>
  <Application>Microsoft Office Word</Application>
  <DocSecurity>0</DocSecurity>
  <Lines>51</Lines>
  <Paragraphs>26</Paragraphs>
  <ScaleCrop>false</ScaleCrop>
  <HeadingPairs>
    <vt:vector size="2" baseType="variant">
      <vt:variant>
        <vt:lpstr>Title</vt:lpstr>
      </vt:variant>
      <vt:variant>
        <vt:i4>1</vt:i4>
      </vt:variant>
    </vt:vector>
  </HeadingPairs>
  <TitlesOfParts>
    <vt:vector size="1" baseType="lpstr">
      <vt:lpstr>Résolution 1439 - Affectation des économies réalisées dans le cadre de l'exécution du budget pour 2025</vt:lpstr>
    </vt:vector>
  </TitlesOfParts>
  <Manager>Secrétariat général - Pool</Manager>
  <Company>Union internationale des télécommunications (UIT)</Company>
  <LinksUpToDate>false</LinksUpToDate>
  <CharactersWithSpaces>2984</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Résolution 1439 - Affectation des économies réalisées dans le cadre de l'exécution du budget pour 2025</dc:title>
  <dc:subject>Conseil 2026 de l'UIT</dc:subject>
  <cp:keywords>C26; C2026; Council 2026; PP26</cp:keywords>
  <dc:description/>
  <cp:lastPrinted>2000-07-18T08:55:00Z</cp:lastPrinted>
  <dcterms:created xsi:type="dcterms:W3CDTF">2026-05-26T16:04:00Z</dcterms:created>
  <dcterms:modified xsi:type="dcterms:W3CDTF">2026-05-26T16:04:00Z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