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32DA71EE" w14:textId="77777777" w:rsidTr="00954C49">
        <w:trPr>
          <w:cantSplit/>
          <w:trHeight w:val="23"/>
        </w:trPr>
        <w:tc>
          <w:tcPr>
            <w:tcW w:w="3969" w:type="dxa"/>
            <w:vMerge w:val="restart"/>
            <w:tcMar>
              <w:left w:w="0" w:type="dxa"/>
            </w:tcMar>
          </w:tcPr>
          <w:p w14:paraId="177B04CE" w14:textId="47EA492B"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65741F1C" w14:textId="12258F67"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0B2131">
              <w:rPr>
                <w:b/>
              </w:rPr>
              <w:t>133</w:t>
            </w:r>
            <w:r w:rsidRPr="00C0458D">
              <w:rPr>
                <w:b/>
              </w:rPr>
              <w:t>-E</w:t>
            </w:r>
          </w:p>
        </w:tc>
      </w:tr>
      <w:tr w:rsidR="00AD3606" w:rsidRPr="00C0458D" w14:paraId="268E1D27" w14:textId="77777777" w:rsidTr="00954C49">
        <w:trPr>
          <w:cantSplit/>
        </w:trPr>
        <w:tc>
          <w:tcPr>
            <w:tcW w:w="3969" w:type="dxa"/>
            <w:vMerge/>
          </w:tcPr>
          <w:p w14:paraId="01517B80"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2DFB8E48" w14:textId="0B6CF9D5" w:rsidR="00AD3606" w:rsidRPr="00C0458D" w:rsidRDefault="000B2131" w:rsidP="00954C49">
            <w:pPr>
              <w:tabs>
                <w:tab w:val="left" w:pos="851"/>
              </w:tabs>
              <w:spacing w:before="0"/>
              <w:jc w:val="right"/>
              <w:rPr>
                <w:b/>
              </w:rPr>
            </w:pPr>
            <w:r>
              <w:rPr>
                <w:b/>
              </w:rPr>
              <w:t>21 May 2026</w:t>
            </w:r>
          </w:p>
        </w:tc>
      </w:tr>
      <w:tr w:rsidR="00AD3606" w:rsidRPr="00C0458D" w14:paraId="1EE475BC" w14:textId="77777777" w:rsidTr="00954C49">
        <w:trPr>
          <w:cantSplit/>
          <w:trHeight w:val="23"/>
        </w:trPr>
        <w:tc>
          <w:tcPr>
            <w:tcW w:w="3969" w:type="dxa"/>
            <w:vMerge/>
          </w:tcPr>
          <w:p w14:paraId="35011A9A"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06665556"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236D04DC" w14:textId="77777777" w:rsidTr="00954C49">
        <w:trPr>
          <w:cantSplit/>
          <w:trHeight w:val="23"/>
        </w:trPr>
        <w:tc>
          <w:tcPr>
            <w:tcW w:w="3969" w:type="dxa"/>
          </w:tcPr>
          <w:p w14:paraId="3D8572F1" w14:textId="77777777" w:rsidR="00472BAD" w:rsidRPr="00C0458D" w:rsidRDefault="00472BAD" w:rsidP="00954C49">
            <w:pPr>
              <w:tabs>
                <w:tab w:val="left" w:pos="851"/>
              </w:tabs>
              <w:spacing w:line="240" w:lineRule="atLeast"/>
              <w:rPr>
                <w:b/>
              </w:rPr>
            </w:pPr>
          </w:p>
        </w:tc>
        <w:tc>
          <w:tcPr>
            <w:tcW w:w="5245" w:type="dxa"/>
          </w:tcPr>
          <w:p w14:paraId="43976E3D" w14:textId="77777777" w:rsidR="00472BAD" w:rsidRPr="00C0458D" w:rsidRDefault="00472BAD" w:rsidP="00954C49">
            <w:pPr>
              <w:tabs>
                <w:tab w:val="left" w:pos="851"/>
              </w:tabs>
              <w:spacing w:before="0" w:line="240" w:lineRule="atLeast"/>
              <w:jc w:val="right"/>
              <w:rPr>
                <w:b/>
              </w:rPr>
            </w:pPr>
          </w:p>
        </w:tc>
      </w:tr>
    </w:tbl>
    <w:bookmarkEnd w:id="2"/>
    <w:bookmarkEnd w:id="3"/>
    <w:bookmarkEnd w:id="4"/>
    <w:bookmarkEnd w:id="5"/>
    <w:bookmarkEnd w:id="7"/>
    <w:p w14:paraId="1A5902D8" w14:textId="6BC454E9" w:rsidR="00E2155A" w:rsidRDefault="00E2155A" w:rsidP="00E2155A">
      <w:pPr>
        <w:pStyle w:val="ResNo"/>
      </w:pPr>
      <w:r w:rsidRPr="6D6A5C68">
        <w:t xml:space="preserve">RESOLUTION </w:t>
      </w:r>
      <w:r w:rsidR="000B2131">
        <w:t>1439</w:t>
      </w:r>
    </w:p>
    <w:p w14:paraId="734A3968" w14:textId="7C5E6E6B" w:rsidR="002130CF" w:rsidRDefault="002130CF" w:rsidP="002130CF">
      <w:pPr>
        <w:pStyle w:val="Resref"/>
      </w:pPr>
      <w:r>
        <w:t xml:space="preserve">(adopted at </w:t>
      </w:r>
      <w:r w:rsidRPr="000B2131">
        <w:t xml:space="preserve">the </w:t>
      </w:r>
      <w:r w:rsidR="00D97528" w:rsidRPr="000B2131">
        <w:t>ninth</w:t>
      </w:r>
      <w:r w:rsidRPr="000B2131">
        <w:t xml:space="preserve"> Plenary</w:t>
      </w:r>
      <w:r>
        <w:t xml:space="preserve"> meeting)</w:t>
      </w:r>
    </w:p>
    <w:p w14:paraId="63CEDA8E" w14:textId="77777777" w:rsidR="00E2155A" w:rsidRPr="00A64A6B" w:rsidRDefault="00E2155A" w:rsidP="00E2155A">
      <w:pPr>
        <w:pStyle w:val="Restitle"/>
        <w:rPr>
          <w:szCs w:val="28"/>
        </w:rPr>
      </w:pPr>
      <w:r w:rsidRPr="6D6A5C68">
        <w:t>Allocations of savings achieved in 2025 budget implementation</w:t>
      </w:r>
    </w:p>
    <w:p w14:paraId="11A35B5F" w14:textId="77777777" w:rsidR="00E2155A" w:rsidRPr="00A64A6B" w:rsidRDefault="00E2155A" w:rsidP="00E2155A">
      <w:pPr>
        <w:pStyle w:val="Normalaftertitle"/>
      </w:pPr>
      <w:r w:rsidRPr="00A64A6B">
        <w:t>The ITU Council,</w:t>
      </w:r>
    </w:p>
    <w:p w14:paraId="42F50090" w14:textId="77777777" w:rsidR="00E2155A" w:rsidRPr="00A64A6B" w:rsidRDefault="00E2155A" w:rsidP="00E2155A">
      <w:pPr>
        <w:pStyle w:val="Call"/>
      </w:pPr>
      <w:r w:rsidRPr="00A64A6B">
        <w:t>having considered</w:t>
      </w:r>
    </w:p>
    <w:p w14:paraId="4C235EDE" w14:textId="77777777" w:rsidR="00E2155A" w:rsidRPr="00A64A6B" w:rsidRDefault="00E2155A" w:rsidP="00E2155A">
      <w:pPr>
        <w:jc w:val="both"/>
        <w:rPr>
          <w:rFonts w:cs="Calibri"/>
        </w:rPr>
      </w:pPr>
      <w:r w:rsidRPr="00A64A6B">
        <w:rPr>
          <w:rFonts w:cs="Calibri"/>
          <w:i/>
          <w:iCs/>
        </w:rPr>
        <w:t>a)</w:t>
      </w:r>
      <w:r w:rsidRPr="00162AFD">
        <w:tab/>
      </w:r>
      <w:r w:rsidRPr="00A64A6B">
        <w:rPr>
          <w:rFonts w:cs="Calibri"/>
        </w:rPr>
        <w:t>the savings achieved in the implementation of the 2025 budget that amount to CHF 11.44 million;</w:t>
      </w:r>
    </w:p>
    <w:p w14:paraId="03FB3A3A" w14:textId="77777777" w:rsidR="00E2155A" w:rsidRPr="00A64A6B" w:rsidRDefault="00E2155A" w:rsidP="00E2155A">
      <w:pPr>
        <w:jc w:val="both"/>
        <w:rPr>
          <w:rFonts w:cs="Calibri"/>
        </w:rPr>
      </w:pPr>
      <w:r w:rsidRPr="6D6A5C68">
        <w:rPr>
          <w:rFonts w:cs="Calibri"/>
          <w:i/>
        </w:rPr>
        <w:t>b)</w:t>
      </w:r>
      <w:r w:rsidRPr="00162AFD">
        <w:tab/>
      </w:r>
      <w:r w:rsidRPr="6D6A5C68">
        <w:rPr>
          <w:rFonts w:cs="Calibri"/>
        </w:rPr>
        <w:t xml:space="preserve">Document </w:t>
      </w:r>
      <w:hyperlink r:id="rId8" w:history="1">
        <w:r w:rsidRPr="6D6A5C68">
          <w:rPr>
            <w:rFonts w:cs="Calibri"/>
            <w:color w:val="4F81BD" w:themeColor="accent1"/>
            <w:u w:val="single"/>
          </w:rPr>
          <w:t>C26/42(Rev.2)</w:t>
        </w:r>
      </w:hyperlink>
      <w:r w:rsidRPr="6D6A5C68">
        <w:rPr>
          <w:rFonts w:cs="Calibri"/>
        </w:rPr>
        <w:t>,</w:t>
      </w:r>
    </w:p>
    <w:p w14:paraId="57F572CC" w14:textId="77777777" w:rsidR="00E2155A" w:rsidRPr="00A64A6B" w:rsidRDefault="00E2155A" w:rsidP="00E2155A">
      <w:pPr>
        <w:pStyle w:val="Call"/>
      </w:pPr>
      <w:r w:rsidRPr="00A64A6B">
        <w:t>resolves</w:t>
      </w:r>
    </w:p>
    <w:p w14:paraId="7E41F0FE" w14:textId="77777777" w:rsidR="00E2155A" w:rsidRPr="00A64A6B" w:rsidRDefault="00E2155A" w:rsidP="00E2155A">
      <w:pPr>
        <w:rPr>
          <w:rFonts w:eastAsiaTheme="minorEastAsia"/>
          <w:lang w:val="en-US" w:eastAsia="zh-CN"/>
        </w:rPr>
      </w:pPr>
      <w:r w:rsidRPr="00A64A6B">
        <w:rPr>
          <w:lang w:eastAsia="en-GB"/>
        </w:rPr>
        <w:t>1</w:t>
      </w:r>
      <w:r w:rsidRPr="00162AFD">
        <w:tab/>
      </w:r>
      <w:r w:rsidRPr="00A64A6B">
        <w:rPr>
          <w:lang w:eastAsia="en-GB"/>
        </w:rPr>
        <w:t>to allocate the savings as follows:</w:t>
      </w:r>
    </w:p>
    <w:p w14:paraId="42C74E43" w14:textId="77777777" w:rsidR="00E2155A" w:rsidRPr="00A64A6B" w:rsidRDefault="00E2155A" w:rsidP="00E2155A">
      <w:pPr>
        <w:pStyle w:val="enumlev1"/>
        <w:jc w:val="both"/>
        <w:rPr>
          <w:rFonts w:cs="Calibri"/>
          <w:lang w:eastAsia="en-GB"/>
        </w:rPr>
      </w:pPr>
      <w:r w:rsidRPr="00A64A6B">
        <w:rPr>
          <w:rFonts w:eastAsiaTheme="minorEastAsia"/>
          <w:lang w:val="en-US" w:eastAsia="zh-CN"/>
        </w:rPr>
        <w:t>–</w:t>
      </w:r>
      <w:r w:rsidRPr="00162AFD">
        <w:rPr>
          <w:rFonts w:eastAsiaTheme="minorEastAsia"/>
        </w:rPr>
        <w:tab/>
      </w:r>
      <w:r w:rsidRPr="00A64A6B">
        <w:rPr>
          <w:rFonts w:eastAsiaTheme="minorEastAsia"/>
          <w:lang w:val="en-US" w:eastAsia="zh-CN"/>
        </w:rPr>
        <w:t xml:space="preserve">funding of previously approved initiative by the Council, the </w:t>
      </w:r>
      <w:r w:rsidRPr="00A64A6B">
        <w:rPr>
          <w:rFonts w:cs="Calibri"/>
          <w:lang w:eastAsia="en-GB"/>
        </w:rPr>
        <w:t>Young Professional Programme (CHF 1.2 million); and</w:t>
      </w:r>
    </w:p>
    <w:p w14:paraId="73124245" w14:textId="77777777" w:rsidR="00E2155A" w:rsidRPr="00A64A6B" w:rsidRDefault="00E2155A" w:rsidP="00E2155A">
      <w:pPr>
        <w:pStyle w:val="enumlev1"/>
        <w:jc w:val="both"/>
        <w:rPr>
          <w:lang w:eastAsia="en-GB"/>
        </w:rPr>
      </w:pPr>
      <w:r w:rsidRPr="00A64A6B">
        <w:rPr>
          <w:lang w:eastAsia="en-GB"/>
        </w:rPr>
        <w:t>–</w:t>
      </w:r>
      <w:r w:rsidRPr="00162AFD">
        <w:tab/>
      </w:r>
      <w:r w:rsidRPr="00A64A6B">
        <w:rPr>
          <w:rFonts w:eastAsiaTheme="minorEastAsia"/>
          <w:lang w:val="en-US" w:eastAsia="zh-CN"/>
        </w:rPr>
        <w:t>other proposed allocations:</w:t>
      </w:r>
      <w:r w:rsidRPr="00A64A6B">
        <w:rPr>
          <w:lang w:eastAsia="en-GB"/>
        </w:rPr>
        <w:t xml:space="preserve"> </w:t>
      </w:r>
    </w:p>
    <w:p w14:paraId="1E853A6B" w14:textId="77777777" w:rsidR="00E2155A" w:rsidRPr="00A64A6B" w:rsidRDefault="00E2155A" w:rsidP="00E2155A">
      <w:pPr>
        <w:pStyle w:val="enumlev2"/>
        <w:jc w:val="both"/>
        <w:rPr>
          <w:rFonts w:eastAsiaTheme="minorEastAsia"/>
          <w:lang w:val="en-US" w:eastAsia="zh-CN"/>
        </w:rPr>
      </w:pPr>
      <w:r w:rsidRPr="00A64A6B">
        <w:rPr>
          <w:lang w:eastAsia="en-GB"/>
        </w:rPr>
        <w:t>•</w:t>
      </w:r>
      <w:r w:rsidRPr="00162AFD">
        <w:tab/>
      </w:r>
      <w:r w:rsidRPr="00A64A6B">
        <w:rPr>
          <w:lang w:eastAsia="en-GB"/>
        </w:rPr>
        <w:t xml:space="preserve">agreed separations (CHF 2.5 million); </w:t>
      </w:r>
    </w:p>
    <w:p w14:paraId="781EDD54" w14:textId="71322EE3" w:rsidR="00E2155A" w:rsidRPr="00A64A6B" w:rsidRDefault="00E2155A" w:rsidP="00E2155A">
      <w:pPr>
        <w:pStyle w:val="enumlev2"/>
        <w:jc w:val="both"/>
        <w:rPr>
          <w:rFonts w:eastAsiaTheme="minorEastAsia"/>
          <w:lang w:val="en-US" w:eastAsia="zh-CN"/>
        </w:rPr>
      </w:pPr>
      <w:r w:rsidRPr="00A64A6B">
        <w:rPr>
          <w:lang w:eastAsia="en-GB"/>
        </w:rPr>
        <w:t>•</w:t>
      </w:r>
      <w:r w:rsidRPr="00162AFD">
        <w:tab/>
      </w:r>
      <w:r w:rsidRPr="00A64A6B">
        <w:rPr>
          <w:lang w:eastAsia="en-GB"/>
        </w:rPr>
        <w:t xml:space="preserve">address the backlog in </w:t>
      </w:r>
      <w:r w:rsidR="0072191C">
        <w:rPr>
          <w:lang w:eastAsia="en-GB"/>
        </w:rPr>
        <w:t>satellite network filings (</w:t>
      </w:r>
      <w:r w:rsidRPr="00A64A6B">
        <w:rPr>
          <w:lang w:eastAsia="en-GB"/>
        </w:rPr>
        <w:t>SNF</w:t>
      </w:r>
      <w:r w:rsidR="0072191C">
        <w:rPr>
          <w:lang w:eastAsia="en-GB"/>
        </w:rPr>
        <w:t>)</w:t>
      </w:r>
      <w:r w:rsidRPr="00A64A6B">
        <w:rPr>
          <w:lang w:eastAsia="en-GB"/>
        </w:rPr>
        <w:t xml:space="preserve"> (CHF 1 million); </w:t>
      </w:r>
    </w:p>
    <w:p w14:paraId="531DE423" w14:textId="77777777" w:rsidR="00E2155A" w:rsidRPr="00A64A6B" w:rsidRDefault="00E2155A" w:rsidP="00E2155A">
      <w:pPr>
        <w:pStyle w:val="enumlev2"/>
        <w:jc w:val="both"/>
        <w:rPr>
          <w:rFonts w:eastAsiaTheme="minorEastAsia"/>
          <w:lang w:val="en-US" w:eastAsia="zh-CN"/>
        </w:rPr>
      </w:pPr>
      <w:r w:rsidRPr="00A64A6B">
        <w:rPr>
          <w:lang w:eastAsia="en-GB"/>
        </w:rPr>
        <w:t>•</w:t>
      </w:r>
      <w:r w:rsidRPr="00162AFD">
        <w:tab/>
      </w:r>
      <w:r w:rsidRPr="00A64A6B">
        <w:rPr>
          <w:lang w:eastAsia="en-GB"/>
        </w:rPr>
        <w:t xml:space="preserve">SNF core systems and modernization capacity (CHF 1.3 million); </w:t>
      </w:r>
    </w:p>
    <w:p w14:paraId="3CC60009" w14:textId="77777777" w:rsidR="00E2155A" w:rsidRPr="00A64A6B" w:rsidRDefault="00E2155A" w:rsidP="00E2155A">
      <w:pPr>
        <w:pStyle w:val="enumlev2"/>
        <w:jc w:val="both"/>
        <w:rPr>
          <w:rFonts w:eastAsiaTheme="minorEastAsia"/>
          <w:lang w:val="en-US" w:eastAsia="zh-CN"/>
        </w:rPr>
      </w:pPr>
      <w:r w:rsidRPr="00A64A6B">
        <w:rPr>
          <w:lang w:eastAsia="en-GB"/>
        </w:rPr>
        <w:t>•</w:t>
      </w:r>
      <w:r w:rsidRPr="00162AFD">
        <w:tab/>
      </w:r>
      <w:r w:rsidRPr="00A64A6B">
        <w:rPr>
          <w:lang w:eastAsia="en-GB"/>
        </w:rPr>
        <w:t xml:space="preserve">corporate systems modernization (CHF 1.44 million); </w:t>
      </w:r>
    </w:p>
    <w:p w14:paraId="12FC33A3" w14:textId="77777777" w:rsidR="00E2155A" w:rsidRPr="00A64A6B" w:rsidRDefault="00E2155A" w:rsidP="00E2155A">
      <w:pPr>
        <w:pStyle w:val="enumlev2"/>
        <w:jc w:val="both"/>
        <w:rPr>
          <w:rFonts w:eastAsiaTheme="minorEastAsia"/>
          <w:lang w:val="en-US" w:eastAsia="zh-CN"/>
        </w:rPr>
      </w:pPr>
      <w:r w:rsidRPr="00A64A6B">
        <w:rPr>
          <w:lang w:eastAsia="en-GB"/>
        </w:rPr>
        <w:t>•</w:t>
      </w:r>
      <w:r w:rsidRPr="00162AFD">
        <w:tab/>
      </w:r>
      <w:r w:rsidRPr="00A64A6B">
        <w:rPr>
          <w:lang w:eastAsia="en-GB"/>
        </w:rPr>
        <w:t xml:space="preserve">business continuity measures (CHF 1.5 million); </w:t>
      </w:r>
    </w:p>
    <w:p w14:paraId="7055A9F0" w14:textId="77777777" w:rsidR="00E2155A" w:rsidRPr="00A64A6B" w:rsidRDefault="00E2155A" w:rsidP="00E2155A">
      <w:pPr>
        <w:pStyle w:val="enumlev2"/>
        <w:jc w:val="both"/>
        <w:rPr>
          <w:rFonts w:eastAsiaTheme="minorEastAsia"/>
          <w:lang w:val="en-US" w:eastAsia="zh-CN"/>
        </w:rPr>
      </w:pPr>
      <w:r w:rsidRPr="00A64A6B">
        <w:rPr>
          <w:lang w:eastAsia="en-GB"/>
        </w:rPr>
        <w:t>•</w:t>
      </w:r>
      <w:r w:rsidRPr="00162AFD">
        <w:tab/>
      </w:r>
      <w:r w:rsidRPr="00A64A6B">
        <w:rPr>
          <w:lang w:eastAsia="en-GB"/>
        </w:rPr>
        <w:t xml:space="preserve">regional initiatives (CHF 1.3 million); </w:t>
      </w:r>
    </w:p>
    <w:p w14:paraId="21653F18" w14:textId="138FFAF7" w:rsidR="00E2155A" w:rsidRPr="00A64A6B" w:rsidRDefault="00E2155A" w:rsidP="00E2155A">
      <w:pPr>
        <w:pStyle w:val="enumlev2"/>
        <w:jc w:val="both"/>
        <w:rPr>
          <w:rFonts w:eastAsiaTheme="minorEastAsia"/>
          <w:lang w:val="en-US" w:eastAsia="zh-CN"/>
        </w:rPr>
      </w:pPr>
      <w:r w:rsidRPr="00A64A6B">
        <w:rPr>
          <w:lang w:eastAsia="en-GB"/>
        </w:rPr>
        <w:t>•</w:t>
      </w:r>
      <w:r w:rsidRPr="00162AFD">
        <w:tab/>
      </w:r>
      <w:r w:rsidRPr="00A64A6B">
        <w:t>18 consultants (SSA) and short-term project staff for AI for Good</w:t>
      </w:r>
      <w:r w:rsidRPr="00A64A6B" w:rsidDel="003C29D7">
        <w:rPr>
          <w:lang w:eastAsia="en-GB"/>
        </w:rPr>
        <w:t xml:space="preserve"> </w:t>
      </w:r>
      <w:r w:rsidRPr="00A64A6B">
        <w:rPr>
          <w:lang w:eastAsia="en-GB"/>
        </w:rPr>
        <w:t>in 2026</w:t>
      </w:r>
      <w:r w:rsidR="002130CF">
        <w:rPr>
          <w:lang w:eastAsia="en-GB"/>
        </w:rPr>
        <w:noBreakHyphen/>
      </w:r>
      <w:r w:rsidRPr="00A64A6B">
        <w:rPr>
          <w:lang w:eastAsia="en-GB"/>
        </w:rPr>
        <w:t>2027</w:t>
      </w:r>
      <w:r w:rsidR="000B2131">
        <w:rPr>
          <w:lang w:eastAsia="en-GB"/>
        </w:rPr>
        <w:t xml:space="preserve"> </w:t>
      </w:r>
      <w:r w:rsidRPr="00A64A6B">
        <w:rPr>
          <w:lang w:eastAsia="en-GB"/>
        </w:rPr>
        <w:t xml:space="preserve">(CHF 1.0 million); </w:t>
      </w:r>
    </w:p>
    <w:p w14:paraId="44324C91" w14:textId="77777777" w:rsidR="00E2155A" w:rsidRPr="00A64A6B" w:rsidRDefault="00E2155A" w:rsidP="00E2155A">
      <w:pPr>
        <w:pStyle w:val="enumlev2"/>
        <w:jc w:val="both"/>
        <w:rPr>
          <w:rFonts w:eastAsiaTheme="minorEastAsia"/>
          <w:lang w:val="en-US" w:eastAsia="zh-CN"/>
        </w:rPr>
      </w:pPr>
      <w:r w:rsidRPr="00A64A6B">
        <w:rPr>
          <w:lang w:eastAsia="en-GB"/>
        </w:rPr>
        <w:t>•</w:t>
      </w:r>
      <w:r w:rsidRPr="00162AFD">
        <w:tab/>
      </w:r>
      <w:r w:rsidRPr="00A64A6B">
        <w:rPr>
          <w:rFonts w:asciiTheme="minorHAnsi" w:eastAsiaTheme="minorEastAsia" w:hAnsiTheme="minorHAnsi" w:cstheme="minorBidi"/>
          <w:lang w:val="en-US" w:eastAsia="zh-CN"/>
        </w:rPr>
        <w:t>and transfer to ITU reserve account (CHF 0.20 million)</w:t>
      </w:r>
      <w:r w:rsidRPr="00A64A6B">
        <w:rPr>
          <w:lang w:eastAsia="en-GB"/>
        </w:rPr>
        <w:t>;</w:t>
      </w:r>
    </w:p>
    <w:p w14:paraId="58B03024" w14:textId="77777777" w:rsidR="00E2155A" w:rsidRPr="00A64A6B" w:rsidRDefault="00E2155A" w:rsidP="00E2155A">
      <w:pPr>
        <w:jc w:val="both"/>
        <w:rPr>
          <w:rFonts w:eastAsiaTheme="minorEastAsia"/>
          <w:lang w:val="en-US" w:eastAsia="zh-CN"/>
        </w:rPr>
      </w:pPr>
      <w:r w:rsidRPr="00A64A6B">
        <w:rPr>
          <w:rFonts w:asciiTheme="minorHAnsi" w:eastAsiaTheme="minorEastAsia" w:hAnsiTheme="minorHAnsi" w:cstheme="minorBidi"/>
          <w:lang w:val="en-US" w:eastAsia="zh-CN"/>
        </w:rPr>
        <w:t>2</w:t>
      </w:r>
      <w:r w:rsidRPr="00162AFD">
        <w:rPr>
          <w:rFonts w:eastAsiaTheme="minorEastAsia"/>
        </w:rPr>
        <w:tab/>
      </w:r>
      <w:r w:rsidRPr="00A64A6B">
        <w:rPr>
          <w:rFonts w:asciiTheme="minorHAnsi" w:eastAsiaTheme="minorEastAsia" w:hAnsiTheme="minorHAnsi" w:cstheme="minorBidi"/>
          <w:lang w:val="en-US" w:eastAsia="zh-CN"/>
        </w:rPr>
        <w:t xml:space="preserve">to transfer to </w:t>
      </w:r>
      <w:r w:rsidRPr="00A64A6B">
        <w:rPr>
          <w:lang w:eastAsia="en-GB"/>
        </w:rPr>
        <w:t>ITU reserve account any funding not expensed by the end of 2029, except for SNF core systems and modernization capacity and business continuity,</w:t>
      </w:r>
    </w:p>
    <w:p w14:paraId="7A33AA45" w14:textId="215DBA9E" w:rsidR="00E2155A" w:rsidRPr="00A64A6B" w:rsidRDefault="00E2155A" w:rsidP="000B2131">
      <w:pPr>
        <w:pStyle w:val="Call"/>
      </w:pPr>
      <w:r w:rsidRPr="00A64A6B">
        <w:lastRenderedPageBreak/>
        <w:t>instructs the Secretary</w:t>
      </w:r>
      <w:r w:rsidR="002130CF">
        <w:t>-</w:t>
      </w:r>
      <w:r w:rsidRPr="00A64A6B">
        <w:t>General</w:t>
      </w:r>
    </w:p>
    <w:p w14:paraId="2B180710" w14:textId="77777777" w:rsidR="00E2155A" w:rsidRPr="002130CF" w:rsidRDefault="00E2155A" w:rsidP="000B2131">
      <w:pPr>
        <w:keepNext/>
        <w:keepLines/>
        <w:jc w:val="both"/>
        <w:rPr>
          <w:rFonts w:asciiTheme="minorHAnsi" w:hAnsiTheme="minorHAnsi" w:cstheme="minorHAnsi"/>
          <w:szCs w:val="24"/>
          <w:lang w:val="en-US" w:eastAsia="zh-CN"/>
        </w:rPr>
      </w:pPr>
      <w:r w:rsidRPr="002130CF">
        <w:rPr>
          <w:rFonts w:asciiTheme="minorHAnsi" w:hAnsiTheme="minorHAnsi" w:cstheme="minorHAnsi"/>
          <w:szCs w:val="24"/>
          <w:lang w:val="en-US" w:eastAsia="zh-CN"/>
        </w:rPr>
        <w:t>1</w:t>
      </w:r>
      <w:r w:rsidRPr="002130CF">
        <w:rPr>
          <w:rFonts w:asciiTheme="minorHAnsi" w:hAnsiTheme="minorHAnsi" w:cstheme="minorHAnsi"/>
          <w:szCs w:val="24"/>
        </w:rPr>
        <w:tab/>
      </w:r>
      <w:r w:rsidRPr="002130CF">
        <w:rPr>
          <w:rFonts w:asciiTheme="minorHAnsi" w:hAnsiTheme="minorHAnsi" w:cstheme="minorHAnsi"/>
          <w:szCs w:val="24"/>
          <w:lang w:val="en-US" w:eastAsia="zh-CN"/>
        </w:rPr>
        <w:t xml:space="preserve">to provide a report to the 2026 Plenipotentiary Conference detailing the financial and operational outlook for AI for Good and related externally funded initiatives (e.g. </w:t>
      </w:r>
      <w:r w:rsidRPr="002130CF">
        <w:rPr>
          <w:rFonts w:asciiTheme="minorHAnsi" w:eastAsia="Aptos" w:hAnsiTheme="minorHAnsi" w:cstheme="minorHAnsi"/>
          <w:szCs w:val="24"/>
        </w:rPr>
        <w:t xml:space="preserve">Machine </w:t>
      </w:r>
      <w:r w:rsidRPr="000B2131">
        <w:rPr>
          <w:rFonts w:asciiTheme="minorHAnsi" w:eastAsia="Aptos" w:hAnsiTheme="minorHAnsi" w:cstheme="minorHAnsi"/>
          <w:spacing w:val="4"/>
          <w:szCs w:val="24"/>
        </w:rPr>
        <w:t xml:space="preserve">Learning Challenges, AI </w:t>
      </w:r>
      <w:r w:rsidRPr="000B2131">
        <w:rPr>
          <w:rFonts w:asciiTheme="minorHAnsi" w:eastAsia="Aptos" w:hAnsiTheme="minorHAnsi" w:cstheme="minorHAnsi"/>
          <w:bCs/>
          <w:spacing w:val="4"/>
          <w:szCs w:val="24"/>
        </w:rPr>
        <w:t>Skills</w:t>
      </w:r>
      <w:r w:rsidRPr="000B2131">
        <w:rPr>
          <w:rFonts w:asciiTheme="minorHAnsi" w:eastAsia="Aptos" w:hAnsiTheme="minorHAnsi" w:cstheme="minorHAnsi"/>
          <w:spacing w:val="4"/>
          <w:szCs w:val="24"/>
        </w:rPr>
        <w:t xml:space="preserve"> Coalition, and AI Startup pitching completions)</w:t>
      </w:r>
      <w:r w:rsidRPr="000B2131">
        <w:rPr>
          <w:rFonts w:asciiTheme="minorHAnsi" w:hAnsiTheme="minorHAnsi" w:cstheme="minorHAnsi"/>
          <w:spacing w:val="4"/>
          <w:szCs w:val="24"/>
          <w:lang w:val="en-US" w:eastAsia="zh-CN"/>
        </w:rPr>
        <w:t>, including all in-kind,</w:t>
      </w:r>
      <w:r w:rsidRPr="002130CF">
        <w:rPr>
          <w:rFonts w:asciiTheme="minorHAnsi" w:hAnsiTheme="minorHAnsi" w:cstheme="minorHAnsi"/>
          <w:szCs w:val="24"/>
          <w:lang w:val="en-US" w:eastAsia="zh-CN"/>
        </w:rPr>
        <w:t xml:space="preserve"> extrabudgetary and voluntary contributions, with recommendations on how this platform can be sustained;</w:t>
      </w:r>
    </w:p>
    <w:p w14:paraId="53D3BD2A" w14:textId="77777777" w:rsidR="00E2155A" w:rsidRPr="00A64A6B" w:rsidRDefault="00E2155A" w:rsidP="002130CF">
      <w:pPr>
        <w:jc w:val="both"/>
        <w:rPr>
          <w:lang w:val="en-US" w:eastAsia="zh-CN"/>
        </w:rPr>
      </w:pPr>
      <w:r w:rsidRPr="00A64A6B">
        <w:rPr>
          <w:lang w:val="en-US" w:eastAsia="zh-CN"/>
        </w:rPr>
        <w:t>2</w:t>
      </w:r>
      <w:r w:rsidRPr="00162AFD">
        <w:tab/>
      </w:r>
      <w:r w:rsidRPr="00A64A6B">
        <w:rPr>
          <w:lang w:val="en-US" w:eastAsia="zh-CN"/>
        </w:rPr>
        <w:t>to report to Council regarding implementation of the budget savings including efficiencies gained and ROI analyses/added value descriptions for investments made through these budget allocations;</w:t>
      </w:r>
    </w:p>
    <w:p w14:paraId="3CDB6472" w14:textId="7D0CD19D" w:rsidR="00E2155A" w:rsidRDefault="00E2155A" w:rsidP="002130CF">
      <w:pPr>
        <w:jc w:val="both"/>
        <w:rPr>
          <w:lang w:val="en-US" w:eastAsia="zh-CN"/>
        </w:rPr>
      </w:pPr>
      <w:r w:rsidRPr="00A64A6B">
        <w:rPr>
          <w:lang w:val="en-US" w:eastAsia="zh-CN"/>
        </w:rPr>
        <w:t>3</w:t>
      </w:r>
      <w:r w:rsidRPr="00162AFD">
        <w:tab/>
      </w:r>
      <w:r w:rsidRPr="00A64A6B">
        <w:rPr>
          <w:lang w:val="en-US" w:eastAsia="zh-CN"/>
        </w:rPr>
        <w:t>to report to Council regarding implementation of the new agreed separation programme, the reorganization plan of the General Secretariat and the three Bureaux, if any, specifying the number, departments and grade of staff that voluntarily depart under it.</w:t>
      </w:r>
    </w:p>
    <w:p w14:paraId="3D399CC2" w14:textId="77777777" w:rsidR="007A3FCD" w:rsidRPr="007A3FCD" w:rsidRDefault="007A3FCD" w:rsidP="000B2131"/>
    <w:p w14:paraId="663F87D4" w14:textId="77777777" w:rsidR="007A3FCD" w:rsidRPr="00C0458D" w:rsidRDefault="007A3FCD" w:rsidP="000B2131">
      <w:pPr>
        <w:spacing w:before="600"/>
        <w:jc w:val="center"/>
      </w:pPr>
      <w:r>
        <w:t>______________</w:t>
      </w:r>
    </w:p>
    <w:sectPr w:rsidR="007A3FCD" w:rsidRPr="00C0458D" w:rsidSect="00AD3606">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D32F9" w14:textId="77777777" w:rsidR="00B064D6" w:rsidRDefault="00B064D6">
      <w:r>
        <w:separator/>
      </w:r>
    </w:p>
  </w:endnote>
  <w:endnote w:type="continuationSeparator" w:id="0">
    <w:p w14:paraId="62A82951" w14:textId="77777777" w:rsidR="00B064D6" w:rsidRDefault="00B0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61F05E69" w14:textId="77777777" w:rsidTr="0042469C">
      <w:trPr>
        <w:jc w:val="center"/>
      </w:trPr>
      <w:tc>
        <w:tcPr>
          <w:tcW w:w="1803" w:type="dxa"/>
          <w:vAlign w:val="center"/>
        </w:tcPr>
        <w:p w14:paraId="51480994" w14:textId="77777777" w:rsidR="00EE49E8" w:rsidRDefault="00C6520B" w:rsidP="00EE49E8">
          <w:pPr>
            <w:pStyle w:val="Header"/>
            <w:jc w:val="left"/>
            <w:rPr>
              <w:noProof/>
            </w:rPr>
          </w:pPr>
          <w:r>
            <w:rPr>
              <w:noProof/>
            </w:rPr>
            <w:t>gDoc #</w:t>
          </w:r>
        </w:p>
      </w:tc>
      <w:tc>
        <w:tcPr>
          <w:tcW w:w="8261" w:type="dxa"/>
        </w:tcPr>
        <w:p w14:paraId="53A45226" w14:textId="6E35DF0D"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0B2131">
            <w:rPr>
              <w:bCs/>
            </w:rPr>
            <w:t>133</w:t>
          </w:r>
          <w:r w:rsidRPr="00623AE3">
            <w:rPr>
              <w:bCs/>
            </w:rPr>
            <w:t>-E</w:t>
          </w:r>
          <w:r>
            <w:rPr>
              <w:bCs/>
            </w:rPr>
            <w:tab/>
          </w:r>
          <w:r>
            <w:fldChar w:fldCharType="begin"/>
          </w:r>
          <w:r>
            <w:instrText>PAGE</w:instrText>
          </w:r>
          <w:r>
            <w:fldChar w:fldCharType="separate"/>
          </w:r>
          <w:r>
            <w:t>1</w:t>
          </w:r>
          <w:r>
            <w:rPr>
              <w:noProof/>
            </w:rPr>
            <w:fldChar w:fldCharType="end"/>
          </w:r>
        </w:p>
      </w:tc>
    </w:tr>
  </w:tbl>
  <w:p w14:paraId="5D62BD7B"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ABF26F2" w14:textId="77777777" w:rsidTr="006B77F1">
      <w:trPr>
        <w:jc w:val="center"/>
      </w:trPr>
      <w:tc>
        <w:tcPr>
          <w:tcW w:w="1803" w:type="dxa"/>
          <w:vAlign w:val="center"/>
        </w:tcPr>
        <w:p w14:paraId="39A2FED0"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3D16476E" w14:textId="582B1D18"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0B2131">
            <w:rPr>
              <w:bCs/>
            </w:rPr>
            <w:t>133</w:t>
          </w:r>
          <w:r w:rsidRPr="00623AE3">
            <w:rPr>
              <w:bCs/>
            </w:rPr>
            <w:t>-E</w:t>
          </w:r>
          <w:r>
            <w:rPr>
              <w:bCs/>
            </w:rPr>
            <w:tab/>
          </w:r>
          <w:r>
            <w:fldChar w:fldCharType="begin"/>
          </w:r>
          <w:r>
            <w:instrText>PAGE</w:instrText>
          </w:r>
          <w:r>
            <w:fldChar w:fldCharType="separate"/>
          </w:r>
          <w:r>
            <w:t>1</w:t>
          </w:r>
          <w:r>
            <w:rPr>
              <w:noProof/>
            </w:rPr>
            <w:fldChar w:fldCharType="end"/>
          </w:r>
        </w:p>
      </w:tc>
    </w:tr>
  </w:tbl>
  <w:p w14:paraId="3245DF8A"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CA70" w14:textId="77777777" w:rsidR="00B064D6" w:rsidRDefault="00B064D6">
      <w:r>
        <w:t>____________________</w:t>
      </w:r>
    </w:p>
  </w:footnote>
  <w:footnote w:type="continuationSeparator" w:id="0">
    <w:p w14:paraId="315EB9AD" w14:textId="77777777" w:rsidR="00B064D6" w:rsidRDefault="00B06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778C"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5A"/>
    <w:rsid w:val="000210D4"/>
    <w:rsid w:val="00040BA0"/>
    <w:rsid w:val="0006007D"/>
    <w:rsid w:val="00063016"/>
    <w:rsid w:val="00066795"/>
    <w:rsid w:val="00076AF6"/>
    <w:rsid w:val="00085CF2"/>
    <w:rsid w:val="000B1705"/>
    <w:rsid w:val="000B2131"/>
    <w:rsid w:val="000D75B2"/>
    <w:rsid w:val="000E372C"/>
    <w:rsid w:val="000E704C"/>
    <w:rsid w:val="000F5DDB"/>
    <w:rsid w:val="001121F5"/>
    <w:rsid w:val="001400DC"/>
    <w:rsid w:val="00140CE1"/>
    <w:rsid w:val="0015189A"/>
    <w:rsid w:val="0015246E"/>
    <w:rsid w:val="0017539C"/>
    <w:rsid w:val="00175AC2"/>
    <w:rsid w:val="0017609F"/>
    <w:rsid w:val="00176F47"/>
    <w:rsid w:val="001A3154"/>
    <w:rsid w:val="001A7D1D"/>
    <w:rsid w:val="001B51DD"/>
    <w:rsid w:val="001C628E"/>
    <w:rsid w:val="001E0F7B"/>
    <w:rsid w:val="001F5569"/>
    <w:rsid w:val="0020487B"/>
    <w:rsid w:val="002119FD"/>
    <w:rsid w:val="002130CF"/>
    <w:rsid w:val="002130E0"/>
    <w:rsid w:val="00221F46"/>
    <w:rsid w:val="00264425"/>
    <w:rsid w:val="00265875"/>
    <w:rsid w:val="0027303B"/>
    <w:rsid w:val="00277DEA"/>
    <w:rsid w:val="0028109B"/>
    <w:rsid w:val="002916B4"/>
    <w:rsid w:val="002A0615"/>
    <w:rsid w:val="002A133E"/>
    <w:rsid w:val="002A2188"/>
    <w:rsid w:val="002B1F58"/>
    <w:rsid w:val="002C1C7A"/>
    <w:rsid w:val="002C3F32"/>
    <w:rsid w:val="002C54E2"/>
    <w:rsid w:val="0030160F"/>
    <w:rsid w:val="00320223"/>
    <w:rsid w:val="00322D0D"/>
    <w:rsid w:val="00361465"/>
    <w:rsid w:val="003877F5"/>
    <w:rsid w:val="003936D3"/>
    <w:rsid w:val="003942D4"/>
    <w:rsid w:val="003958A8"/>
    <w:rsid w:val="003B29C2"/>
    <w:rsid w:val="003B4FAF"/>
    <w:rsid w:val="003C2533"/>
    <w:rsid w:val="003D5A7F"/>
    <w:rsid w:val="003F0228"/>
    <w:rsid w:val="0040435A"/>
    <w:rsid w:val="00416A24"/>
    <w:rsid w:val="00431D9E"/>
    <w:rsid w:val="00433CE8"/>
    <w:rsid w:val="00434A5C"/>
    <w:rsid w:val="0045138B"/>
    <w:rsid w:val="00453079"/>
    <w:rsid w:val="004544D9"/>
    <w:rsid w:val="004610C4"/>
    <w:rsid w:val="00465C35"/>
    <w:rsid w:val="00472BAD"/>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12087"/>
    <w:rsid w:val="005243FF"/>
    <w:rsid w:val="00564FBC"/>
    <w:rsid w:val="005800BC"/>
    <w:rsid w:val="00582442"/>
    <w:rsid w:val="005F3269"/>
    <w:rsid w:val="0061071E"/>
    <w:rsid w:val="00623AE3"/>
    <w:rsid w:val="0064737F"/>
    <w:rsid w:val="006535F1"/>
    <w:rsid w:val="0065557D"/>
    <w:rsid w:val="00660D50"/>
    <w:rsid w:val="00662984"/>
    <w:rsid w:val="006716BB"/>
    <w:rsid w:val="006A2F4B"/>
    <w:rsid w:val="006B1859"/>
    <w:rsid w:val="006B6680"/>
    <w:rsid w:val="006B6DCC"/>
    <w:rsid w:val="006B77F1"/>
    <w:rsid w:val="00702DEF"/>
    <w:rsid w:val="00706861"/>
    <w:rsid w:val="0072191C"/>
    <w:rsid w:val="00722551"/>
    <w:rsid w:val="0075051B"/>
    <w:rsid w:val="00755E51"/>
    <w:rsid w:val="00765C89"/>
    <w:rsid w:val="0077110E"/>
    <w:rsid w:val="00793188"/>
    <w:rsid w:val="00794D34"/>
    <w:rsid w:val="007A3FCD"/>
    <w:rsid w:val="007B19CF"/>
    <w:rsid w:val="007D01AF"/>
    <w:rsid w:val="00813E5E"/>
    <w:rsid w:val="0083581B"/>
    <w:rsid w:val="0084546D"/>
    <w:rsid w:val="00863874"/>
    <w:rsid w:val="00864AFF"/>
    <w:rsid w:val="00865925"/>
    <w:rsid w:val="008B4A6A"/>
    <w:rsid w:val="008C7E27"/>
    <w:rsid w:val="008E203F"/>
    <w:rsid w:val="008F7448"/>
    <w:rsid w:val="0090147A"/>
    <w:rsid w:val="009173EF"/>
    <w:rsid w:val="00932906"/>
    <w:rsid w:val="009433C4"/>
    <w:rsid w:val="00954C49"/>
    <w:rsid w:val="00961B0B"/>
    <w:rsid w:val="00962D33"/>
    <w:rsid w:val="009842A1"/>
    <w:rsid w:val="009A2674"/>
    <w:rsid w:val="009A76A8"/>
    <w:rsid w:val="009B302B"/>
    <w:rsid w:val="009B38C3"/>
    <w:rsid w:val="009E17BD"/>
    <w:rsid w:val="009E485A"/>
    <w:rsid w:val="00A04CEC"/>
    <w:rsid w:val="00A109AF"/>
    <w:rsid w:val="00A27F92"/>
    <w:rsid w:val="00A32257"/>
    <w:rsid w:val="00A36D20"/>
    <w:rsid w:val="00A514A4"/>
    <w:rsid w:val="00A55622"/>
    <w:rsid w:val="00A83502"/>
    <w:rsid w:val="00A94BAB"/>
    <w:rsid w:val="00A94C32"/>
    <w:rsid w:val="00AD15B3"/>
    <w:rsid w:val="00AD3606"/>
    <w:rsid w:val="00AD4A3D"/>
    <w:rsid w:val="00AF6E49"/>
    <w:rsid w:val="00B04A67"/>
    <w:rsid w:val="00B0583C"/>
    <w:rsid w:val="00B064D6"/>
    <w:rsid w:val="00B33B91"/>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458D"/>
    <w:rsid w:val="00C374DE"/>
    <w:rsid w:val="00C47AD4"/>
    <w:rsid w:val="00C52D81"/>
    <w:rsid w:val="00C55198"/>
    <w:rsid w:val="00C5605F"/>
    <w:rsid w:val="00C6520B"/>
    <w:rsid w:val="00C7366C"/>
    <w:rsid w:val="00C83927"/>
    <w:rsid w:val="00CA6393"/>
    <w:rsid w:val="00CA7995"/>
    <w:rsid w:val="00CB18FF"/>
    <w:rsid w:val="00CD0C08"/>
    <w:rsid w:val="00CE03FB"/>
    <w:rsid w:val="00CE433C"/>
    <w:rsid w:val="00CF0161"/>
    <w:rsid w:val="00CF33F3"/>
    <w:rsid w:val="00CF4A2B"/>
    <w:rsid w:val="00D024CA"/>
    <w:rsid w:val="00D06183"/>
    <w:rsid w:val="00D22C42"/>
    <w:rsid w:val="00D65041"/>
    <w:rsid w:val="00D97528"/>
    <w:rsid w:val="00DB1936"/>
    <w:rsid w:val="00DB384B"/>
    <w:rsid w:val="00DE532B"/>
    <w:rsid w:val="00DF0189"/>
    <w:rsid w:val="00E06FD5"/>
    <w:rsid w:val="00E10E80"/>
    <w:rsid w:val="00E124F0"/>
    <w:rsid w:val="00E2155A"/>
    <w:rsid w:val="00E227F3"/>
    <w:rsid w:val="00E545C6"/>
    <w:rsid w:val="00E60F04"/>
    <w:rsid w:val="00E65B24"/>
    <w:rsid w:val="00E854E4"/>
    <w:rsid w:val="00E86DBF"/>
    <w:rsid w:val="00E969AF"/>
    <w:rsid w:val="00EB0D6F"/>
    <w:rsid w:val="00EB2232"/>
    <w:rsid w:val="00EC5337"/>
    <w:rsid w:val="00EE49E8"/>
    <w:rsid w:val="00F16BAB"/>
    <w:rsid w:val="00F2150A"/>
    <w:rsid w:val="00F231D8"/>
    <w:rsid w:val="00F44C00"/>
    <w:rsid w:val="00F45D2C"/>
    <w:rsid w:val="00F46C5F"/>
    <w:rsid w:val="00F632C0"/>
    <w:rsid w:val="00F641E1"/>
    <w:rsid w:val="00F80345"/>
    <w:rsid w:val="00F94A63"/>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B4D1F"/>
  <w15:docId w15:val="{A530DD90-5EE3-4077-B6A0-8FC2FF33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E2155A"/>
    <w:rPr>
      <w:rFonts w:asciiTheme="minorHAnsi" w:hAnsiTheme="minorHAnsi" w:cstheme="minorHAnsi"/>
    </w:rPr>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72191C"/>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42/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Template>
  <TotalTime>2</TotalTime>
  <Pages>2</Pages>
  <Words>303</Words>
  <Characters>1825</Characters>
  <Application>Microsoft Office Word</Application>
  <DocSecurity>0</DocSecurity>
  <Lines>48</Lines>
  <Paragraphs>33</Paragraphs>
  <ScaleCrop>false</ScaleCrop>
  <HeadingPairs>
    <vt:vector size="2" baseType="variant">
      <vt:variant>
        <vt:lpstr>Title</vt:lpstr>
      </vt:variant>
      <vt:variant>
        <vt:i4>1</vt:i4>
      </vt:variant>
    </vt:vector>
  </HeadingPairs>
  <TitlesOfParts>
    <vt:vector size="1" baseType="lpstr">
      <vt:lpstr>Resolution 1439 - Allocations of savings achieved in 2025 budget implementation</vt:lpstr>
    </vt:vector>
  </TitlesOfParts>
  <Manager>General Secretariat</Manager>
  <Company>International Telecommunication Union (ITU)</Company>
  <LinksUpToDate>false</LinksUpToDate>
  <CharactersWithSpaces>2095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1439 - Allocations of savings achieved in 2025 budget implementation</dc:title>
  <dc:subject>ITU Council 2026</dc:subject>
  <dc:creator>GBS</dc:creator>
  <cp:keywords>C26; C2026; Council 2026; PP26</cp:keywords>
  <dc:description/>
  <cp:lastModifiedBy>GBS</cp:lastModifiedBy>
  <cp:revision>3</cp:revision>
  <cp:lastPrinted>2000-07-18T13:30:00Z</cp:lastPrinted>
  <dcterms:created xsi:type="dcterms:W3CDTF">2026-05-25T14:52:00Z</dcterms:created>
  <dcterms:modified xsi:type="dcterms:W3CDTF">2026-05-25T14:53:00Z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