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2972"/>
      </w:tblGrid>
      <w:tr w:rsidR="007B0AA0" w:rsidRPr="00E904D1" w14:paraId="37F4BB89" w14:textId="77777777" w:rsidTr="007D405C">
        <w:tc>
          <w:tcPr>
            <w:tcW w:w="6099" w:type="dxa"/>
          </w:tcPr>
          <w:p w14:paraId="7A1D0FC1" w14:textId="1346243D" w:rsidR="007B0AA0" w:rsidRPr="007B0AA0" w:rsidRDefault="007B0AA0" w:rsidP="00F363FE">
            <w:pPr>
              <w:spacing w:before="60" w:after="60" w:line="260" w:lineRule="exact"/>
              <w:rPr>
                <w:b/>
                <w:bCs/>
                <w:lang w:bidi="ar-EG"/>
              </w:rPr>
            </w:pPr>
          </w:p>
        </w:tc>
        <w:tc>
          <w:tcPr>
            <w:tcW w:w="2972" w:type="dxa"/>
          </w:tcPr>
          <w:p w14:paraId="47F25D5E" w14:textId="628F8537" w:rsidR="007B0AA0" w:rsidRPr="00E904D1" w:rsidRDefault="007B0AA0" w:rsidP="00F363FE">
            <w:pPr>
              <w:spacing w:before="60" w:after="60" w:line="260" w:lineRule="exact"/>
              <w:rPr>
                <w:b/>
                <w:bCs/>
                <w:lang w:bidi="ar-EG"/>
              </w:rPr>
            </w:pPr>
            <w:r w:rsidRPr="00E904D1">
              <w:rPr>
                <w:rFonts w:hint="cs"/>
                <w:b/>
                <w:bCs/>
                <w:rtl/>
                <w:lang w:bidi="ar-EG"/>
              </w:rPr>
              <w:t xml:space="preserve">الوثيقة </w:t>
            </w:r>
            <w:r w:rsidRPr="00E904D1">
              <w:rPr>
                <w:b/>
                <w:bCs/>
                <w:lang w:bidi="ar-EG"/>
              </w:rPr>
              <w:t>C2</w:t>
            </w:r>
            <w:r w:rsidR="000116AF" w:rsidRPr="00E904D1">
              <w:rPr>
                <w:b/>
                <w:bCs/>
                <w:lang w:bidi="ar-EG"/>
              </w:rPr>
              <w:t>6</w:t>
            </w:r>
            <w:r w:rsidRPr="00E904D1">
              <w:rPr>
                <w:b/>
                <w:bCs/>
                <w:lang w:bidi="ar-EG"/>
              </w:rPr>
              <w:t>/</w:t>
            </w:r>
            <w:r w:rsidR="00A71699">
              <w:rPr>
                <w:b/>
                <w:bCs/>
                <w:lang w:bidi="ar-EG"/>
              </w:rPr>
              <w:t>133</w:t>
            </w:r>
            <w:r w:rsidRPr="00E904D1">
              <w:rPr>
                <w:b/>
                <w:bCs/>
                <w:lang w:bidi="ar-EG"/>
              </w:rPr>
              <w:t>-A</w:t>
            </w:r>
          </w:p>
        </w:tc>
      </w:tr>
      <w:tr w:rsidR="007B0AA0" w:rsidRPr="00E904D1" w14:paraId="6324276F" w14:textId="77777777" w:rsidTr="007D405C">
        <w:tc>
          <w:tcPr>
            <w:tcW w:w="6099" w:type="dxa"/>
          </w:tcPr>
          <w:p w14:paraId="42CB4F2F" w14:textId="77777777" w:rsidR="007B0AA0" w:rsidRPr="00E904D1" w:rsidRDefault="007B0AA0" w:rsidP="00F363FE">
            <w:pPr>
              <w:spacing w:before="60" w:after="60" w:line="260" w:lineRule="exact"/>
              <w:rPr>
                <w:b/>
                <w:bCs/>
                <w:rtl/>
                <w:lang w:bidi="ar-EG"/>
              </w:rPr>
            </w:pPr>
          </w:p>
        </w:tc>
        <w:tc>
          <w:tcPr>
            <w:tcW w:w="2972" w:type="dxa"/>
          </w:tcPr>
          <w:p w14:paraId="0CA9A4CE" w14:textId="5C553179" w:rsidR="007B0AA0" w:rsidRPr="00E904D1" w:rsidRDefault="00CD3224" w:rsidP="00F363FE">
            <w:pPr>
              <w:spacing w:before="60" w:after="60" w:line="260" w:lineRule="exact"/>
              <w:rPr>
                <w:b/>
                <w:bCs/>
                <w:rtl/>
                <w:lang w:bidi="ar-EG"/>
              </w:rPr>
            </w:pPr>
            <w:r>
              <w:rPr>
                <w:rFonts w:hint="cs"/>
                <w:b/>
                <w:bCs/>
                <w:rtl/>
                <w:lang w:bidi="ar-EG"/>
              </w:rPr>
              <w:t>21</w:t>
            </w:r>
            <w:r w:rsidR="007D405C" w:rsidRPr="00CD3224">
              <w:rPr>
                <w:rFonts w:hint="cs"/>
                <w:b/>
                <w:bCs/>
                <w:rtl/>
                <w:lang w:bidi="ar-EG"/>
              </w:rPr>
              <w:t xml:space="preserve"> مايو </w:t>
            </w:r>
            <w:r w:rsidR="007D405C" w:rsidRPr="00CD3224">
              <w:rPr>
                <w:b/>
                <w:bCs/>
                <w:lang w:bidi="ar-EG"/>
              </w:rPr>
              <w:t>2026</w:t>
            </w:r>
          </w:p>
        </w:tc>
      </w:tr>
      <w:tr w:rsidR="007B0AA0" w:rsidRPr="00E904D1" w14:paraId="09392E35" w14:textId="77777777" w:rsidTr="007D405C">
        <w:tc>
          <w:tcPr>
            <w:tcW w:w="6099" w:type="dxa"/>
          </w:tcPr>
          <w:p w14:paraId="7D09BACB" w14:textId="77777777" w:rsidR="007B0AA0" w:rsidRPr="00E904D1" w:rsidRDefault="007B0AA0" w:rsidP="00F363FE">
            <w:pPr>
              <w:spacing w:before="60" w:after="60" w:line="260" w:lineRule="exact"/>
              <w:rPr>
                <w:b/>
                <w:bCs/>
                <w:rtl/>
                <w:lang w:bidi="ar-EG"/>
              </w:rPr>
            </w:pPr>
          </w:p>
        </w:tc>
        <w:tc>
          <w:tcPr>
            <w:tcW w:w="2972" w:type="dxa"/>
          </w:tcPr>
          <w:p w14:paraId="794FE60B" w14:textId="77777777" w:rsidR="007B0AA0" w:rsidRPr="00E904D1" w:rsidRDefault="001D64C7" w:rsidP="00F363FE">
            <w:pPr>
              <w:spacing w:before="60" w:after="60" w:line="260" w:lineRule="exact"/>
              <w:rPr>
                <w:b/>
                <w:bCs/>
                <w:rtl/>
                <w:lang w:bidi="ar-EG"/>
              </w:rPr>
            </w:pPr>
            <w:r w:rsidRPr="00E904D1">
              <w:rPr>
                <w:rFonts w:hint="cs"/>
                <w:b/>
                <w:bCs/>
                <w:rtl/>
                <w:lang w:bidi="ar-EG"/>
              </w:rPr>
              <w:t>الأصل: بالإنكليزية</w:t>
            </w:r>
          </w:p>
        </w:tc>
      </w:tr>
      <w:tr w:rsidR="007B0AA0" w:rsidRPr="00E904D1" w14:paraId="0589726B" w14:textId="77777777" w:rsidTr="007D405C">
        <w:tc>
          <w:tcPr>
            <w:tcW w:w="6099" w:type="dxa"/>
          </w:tcPr>
          <w:p w14:paraId="71AE649E" w14:textId="77777777" w:rsidR="007B0AA0" w:rsidRPr="00E904D1" w:rsidRDefault="007B0AA0" w:rsidP="00F363FE">
            <w:pPr>
              <w:spacing w:before="60" w:after="60" w:line="260" w:lineRule="exact"/>
              <w:rPr>
                <w:lang w:bidi="ar-EG"/>
              </w:rPr>
            </w:pPr>
          </w:p>
        </w:tc>
        <w:tc>
          <w:tcPr>
            <w:tcW w:w="2972" w:type="dxa"/>
          </w:tcPr>
          <w:p w14:paraId="4A56F889" w14:textId="77777777" w:rsidR="007B0AA0" w:rsidRPr="00E904D1" w:rsidRDefault="007B0AA0" w:rsidP="00F363FE">
            <w:pPr>
              <w:spacing w:before="60" w:after="60" w:line="260" w:lineRule="exact"/>
              <w:rPr>
                <w:rtl/>
                <w:lang w:bidi="ar-EG"/>
              </w:rPr>
            </w:pPr>
          </w:p>
        </w:tc>
      </w:tr>
    </w:tbl>
    <w:p w14:paraId="20DE8A9B" w14:textId="055C5115" w:rsidR="006D5FD8" w:rsidRDefault="006D5FD8" w:rsidP="006D5FD8">
      <w:pPr>
        <w:pStyle w:val="ResNo"/>
        <w:rPr>
          <w:lang w:bidi="ar-EG"/>
        </w:rPr>
      </w:pPr>
      <w:r w:rsidRPr="00E904D1">
        <w:rPr>
          <w:rFonts w:hint="cs"/>
          <w:rtl/>
          <w:lang w:bidi="ar-EG"/>
        </w:rPr>
        <w:t>ال</w:t>
      </w:r>
      <w:r w:rsidRPr="00E904D1">
        <w:rPr>
          <w:rtl/>
          <w:lang w:bidi="ar-EG"/>
        </w:rPr>
        <w:t xml:space="preserve">قرار </w:t>
      </w:r>
      <w:r w:rsidR="00A71699">
        <w:rPr>
          <w:lang w:bidi="ar-EG"/>
        </w:rPr>
        <w:t>1439</w:t>
      </w:r>
    </w:p>
    <w:p w14:paraId="0B0D55FF" w14:textId="44DEF656" w:rsidR="00A71699" w:rsidRDefault="00A71699" w:rsidP="001961E5">
      <w:pPr>
        <w:pStyle w:val="Resref"/>
        <w:rPr>
          <w:lang w:val="es-ES"/>
        </w:rPr>
      </w:pPr>
      <w:r w:rsidRPr="00CD3224">
        <w:rPr>
          <w:rFonts w:hint="cs"/>
          <w:rtl/>
        </w:rPr>
        <w:t>(المعتمَد في الجلسة العامة ال</w:t>
      </w:r>
      <w:r w:rsidR="00CD3224">
        <w:rPr>
          <w:rFonts w:hint="cs"/>
          <w:rtl/>
        </w:rPr>
        <w:t>تاسع</w:t>
      </w:r>
      <w:r w:rsidRPr="00CD3224">
        <w:rPr>
          <w:rFonts w:hint="cs"/>
          <w:rtl/>
        </w:rPr>
        <w:t>ة)</w:t>
      </w:r>
    </w:p>
    <w:p w14:paraId="14782C1C" w14:textId="77777777" w:rsidR="006D5FD8" w:rsidRPr="00E904D1" w:rsidRDefault="006D5FD8" w:rsidP="006D5FD8">
      <w:pPr>
        <w:pStyle w:val="Restitle"/>
        <w:rPr>
          <w:rtl/>
        </w:rPr>
      </w:pPr>
      <w:r w:rsidRPr="00E904D1">
        <w:rPr>
          <w:rtl/>
        </w:rPr>
        <w:t xml:space="preserve">مخصصات الوفورات المحققة في تنفيذ ميزانية </w:t>
      </w:r>
      <w:r w:rsidRPr="00E904D1">
        <w:t>2025</w:t>
      </w:r>
    </w:p>
    <w:p w14:paraId="6140F2CE" w14:textId="77777777" w:rsidR="006D5FD8" w:rsidRPr="00E904D1" w:rsidRDefault="006D5FD8" w:rsidP="006D5FD8">
      <w:pPr>
        <w:pStyle w:val="Normalaftertitle"/>
        <w:rPr>
          <w:rtl/>
        </w:rPr>
      </w:pPr>
      <w:r w:rsidRPr="00E904D1">
        <w:rPr>
          <w:rtl/>
        </w:rPr>
        <w:t>إن مجلس الاتحاد الدولي للاتصالات،</w:t>
      </w:r>
    </w:p>
    <w:p w14:paraId="13AFB15D" w14:textId="77777777" w:rsidR="006D5FD8" w:rsidRPr="00E904D1" w:rsidRDefault="006D5FD8" w:rsidP="006D5FD8">
      <w:pPr>
        <w:pStyle w:val="Call"/>
        <w:rPr>
          <w:rtl/>
          <w:lang w:bidi="ar-EG"/>
        </w:rPr>
      </w:pPr>
      <w:r w:rsidRPr="00E904D1">
        <w:rPr>
          <w:rFonts w:hint="cs"/>
          <w:rtl/>
          <w:lang w:bidi="ar-EG"/>
        </w:rPr>
        <w:t>وقد نظر في</w:t>
      </w:r>
    </w:p>
    <w:p w14:paraId="5633FF2C" w14:textId="77777777" w:rsidR="006D5FD8" w:rsidRPr="00E904D1" w:rsidRDefault="006D5FD8" w:rsidP="006D5FD8">
      <w:pPr>
        <w:rPr>
          <w:rtl/>
          <w:lang w:bidi="ar-EG"/>
        </w:rPr>
      </w:pPr>
      <w:r w:rsidRPr="00E904D1">
        <w:rPr>
          <w:rFonts w:hint="eastAsia"/>
          <w:i/>
          <w:iCs/>
          <w:rtl/>
          <w:lang w:bidi="ar-EG"/>
        </w:rPr>
        <w:t> </w:t>
      </w:r>
      <w:r w:rsidRPr="00E904D1">
        <w:rPr>
          <w:rFonts w:hint="cs"/>
          <w:i/>
          <w:iCs/>
          <w:rtl/>
          <w:lang w:bidi="ar-EG"/>
        </w:rPr>
        <w:t>أ )</w:t>
      </w:r>
      <w:r w:rsidRPr="00E904D1">
        <w:rPr>
          <w:rtl/>
          <w:lang w:bidi="ar-EG"/>
        </w:rPr>
        <w:tab/>
        <w:t xml:space="preserve">الوفورات المحققة في تنفيذ ميزانية عام </w:t>
      </w:r>
      <w:r w:rsidRPr="00E904D1">
        <w:rPr>
          <w:lang w:bidi="ar-EG"/>
        </w:rPr>
        <w:t>2025</w:t>
      </w:r>
      <w:r w:rsidRPr="00E904D1">
        <w:rPr>
          <w:rtl/>
          <w:lang w:bidi="ar-EG"/>
        </w:rPr>
        <w:t xml:space="preserve">، والتي تبلغ </w:t>
      </w:r>
      <w:r w:rsidRPr="00E904D1">
        <w:rPr>
          <w:lang w:bidi="ar-EG"/>
        </w:rPr>
        <w:t>11,44</w:t>
      </w:r>
      <w:r w:rsidRPr="00E904D1">
        <w:rPr>
          <w:rtl/>
          <w:lang w:bidi="ar-EG"/>
        </w:rPr>
        <w:t xml:space="preserve"> </w:t>
      </w:r>
      <w:r w:rsidRPr="00E904D1">
        <w:rPr>
          <w:rFonts w:hint="cs"/>
          <w:rtl/>
          <w:lang w:bidi="ar-EG"/>
        </w:rPr>
        <w:t>مليون</w:t>
      </w:r>
      <w:r w:rsidRPr="00E904D1">
        <w:rPr>
          <w:rtl/>
          <w:lang w:bidi="ar-EG"/>
        </w:rPr>
        <w:t xml:space="preserve"> فرنك سويسري</w:t>
      </w:r>
      <w:r w:rsidRPr="00E904D1">
        <w:rPr>
          <w:rFonts w:hint="cs"/>
          <w:rtl/>
          <w:lang w:bidi="ar-EG"/>
        </w:rPr>
        <w:t>؛</w:t>
      </w:r>
    </w:p>
    <w:p w14:paraId="23D11247" w14:textId="77777777" w:rsidR="006D5FD8" w:rsidRPr="00E904D1" w:rsidRDefault="006D5FD8" w:rsidP="006D5FD8">
      <w:pPr>
        <w:rPr>
          <w:rtl/>
          <w:lang w:bidi="ar-EG"/>
        </w:rPr>
      </w:pPr>
      <w:r w:rsidRPr="00E904D1">
        <w:rPr>
          <w:rFonts w:hint="cs"/>
          <w:i/>
          <w:iCs/>
          <w:rtl/>
          <w:lang w:bidi="ar-EG"/>
        </w:rPr>
        <w:t>ب)</w:t>
      </w:r>
      <w:r w:rsidRPr="00E904D1">
        <w:rPr>
          <w:rtl/>
          <w:lang w:bidi="ar-EG"/>
        </w:rPr>
        <w:tab/>
      </w:r>
      <w:r w:rsidRPr="00E904D1">
        <w:rPr>
          <w:rFonts w:hint="cs"/>
          <w:rtl/>
          <w:lang w:bidi="ar-EG"/>
        </w:rPr>
        <w:t xml:space="preserve">الوثيقة </w:t>
      </w:r>
      <w:hyperlink r:id="rId8" w:history="1">
        <w:r w:rsidRPr="00E904D1">
          <w:rPr>
            <w:rStyle w:val="Hyperlink"/>
            <w:szCs w:val="24"/>
          </w:rPr>
          <w:t>C26/42(Rev.2)</w:t>
        </w:r>
      </w:hyperlink>
      <w:r w:rsidRPr="00E904D1">
        <w:rPr>
          <w:rFonts w:hint="cs"/>
          <w:rtl/>
        </w:rPr>
        <w:t>،</w:t>
      </w:r>
    </w:p>
    <w:p w14:paraId="26B6F8B9" w14:textId="77777777" w:rsidR="006D5FD8" w:rsidRPr="00E904D1" w:rsidRDefault="006D5FD8" w:rsidP="006D5FD8">
      <w:pPr>
        <w:pStyle w:val="Call"/>
        <w:rPr>
          <w:rtl/>
          <w:lang w:bidi="ar-EG"/>
        </w:rPr>
      </w:pPr>
      <w:r w:rsidRPr="00E904D1">
        <w:rPr>
          <w:rtl/>
          <w:lang w:bidi="ar-EG"/>
        </w:rPr>
        <w:t>يقرر</w:t>
      </w:r>
    </w:p>
    <w:p w14:paraId="54709D42" w14:textId="77777777" w:rsidR="006D5FD8" w:rsidRPr="00E904D1" w:rsidRDefault="006D5FD8" w:rsidP="006D5FD8">
      <w:pPr>
        <w:rPr>
          <w:lang w:bidi="ar-EG"/>
        </w:rPr>
      </w:pPr>
      <w:r w:rsidRPr="00E904D1">
        <w:rPr>
          <w:lang w:bidi="ar-EG"/>
        </w:rPr>
        <w:t>1</w:t>
      </w:r>
      <w:r w:rsidRPr="00E904D1">
        <w:rPr>
          <w:lang w:bidi="ar-EG"/>
        </w:rPr>
        <w:tab/>
      </w:r>
      <w:r w:rsidRPr="00E904D1">
        <w:rPr>
          <w:rtl/>
          <w:lang w:bidi="ar-EG"/>
        </w:rPr>
        <w:t>تخصيص الوفورات على النحو التالي:</w:t>
      </w:r>
    </w:p>
    <w:p w14:paraId="7F4DD4D3" w14:textId="77777777" w:rsidR="006D5FD8" w:rsidRPr="00E904D1" w:rsidRDefault="006D5FD8" w:rsidP="006D5FD8">
      <w:pPr>
        <w:pStyle w:val="enumlev1"/>
        <w:rPr>
          <w:spacing w:val="-2"/>
          <w:lang w:val="de-CH" w:bidi="ar-EG"/>
        </w:rPr>
      </w:pPr>
      <w:r w:rsidRPr="00E904D1">
        <w:rPr>
          <w:rFonts w:hint="cs"/>
          <w:spacing w:val="-2"/>
          <w:rtl/>
        </w:rPr>
        <w:t>-</w:t>
      </w:r>
      <w:r w:rsidRPr="00E904D1">
        <w:rPr>
          <w:spacing w:val="-2"/>
          <w:rtl/>
        </w:rPr>
        <w:tab/>
        <w:t xml:space="preserve">تمويل </w:t>
      </w:r>
      <w:r w:rsidRPr="00E904D1">
        <w:rPr>
          <w:rFonts w:hint="cs"/>
          <w:spacing w:val="-2"/>
          <w:rtl/>
        </w:rPr>
        <w:t>المبادرة</w:t>
      </w:r>
      <w:r w:rsidRPr="00E904D1">
        <w:rPr>
          <w:spacing w:val="-2"/>
          <w:rtl/>
        </w:rPr>
        <w:t xml:space="preserve"> التي وافق عليها المجلس سابقاً</w:t>
      </w:r>
      <w:r w:rsidRPr="00E904D1">
        <w:rPr>
          <w:rFonts w:hint="cs"/>
          <w:spacing w:val="-2"/>
          <w:rtl/>
        </w:rPr>
        <w:t xml:space="preserve">، </w:t>
      </w:r>
      <w:r w:rsidRPr="00E904D1">
        <w:rPr>
          <w:spacing w:val="-2"/>
          <w:rtl/>
        </w:rPr>
        <w:t>برنامج المهنيين الشباب (</w:t>
      </w:r>
      <w:r w:rsidRPr="00E904D1">
        <w:rPr>
          <w:spacing w:val="-2"/>
        </w:rPr>
        <w:t>1,2</w:t>
      </w:r>
      <w:r w:rsidRPr="00E904D1">
        <w:rPr>
          <w:rFonts w:hint="cs"/>
          <w:spacing w:val="-2"/>
          <w:rtl/>
          <w:lang w:val="fr-CH"/>
        </w:rPr>
        <w:t xml:space="preserve"> </w:t>
      </w:r>
      <w:r w:rsidRPr="00E904D1">
        <w:rPr>
          <w:spacing w:val="-2"/>
          <w:rtl/>
        </w:rPr>
        <w:t>مليون فرنك سويسري)؛</w:t>
      </w:r>
    </w:p>
    <w:p w14:paraId="67EA9969" w14:textId="77777777" w:rsidR="006D5FD8" w:rsidRPr="00E904D1" w:rsidRDefault="006D5FD8" w:rsidP="006D5FD8">
      <w:pPr>
        <w:pStyle w:val="enumlev1"/>
        <w:rPr>
          <w:rtl/>
        </w:rPr>
      </w:pPr>
      <w:r w:rsidRPr="00E904D1">
        <w:rPr>
          <w:rFonts w:hint="cs"/>
          <w:rtl/>
        </w:rPr>
        <w:t>-</w:t>
      </w:r>
      <w:r w:rsidRPr="00E904D1">
        <w:rPr>
          <w:rtl/>
        </w:rPr>
        <w:tab/>
      </w:r>
      <w:r w:rsidRPr="00E904D1">
        <w:rPr>
          <w:rFonts w:hint="cs"/>
          <w:rtl/>
          <w:lang w:val="fr-CH"/>
        </w:rPr>
        <w:t>و</w:t>
      </w:r>
      <w:r w:rsidRPr="00E904D1">
        <w:rPr>
          <w:rFonts w:hint="cs"/>
          <w:rtl/>
        </w:rPr>
        <w:t>المخصصات المقترحة الأخرى:</w:t>
      </w:r>
    </w:p>
    <w:p w14:paraId="2E0C4D9A" w14:textId="6949EEA1" w:rsidR="006D5FD8" w:rsidRPr="00E904D1" w:rsidRDefault="006D5FD8" w:rsidP="006D5FD8">
      <w:pPr>
        <w:pStyle w:val="enumlev2"/>
        <w:rPr>
          <w:lang w:bidi="ar-EG"/>
        </w:rPr>
      </w:pPr>
      <w:r w:rsidRPr="00E904D1">
        <w:rPr>
          <w:lang w:bidi="ar-EG"/>
        </w:rPr>
        <w:sym w:font="Wingdings 2" w:char="F097"/>
      </w:r>
      <w:r w:rsidRPr="00E904D1">
        <w:rPr>
          <w:lang w:bidi="ar-EG"/>
        </w:rPr>
        <w:tab/>
      </w:r>
      <w:r w:rsidR="00CD3224">
        <w:rPr>
          <w:rFonts w:hint="cs"/>
          <w:rtl/>
          <w:lang w:bidi="ar-EG"/>
        </w:rPr>
        <w:t>برنامج</w:t>
      </w:r>
      <w:r w:rsidRPr="00E904D1">
        <w:rPr>
          <w:rtl/>
          <w:lang w:bidi="ar-EG"/>
        </w:rPr>
        <w:t xml:space="preserve"> إنهاء الخدمة المتفق عليه (</w:t>
      </w:r>
      <w:r w:rsidRPr="00E904D1">
        <w:rPr>
          <w:lang w:bidi="ar-EG"/>
        </w:rPr>
        <w:t>2,5</w:t>
      </w:r>
      <w:r w:rsidRPr="00E904D1">
        <w:rPr>
          <w:rtl/>
          <w:lang w:bidi="ar-EG"/>
        </w:rPr>
        <w:t xml:space="preserve"> مليون فرنك سويسري)؛</w:t>
      </w:r>
    </w:p>
    <w:p w14:paraId="2909DB79" w14:textId="78EB5301" w:rsidR="006D5FD8" w:rsidRPr="00E904D1" w:rsidRDefault="006D5FD8" w:rsidP="006D5FD8">
      <w:pPr>
        <w:pStyle w:val="enumlev2"/>
        <w:rPr>
          <w:lang w:bidi="ar-EG"/>
        </w:rPr>
      </w:pPr>
      <w:r w:rsidRPr="00E904D1">
        <w:rPr>
          <w:lang w:bidi="ar-EG"/>
        </w:rPr>
        <w:sym w:font="Wingdings 2" w:char="F097"/>
      </w:r>
      <w:r w:rsidRPr="00E904D1">
        <w:rPr>
          <w:lang w:bidi="ar-EG"/>
        </w:rPr>
        <w:tab/>
      </w:r>
      <w:r w:rsidRPr="00E904D1">
        <w:rPr>
          <w:rtl/>
          <w:lang w:bidi="ar-EG"/>
        </w:rPr>
        <w:t>معالجة الأعمال المتأخرة المتراكمة في معالجة</w:t>
      </w:r>
      <w:r w:rsidRPr="00E904D1">
        <w:rPr>
          <w:rFonts w:hint="cs"/>
          <w:rtl/>
          <w:lang w:bidi="ar-EG"/>
        </w:rPr>
        <w:t xml:space="preserve"> </w:t>
      </w:r>
      <w:r w:rsidRPr="00E904D1">
        <w:rPr>
          <w:rtl/>
          <w:lang w:bidi="ar-EG"/>
        </w:rPr>
        <w:t>بطاقات التبليغ عن الشبكات الساتلية</w:t>
      </w:r>
      <w:r w:rsidR="00CD3224">
        <w:rPr>
          <w:rFonts w:hint="cs"/>
          <w:rtl/>
          <w:lang w:bidi="ar-EG"/>
        </w:rPr>
        <w:t xml:space="preserve"> (</w:t>
      </w:r>
      <w:r w:rsidR="00CD3224" w:rsidRPr="00A64A6B">
        <w:rPr>
          <w:lang w:eastAsia="en-GB"/>
        </w:rPr>
        <w:t>SNF</w:t>
      </w:r>
      <w:r w:rsidR="00CD3224">
        <w:rPr>
          <w:rFonts w:hint="cs"/>
          <w:rtl/>
          <w:lang w:bidi="ar-EG"/>
        </w:rPr>
        <w:t>)</w:t>
      </w:r>
      <w:r w:rsidRPr="00E904D1">
        <w:rPr>
          <w:rtl/>
          <w:lang w:bidi="ar-EG"/>
        </w:rPr>
        <w:t xml:space="preserve"> (مليون فرنك</w:t>
      </w:r>
      <w:r w:rsidRPr="00E904D1">
        <w:rPr>
          <w:rFonts w:hint="cs"/>
          <w:rtl/>
          <w:lang w:bidi="ar-EG"/>
        </w:rPr>
        <w:t> </w:t>
      </w:r>
      <w:r w:rsidRPr="00E904D1">
        <w:rPr>
          <w:rtl/>
          <w:lang w:bidi="ar-EG"/>
        </w:rPr>
        <w:t>سويسري)؛</w:t>
      </w:r>
    </w:p>
    <w:p w14:paraId="7A357237" w14:textId="77777777" w:rsidR="006D5FD8" w:rsidRPr="00E904D1" w:rsidRDefault="006D5FD8" w:rsidP="006D5FD8">
      <w:pPr>
        <w:pStyle w:val="enumlev2"/>
        <w:rPr>
          <w:lang w:bidi="ar-EG"/>
        </w:rPr>
      </w:pPr>
      <w:r w:rsidRPr="00E904D1">
        <w:rPr>
          <w:lang w:bidi="ar-EG"/>
        </w:rPr>
        <w:sym w:font="Wingdings 2" w:char="F097"/>
      </w:r>
      <w:r w:rsidRPr="00E904D1">
        <w:rPr>
          <w:lang w:bidi="ar-EG"/>
        </w:rPr>
        <w:tab/>
      </w:r>
      <w:r w:rsidRPr="00E904D1">
        <w:rPr>
          <w:rtl/>
          <w:lang w:bidi="ar-EG"/>
        </w:rPr>
        <w:t>تعزيز</w:t>
      </w:r>
      <w:r w:rsidRPr="00E904D1">
        <w:rPr>
          <w:rFonts w:hint="cs"/>
          <w:rtl/>
          <w:lang w:bidi="ar-EG"/>
        </w:rPr>
        <w:t> </w:t>
      </w:r>
      <w:r w:rsidRPr="00E904D1">
        <w:rPr>
          <w:rtl/>
          <w:lang w:bidi="ar-EG"/>
        </w:rPr>
        <w:t>النظم الأساسية لبطاقات التبليغ عن الشبكات الساتلية وقدرات تحديث البرمجيات (</w:t>
      </w:r>
      <w:r w:rsidRPr="00E904D1">
        <w:rPr>
          <w:lang w:bidi="ar-EG"/>
        </w:rPr>
        <w:t>1,3</w:t>
      </w:r>
      <w:r w:rsidRPr="00E904D1">
        <w:rPr>
          <w:rFonts w:hint="cs"/>
          <w:rtl/>
          <w:lang w:bidi="ar-EG"/>
        </w:rPr>
        <w:t> </w:t>
      </w:r>
      <w:r w:rsidRPr="00E904D1">
        <w:rPr>
          <w:rtl/>
          <w:lang w:bidi="ar-EG"/>
        </w:rPr>
        <w:t>مليون فرنك سويسري)؛</w:t>
      </w:r>
    </w:p>
    <w:p w14:paraId="6F6BB033" w14:textId="77777777" w:rsidR="006D5FD8" w:rsidRPr="00E904D1" w:rsidRDefault="006D5FD8" w:rsidP="006D5FD8">
      <w:pPr>
        <w:pStyle w:val="enumlev2"/>
        <w:rPr>
          <w:lang w:bidi="ar-EG"/>
        </w:rPr>
      </w:pPr>
      <w:r w:rsidRPr="00E904D1">
        <w:rPr>
          <w:lang w:bidi="ar-EG"/>
        </w:rPr>
        <w:sym w:font="Wingdings 2" w:char="F097"/>
      </w:r>
      <w:r w:rsidRPr="00E904D1">
        <w:rPr>
          <w:lang w:bidi="ar-EG"/>
        </w:rPr>
        <w:tab/>
      </w:r>
      <w:r w:rsidRPr="00E904D1">
        <w:rPr>
          <w:rtl/>
          <w:lang w:bidi="ar-EG"/>
        </w:rPr>
        <w:t>تحديث النظم المؤسسية (</w:t>
      </w:r>
      <w:r w:rsidRPr="00E904D1">
        <w:rPr>
          <w:lang w:bidi="ar-EG"/>
        </w:rPr>
        <w:t>1,4</w:t>
      </w:r>
      <w:r w:rsidRPr="00E904D1">
        <w:rPr>
          <w:lang w:val="de-CH" w:bidi="ar-EG"/>
        </w:rPr>
        <w:t>4</w:t>
      </w:r>
      <w:r w:rsidRPr="00E904D1">
        <w:rPr>
          <w:rtl/>
          <w:lang w:bidi="ar-EG"/>
        </w:rPr>
        <w:t xml:space="preserve"> مليون فرنك سويسري)؛</w:t>
      </w:r>
    </w:p>
    <w:p w14:paraId="11537710" w14:textId="77777777" w:rsidR="006D5FD8" w:rsidRPr="00E904D1" w:rsidRDefault="006D5FD8" w:rsidP="006D5FD8">
      <w:pPr>
        <w:pStyle w:val="enumlev2"/>
        <w:rPr>
          <w:lang w:bidi="ar-EG"/>
        </w:rPr>
      </w:pPr>
      <w:r w:rsidRPr="00E904D1">
        <w:rPr>
          <w:lang w:bidi="ar-EG"/>
        </w:rPr>
        <w:sym w:font="Wingdings 2" w:char="F097"/>
      </w:r>
      <w:r w:rsidRPr="00E904D1">
        <w:rPr>
          <w:lang w:bidi="ar-EG"/>
        </w:rPr>
        <w:tab/>
      </w:r>
      <w:r w:rsidRPr="00E904D1">
        <w:rPr>
          <w:rtl/>
          <w:lang w:bidi="ar-EG"/>
        </w:rPr>
        <w:t>تدابير استمرارية الأعمال (</w:t>
      </w:r>
      <w:r w:rsidRPr="00E904D1">
        <w:rPr>
          <w:lang w:bidi="ar-EG"/>
        </w:rPr>
        <w:t>1,5</w:t>
      </w:r>
      <w:r w:rsidRPr="00E904D1">
        <w:rPr>
          <w:rtl/>
          <w:lang w:bidi="ar-EG"/>
        </w:rPr>
        <w:t xml:space="preserve"> مليون فرنك سويسري)؛</w:t>
      </w:r>
    </w:p>
    <w:p w14:paraId="4A0B4EE5" w14:textId="77777777" w:rsidR="006D5FD8" w:rsidRPr="00E904D1" w:rsidRDefault="006D5FD8" w:rsidP="006D5FD8">
      <w:pPr>
        <w:pStyle w:val="enumlev2"/>
        <w:rPr>
          <w:lang w:bidi="ar-EG"/>
        </w:rPr>
      </w:pPr>
      <w:r w:rsidRPr="00E904D1">
        <w:rPr>
          <w:lang w:bidi="ar-EG"/>
        </w:rPr>
        <w:sym w:font="Wingdings 2" w:char="F097"/>
      </w:r>
      <w:r w:rsidRPr="00E904D1">
        <w:rPr>
          <w:lang w:bidi="ar-EG"/>
        </w:rPr>
        <w:tab/>
      </w:r>
      <w:r w:rsidRPr="00E904D1">
        <w:rPr>
          <w:rtl/>
          <w:lang w:bidi="ar-EG"/>
        </w:rPr>
        <w:t>المبادرات الإقليمية (</w:t>
      </w:r>
      <w:r w:rsidRPr="00E904D1">
        <w:rPr>
          <w:lang w:bidi="ar-EG"/>
        </w:rPr>
        <w:t>1,3</w:t>
      </w:r>
      <w:r w:rsidRPr="00E904D1">
        <w:rPr>
          <w:rtl/>
          <w:lang w:bidi="ar-EG"/>
        </w:rPr>
        <w:t xml:space="preserve"> مليون فرنك سويسري)؛</w:t>
      </w:r>
    </w:p>
    <w:p w14:paraId="2EDE75DE" w14:textId="77777777" w:rsidR="006D5FD8" w:rsidRPr="00E904D1" w:rsidRDefault="006D5FD8" w:rsidP="006D5FD8">
      <w:pPr>
        <w:pStyle w:val="enumlev2"/>
        <w:rPr>
          <w:spacing w:val="-2"/>
          <w:lang w:bidi="ar-EG"/>
        </w:rPr>
      </w:pPr>
      <w:r w:rsidRPr="00E904D1">
        <w:rPr>
          <w:spacing w:val="-2"/>
          <w:lang w:bidi="ar-EG"/>
        </w:rPr>
        <w:sym w:font="Wingdings 2" w:char="F097"/>
      </w:r>
      <w:r w:rsidRPr="00E904D1">
        <w:rPr>
          <w:spacing w:val="-2"/>
          <w:lang w:bidi="ar-EG"/>
        </w:rPr>
        <w:tab/>
      </w:r>
      <w:r w:rsidRPr="00E904D1">
        <w:rPr>
          <w:rFonts w:hint="cs"/>
          <w:spacing w:val="-2"/>
          <w:lang w:bidi="ar-EG"/>
        </w:rPr>
        <w:t>18</w:t>
      </w:r>
      <w:r w:rsidRPr="00E904D1">
        <w:rPr>
          <w:rFonts w:hint="cs"/>
          <w:spacing w:val="-2"/>
          <w:rtl/>
          <w:lang w:bidi="ar-EG"/>
        </w:rPr>
        <w:t xml:space="preserve"> خبيراً من الخبراء الاستشاريين (اتفاق الخدمة الخاصة) وموظفي المشاريع قصيرة الأجل في مجال الذكاء الاصطناعي من أجل المصلحة العامة </w:t>
      </w:r>
      <w:r w:rsidRPr="00E904D1">
        <w:rPr>
          <w:spacing w:val="-2"/>
          <w:rtl/>
        </w:rPr>
        <w:t xml:space="preserve">في الفترة </w:t>
      </w:r>
      <w:r w:rsidRPr="00E904D1">
        <w:rPr>
          <w:spacing w:val="-2"/>
        </w:rPr>
        <w:t>2027-2026</w:t>
      </w:r>
      <w:r w:rsidRPr="00E904D1">
        <w:rPr>
          <w:spacing w:val="-2"/>
          <w:rtl/>
          <w:lang w:bidi="ar-EG"/>
        </w:rPr>
        <w:t xml:space="preserve"> (</w:t>
      </w:r>
      <w:r w:rsidRPr="00E904D1">
        <w:rPr>
          <w:spacing w:val="-2"/>
          <w:lang w:bidi="ar-EG"/>
        </w:rPr>
        <w:t>1,0</w:t>
      </w:r>
      <w:r w:rsidRPr="00E904D1">
        <w:rPr>
          <w:spacing w:val="-2"/>
          <w:rtl/>
          <w:lang w:bidi="ar-EG"/>
        </w:rPr>
        <w:t xml:space="preserve"> </w:t>
      </w:r>
      <w:r w:rsidRPr="00E904D1">
        <w:rPr>
          <w:rFonts w:hint="cs"/>
          <w:spacing w:val="-2"/>
          <w:rtl/>
          <w:lang w:bidi="ar-EG"/>
        </w:rPr>
        <w:t xml:space="preserve">مليون </w:t>
      </w:r>
      <w:r w:rsidRPr="00E904D1">
        <w:rPr>
          <w:spacing w:val="-2"/>
          <w:rtl/>
          <w:lang w:bidi="ar-EG"/>
        </w:rPr>
        <w:t xml:space="preserve">فرنك </w:t>
      </w:r>
      <w:proofErr w:type="gramStart"/>
      <w:r w:rsidRPr="00E904D1">
        <w:rPr>
          <w:spacing w:val="-2"/>
          <w:rtl/>
          <w:lang w:bidi="ar-EG"/>
        </w:rPr>
        <w:t>سويسري)؛</w:t>
      </w:r>
      <w:proofErr w:type="gramEnd"/>
    </w:p>
    <w:p w14:paraId="275C94D9" w14:textId="77777777" w:rsidR="006D5FD8" w:rsidRPr="00E904D1" w:rsidRDefault="006D5FD8" w:rsidP="006D5FD8">
      <w:pPr>
        <w:pStyle w:val="enumlev2"/>
        <w:rPr>
          <w:lang w:bidi="ar-EG"/>
        </w:rPr>
      </w:pPr>
      <w:r w:rsidRPr="00E904D1">
        <w:rPr>
          <w:lang w:bidi="ar-EG"/>
        </w:rPr>
        <w:sym w:font="Wingdings 2" w:char="F097"/>
      </w:r>
      <w:r w:rsidRPr="00E904D1">
        <w:rPr>
          <w:lang w:bidi="ar-EG"/>
        </w:rPr>
        <w:tab/>
      </w:r>
      <w:r w:rsidRPr="00E904D1">
        <w:rPr>
          <w:rFonts w:hint="cs"/>
          <w:rtl/>
          <w:lang w:bidi="ar-EG"/>
        </w:rPr>
        <w:t>و</w:t>
      </w:r>
      <w:r w:rsidRPr="00E904D1">
        <w:rPr>
          <w:rtl/>
          <w:lang w:bidi="ar-EG"/>
        </w:rPr>
        <w:t>التحويل إلى حساب احتياطي الاتحاد (</w:t>
      </w:r>
      <w:r w:rsidRPr="00E904D1">
        <w:t>0,20</w:t>
      </w:r>
      <w:r w:rsidRPr="00E904D1">
        <w:rPr>
          <w:rtl/>
          <w:lang w:bidi="ar-EG"/>
        </w:rPr>
        <w:t xml:space="preserve"> مليون فرنك سويسري)</w:t>
      </w:r>
      <w:r w:rsidRPr="00E904D1">
        <w:rPr>
          <w:rFonts w:hint="cs"/>
          <w:rtl/>
          <w:lang w:bidi="ar-EG"/>
        </w:rPr>
        <w:t>؛</w:t>
      </w:r>
    </w:p>
    <w:p w14:paraId="25C72273" w14:textId="77777777" w:rsidR="006D5FD8" w:rsidRPr="00E904D1" w:rsidRDefault="006D5FD8" w:rsidP="006D5FD8">
      <w:pPr>
        <w:rPr>
          <w:rtl/>
        </w:rPr>
      </w:pPr>
      <w:r w:rsidRPr="00E904D1">
        <w:rPr>
          <w:lang w:bidi="ar-EG"/>
        </w:rPr>
        <w:t>2</w:t>
      </w:r>
      <w:r w:rsidRPr="00E904D1">
        <w:rPr>
          <w:rtl/>
          <w:lang w:bidi="ar-EG"/>
        </w:rPr>
        <w:tab/>
      </w:r>
      <w:r w:rsidRPr="00E904D1">
        <w:rPr>
          <w:rFonts w:hint="cs"/>
          <w:rtl/>
        </w:rPr>
        <w:t>تحويل</w:t>
      </w:r>
      <w:r w:rsidRPr="00E904D1">
        <w:rPr>
          <w:rtl/>
        </w:rPr>
        <w:t xml:space="preserve"> أي تمويل لم يُنفق بحلول نهاية عام </w:t>
      </w:r>
      <w:r w:rsidRPr="00E904D1">
        <w:t>2029</w:t>
      </w:r>
      <w:r w:rsidRPr="00E904D1">
        <w:rPr>
          <w:rtl/>
        </w:rPr>
        <w:t xml:space="preserve"> إلى حساب احتياطي الاتحاد، باستثناء ما يتعلق ب</w:t>
      </w:r>
      <w:r w:rsidRPr="00E904D1">
        <w:rPr>
          <w:rFonts w:hint="cs"/>
          <w:rtl/>
        </w:rPr>
        <w:t xml:space="preserve">تعزيز </w:t>
      </w:r>
      <w:r w:rsidRPr="00E904D1">
        <w:rPr>
          <w:rtl/>
        </w:rPr>
        <w:t>النظم الأساسية لمعالجة بطاقات التبليغ عن الشبكات الساتلية، وقدرات تحديث البرمجيات</w:t>
      </w:r>
      <w:r w:rsidRPr="00E904D1">
        <w:rPr>
          <w:rFonts w:hint="cs"/>
          <w:rtl/>
        </w:rPr>
        <w:t xml:space="preserve"> المستخدمة فيها،</w:t>
      </w:r>
      <w:r w:rsidRPr="00E904D1">
        <w:rPr>
          <w:rtl/>
        </w:rPr>
        <w:t xml:space="preserve"> و</w:t>
      </w:r>
      <w:r w:rsidRPr="00E904D1">
        <w:rPr>
          <w:rFonts w:hint="cs"/>
          <w:rtl/>
        </w:rPr>
        <w:t xml:space="preserve">تدابير </w:t>
      </w:r>
      <w:r w:rsidRPr="00E904D1">
        <w:rPr>
          <w:rtl/>
        </w:rPr>
        <w:t>استمرارية الأعمال،</w:t>
      </w:r>
    </w:p>
    <w:p w14:paraId="6381528B" w14:textId="77777777" w:rsidR="006D5FD8" w:rsidRPr="00E904D1" w:rsidRDefault="006D5FD8" w:rsidP="006D5FD8">
      <w:pPr>
        <w:pStyle w:val="Call"/>
        <w:rPr>
          <w:rtl/>
        </w:rPr>
      </w:pPr>
      <w:r w:rsidRPr="00E904D1">
        <w:rPr>
          <w:rtl/>
        </w:rPr>
        <w:t>يكلف الأمين العام</w:t>
      </w:r>
    </w:p>
    <w:p w14:paraId="7348843F" w14:textId="77777777" w:rsidR="006D5FD8" w:rsidRPr="00E904D1" w:rsidRDefault="006D5FD8" w:rsidP="006D5FD8">
      <w:pPr>
        <w:rPr>
          <w:rtl/>
        </w:rPr>
      </w:pPr>
      <w:r w:rsidRPr="00E904D1">
        <w:t>1</w:t>
      </w:r>
      <w:r w:rsidRPr="00E904D1">
        <w:tab/>
      </w:r>
      <w:r w:rsidRPr="00E904D1">
        <w:rPr>
          <w:rtl/>
        </w:rPr>
        <w:t xml:space="preserve">بتقديم تقرير إلى مؤتمر المندوبين المفوضين لعام </w:t>
      </w:r>
      <w:r w:rsidRPr="00E904D1">
        <w:t>2026</w:t>
      </w:r>
      <w:r w:rsidRPr="00E904D1">
        <w:rPr>
          <w:rtl/>
        </w:rPr>
        <w:t>، يشرح بالتفصيل التوقعات المالية والتشغيلية في</w:t>
      </w:r>
      <w:r w:rsidRPr="00E904D1">
        <w:rPr>
          <w:rFonts w:hint="eastAsia"/>
          <w:rtl/>
          <w:lang w:bidi="ar-EG"/>
        </w:rPr>
        <w:t> </w:t>
      </w:r>
      <w:r w:rsidRPr="00E904D1">
        <w:rPr>
          <w:rtl/>
        </w:rPr>
        <w:t xml:space="preserve">مسألة الذكاء الاصطناعي من أجل المصلحة العامة والمبادرات ذات الصلة الممولة من جهات خارجية (مثل مسابقات </w:t>
      </w:r>
      <w:r w:rsidRPr="00E904D1">
        <w:rPr>
          <w:rtl/>
        </w:rPr>
        <w:lastRenderedPageBreak/>
        <w:t xml:space="preserve">تعلم الآلة، وتحالف مهارات الذكاء الاصطناعي، واستكمال عروض مشاريع الشركات الناشئة في مجال الذكاء </w:t>
      </w:r>
      <w:proofErr w:type="gramStart"/>
      <w:r w:rsidRPr="00E904D1">
        <w:rPr>
          <w:rtl/>
        </w:rPr>
        <w:t>الاصطناعي)،</w:t>
      </w:r>
      <w:proofErr w:type="gramEnd"/>
      <w:r w:rsidRPr="00E904D1">
        <w:rPr>
          <w:rtl/>
        </w:rPr>
        <w:t xml:space="preserve"> ويشمل ذلك جميع المساهمات العينية، والمساهمات من خارج الميزانية، والمساهمات الطوعية، إلى جانب توصيات بشأن كيفية استدامة هذه المنصة؛</w:t>
      </w:r>
    </w:p>
    <w:p w14:paraId="4006585A" w14:textId="77777777" w:rsidR="006D5FD8" w:rsidRPr="00E904D1" w:rsidRDefault="006D5FD8" w:rsidP="006D5FD8">
      <w:r w:rsidRPr="00E904D1">
        <w:t>2</w:t>
      </w:r>
      <w:r w:rsidRPr="00E904D1">
        <w:tab/>
      </w:r>
      <w:r w:rsidRPr="00E904D1">
        <w:rPr>
          <w:rtl/>
        </w:rPr>
        <w:t>بتقديم تقرير إلى المجلس بشأن تنفيذ وفورات الميزانية، بما في ذلك الكفاءات المكتسبة وتحليلات العائد على</w:t>
      </w:r>
      <w:r w:rsidRPr="00E904D1">
        <w:rPr>
          <w:rFonts w:hint="cs"/>
          <w:rtl/>
        </w:rPr>
        <w:t> </w:t>
      </w:r>
      <w:r w:rsidRPr="00E904D1">
        <w:rPr>
          <w:rtl/>
        </w:rPr>
        <w:t>الاستثمار/و</w:t>
      </w:r>
      <w:r w:rsidRPr="00E904D1">
        <w:rPr>
          <w:rFonts w:hint="cs"/>
          <w:rtl/>
        </w:rPr>
        <w:t>ص</w:t>
      </w:r>
      <w:r w:rsidRPr="00E904D1">
        <w:rPr>
          <w:rtl/>
        </w:rPr>
        <w:t>ف طبيعة القيمة المضافة للاستثمارات المبذولة من خلال مخصصات الميزانية؛</w:t>
      </w:r>
    </w:p>
    <w:p w14:paraId="4E784B16" w14:textId="77777777" w:rsidR="006D5FD8" w:rsidRPr="00E904D1" w:rsidRDefault="006D5FD8" w:rsidP="006D5FD8">
      <w:r w:rsidRPr="00E904D1">
        <w:t>3</w:t>
      </w:r>
      <w:r w:rsidRPr="00E904D1">
        <w:tab/>
      </w:r>
      <w:r w:rsidRPr="00E904D1">
        <w:rPr>
          <w:rtl/>
        </w:rPr>
        <w:t>بتقديم تقرير إلى المجلس بشأن تنفيذ البرنامج الجديد لإنهاء الخدمة المتفق عليه، وخطة إعادة تنظيم الأمانة العامة والمكاتب الثلاثة، إن وجدت، مع تحديد عدد الموظفين الذين يتركون الخدمة طوعاً بموجب هذا البرنامج، والإدارات التي يعملون بها ودرجاتهم الوظيفية</w:t>
      </w:r>
      <w:r w:rsidRPr="00E904D1">
        <w:t>.</w:t>
      </w:r>
    </w:p>
    <w:p w14:paraId="7F7744D5" w14:textId="6EA90E08" w:rsidR="00F50E3F" w:rsidRDefault="00D63735" w:rsidP="00D63735">
      <w:pPr>
        <w:spacing w:before="600"/>
        <w:jc w:val="center"/>
        <w:rPr>
          <w:rtl/>
          <w:lang w:bidi="ar-EG"/>
        </w:rPr>
      </w:pPr>
      <w:r w:rsidRPr="00E904D1">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B33340">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C177" w14:textId="77777777" w:rsidR="00A16D3C" w:rsidRDefault="00A16D3C" w:rsidP="006C3242">
      <w:pPr>
        <w:spacing w:before="0" w:line="240" w:lineRule="auto"/>
      </w:pPr>
      <w:r>
        <w:separator/>
      </w:r>
    </w:p>
  </w:endnote>
  <w:endnote w:type="continuationSeparator" w:id="0">
    <w:p w14:paraId="507D3463" w14:textId="77777777" w:rsidR="00A16D3C" w:rsidRDefault="00A16D3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8BCD" w14:textId="77777777" w:rsidR="00A71699" w:rsidRDefault="00A71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1C0AEB4F" w14:textId="77777777" w:rsidTr="00A67F05">
      <w:trPr>
        <w:jc w:val="center"/>
      </w:trPr>
      <w:tc>
        <w:tcPr>
          <w:tcW w:w="868" w:type="pct"/>
          <w:vAlign w:val="center"/>
        </w:tcPr>
        <w:p w14:paraId="125B9777" w14:textId="74E67099" w:rsidR="00F50E3F" w:rsidRPr="007B0AA0" w:rsidRDefault="00F50E3F" w:rsidP="00A71699">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p>
      </w:tc>
      <w:tc>
        <w:tcPr>
          <w:tcW w:w="3912" w:type="pct"/>
        </w:tcPr>
        <w:p w14:paraId="5ECE7131" w14:textId="79CE2821" w:rsidR="00F50E3F" w:rsidRPr="007B0AA0" w:rsidRDefault="00F50E3F" w:rsidP="00A71699">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A71699">
            <w:rPr>
              <w:rFonts w:ascii="Calibri" w:hAnsi="Calibri" w:cs="Arial"/>
              <w:bCs/>
              <w:color w:val="7F7F7F"/>
              <w:sz w:val="18"/>
            </w:rPr>
            <w:t>133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0D95126" w14:textId="77777777" w:rsidR="00F50E3F" w:rsidRPr="007B0AA0" w:rsidRDefault="00F50E3F" w:rsidP="00A71699">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9F1FAA2"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430B823F" w14:textId="77777777" w:rsidTr="00A67F05">
      <w:trPr>
        <w:jc w:val="center"/>
      </w:trPr>
      <w:tc>
        <w:tcPr>
          <w:tcW w:w="1013" w:type="pct"/>
          <w:vAlign w:val="center"/>
        </w:tcPr>
        <w:p w14:paraId="7028E36A" w14:textId="77777777" w:rsidR="007B0AA0" w:rsidRPr="000116AF" w:rsidRDefault="000116AF" w:rsidP="00A71699">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6BA93D29" w14:textId="52089BC9" w:rsidR="007B0AA0" w:rsidRPr="007B0AA0" w:rsidRDefault="007B0AA0" w:rsidP="00A71699">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A71699">
            <w:rPr>
              <w:rFonts w:ascii="Calibri" w:hAnsi="Calibri" w:cs="Arial"/>
              <w:bCs/>
              <w:color w:val="7F7F7F"/>
              <w:sz w:val="18"/>
            </w:rPr>
            <w:t>133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69C3E36" w14:textId="77777777" w:rsidR="007B0AA0" w:rsidRPr="007B0AA0" w:rsidRDefault="00F50E3F" w:rsidP="00A71699">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B90828E"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6AB9D" w14:textId="77777777" w:rsidR="00A16D3C" w:rsidRDefault="00A16D3C" w:rsidP="006C3242">
      <w:pPr>
        <w:spacing w:before="0" w:line="240" w:lineRule="auto"/>
      </w:pPr>
      <w:r>
        <w:separator/>
      </w:r>
    </w:p>
  </w:footnote>
  <w:footnote w:type="continuationSeparator" w:id="0">
    <w:p w14:paraId="592C81E8" w14:textId="77777777" w:rsidR="00A16D3C" w:rsidRDefault="00A16D3C"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DC43" w14:textId="77777777" w:rsidR="00A71699" w:rsidRDefault="00A71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39DA" w14:textId="77777777" w:rsidR="00A71699" w:rsidRDefault="00A71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3ABB" w14:textId="77777777" w:rsidR="001A3E13" w:rsidRPr="00057769" w:rsidRDefault="001A3E13" w:rsidP="001A3E13">
    <w:pPr>
      <w:pStyle w:val="Header"/>
    </w:pPr>
    <w:r>
      <w:rPr>
        <w:noProof/>
      </w:rPr>
      <w:drawing>
        <wp:inline distT="0" distB="0" distL="0" distR="0" wp14:anchorId="555A0D5A" wp14:editId="7ABF1AD8">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D0A18"/>
    <w:multiLevelType w:val="hybridMultilevel"/>
    <w:tmpl w:val="B2D2B78A"/>
    <w:lvl w:ilvl="0" w:tplc="13FAD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AD2A37"/>
    <w:multiLevelType w:val="hybridMultilevel"/>
    <w:tmpl w:val="7C820AE8"/>
    <w:lvl w:ilvl="0" w:tplc="13FAD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07507"/>
    <w:multiLevelType w:val="hybridMultilevel"/>
    <w:tmpl w:val="17D4612A"/>
    <w:lvl w:ilvl="0" w:tplc="13E0B74A">
      <w:numFmt w:val="bullet"/>
      <w:lvlText w:val=""/>
      <w:lvlJc w:val="left"/>
      <w:pPr>
        <w:ind w:left="1155" w:hanging="795"/>
      </w:pPr>
      <w:rPr>
        <w:rFonts w:ascii="Symbol" w:eastAsiaTheme="minorEastAsia" w:hAnsi="Symbol"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175889">
    <w:abstractNumId w:val="9"/>
  </w:num>
  <w:num w:numId="2" w16cid:durableId="1953201220">
    <w:abstractNumId w:val="7"/>
  </w:num>
  <w:num w:numId="3" w16cid:durableId="88891270">
    <w:abstractNumId w:val="6"/>
  </w:num>
  <w:num w:numId="4" w16cid:durableId="185949964">
    <w:abstractNumId w:val="5"/>
  </w:num>
  <w:num w:numId="5" w16cid:durableId="1276710896">
    <w:abstractNumId w:val="4"/>
  </w:num>
  <w:num w:numId="6" w16cid:durableId="1078286501">
    <w:abstractNumId w:val="8"/>
  </w:num>
  <w:num w:numId="7" w16cid:durableId="1960725617">
    <w:abstractNumId w:val="3"/>
  </w:num>
  <w:num w:numId="8" w16cid:durableId="113063374">
    <w:abstractNumId w:val="2"/>
  </w:num>
  <w:num w:numId="9" w16cid:durableId="1705472487">
    <w:abstractNumId w:val="1"/>
  </w:num>
  <w:num w:numId="10" w16cid:durableId="1976399990">
    <w:abstractNumId w:val="0"/>
  </w:num>
  <w:num w:numId="11" w16cid:durableId="1001392018">
    <w:abstractNumId w:val="11"/>
  </w:num>
  <w:num w:numId="12" w16cid:durableId="1306083236">
    <w:abstractNumId w:val="10"/>
  </w:num>
  <w:num w:numId="13" w16cid:durableId="1943225177">
    <w:abstractNumId w:val="13"/>
  </w:num>
  <w:num w:numId="14" w16cid:durableId="1625112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5C"/>
    <w:rsid w:val="00004D5D"/>
    <w:rsid w:val="00007475"/>
    <w:rsid w:val="000116AF"/>
    <w:rsid w:val="0003025B"/>
    <w:rsid w:val="000556A0"/>
    <w:rsid w:val="0006468A"/>
    <w:rsid w:val="0007375B"/>
    <w:rsid w:val="00077A58"/>
    <w:rsid w:val="00090574"/>
    <w:rsid w:val="0009769A"/>
    <w:rsid w:val="000977B2"/>
    <w:rsid w:val="000A098A"/>
    <w:rsid w:val="000A1B91"/>
    <w:rsid w:val="000B4C21"/>
    <w:rsid w:val="000C1C0E"/>
    <w:rsid w:val="000C548A"/>
    <w:rsid w:val="000E11BB"/>
    <w:rsid w:val="000E53BE"/>
    <w:rsid w:val="000E57A4"/>
    <w:rsid w:val="0011193B"/>
    <w:rsid w:val="001177BC"/>
    <w:rsid w:val="00135E8D"/>
    <w:rsid w:val="00143702"/>
    <w:rsid w:val="00145589"/>
    <w:rsid w:val="001535C2"/>
    <w:rsid w:val="00172732"/>
    <w:rsid w:val="00176FFB"/>
    <w:rsid w:val="00187CA0"/>
    <w:rsid w:val="00190191"/>
    <w:rsid w:val="00191059"/>
    <w:rsid w:val="00193C55"/>
    <w:rsid w:val="001961E5"/>
    <w:rsid w:val="001A3E13"/>
    <w:rsid w:val="001B082C"/>
    <w:rsid w:val="001B3861"/>
    <w:rsid w:val="001B6E2B"/>
    <w:rsid w:val="001C0169"/>
    <w:rsid w:val="001C0C21"/>
    <w:rsid w:val="001C6642"/>
    <w:rsid w:val="001C79D7"/>
    <w:rsid w:val="001D1D50"/>
    <w:rsid w:val="001D64C7"/>
    <w:rsid w:val="001D6745"/>
    <w:rsid w:val="001E446E"/>
    <w:rsid w:val="00200DF5"/>
    <w:rsid w:val="002154EE"/>
    <w:rsid w:val="00222DC2"/>
    <w:rsid w:val="002276D2"/>
    <w:rsid w:val="0023113C"/>
    <w:rsid w:val="0023283D"/>
    <w:rsid w:val="00232948"/>
    <w:rsid w:val="00235A2F"/>
    <w:rsid w:val="0024500C"/>
    <w:rsid w:val="0025394F"/>
    <w:rsid w:val="00254393"/>
    <w:rsid w:val="0026373E"/>
    <w:rsid w:val="00267182"/>
    <w:rsid w:val="00271C43"/>
    <w:rsid w:val="00290728"/>
    <w:rsid w:val="00296F31"/>
    <w:rsid w:val="002978F4"/>
    <w:rsid w:val="002A09D0"/>
    <w:rsid w:val="002A2C59"/>
    <w:rsid w:val="002B028D"/>
    <w:rsid w:val="002C3F32"/>
    <w:rsid w:val="002E0500"/>
    <w:rsid w:val="002E6541"/>
    <w:rsid w:val="003260A4"/>
    <w:rsid w:val="003260FD"/>
    <w:rsid w:val="00326A03"/>
    <w:rsid w:val="00334924"/>
    <w:rsid w:val="0034010B"/>
    <w:rsid w:val="003409BC"/>
    <w:rsid w:val="00357185"/>
    <w:rsid w:val="00357A1E"/>
    <w:rsid w:val="003616C7"/>
    <w:rsid w:val="003762ED"/>
    <w:rsid w:val="00383829"/>
    <w:rsid w:val="003878D7"/>
    <w:rsid w:val="00387947"/>
    <w:rsid w:val="00395019"/>
    <w:rsid w:val="003B0915"/>
    <w:rsid w:val="003B71C1"/>
    <w:rsid w:val="003E6326"/>
    <w:rsid w:val="003F4B29"/>
    <w:rsid w:val="003F59C1"/>
    <w:rsid w:val="004019AD"/>
    <w:rsid w:val="00407937"/>
    <w:rsid w:val="00410B26"/>
    <w:rsid w:val="0041312F"/>
    <w:rsid w:val="00420F8A"/>
    <w:rsid w:val="0042686F"/>
    <w:rsid w:val="004317D8"/>
    <w:rsid w:val="0043260A"/>
    <w:rsid w:val="00434183"/>
    <w:rsid w:val="00436B30"/>
    <w:rsid w:val="00440CFA"/>
    <w:rsid w:val="00443869"/>
    <w:rsid w:val="00447F32"/>
    <w:rsid w:val="004518E4"/>
    <w:rsid w:val="00456E24"/>
    <w:rsid w:val="0047489E"/>
    <w:rsid w:val="00491BA9"/>
    <w:rsid w:val="00494119"/>
    <w:rsid w:val="004A2490"/>
    <w:rsid w:val="004A4701"/>
    <w:rsid w:val="004A51CE"/>
    <w:rsid w:val="004A6014"/>
    <w:rsid w:val="004B7334"/>
    <w:rsid w:val="004C7FBC"/>
    <w:rsid w:val="004D114A"/>
    <w:rsid w:val="004D2067"/>
    <w:rsid w:val="004E11DC"/>
    <w:rsid w:val="004E358F"/>
    <w:rsid w:val="004E61D7"/>
    <w:rsid w:val="004F3B34"/>
    <w:rsid w:val="005069C4"/>
    <w:rsid w:val="005130B5"/>
    <w:rsid w:val="005130DE"/>
    <w:rsid w:val="00513157"/>
    <w:rsid w:val="00525DDD"/>
    <w:rsid w:val="005370BC"/>
    <w:rsid w:val="005409AC"/>
    <w:rsid w:val="005434E0"/>
    <w:rsid w:val="005546CF"/>
    <w:rsid w:val="0055516A"/>
    <w:rsid w:val="00561B40"/>
    <w:rsid w:val="0058491B"/>
    <w:rsid w:val="00586D09"/>
    <w:rsid w:val="00587716"/>
    <w:rsid w:val="00592EA5"/>
    <w:rsid w:val="005971DA"/>
    <w:rsid w:val="005A3170"/>
    <w:rsid w:val="005B048A"/>
    <w:rsid w:val="005C07DF"/>
    <w:rsid w:val="005C693A"/>
    <w:rsid w:val="005C74BC"/>
    <w:rsid w:val="005C7D0A"/>
    <w:rsid w:val="005E3A02"/>
    <w:rsid w:val="005E5F1F"/>
    <w:rsid w:val="005F5DCB"/>
    <w:rsid w:val="00625D79"/>
    <w:rsid w:val="00631EFC"/>
    <w:rsid w:val="006452AA"/>
    <w:rsid w:val="00653FFC"/>
    <w:rsid w:val="00657019"/>
    <w:rsid w:val="00660DEA"/>
    <w:rsid w:val="00660FBF"/>
    <w:rsid w:val="00676BD1"/>
    <w:rsid w:val="00677396"/>
    <w:rsid w:val="00683F16"/>
    <w:rsid w:val="0069200F"/>
    <w:rsid w:val="006A65CB"/>
    <w:rsid w:val="006B11A3"/>
    <w:rsid w:val="006B12E5"/>
    <w:rsid w:val="006B7416"/>
    <w:rsid w:val="006C3242"/>
    <w:rsid w:val="006C7960"/>
    <w:rsid w:val="006C7CC0"/>
    <w:rsid w:val="006D13F8"/>
    <w:rsid w:val="006D3292"/>
    <w:rsid w:val="006D5FD8"/>
    <w:rsid w:val="006E06DF"/>
    <w:rsid w:val="006F0A74"/>
    <w:rsid w:val="006F2AEC"/>
    <w:rsid w:val="006F363C"/>
    <w:rsid w:val="006F4D7B"/>
    <w:rsid w:val="006F63F7"/>
    <w:rsid w:val="006F7C49"/>
    <w:rsid w:val="007025C7"/>
    <w:rsid w:val="00706D7A"/>
    <w:rsid w:val="00714B9F"/>
    <w:rsid w:val="007151D2"/>
    <w:rsid w:val="00722F0D"/>
    <w:rsid w:val="00735081"/>
    <w:rsid w:val="00741A0D"/>
    <w:rsid w:val="0074420E"/>
    <w:rsid w:val="007648A6"/>
    <w:rsid w:val="0076564D"/>
    <w:rsid w:val="007658AC"/>
    <w:rsid w:val="00766898"/>
    <w:rsid w:val="0076718F"/>
    <w:rsid w:val="0077110E"/>
    <w:rsid w:val="00776306"/>
    <w:rsid w:val="007836B2"/>
    <w:rsid w:val="00783E26"/>
    <w:rsid w:val="00785957"/>
    <w:rsid w:val="007901CB"/>
    <w:rsid w:val="007A4E47"/>
    <w:rsid w:val="007A585C"/>
    <w:rsid w:val="007A6684"/>
    <w:rsid w:val="007B0AA0"/>
    <w:rsid w:val="007C3BC7"/>
    <w:rsid w:val="007C3BCD"/>
    <w:rsid w:val="007C7F35"/>
    <w:rsid w:val="007D405C"/>
    <w:rsid w:val="007D4ACF"/>
    <w:rsid w:val="007E509C"/>
    <w:rsid w:val="007F0787"/>
    <w:rsid w:val="00801289"/>
    <w:rsid w:val="00805FA6"/>
    <w:rsid w:val="00810957"/>
    <w:rsid w:val="00810B7B"/>
    <w:rsid w:val="008118D3"/>
    <w:rsid w:val="00812324"/>
    <w:rsid w:val="008134E4"/>
    <w:rsid w:val="0082358A"/>
    <w:rsid w:val="008235CD"/>
    <w:rsid w:val="008247DE"/>
    <w:rsid w:val="00830EF1"/>
    <w:rsid w:val="008339C0"/>
    <w:rsid w:val="00840B10"/>
    <w:rsid w:val="00842A96"/>
    <w:rsid w:val="008513CB"/>
    <w:rsid w:val="00856A7C"/>
    <w:rsid w:val="00874E9F"/>
    <w:rsid w:val="00875A0D"/>
    <w:rsid w:val="00890A79"/>
    <w:rsid w:val="008A7F84"/>
    <w:rsid w:val="008B6225"/>
    <w:rsid w:val="008C139A"/>
    <w:rsid w:val="008C225A"/>
    <w:rsid w:val="008C78A0"/>
    <w:rsid w:val="008D4309"/>
    <w:rsid w:val="008D4907"/>
    <w:rsid w:val="008D5C90"/>
    <w:rsid w:val="008E154A"/>
    <w:rsid w:val="008E59C3"/>
    <w:rsid w:val="00901159"/>
    <w:rsid w:val="009101E5"/>
    <w:rsid w:val="00910DF7"/>
    <w:rsid w:val="00911983"/>
    <w:rsid w:val="0091702E"/>
    <w:rsid w:val="00917F04"/>
    <w:rsid w:val="00921A02"/>
    <w:rsid w:val="00923B0C"/>
    <w:rsid w:val="00924F46"/>
    <w:rsid w:val="009313FD"/>
    <w:rsid w:val="00932333"/>
    <w:rsid w:val="00935AAC"/>
    <w:rsid w:val="00936F2E"/>
    <w:rsid w:val="0093725D"/>
    <w:rsid w:val="0094021C"/>
    <w:rsid w:val="00952F86"/>
    <w:rsid w:val="009533B4"/>
    <w:rsid w:val="0096716C"/>
    <w:rsid w:val="00982B28"/>
    <w:rsid w:val="009868AC"/>
    <w:rsid w:val="00986D59"/>
    <w:rsid w:val="009909CC"/>
    <w:rsid w:val="00991700"/>
    <w:rsid w:val="00993312"/>
    <w:rsid w:val="009D313F"/>
    <w:rsid w:val="009F74C5"/>
    <w:rsid w:val="00A11166"/>
    <w:rsid w:val="00A16D3C"/>
    <w:rsid w:val="00A333B6"/>
    <w:rsid w:val="00A33779"/>
    <w:rsid w:val="00A37360"/>
    <w:rsid w:val="00A47A5A"/>
    <w:rsid w:val="00A63AE6"/>
    <w:rsid w:val="00A65656"/>
    <w:rsid w:val="00A6683B"/>
    <w:rsid w:val="00A67F05"/>
    <w:rsid w:val="00A71699"/>
    <w:rsid w:val="00A85DA0"/>
    <w:rsid w:val="00A87633"/>
    <w:rsid w:val="00A901C7"/>
    <w:rsid w:val="00A97F94"/>
    <w:rsid w:val="00AA34DF"/>
    <w:rsid w:val="00AA7EA2"/>
    <w:rsid w:val="00AB2F26"/>
    <w:rsid w:val="00AB5A56"/>
    <w:rsid w:val="00AB7C85"/>
    <w:rsid w:val="00AB7F91"/>
    <w:rsid w:val="00B03099"/>
    <w:rsid w:val="00B05BC8"/>
    <w:rsid w:val="00B125DC"/>
    <w:rsid w:val="00B24A96"/>
    <w:rsid w:val="00B30F5E"/>
    <w:rsid w:val="00B33340"/>
    <w:rsid w:val="00B60ABC"/>
    <w:rsid w:val="00B64B47"/>
    <w:rsid w:val="00B70DDB"/>
    <w:rsid w:val="00B84D71"/>
    <w:rsid w:val="00B95654"/>
    <w:rsid w:val="00B97F32"/>
    <w:rsid w:val="00BA04B2"/>
    <w:rsid w:val="00BA2A78"/>
    <w:rsid w:val="00BA3C45"/>
    <w:rsid w:val="00BA456A"/>
    <w:rsid w:val="00BC79CC"/>
    <w:rsid w:val="00BD147F"/>
    <w:rsid w:val="00C002DE"/>
    <w:rsid w:val="00C045B8"/>
    <w:rsid w:val="00C0602B"/>
    <w:rsid w:val="00C224DA"/>
    <w:rsid w:val="00C25352"/>
    <w:rsid w:val="00C2763E"/>
    <w:rsid w:val="00C309B0"/>
    <w:rsid w:val="00C317CB"/>
    <w:rsid w:val="00C3465D"/>
    <w:rsid w:val="00C348E8"/>
    <w:rsid w:val="00C37463"/>
    <w:rsid w:val="00C420E8"/>
    <w:rsid w:val="00C42DEE"/>
    <w:rsid w:val="00C53BF8"/>
    <w:rsid w:val="00C66157"/>
    <w:rsid w:val="00C674FE"/>
    <w:rsid w:val="00C67501"/>
    <w:rsid w:val="00C71D11"/>
    <w:rsid w:val="00C75633"/>
    <w:rsid w:val="00C75847"/>
    <w:rsid w:val="00C83927"/>
    <w:rsid w:val="00C86C95"/>
    <w:rsid w:val="00CC1FE7"/>
    <w:rsid w:val="00CC3006"/>
    <w:rsid w:val="00CC7EA6"/>
    <w:rsid w:val="00CD2551"/>
    <w:rsid w:val="00CD31ED"/>
    <w:rsid w:val="00CD3224"/>
    <w:rsid w:val="00CE1F4F"/>
    <w:rsid w:val="00CE2EE1"/>
    <w:rsid w:val="00CE3349"/>
    <w:rsid w:val="00CE34F3"/>
    <w:rsid w:val="00CE36E5"/>
    <w:rsid w:val="00CE4360"/>
    <w:rsid w:val="00CE4FA0"/>
    <w:rsid w:val="00CF27F5"/>
    <w:rsid w:val="00CF3FFD"/>
    <w:rsid w:val="00D10CCF"/>
    <w:rsid w:val="00D13941"/>
    <w:rsid w:val="00D1398A"/>
    <w:rsid w:val="00D23F5F"/>
    <w:rsid w:val="00D37C4A"/>
    <w:rsid w:val="00D40EC5"/>
    <w:rsid w:val="00D43F7D"/>
    <w:rsid w:val="00D63735"/>
    <w:rsid w:val="00D77D0F"/>
    <w:rsid w:val="00D82EE0"/>
    <w:rsid w:val="00D84878"/>
    <w:rsid w:val="00DA0A10"/>
    <w:rsid w:val="00DA1CF0"/>
    <w:rsid w:val="00DA6A30"/>
    <w:rsid w:val="00DB0DDD"/>
    <w:rsid w:val="00DC1E02"/>
    <w:rsid w:val="00DC24B4"/>
    <w:rsid w:val="00DC5FB0"/>
    <w:rsid w:val="00DD4AE9"/>
    <w:rsid w:val="00DD7C87"/>
    <w:rsid w:val="00DE54D8"/>
    <w:rsid w:val="00DF16DC"/>
    <w:rsid w:val="00DF3DF0"/>
    <w:rsid w:val="00DF6118"/>
    <w:rsid w:val="00DF6C9E"/>
    <w:rsid w:val="00E01A8D"/>
    <w:rsid w:val="00E11B70"/>
    <w:rsid w:val="00E1698A"/>
    <w:rsid w:val="00E21AD8"/>
    <w:rsid w:val="00E27FA4"/>
    <w:rsid w:val="00E30DB4"/>
    <w:rsid w:val="00E40FC2"/>
    <w:rsid w:val="00E45211"/>
    <w:rsid w:val="00E473C5"/>
    <w:rsid w:val="00E61BE8"/>
    <w:rsid w:val="00E67D70"/>
    <w:rsid w:val="00E73DDA"/>
    <w:rsid w:val="00E812EA"/>
    <w:rsid w:val="00E83FF1"/>
    <w:rsid w:val="00E904D1"/>
    <w:rsid w:val="00E92863"/>
    <w:rsid w:val="00E979B2"/>
    <w:rsid w:val="00EB0CE0"/>
    <w:rsid w:val="00EB796D"/>
    <w:rsid w:val="00EC0CE5"/>
    <w:rsid w:val="00ED3422"/>
    <w:rsid w:val="00EF62EF"/>
    <w:rsid w:val="00F058DC"/>
    <w:rsid w:val="00F24FC4"/>
    <w:rsid w:val="00F2676C"/>
    <w:rsid w:val="00F363FE"/>
    <w:rsid w:val="00F41094"/>
    <w:rsid w:val="00F50E3F"/>
    <w:rsid w:val="00F550EB"/>
    <w:rsid w:val="00F724DD"/>
    <w:rsid w:val="00F84366"/>
    <w:rsid w:val="00F85089"/>
    <w:rsid w:val="00F9201A"/>
    <w:rsid w:val="00F974C5"/>
    <w:rsid w:val="00FA3763"/>
    <w:rsid w:val="00FA6F46"/>
    <w:rsid w:val="00FB0348"/>
    <w:rsid w:val="00FB3D2E"/>
    <w:rsid w:val="00FC0E94"/>
    <w:rsid w:val="00FC4592"/>
    <w:rsid w:val="00FD527F"/>
    <w:rsid w:val="00FE35E5"/>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F5A02"/>
  <w15:chartTrackingRefBased/>
  <w15:docId w15:val="{1F03581A-2978-44A7-95BF-DE60A34E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
    <w:basedOn w:val="DefaultParagraphFont"/>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C3465D"/>
    <w:pPr>
      <w:keepNext/>
      <w:spacing w:before="240"/>
      <w:ind w:left="794" w:hanging="79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customStyle="1" w:styleId="enumlev10">
    <w:name w:val="enumlev 1"/>
    <w:basedOn w:val="Normal"/>
    <w:qFormat/>
    <w:rsid w:val="00143702"/>
    <w:pPr>
      <w:spacing w:before="80" w:after="80"/>
      <w:ind w:left="794" w:hanging="794"/>
    </w:pPr>
    <w:rPr>
      <w:lang w:bidi="ar-SY"/>
    </w:rPr>
  </w:style>
  <w:style w:type="paragraph" w:styleId="Title">
    <w:name w:val="Title"/>
    <w:basedOn w:val="Normal"/>
    <w:next w:val="Normal"/>
    <w:link w:val="TitleChar"/>
    <w:uiPriority w:val="10"/>
    <w:rsid w:val="00DF6118"/>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118"/>
    <w:rPr>
      <w:rFonts w:asciiTheme="majorHAnsi" w:eastAsiaTheme="majorEastAsia" w:hAnsiTheme="majorHAnsi" w:cstheme="majorBidi"/>
      <w:spacing w:val="-10"/>
      <w:kern w:val="28"/>
      <w:sz w:val="56"/>
      <w:szCs w:val="56"/>
    </w:rPr>
  </w:style>
  <w:style w:type="paragraph" w:styleId="Revision">
    <w:name w:val="Revision"/>
    <w:hidden/>
    <w:uiPriority w:val="99"/>
    <w:semiHidden/>
    <w:rsid w:val="006B11A3"/>
    <w:pPr>
      <w:spacing w:after="0" w:line="240" w:lineRule="auto"/>
    </w:pPr>
    <w:rPr>
      <w:rFonts w:ascii="Dubai" w:hAnsi="Dubai" w:cs="Dubai"/>
    </w:rPr>
  </w:style>
  <w:style w:type="paragraph" w:customStyle="1" w:styleId="Annexref">
    <w:name w:val="Annex_ref"/>
    <w:basedOn w:val="Normal"/>
    <w:next w:val="Annextitle"/>
    <w:rsid w:val="006D5FD8"/>
    <w:pPr>
      <w:keepNext/>
      <w:keepLines/>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center"/>
      <w:textAlignment w:val="baseline"/>
    </w:pPr>
    <w:rPr>
      <w:rFonts w:ascii="Calibri" w:eastAsia="Times New Roman" w:hAnsi="Calibri" w:cs="Times New Roman"/>
      <w:sz w:val="28"/>
      <w:szCs w:val="20"/>
      <w:lang w:val="fr-FR" w:eastAsia="en-US"/>
    </w:rPr>
  </w:style>
  <w:style w:type="paragraph" w:styleId="NormalWeb">
    <w:name w:val="Normal (Web)"/>
    <w:basedOn w:val="Normal"/>
    <w:uiPriority w:val="99"/>
    <w:semiHidden/>
    <w:unhideWhenUsed/>
    <w:rsid w:val="001B082C"/>
    <w:rPr>
      <w:rFonts w:ascii="Times New Roman" w:hAnsi="Times New Roman" w:cs="Times New Roman"/>
      <w:sz w:val="24"/>
      <w:szCs w:val="24"/>
    </w:rPr>
  </w:style>
  <w:style w:type="paragraph" w:customStyle="1" w:styleId="Resref">
    <w:name w:val="Res_ref"/>
    <w:basedOn w:val="Normal"/>
    <w:rsid w:val="001961E5"/>
    <w:pPr>
      <w:keepNext/>
      <w:keepLines/>
      <w:jc w:val="center"/>
    </w:pPr>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4855">
      <w:bodyDiv w:val="1"/>
      <w:marLeft w:val="0"/>
      <w:marRight w:val="0"/>
      <w:marTop w:val="0"/>
      <w:marBottom w:val="0"/>
      <w:divBdr>
        <w:top w:val="none" w:sz="0" w:space="0" w:color="auto"/>
        <w:left w:val="none" w:sz="0" w:space="0" w:color="auto"/>
        <w:bottom w:val="none" w:sz="0" w:space="0" w:color="auto"/>
        <w:right w:val="none" w:sz="0" w:space="0" w:color="auto"/>
      </w:divBdr>
    </w:div>
    <w:div w:id="546071441">
      <w:bodyDiv w:val="1"/>
      <w:marLeft w:val="0"/>
      <w:marRight w:val="0"/>
      <w:marTop w:val="0"/>
      <w:marBottom w:val="0"/>
      <w:divBdr>
        <w:top w:val="none" w:sz="0" w:space="0" w:color="auto"/>
        <w:left w:val="none" w:sz="0" w:space="0" w:color="auto"/>
        <w:bottom w:val="none" w:sz="0" w:space="0" w:color="auto"/>
        <w:right w:val="none" w:sz="0" w:space="0" w:color="auto"/>
      </w:divBdr>
    </w:div>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930165706">
      <w:bodyDiv w:val="1"/>
      <w:marLeft w:val="0"/>
      <w:marRight w:val="0"/>
      <w:marTop w:val="0"/>
      <w:marBottom w:val="0"/>
      <w:divBdr>
        <w:top w:val="none" w:sz="0" w:space="0" w:color="auto"/>
        <w:left w:val="none" w:sz="0" w:space="0" w:color="auto"/>
        <w:bottom w:val="none" w:sz="0" w:space="0" w:color="auto"/>
        <w:right w:val="none" w:sz="0" w:space="0" w:color="auto"/>
      </w:divBdr>
    </w:div>
    <w:div w:id="1647514793">
      <w:bodyDiv w:val="1"/>
      <w:marLeft w:val="0"/>
      <w:marRight w:val="0"/>
      <w:marTop w:val="0"/>
      <w:marBottom w:val="0"/>
      <w:divBdr>
        <w:top w:val="none" w:sz="0" w:space="0" w:color="auto"/>
        <w:left w:val="none" w:sz="0" w:space="0" w:color="auto"/>
        <w:bottom w:val="none" w:sz="0" w:space="0" w:color="auto"/>
        <w:right w:val="none" w:sz="0" w:space="0" w:color="auto"/>
      </w:divBdr>
    </w:div>
    <w:div w:id="184604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42/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1997</Characters>
  <Application>Microsoft Office Word</Application>
  <DocSecurity>4</DocSecurity>
  <Lines>45</Lines>
  <Paragraphs>28</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1439 - Allocations of savings achieved in 2025 budget implementation</dc:title>
  <dc:subject>ITU Council 2026</dc:subject>
  <cp:keywords>C26; C2026; Council 2026; PP26</cp:keywords>
  <dc:description/>
  <dcterms:created xsi:type="dcterms:W3CDTF">2026-05-29T12:23:00Z</dcterms:created>
  <dcterms:modified xsi:type="dcterms:W3CDTF">2026-05-29T12:23:00Z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