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6478B8E0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D6EDC09" w14:textId="1DD71BB0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00FC2734" w14:textId="261E7DB5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DE532B">
              <w:rPr>
                <w:b/>
              </w:rPr>
              <w:t>6</w:t>
            </w:r>
            <w:r w:rsidRPr="00C0458D">
              <w:rPr>
                <w:b/>
              </w:rPr>
              <w:t>/</w:t>
            </w:r>
            <w:r w:rsidR="00781937">
              <w:rPr>
                <w:b/>
              </w:rPr>
              <w:t>131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3DC0A09F" w14:textId="77777777" w:rsidTr="00954C49">
        <w:trPr>
          <w:cantSplit/>
        </w:trPr>
        <w:tc>
          <w:tcPr>
            <w:tcW w:w="3969" w:type="dxa"/>
            <w:vMerge/>
          </w:tcPr>
          <w:p w14:paraId="0659520E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BAD9883" w14:textId="1EB05F1F" w:rsidR="00AD3606" w:rsidRPr="00C0458D" w:rsidRDefault="00781937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21</w:t>
            </w:r>
            <w:r w:rsidR="005F0A7D">
              <w:rPr>
                <w:b/>
              </w:rPr>
              <w:t xml:space="preserve"> May 2026</w:t>
            </w:r>
          </w:p>
        </w:tc>
      </w:tr>
      <w:tr w:rsidR="00AD3606" w:rsidRPr="00C0458D" w14:paraId="66F609DA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21DED519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CA1D1AE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6681F11C" w14:textId="77777777" w:rsidTr="00954C49">
        <w:trPr>
          <w:cantSplit/>
          <w:trHeight w:val="23"/>
        </w:trPr>
        <w:tc>
          <w:tcPr>
            <w:tcW w:w="3969" w:type="dxa"/>
          </w:tcPr>
          <w:p w14:paraId="07E4E3F7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30A2031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1CFEEF8A" w14:textId="0AEEE0D8" w:rsidR="003C2EF0" w:rsidRDefault="003C2EF0" w:rsidP="003C2EF0">
      <w:pPr>
        <w:pStyle w:val="ResNo"/>
        <w:rPr>
          <w:lang w:eastAsia="en-GB"/>
        </w:rPr>
      </w:pPr>
      <w:r w:rsidRPr="00A22A6E">
        <w:rPr>
          <w:lang w:eastAsia="en-GB"/>
        </w:rPr>
        <w:t xml:space="preserve">RESOLUTION </w:t>
      </w:r>
      <w:r w:rsidR="00781937">
        <w:rPr>
          <w:lang w:eastAsia="en-GB"/>
        </w:rPr>
        <w:t>1437</w:t>
      </w:r>
    </w:p>
    <w:p w14:paraId="163D8F4F" w14:textId="3BFC2734" w:rsidR="003C2EF0" w:rsidRPr="003C2EF0" w:rsidRDefault="00440675" w:rsidP="00440675">
      <w:pPr>
        <w:pStyle w:val="Resref"/>
      </w:pPr>
      <w:r>
        <w:t xml:space="preserve">(adopted at the </w:t>
      </w:r>
      <w:r w:rsidR="00781937">
        <w:t>seventh</w:t>
      </w:r>
      <w:r>
        <w:t xml:space="preserve"> Plenary meeting)</w:t>
      </w:r>
    </w:p>
    <w:p w14:paraId="7B383EB8" w14:textId="77777777" w:rsidR="003C2EF0" w:rsidRPr="00A22A6E" w:rsidRDefault="003C2EF0" w:rsidP="003C2EF0">
      <w:pPr>
        <w:pStyle w:val="Restitle"/>
        <w:rPr>
          <w:szCs w:val="24"/>
          <w:lang w:eastAsia="en-GB"/>
        </w:rPr>
      </w:pPr>
      <w:r w:rsidRPr="00A22A6E">
        <w:rPr>
          <w:lang w:eastAsia="en-GB"/>
        </w:rPr>
        <w:t>Operational plan for the Union for 2027</w:t>
      </w:r>
    </w:p>
    <w:p w14:paraId="37CB24E3" w14:textId="77777777" w:rsidR="003C2EF0" w:rsidRPr="00A22A6E" w:rsidRDefault="003C2EF0" w:rsidP="003C2EF0">
      <w:pPr>
        <w:pStyle w:val="Normalaftertitle"/>
        <w:rPr>
          <w:lang w:eastAsia="en-GB"/>
        </w:rPr>
      </w:pPr>
      <w:r w:rsidRPr="00A22A6E">
        <w:rPr>
          <w:lang w:eastAsia="en-GB"/>
        </w:rPr>
        <w:t>The ITU Council,</w:t>
      </w:r>
    </w:p>
    <w:p w14:paraId="0752DEAD" w14:textId="77777777" w:rsidR="003C2EF0" w:rsidRPr="00A22A6E" w:rsidRDefault="003C2EF0" w:rsidP="003C2EF0">
      <w:pPr>
        <w:pStyle w:val="Call"/>
        <w:jc w:val="both"/>
        <w:rPr>
          <w:lang w:eastAsia="en-GB"/>
        </w:rPr>
      </w:pPr>
      <w:r w:rsidRPr="00A22A6E">
        <w:rPr>
          <w:lang w:eastAsia="en-GB"/>
        </w:rPr>
        <w:t>recognizing</w:t>
      </w:r>
    </w:p>
    <w:p w14:paraId="11354DE5" w14:textId="77777777" w:rsidR="003C2EF0" w:rsidRPr="00A22A6E" w:rsidRDefault="003C2EF0" w:rsidP="003C2EF0">
      <w:pPr>
        <w:rPr>
          <w:lang w:eastAsia="en-GB"/>
        </w:rPr>
      </w:pPr>
      <w:r w:rsidRPr="00A22A6E">
        <w:rPr>
          <w:lang w:eastAsia="en-GB"/>
        </w:rPr>
        <w:t>the provisions of Articles 5, 11A, 12, 14A, 15 and 18 of the ITU Convention,</w:t>
      </w:r>
    </w:p>
    <w:p w14:paraId="44FA02C3" w14:textId="77777777" w:rsidR="003C2EF0" w:rsidRPr="00A22A6E" w:rsidRDefault="003C2EF0" w:rsidP="003C2EF0">
      <w:pPr>
        <w:pStyle w:val="Call"/>
        <w:jc w:val="both"/>
        <w:rPr>
          <w:lang w:eastAsia="en-GB"/>
        </w:rPr>
      </w:pPr>
      <w:r w:rsidRPr="00A22A6E">
        <w:rPr>
          <w:lang w:eastAsia="en-GB"/>
        </w:rPr>
        <w:t>recalling</w:t>
      </w:r>
    </w:p>
    <w:p w14:paraId="4648D200" w14:textId="288494FA" w:rsidR="003C2EF0" w:rsidRPr="00A22A6E" w:rsidRDefault="003C2EF0" w:rsidP="003C2EF0">
      <w:pPr>
        <w:jc w:val="both"/>
        <w:rPr>
          <w:lang w:eastAsia="en-GB"/>
        </w:rPr>
      </w:pPr>
      <w:r w:rsidRPr="00A22A6E">
        <w:rPr>
          <w:lang w:eastAsia="en-GB"/>
        </w:rPr>
        <w:t>Resolution 71 (Rev. Bucharest, 2022)</w:t>
      </w:r>
      <w:r w:rsidR="00C03C5C">
        <w:rPr>
          <w:lang w:eastAsia="en-GB"/>
        </w:rPr>
        <w:t xml:space="preserve"> of the Plenipotentiary Conference</w:t>
      </w:r>
      <w:r w:rsidR="00064C46">
        <w:rPr>
          <w:lang w:eastAsia="en-GB"/>
        </w:rPr>
        <w:t>,</w:t>
      </w:r>
      <w:r w:rsidRPr="00A22A6E">
        <w:rPr>
          <w:lang w:eastAsia="en-GB"/>
        </w:rPr>
        <w:t xml:space="preserve"> on the strategic plan for the Union</w:t>
      </w:r>
      <w:r>
        <w:rPr>
          <w:lang w:eastAsia="en-GB"/>
        </w:rPr>
        <w:t xml:space="preserve"> </w:t>
      </w:r>
      <w:r w:rsidRPr="00A22A6E">
        <w:rPr>
          <w:lang w:eastAsia="en-GB"/>
        </w:rPr>
        <w:t>for 2024-2027</w:t>
      </w:r>
      <w:r>
        <w:rPr>
          <w:lang w:eastAsia="en-GB"/>
        </w:rPr>
        <w:t xml:space="preserve"> </w:t>
      </w:r>
      <w:r w:rsidRPr="00A22A6E">
        <w:rPr>
          <w:lang w:eastAsia="en-GB"/>
        </w:rPr>
        <w:t>and</w:t>
      </w:r>
      <w:r>
        <w:rPr>
          <w:lang w:eastAsia="en-GB"/>
        </w:rPr>
        <w:t xml:space="preserve"> </w:t>
      </w:r>
      <w:r w:rsidRPr="00A22A6E">
        <w:rPr>
          <w:lang w:eastAsia="en-GB"/>
        </w:rPr>
        <w:t>Resolution 151 (Rev. Bucharest, 2022)</w:t>
      </w:r>
      <w:r w:rsidR="00064C46">
        <w:rPr>
          <w:lang w:eastAsia="en-GB"/>
        </w:rPr>
        <w:t>,</w:t>
      </w:r>
      <w:r w:rsidRPr="00A22A6E">
        <w:rPr>
          <w:lang w:eastAsia="en-GB"/>
        </w:rPr>
        <w:t xml:space="preserve"> on the </w:t>
      </w:r>
      <w:r w:rsidR="009246C8" w:rsidRPr="009246C8">
        <w:rPr>
          <w:lang w:eastAsia="en-GB"/>
        </w:rPr>
        <w:t>improvement</w:t>
      </w:r>
      <w:r w:rsidRPr="00A22A6E">
        <w:rPr>
          <w:lang w:eastAsia="en-GB"/>
        </w:rPr>
        <w:t xml:space="preserve"> of results-based management,</w:t>
      </w:r>
    </w:p>
    <w:p w14:paraId="72AD17B3" w14:textId="77777777" w:rsidR="003C2EF0" w:rsidRPr="00A22A6E" w:rsidRDefault="003C2EF0" w:rsidP="003C2EF0">
      <w:pPr>
        <w:pStyle w:val="Call"/>
        <w:jc w:val="both"/>
        <w:rPr>
          <w:lang w:eastAsia="en-GB"/>
        </w:rPr>
      </w:pPr>
      <w:r w:rsidRPr="00A22A6E">
        <w:rPr>
          <w:lang w:eastAsia="en-GB"/>
        </w:rPr>
        <w:t>having considered</w:t>
      </w:r>
    </w:p>
    <w:p w14:paraId="757315BA" w14:textId="77777777" w:rsidR="003C2EF0" w:rsidRPr="00A22A6E" w:rsidRDefault="003C2EF0" w:rsidP="003C2EF0">
      <w:pPr>
        <w:jc w:val="both"/>
        <w:rPr>
          <w:rFonts w:asciiTheme="minorHAnsi" w:hAnsiTheme="minorHAnsi" w:cstheme="minorHAnsi"/>
          <w:lang w:eastAsia="en-GB"/>
        </w:rPr>
      </w:pPr>
      <w:r w:rsidRPr="00A22A6E">
        <w:rPr>
          <w:rFonts w:asciiTheme="minorHAnsi" w:hAnsiTheme="minorHAnsi" w:cstheme="minorHAnsi"/>
          <w:lang w:eastAsia="en-GB"/>
        </w:rPr>
        <w:t xml:space="preserve">the operational plan for the Union for </w:t>
      </w:r>
      <w:r w:rsidRPr="00D53E27">
        <w:rPr>
          <w:lang w:eastAsia="en-GB"/>
        </w:rPr>
        <w:t>2027</w:t>
      </w:r>
      <w:r>
        <w:rPr>
          <w:rFonts w:asciiTheme="minorHAnsi" w:hAnsiTheme="minorHAnsi" w:cstheme="minorHAnsi"/>
          <w:lang w:eastAsia="en-GB"/>
        </w:rPr>
        <w:t xml:space="preserve"> in Annex 1 of </w:t>
      </w:r>
      <w:r w:rsidRPr="00A22A6E">
        <w:rPr>
          <w:rFonts w:asciiTheme="minorHAnsi" w:hAnsiTheme="minorHAnsi" w:cstheme="minorHAnsi"/>
          <w:lang w:eastAsia="en-GB"/>
        </w:rPr>
        <w:t xml:space="preserve">Document </w:t>
      </w:r>
      <w:hyperlink r:id="rId8" w:history="1">
        <w:r w:rsidRPr="00A22A6E">
          <w:rPr>
            <w:rStyle w:val="Hyperlink"/>
            <w:rFonts w:asciiTheme="minorHAnsi" w:hAnsiTheme="minorHAnsi" w:cstheme="minorHAnsi"/>
          </w:rPr>
          <w:t>C26/</w:t>
        </w:r>
        <w:r w:rsidRPr="00B8335A">
          <w:rPr>
            <w:rStyle w:val="Hyperlink"/>
            <w:rFonts w:asciiTheme="minorHAnsi" w:hAnsiTheme="minorHAnsi" w:cstheme="minorHAnsi"/>
          </w:rPr>
          <w:t>2</w:t>
        </w:r>
        <w:r>
          <w:rPr>
            <w:rStyle w:val="Hyperlink"/>
            <w:rFonts w:asciiTheme="minorHAnsi" w:hAnsiTheme="minorHAnsi" w:cstheme="minorHAnsi"/>
          </w:rPr>
          <w:t>8(Rev.1)</w:t>
        </w:r>
      </w:hyperlink>
      <w:r w:rsidRPr="00A22A6E">
        <w:rPr>
          <w:rFonts w:asciiTheme="minorHAnsi" w:hAnsiTheme="minorHAnsi" w:cstheme="minorHAnsi"/>
        </w:rPr>
        <w:t>,</w:t>
      </w:r>
    </w:p>
    <w:p w14:paraId="5B156965" w14:textId="77777777" w:rsidR="003C2EF0" w:rsidRPr="00A22A6E" w:rsidRDefault="003C2EF0" w:rsidP="003C2EF0">
      <w:pPr>
        <w:pStyle w:val="Call"/>
        <w:jc w:val="both"/>
        <w:rPr>
          <w:lang w:eastAsia="en-GB"/>
        </w:rPr>
      </w:pPr>
      <w:r w:rsidRPr="00A22A6E">
        <w:rPr>
          <w:lang w:eastAsia="en-GB"/>
        </w:rPr>
        <w:t>having also considered</w:t>
      </w:r>
    </w:p>
    <w:p w14:paraId="5F792606" w14:textId="0E7ECD8A" w:rsidR="003C2EF0" w:rsidRPr="00A22A6E" w:rsidRDefault="003C2EF0" w:rsidP="003C2EF0">
      <w:pPr>
        <w:jc w:val="both"/>
        <w:rPr>
          <w:rFonts w:asciiTheme="minorHAnsi" w:hAnsiTheme="minorHAnsi" w:cstheme="minorHAnsi"/>
          <w:lang w:eastAsia="en-GB"/>
        </w:rPr>
      </w:pPr>
      <w:r w:rsidRPr="00A22A6E">
        <w:rPr>
          <w:rFonts w:asciiTheme="minorHAnsi" w:hAnsiTheme="minorHAnsi" w:cstheme="minorHAnsi"/>
          <w:lang w:eastAsia="en-GB"/>
        </w:rPr>
        <w:t xml:space="preserve">the need for the Secretary-General and the Directors of the Bureaux to have some flexibility in the implementation of the </w:t>
      </w:r>
      <w:r w:rsidRPr="00D53E27">
        <w:rPr>
          <w:lang w:eastAsia="en-GB"/>
        </w:rPr>
        <w:t>corresponding</w:t>
      </w:r>
      <w:r w:rsidRPr="00A22A6E">
        <w:rPr>
          <w:rFonts w:asciiTheme="minorHAnsi" w:hAnsiTheme="minorHAnsi" w:cstheme="minorHAnsi"/>
          <w:lang w:eastAsia="en-GB"/>
        </w:rPr>
        <w:t xml:space="preserve"> elements of the operational plan to take into consideration any changes that may occur during the interval between </w:t>
      </w:r>
      <w:r w:rsidRPr="00C506D5">
        <w:rPr>
          <w:rFonts w:asciiTheme="minorHAnsi" w:hAnsiTheme="minorHAnsi" w:cstheme="minorHAnsi"/>
          <w:lang w:eastAsia="en-GB"/>
        </w:rPr>
        <w:t xml:space="preserve">two </w:t>
      </w:r>
      <w:r w:rsidR="00C506D5">
        <w:rPr>
          <w:rFonts w:asciiTheme="minorHAnsi" w:hAnsiTheme="minorHAnsi" w:cstheme="minorHAnsi"/>
          <w:lang w:eastAsia="en-GB"/>
        </w:rPr>
        <w:t>C</w:t>
      </w:r>
      <w:r w:rsidR="00C506D5" w:rsidRPr="00C506D5">
        <w:rPr>
          <w:rFonts w:asciiTheme="minorHAnsi" w:hAnsiTheme="minorHAnsi" w:cstheme="minorHAnsi"/>
          <w:lang w:eastAsia="en-GB"/>
        </w:rPr>
        <w:t>ouncil</w:t>
      </w:r>
      <w:r w:rsidR="00C506D5" w:rsidRPr="00A22A6E">
        <w:rPr>
          <w:rFonts w:asciiTheme="minorHAnsi" w:hAnsiTheme="minorHAnsi" w:cstheme="minorHAnsi"/>
          <w:lang w:eastAsia="en-GB"/>
        </w:rPr>
        <w:t xml:space="preserve"> </w:t>
      </w:r>
      <w:r w:rsidRPr="00A22A6E">
        <w:rPr>
          <w:rFonts w:asciiTheme="minorHAnsi" w:hAnsiTheme="minorHAnsi" w:cstheme="minorHAnsi"/>
          <w:lang w:eastAsia="en-GB"/>
        </w:rPr>
        <w:t>sessions,</w:t>
      </w:r>
    </w:p>
    <w:p w14:paraId="45B4A852" w14:textId="77777777" w:rsidR="003C2EF0" w:rsidRPr="00A22A6E" w:rsidRDefault="003C2EF0" w:rsidP="003C2EF0">
      <w:pPr>
        <w:pStyle w:val="Call"/>
        <w:jc w:val="both"/>
        <w:rPr>
          <w:lang w:eastAsia="en-GB"/>
        </w:rPr>
      </w:pPr>
      <w:r w:rsidRPr="00A22A6E">
        <w:rPr>
          <w:lang w:eastAsia="en-GB"/>
        </w:rPr>
        <w:t>resolves</w:t>
      </w:r>
    </w:p>
    <w:p w14:paraId="3EAA1A18" w14:textId="77777777" w:rsidR="003C2EF0" w:rsidRPr="00A22A6E" w:rsidRDefault="003C2EF0" w:rsidP="003C2EF0">
      <w:pPr>
        <w:jc w:val="both"/>
        <w:rPr>
          <w:rFonts w:asciiTheme="minorHAnsi" w:hAnsiTheme="minorHAnsi" w:cstheme="minorHAnsi"/>
          <w:lang w:eastAsia="en-GB"/>
        </w:rPr>
      </w:pPr>
      <w:r w:rsidRPr="00A22A6E">
        <w:rPr>
          <w:rFonts w:asciiTheme="minorHAnsi" w:hAnsiTheme="minorHAnsi" w:cstheme="minorHAnsi"/>
          <w:lang w:eastAsia="en-GB"/>
        </w:rPr>
        <w:t>1</w:t>
      </w:r>
      <w:r w:rsidRPr="00A22A6E">
        <w:rPr>
          <w:rFonts w:asciiTheme="minorHAnsi" w:hAnsiTheme="minorHAnsi" w:cstheme="minorHAnsi"/>
          <w:lang w:eastAsia="en-GB"/>
        </w:rPr>
        <w:tab/>
        <w:t xml:space="preserve">to approve the operational plan </w:t>
      </w:r>
      <w:r w:rsidRPr="00D53E27">
        <w:rPr>
          <w:lang w:eastAsia="en-GB"/>
        </w:rPr>
        <w:t>for</w:t>
      </w:r>
      <w:r w:rsidRPr="00A22A6E">
        <w:rPr>
          <w:rFonts w:asciiTheme="minorHAnsi" w:hAnsiTheme="minorHAnsi" w:cstheme="minorHAnsi"/>
          <w:lang w:eastAsia="en-GB"/>
        </w:rPr>
        <w:t xml:space="preserve"> the Union for 2027; and</w:t>
      </w:r>
    </w:p>
    <w:p w14:paraId="1EB7EF6D" w14:textId="77777777" w:rsidR="003C2EF0" w:rsidRPr="00A22A6E" w:rsidRDefault="003C2EF0" w:rsidP="003C2EF0">
      <w:pPr>
        <w:jc w:val="both"/>
        <w:rPr>
          <w:rFonts w:asciiTheme="minorHAnsi" w:hAnsiTheme="minorHAnsi" w:cstheme="minorHAnsi"/>
          <w:lang w:eastAsia="en-GB"/>
        </w:rPr>
      </w:pPr>
      <w:r w:rsidRPr="00A22A6E">
        <w:rPr>
          <w:rFonts w:asciiTheme="minorHAnsi" w:hAnsiTheme="minorHAnsi" w:cstheme="minorHAnsi"/>
          <w:lang w:eastAsia="en-GB"/>
        </w:rPr>
        <w:t>2</w:t>
      </w:r>
      <w:r w:rsidRPr="00A22A6E">
        <w:rPr>
          <w:rFonts w:asciiTheme="minorHAnsi" w:hAnsiTheme="minorHAnsi" w:cstheme="minorHAnsi"/>
          <w:lang w:eastAsia="en-GB"/>
        </w:rPr>
        <w:tab/>
        <w:t xml:space="preserve">to allow the Secretary-General </w:t>
      </w:r>
      <w:r w:rsidRPr="00D53E27">
        <w:rPr>
          <w:lang w:eastAsia="en-GB"/>
        </w:rPr>
        <w:t>and</w:t>
      </w:r>
      <w:r w:rsidRPr="00A22A6E">
        <w:rPr>
          <w:rFonts w:asciiTheme="minorHAnsi" w:hAnsiTheme="minorHAnsi" w:cstheme="minorHAnsi"/>
          <w:lang w:eastAsia="en-GB"/>
        </w:rPr>
        <w:t xml:space="preserve"> the Directors the necessary flexibility in the implementation of the corresponding elements of the operational plan for the Union for 2027.</w:t>
      </w:r>
    </w:p>
    <w:p w14:paraId="1168E0DF" w14:textId="77777777" w:rsidR="003C2EF0" w:rsidRDefault="003C2EF0" w:rsidP="003C2EF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spacing w:before="0"/>
        <w:textAlignment w:val="auto"/>
        <w:rPr>
          <w:rFonts w:asciiTheme="minorHAnsi" w:hAnsiTheme="minorHAnsi"/>
        </w:rPr>
      </w:pPr>
    </w:p>
    <w:p w14:paraId="6FBC8B09" w14:textId="77777777" w:rsidR="007A3FCD" w:rsidRPr="00C0458D" w:rsidRDefault="007A3FCD" w:rsidP="007A3FCD">
      <w:pPr>
        <w:jc w:val="center"/>
      </w:pPr>
      <w:r>
        <w:t>______________</w:t>
      </w:r>
    </w:p>
    <w:sectPr w:rsidR="007A3FCD" w:rsidRPr="00C0458D" w:rsidSect="00AD3606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EF30" w14:textId="77777777" w:rsidR="00085A16" w:rsidRDefault="00085A16">
      <w:r>
        <w:separator/>
      </w:r>
    </w:p>
  </w:endnote>
  <w:endnote w:type="continuationSeparator" w:id="0">
    <w:p w14:paraId="7792D1D6" w14:textId="77777777" w:rsidR="00085A16" w:rsidRDefault="0008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70BC597" w14:textId="77777777" w:rsidTr="0042469C">
      <w:trPr>
        <w:jc w:val="center"/>
      </w:trPr>
      <w:tc>
        <w:tcPr>
          <w:tcW w:w="1803" w:type="dxa"/>
          <w:vAlign w:val="center"/>
        </w:tcPr>
        <w:p w14:paraId="21951E18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70B05076" w14:textId="77777777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9A7FC1C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615AAC80" w14:textId="77777777" w:rsidTr="006B77F1">
      <w:trPr>
        <w:jc w:val="center"/>
      </w:trPr>
      <w:tc>
        <w:tcPr>
          <w:tcW w:w="1803" w:type="dxa"/>
          <w:vAlign w:val="center"/>
        </w:tcPr>
        <w:p w14:paraId="0BCB7C45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186B2442" w14:textId="6A5546CC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781937">
            <w:rPr>
              <w:bCs/>
            </w:rPr>
            <w:t>131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E989100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170F" w14:textId="77777777" w:rsidR="00085A16" w:rsidRDefault="00085A16">
      <w:r>
        <w:t>____________________</w:t>
      </w:r>
    </w:p>
  </w:footnote>
  <w:footnote w:type="continuationSeparator" w:id="0">
    <w:p w14:paraId="787C63A1" w14:textId="77777777" w:rsidR="00085A16" w:rsidRDefault="00085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1C5F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5B4FCA86" wp14:editId="1FAECDCE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CE8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D04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0C51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A0C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648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20C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4A37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D8D7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700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C4F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9"/>
  </w:num>
  <w:num w:numId="2" w16cid:durableId="795105954">
    <w:abstractNumId w:val="7"/>
  </w:num>
  <w:num w:numId="3" w16cid:durableId="1107040358">
    <w:abstractNumId w:val="6"/>
  </w:num>
  <w:num w:numId="4" w16cid:durableId="1170482430">
    <w:abstractNumId w:val="5"/>
  </w:num>
  <w:num w:numId="5" w16cid:durableId="159197282">
    <w:abstractNumId w:val="4"/>
  </w:num>
  <w:num w:numId="6" w16cid:durableId="431123245">
    <w:abstractNumId w:val="8"/>
  </w:num>
  <w:num w:numId="7" w16cid:durableId="1074082588">
    <w:abstractNumId w:val="3"/>
  </w:num>
  <w:num w:numId="8" w16cid:durableId="1735086028">
    <w:abstractNumId w:val="2"/>
  </w:num>
  <w:num w:numId="9" w16cid:durableId="448012910">
    <w:abstractNumId w:val="1"/>
  </w:num>
  <w:num w:numId="10" w16cid:durableId="1392458994">
    <w:abstractNumId w:val="0"/>
  </w:num>
  <w:num w:numId="11" w16cid:durableId="1493763294">
    <w:abstractNumId w:val="8"/>
  </w:num>
  <w:num w:numId="12" w16cid:durableId="184294354">
    <w:abstractNumId w:val="3"/>
  </w:num>
  <w:num w:numId="13" w16cid:durableId="1104837151">
    <w:abstractNumId w:val="2"/>
  </w:num>
  <w:num w:numId="14" w16cid:durableId="1232424322">
    <w:abstractNumId w:val="1"/>
  </w:num>
  <w:num w:numId="15" w16cid:durableId="211551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F0"/>
    <w:rsid w:val="000210D4"/>
    <w:rsid w:val="0002702C"/>
    <w:rsid w:val="0006007D"/>
    <w:rsid w:val="00063016"/>
    <w:rsid w:val="00064C46"/>
    <w:rsid w:val="00066795"/>
    <w:rsid w:val="00076AF6"/>
    <w:rsid w:val="00085A16"/>
    <w:rsid w:val="00085CF2"/>
    <w:rsid w:val="000B1705"/>
    <w:rsid w:val="000D75B2"/>
    <w:rsid w:val="000E372C"/>
    <w:rsid w:val="000E704C"/>
    <w:rsid w:val="000F5DDB"/>
    <w:rsid w:val="001121F5"/>
    <w:rsid w:val="001400DC"/>
    <w:rsid w:val="00140CE1"/>
    <w:rsid w:val="0015189A"/>
    <w:rsid w:val="0016540C"/>
    <w:rsid w:val="0016756B"/>
    <w:rsid w:val="0017539C"/>
    <w:rsid w:val="00175AC2"/>
    <w:rsid w:val="0017609F"/>
    <w:rsid w:val="00176F47"/>
    <w:rsid w:val="001A3154"/>
    <w:rsid w:val="001A7D1D"/>
    <w:rsid w:val="001B51DD"/>
    <w:rsid w:val="001C509C"/>
    <w:rsid w:val="001C628E"/>
    <w:rsid w:val="001E0F7B"/>
    <w:rsid w:val="001F5569"/>
    <w:rsid w:val="0020487B"/>
    <w:rsid w:val="002119FD"/>
    <w:rsid w:val="002130E0"/>
    <w:rsid w:val="00221F46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C1C7A"/>
    <w:rsid w:val="002C3F32"/>
    <w:rsid w:val="002C54E2"/>
    <w:rsid w:val="0030160F"/>
    <w:rsid w:val="00320223"/>
    <w:rsid w:val="00322D0D"/>
    <w:rsid w:val="00361465"/>
    <w:rsid w:val="003877F5"/>
    <w:rsid w:val="003936D3"/>
    <w:rsid w:val="003942D4"/>
    <w:rsid w:val="003958A8"/>
    <w:rsid w:val="003B29C2"/>
    <w:rsid w:val="003B4FAF"/>
    <w:rsid w:val="003C2533"/>
    <w:rsid w:val="003C2EF0"/>
    <w:rsid w:val="003D5A7F"/>
    <w:rsid w:val="003D77C5"/>
    <w:rsid w:val="003F0228"/>
    <w:rsid w:val="0040435A"/>
    <w:rsid w:val="00416A24"/>
    <w:rsid w:val="00431D9E"/>
    <w:rsid w:val="00433CE8"/>
    <w:rsid w:val="00434A5C"/>
    <w:rsid w:val="00440675"/>
    <w:rsid w:val="00453079"/>
    <w:rsid w:val="004544D9"/>
    <w:rsid w:val="00465C35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D1851"/>
    <w:rsid w:val="004D599D"/>
    <w:rsid w:val="004E2AEE"/>
    <w:rsid w:val="004E2EA5"/>
    <w:rsid w:val="004E3AEB"/>
    <w:rsid w:val="0050223C"/>
    <w:rsid w:val="00512087"/>
    <w:rsid w:val="005243FF"/>
    <w:rsid w:val="00564FBC"/>
    <w:rsid w:val="005673F6"/>
    <w:rsid w:val="005800BC"/>
    <w:rsid w:val="00582442"/>
    <w:rsid w:val="005F0A7D"/>
    <w:rsid w:val="005F3269"/>
    <w:rsid w:val="0061071E"/>
    <w:rsid w:val="00623AE3"/>
    <w:rsid w:val="0064737F"/>
    <w:rsid w:val="006535F1"/>
    <w:rsid w:val="0065557D"/>
    <w:rsid w:val="00660D50"/>
    <w:rsid w:val="00662984"/>
    <w:rsid w:val="006716BB"/>
    <w:rsid w:val="006A2F4B"/>
    <w:rsid w:val="006B1859"/>
    <w:rsid w:val="006B6680"/>
    <w:rsid w:val="006B6DCC"/>
    <w:rsid w:val="006B77F1"/>
    <w:rsid w:val="006E4955"/>
    <w:rsid w:val="00702DEF"/>
    <w:rsid w:val="00706861"/>
    <w:rsid w:val="00722551"/>
    <w:rsid w:val="0075051B"/>
    <w:rsid w:val="00765C89"/>
    <w:rsid w:val="0077110E"/>
    <w:rsid w:val="00781937"/>
    <w:rsid w:val="00793188"/>
    <w:rsid w:val="00794D34"/>
    <w:rsid w:val="007A3FCD"/>
    <w:rsid w:val="007B19CF"/>
    <w:rsid w:val="007D01AF"/>
    <w:rsid w:val="00804500"/>
    <w:rsid w:val="00813E5E"/>
    <w:rsid w:val="0083581B"/>
    <w:rsid w:val="0084546D"/>
    <w:rsid w:val="00863874"/>
    <w:rsid w:val="00864AFF"/>
    <w:rsid w:val="00865925"/>
    <w:rsid w:val="00895CF0"/>
    <w:rsid w:val="008B4A6A"/>
    <w:rsid w:val="008C7E27"/>
    <w:rsid w:val="008F7448"/>
    <w:rsid w:val="0090147A"/>
    <w:rsid w:val="009173EF"/>
    <w:rsid w:val="009246C8"/>
    <w:rsid w:val="00932906"/>
    <w:rsid w:val="00954C49"/>
    <w:rsid w:val="00961B0B"/>
    <w:rsid w:val="00962D33"/>
    <w:rsid w:val="009842A1"/>
    <w:rsid w:val="009A76A8"/>
    <w:rsid w:val="009B38C3"/>
    <w:rsid w:val="009E17BD"/>
    <w:rsid w:val="009E485A"/>
    <w:rsid w:val="009F5E2F"/>
    <w:rsid w:val="00A04CEC"/>
    <w:rsid w:val="00A109AF"/>
    <w:rsid w:val="00A27F92"/>
    <w:rsid w:val="00A32257"/>
    <w:rsid w:val="00A36D20"/>
    <w:rsid w:val="00A514A4"/>
    <w:rsid w:val="00A55622"/>
    <w:rsid w:val="00A83502"/>
    <w:rsid w:val="00A94BAB"/>
    <w:rsid w:val="00AD15B3"/>
    <w:rsid w:val="00AD3606"/>
    <w:rsid w:val="00AD4A3D"/>
    <w:rsid w:val="00AF6E49"/>
    <w:rsid w:val="00B04A67"/>
    <w:rsid w:val="00B0583C"/>
    <w:rsid w:val="00B40A81"/>
    <w:rsid w:val="00B44910"/>
    <w:rsid w:val="00B72267"/>
    <w:rsid w:val="00B76EB6"/>
    <w:rsid w:val="00B7737B"/>
    <w:rsid w:val="00B824C8"/>
    <w:rsid w:val="00B84B9D"/>
    <w:rsid w:val="00B87C13"/>
    <w:rsid w:val="00B90CF9"/>
    <w:rsid w:val="00B9131F"/>
    <w:rsid w:val="00BB0646"/>
    <w:rsid w:val="00BC251A"/>
    <w:rsid w:val="00BC4A20"/>
    <w:rsid w:val="00BD032B"/>
    <w:rsid w:val="00BD1896"/>
    <w:rsid w:val="00BE01C6"/>
    <w:rsid w:val="00BE2640"/>
    <w:rsid w:val="00BF1FDE"/>
    <w:rsid w:val="00C01189"/>
    <w:rsid w:val="00C03C5C"/>
    <w:rsid w:val="00C0458D"/>
    <w:rsid w:val="00C374DE"/>
    <w:rsid w:val="00C47AD4"/>
    <w:rsid w:val="00C506D5"/>
    <w:rsid w:val="00C52D81"/>
    <w:rsid w:val="00C55198"/>
    <w:rsid w:val="00C5605F"/>
    <w:rsid w:val="00C6520B"/>
    <w:rsid w:val="00C72DFD"/>
    <w:rsid w:val="00CA6393"/>
    <w:rsid w:val="00CA7995"/>
    <w:rsid w:val="00CB18FF"/>
    <w:rsid w:val="00CD0C08"/>
    <w:rsid w:val="00CE03FB"/>
    <w:rsid w:val="00CE433C"/>
    <w:rsid w:val="00CF0161"/>
    <w:rsid w:val="00CF33F3"/>
    <w:rsid w:val="00CF4A2B"/>
    <w:rsid w:val="00D024CA"/>
    <w:rsid w:val="00D06183"/>
    <w:rsid w:val="00D22C42"/>
    <w:rsid w:val="00D65041"/>
    <w:rsid w:val="00DB1936"/>
    <w:rsid w:val="00DB384B"/>
    <w:rsid w:val="00DE532B"/>
    <w:rsid w:val="00DF0189"/>
    <w:rsid w:val="00E06FD5"/>
    <w:rsid w:val="00E10E80"/>
    <w:rsid w:val="00E124F0"/>
    <w:rsid w:val="00E227F3"/>
    <w:rsid w:val="00E545C6"/>
    <w:rsid w:val="00E60F04"/>
    <w:rsid w:val="00E65B24"/>
    <w:rsid w:val="00E76F2D"/>
    <w:rsid w:val="00E854E4"/>
    <w:rsid w:val="00E86DBF"/>
    <w:rsid w:val="00E92110"/>
    <w:rsid w:val="00E969AF"/>
    <w:rsid w:val="00EB0D6F"/>
    <w:rsid w:val="00EB2232"/>
    <w:rsid w:val="00EC5337"/>
    <w:rsid w:val="00EE49E8"/>
    <w:rsid w:val="00F16BAB"/>
    <w:rsid w:val="00F2150A"/>
    <w:rsid w:val="00F231D8"/>
    <w:rsid w:val="00F44C00"/>
    <w:rsid w:val="00F45D2C"/>
    <w:rsid w:val="00F46C5F"/>
    <w:rsid w:val="00F632C0"/>
    <w:rsid w:val="00F641E1"/>
    <w:rsid w:val="00F94A63"/>
    <w:rsid w:val="00FA1C28"/>
    <w:rsid w:val="00FB1279"/>
    <w:rsid w:val="00FB6B76"/>
    <w:rsid w:val="00FB7596"/>
    <w:rsid w:val="00FE4077"/>
    <w:rsid w:val="00FE500D"/>
    <w:rsid w:val="00FE77D2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ED1D9"/>
  <w15:docId w15:val="{563D865E-9B0B-4A2D-8440-3BC98DE7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3C2EF0"/>
    <w:rPr>
      <w:rFonts w:asciiTheme="minorHAnsi" w:hAnsiTheme="minorHAnsi" w:cstheme="minorHAnsi"/>
    </w:rPr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064C46"/>
    <w:rPr>
      <w:rFonts w:ascii="Calibri" w:hAnsi="Calibri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6E4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49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4955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4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4955"/>
    <w:rPr>
      <w:rFonts w:ascii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28/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</Template>
  <TotalTime>2</TotalTime>
  <Pages>1</Pages>
  <Words>184</Words>
  <Characters>1015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1437 - Operational plan for the Union for 2027</vt:lpstr>
    </vt:vector>
  </TitlesOfParts>
  <Manager>General Secretariat</Manager>
  <Company>International Telecommunication Union (ITU)</Company>
  <LinksUpToDate>false</LinksUpToDate>
  <CharactersWithSpaces>1176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1437 - Operational plan for the Union for 2027</dc:title>
  <dc:subject>ITU Council 2026</dc:subject>
  <dc:creator>GBS</dc:creator>
  <cp:keywords>C26; C2026; Council 2026; PP26</cp:keywords>
  <dc:description/>
  <cp:lastModifiedBy>GBS</cp:lastModifiedBy>
  <cp:revision>3</cp:revision>
  <cp:lastPrinted>2000-07-18T13:30:00Z</cp:lastPrinted>
  <dcterms:created xsi:type="dcterms:W3CDTF">2026-05-25T14:55:00Z</dcterms:created>
  <dcterms:modified xsi:type="dcterms:W3CDTF">2026-05-25T14:56:00Z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</Properties>
</file>