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BE4094" w14:paraId="50B2DBF8" w14:textId="77777777" w:rsidTr="00C4421B">
        <w:trPr>
          <w:cantSplit/>
          <w:trHeight w:val="23"/>
        </w:trPr>
        <w:tc>
          <w:tcPr>
            <w:tcW w:w="3969" w:type="dxa"/>
            <w:vMerge w:val="restart"/>
            <w:tcMar>
              <w:left w:w="0" w:type="dxa"/>
            </w:tcMar>
          </w:tcPr>
          <w:p w14:paraId="29A5DE8E" w14:textId="60CE3914" w:rsidR="00FE57F6" w:rsidRPr="00BE4094" w:rsidRDefault="00FE57F6" w:rsidP="00C4421B">
            <w:pPr>
              <w:tabs>
                <w:tab w:val="left" w:pos="851"/>
              </w:tabs>
              <w:spacing w:before="0" w:line="240" w:lineRule="atLeast"/>
              <w:rPr>
                <w:b/>
                <w:lang w:val="es-ES_tradnl"/>
              </w:rPr>
            </w:pPr>
            <w:bookmarkStart w:id="0" w:name="_Hlk133421839"/>
          </w:p>
        </w:tc>
        <w:tc>
          <w:tcPr>
            <w:tcW w:w="5245" w:type="dxa"/>
          </w:tcPr>
          <w:p w14:paraId="5B57C1CE" w14:textId="3AF7D48B" w:rsidR="00FE57F6" w:rsidRPr="00BE4094" w:rsidRDefault="00FE57F6" w:rsidP="00C4421B">
            <w:pPr>
              <w:tabs>
                <w:tab w:val="left" w:pos="851"/>
              </w:tabs>
              <w:spacing w:before="0" w:line="240" w:lineRule="atLeast"/>
              <w:jc w:val="right"/>
              <w:rPr>
                <w:b/>
                <w:lang w:val="es-ES_tradnl"/>
              </w:rPr>
            </w:pPr>
            <w:r w:rsidRPr="00BE4094">
              <w:rPr>
                <w:b/>
                <w:lang w:val="es-ES_tradnl"/>
              </w:rPr>
              <w:t>Document</w:t>
            </w:r>
            <w:r w:rsidR="00F24B71" w:rsidRPr="00BE4094">
              <w:rPr>
                <w:b/>
                <w:lang w:val="es-ES_tradnl"/>
              </w:rPr>
              <w:t>o</w:t>
            </w:r>
            <w:r w:rsidRPr="00BE4094">
              <w:rPr>
                <w:b/>
                <w:lang w:val="es-ES_tradnl"/>
              </w:rPr>
              <w:t xml:space="preserve"> C2</w:t>
            </w:r>
            <w:r w:rsidR="00F85E5C" w:rsidRPr="00BE4094">
              <w:rPr>
                <w:b/>
                <w:lang w:val="es-ES_tradnl"/>
              </w:rPr>
              <w:t>6</w:t>
            </w:r>
            <w:r w:rsidRPr="00BE4094">
              <w:rPr>
                <w:b/>
                <w:lang w:val="es-ES_tradnl"/>
              </w:rPr>
              <w:t>/</w:t>
            </w:r>
            <w:r w:rsidR="00A06F92">
              <w:rPr>
                <w:b/>
                <w:lang w:val="es-ES_tradnl"/>
              </w:rPr>
              <w:t>130</w:t>
            </w:r>
            <w:r w:rsidRPr="00BE4094">
              <w:rPr>
                <w:b/>
                <w:lang w:val="es-ES_tradnl"/>
              </w:rPr>
              <w:t>-</w:t>
            </w:r>
            <w:r w:rsidR="00F24B71" w:rsidRPr="00BE4094">
              <w:rPr>
                <w:b/>
                <w:lang w:val="es-ES_tradnl"/>
              </w:rPr>
              <w:t>S</w:t>
            </w:r>
          </w:p>
        </w:tc>
      </w:tr>
      <w:tr w:rsidR="00FE57F6" w:rsidRPr="00BE4094" w14:paraId="6F3BE115" w14:textId="77777777" w:rsidTr="00C4421B">
        <w:trPr>
          <w:cantSplit/>
        </w:trPr>
        <w:tc>
          <w:tcPr>
            <w:tcW w:w="3969" w:type="dxa"/>
            <w:vMerge/>
          </w:tcPr>
          <w:p w14:paraId="78AD94A7" w14:textId="77777777" w:rsidR="00FE57F6" w:rsidRPr="00BE4094" w:rsidRDefault="00FE57F6" w:rsidP="00C4421B">
            <w:pPr>
              <w:tabs>
                <w:tab w:val="left" w:pos="851"/>
              </w:tabs>
              <w:spacing w:line="240" w:lineRule="atLeast"/>
              <w:rPr>
                <w:b/>
                <w:lang w:val="es-ES_tradnl"/>
              </w:rPr>
            </w:pPr>
          </w:p>
        </w:tc>
        <w:tc>
          <w:tcPr>
            <w:tcW w:w="5245" w:type="dxa"/>
          </w:tcPr>
          <w:p w14:paraId="362CC986" w14:textId="4DFF51A3" w:rsidR="00FE57F6" w:rsidRPr="00BE4094" w:rsidRDefault="00A06F92" w:rsidP="00C4421B">
            <w:pPr>
              <w:tabs>
                <w:tab w:val="left" w:pos="851"/>
              </w:tabs>
              <w:spacing w:before="0"/>
              <w:jc w:val="right"/>
              <w:rPr>
                <w:b/>
                <w:lang w:val="es-ES_tradnl"/>
              </w:rPr>
            </w:pPr>
            <w:r>
              <w:rPr>
                <w:b/>
                <w:lang w:val="es-ES_tradnl"/>
              </w:rPr>
              <w:t>21</w:t>
            </w:r>
            <w:r w:rsidR="003E1701" w:rsidRPr="00BE4094">
              <w:rPr>
                <w:b/>
                <w:lang w:val="es-ES_tradnl"/>
              </w:rPr>
              <w:t xml:space="preserve"> de </w:t>
            </w:r>
            <w:r w:rsidR="006D0284" w:rsidRPr="00BE4094">
              <w:rPr>
                <w:b/>
                <w:lang w:val="es-ES_tradnl"/>
              </w:rPr>
              <w:t>mayo</w:t>
            </w:r>
            <w:r w:rsidR="003E1701" w:rsidRPr="00BE4094">
              <w:rPr>
                <w:b/>
                <w:lang w:val="es-ES_tradnl"/>
              </w:rPr>
              <w:t xml:space="preserve"> de 2026</w:t>
            </w:r>
          </w:p>
        </w:tc>
      </w:tr>
      <w:tr w:rsidR="00FE57F6" w:rsidRPr="00BE4094" w14:paraId="1FE2D352" w14:textId="77777777" w:rsidTr="00C4421B">
        <w:trPr>
          <w:cantSplit/>
          <w:trHeight w:val="23"/>
        </w:trPr>
        <w:tc>
          <w:tcPr>
            <w:tcW w:w="3969" w:type="dxa"/>
            <w:vMerge/>
          </w:tcPr>
          <w:p w14:paraId="6736E6CD" w14:textId="77777777" w:rsidR="00FE57F6" w:rsidRPr="00BE4094" w:rsidRDefault="00FE57F6" w:rsidP="00C4421B">
            <w:pPr>
              <w:tabs>
                <w:tab w:val="left" w:pos="851"/>
              </w:tabs>
              <w:spacing w:line="240" w:lineRule="atLeast"/>
              <w:rPr>
                <w:b/>
                <w:lang w:val="es-ES_tradnl"/>
              </w:rPr>
            </w:pPr>
          </w:p>
        </w:tc>
        <w:tc>
          <w:tcPr>
            <w:tcW w:w="5245" w:type="dxa"/>
          </w:tcPr>
          <w:p w14:paraId="40413032" w14:textId="77777777" w:rsidR="00FE57F6" w:rsidRPr="00BE4094" w:rsidRDefault="00F24B71" w:rsidP="00C4421B">
            <w:pPr>
              <w:tabs>
                <w:tab w:val="left" w:pos="851"/>
              </w:tabs>
              <w:spacing w:before="0" w:line="240" w:lineRule="atLeast"/>
              <w:jc w:val="right"/>
              <w:rPr>
                <w:b/>
                <w:bCs/>
                <w:lang w:val="es-ES_tradnl"/>
              </w:rPr>
            </w:pPr>
            <w:r w:rsidRPr="00BE4094">
              <w:rPr>
                <w:rFonts w:cstheme="minorHAnsi"/>
                <w:b/>
                <w:bCs/>
                <w:lang w:val="es-ES_tradnl"/>
              </w:rPr>
              <w:t>Original: inglés</w:t>
            </w:r>
          </w:p>
        </w:tc>
      </w:tr>
      <w:tr w:rsidR="00FE57F6" w:rsidRPr="00BE4094" w14:paraId="78B23A3C" w14:textId="77777777" w:rsidTr="00C4421B">
        <w:trPr>
          <w:cantSplit/>
          <w:trHeight w:val="23"/>
        </w:trPr>
        <w:tc>
          <w:tcPr>
            <w:tcW w:w="3969" w:type="dxa"/>
          </w:tcPr>
          <w:p w14:paraId="5BD1AC81" w14:textId="77777777" w:rsidR="00FE57F6" w:rsidRPr="00BE4094" w:rsidRDefault="00FE57F6" w:rsidP="00C4421B">
            <w:pPr>
              <w:tabs>
                <w:tab w:val="left" w:pos="851"/>
              </w:tabs>
              <w:spacing w:line="240" w:lineRule="atLeast"/>
              <w:rPr>
                <w:b/>
                <w:lang w:val="es-ES_tradnl"/>
              </w:rPr>
            </w:pPr>
          </w:p>
        </w:tc>
        <w:tc>
          <w:tcPr>
            <w:tcW w:w="5245" w:type="dxa"/>
          </w:tcPr>
          <w:p w14:paraId="15D3C827" w14:textId="77777777" w:rsidR="00FE57F6" w:rsidRPr="00BE4094" w:rsidRDefault="00FE57F6" w:rsidP="00C4421B">
            <w:pPr>
              <w:tabs>
                <w:tab w:val="left" w:pos="851"/>
              </w:tabs>
              <w:spacing w:before="0" w:line="240" w:lineRule="atLeast"/>
              <w:jc w:val="right"/>
              <w:rPr>
                <w:b/>
                <w:lang w:val="es-ES_tradnl"/>
              </w:rPr>
            </w:pPr>
          </w:p>
        </w:tc>
      </w:tr>
    </w:tbl>
    <w:bookmarkEnd w:id="0"/>
    <w:p w14:paraId="18703CBF" w14:textId="5071B0F9" w:rsidR="003E1701" w:rsidRPr="00BE4094" w:rsidRDefault="003E1701" w:rsidP="003E1701">
      <w:pPr>
        <w:pStyle w:val="ResNo"/>
        <w:rPr>
          <w:lang w:val="es-ES_tradnl"/>
        </w:rPr>
      </w:pPr>
      <w:r w:rsidRPr="00BE4094">
        <w:rPr>
          <w:lang w:val="es-ES_tradnl"/>
        </w:rPr>
        <w:t xml:space="preserve">RESOLUCIÓN </w:t>
      </w:r>
      <w:r w:rsidR="00A06F92">
        <w:rPr>
          <w:lang w:val="es-ES_tradnl"/>
        </w:rPr>
        <w:t>1436</w:t>
      </w:r>
    </w:p>
    <w:p w14:paraId="0722B89F" w14:textId="6216DD05" w:rsidR="006D0284" w:rsidRPr="00BE4094" w:rsidRDefault="00520CE9" w:rsidP="006D0284">
      <w:pPr>
        <w:pStyle w:val="Resref"/>
        <w:rPr>
          <w:lang w:val="es-ES_tradnl"/>
        </w:rPr>
      </w:pPr>
      <w:r w:rsidRPr="00520CE9">
        <w:rPr>
          <w:lang w:val="es-ES_tradnl"/>
        </w:rPr>
        <w:t xml:space="preserve">(adoptada en la </w:t>
      </w:r>
      <w:r>
        <w:rPr>
          <w:lang w:val="es-ES_tradnl"/>
        </w:rPr>
        <w:t>cuarta</w:t>
      </w:r>
      <w:r w:rsidRPr="00520CE9">
        <w:rPr>
          <w:lang w:val="es-ES_tradnl"/>
        </w:rPr>
        <w:t xml:space="preserve"> Sesión Plenaria)</w:t>
      </w:r>
    </w:p>
    <w:p w14:paraId="24D71DE4" w14:textId="2C585EB0" w:rsidR="003E1701" w:rsidRPr="00BE4094" w:rsidRDefault="003E1701" w:rsidP="003E1701">
      <w:pPr>
        <w:pStyle w:val="Restitle"/>
        <w:rPr>
          <w:lang w:val="es-ES_tradnl"/>
        </w:rPr>
      </w:pPr>
      <w:r w:rsidRPr="00BE4094">
        <w:rPr>
          <w:lang w:val="es-ES_tradnl"/>
        </w:rPr>
        <w:t>Repercusiones sobre la infraestructura civil de telecomunicaciones/TIC</w:t>
      </w:r>
      <w:r w:rsidRPr="00BE4094">
        <w:rPr>
          <w:lang w:val="es-ES_tradnl"/>
        </w:rPr>
        <w:br/>
        <w:t>de Bahrein, Kuwait, Emiratos Árabes Unidos y Jordania, y sus</w:t>
      </w:r>
      <w:r w:rsidR="00040C12">
        <w:rPr>
          <w:lang w:val="es-ES_tradnl"/>
        </w:rPr>
        <w:br/>
      </w:r>
      <w:r w:rsidRPr="00BE4094">
        <w:rPr>
          <w:lang w:val="es-ES_tradnl"/>
        </w:rPr>
        <w:t>consecuencias para la conectividad regional y mundial</w:t>
      </w:r>
    </w:p>
    <w:p w14:paraId="6BA277A3" w14:textId="77777777" w:rsidR="003E1701" w:rsidRPr="00BE4094" w:rsidRDefault="003E1701" w:rsidP="003E1701">
      <w:pPr>
        <w:pStyle w:val="Normalaftertitle"/>
        <w:rPr>
          <w:lang w:val="es-ES_tradnl"/>
        </w:rPr>
      </w:pPr>
      <w:r w:rsidRPr="00BE4094">
        <w:rPr>
          <w:lang w:val="es-ES_tradnl"/>
        </w:rPr>
        <w:t>El Consejo de la UIT,</w:t>
      </w:r>
    </w:p>
    <w:p w14:paraId="52D490D0" w14:textId="77777777" w:rsidR="003E1701" w:rsidRPr="00BE4094" w:rsidRDefault="003E1701" w:rsidP="003E1701">
      <w:pPr>
        <w:pStyle w:val="Call"/>
        <w:rPr>
          <w:lang w:val="es-ES_tradnl"/>
        </w:rPr>
      </w:pPr>
      <w:r w:rsidRPr="00BE4094">
        <w:rPr>
          <w:lang w:val="es-ES_tradnl"/>
        </w:rPr>
        <w:t>recordando</w:t>
      </w:r>
    </w:p>
    <w:p w14:paraId="3FC46B48" w14:textId="77777777" w:rsidR="003E1701" w:rsidRPr="00BE4094" w:rsidRDefault="003E1701" w:rsidP="006D0284">
      <w:pPr>
        <w:jc w:val="both"/>
        <w:rPr>
          <w:lang w:val="es-ES_tradnl"/>
        </w:rPr>
      </w:pPr>
      <w:r w:rsidRPr="00BE4094">
        <w:rPr>
          <w:i/>
          <w:iCs/>
          <w:lang w:val="es-ES_tradnl"/>
        </w:rPr>
        <w:t>a)</w:t>
      </w:r>
      <w:r w:rsidRPr="00BE4094">
        <w:rPr>
          <w:lang w:val="es-ES_tradnl"/>
        </w:rPr>
        <w:tab/>
        <w:t>los nobles principios, fines y objetivos consignados en la Carta de las Naciones Unidas y en la Declaración Universal de Derechos Humanos, así como en la Declaración de Principios de la Cumbre Mundial sobre la Sociedad de la Información;</w:t>
      </w:r>
    </w:p>
    <w:p w14:paraId="6D547C53" w14:textId="77777777" w:rsidR="003E1701" w:rsidRPr="00BE4094" w:rsidRDefault="003E1701" w:rsidP="006D0284">
      <w:pPr>
        <w:jc w:val="both"/>
        <w:rPr>
          <w:lang w:val="es-ES_tradnl"/>
        </w:rPr>
      </w:pPr>
      <w:r w:rsidRPr="00BE4094">
        <w:rPr>
          <w:i/>
          <w:iCs/>
          <w:lang w:val="es-ES_tradnl"/>
        </w:rPr>
        <w:t>b)</w:t>
      </w:r>
      <w:r w:rsidRPr="00BE4094">
        <w:rPr>
          <w:lang w:val="es-ES_tradnl"/>
        </w:rPr>
        <w:tab/>
        <w:t>los propósitos de la Unión enunciados en el Artículo 1 de la Constitución de la UIT;</w:t>
      </w:r>
    </w:p>
    <w:p w14:paraId="5D326DD1" w14:textId="01F32078" w:rsidR="003E1701" w:rsidRPr="00BE4094" w:rsidRDefault="003E1701" w:rsidP="006D0284">
      <w:pPr>
        <w:jc w:val="both"/>
        <w:rPr>
          <w:lang w:val="es-ES_tradnl"/>
        </w:rPr>
      </w:pPr>
      <w:r w:rsidRPr="00BE4094">
        <w:rPr>
          <w:i/>
          <w:iCs/>
          <w:lang w:val="es-ES_tradnl"/>
        </w:rPr>
        <w:t>c)</w:t>
      </w:r>
      <w:r w:rsidRPr="00BE4094">
        <w:rPr>
          <w:lang w:val="es-ES_tradnl"/>
        </w:rPr>
        <w:tab/>
        <w:t>los principios enunciados en los Artículos</w:t>
      </w:r>
      <w:r w:rsidR="00040C12">
        <w:rPr>
          <w:lang w:val="es-ES_tradnl"/>
        </w:rPr>
        <w:t> </w:t>
      </w:r>
      <w:r w:rsidRPr="00BE4094">
        <w:rPr>
          <w:lang w:val="es-ES_tradnl"/>
        </w:rPr>
        <w:t>38 (número</w:t>
      </w:r>
      <w:r w:rsidR="00040C12">
        <w:rPr>
          <w:lang w:val="es-ES_tradnl"/>
        </w:rPr>
        <w:t> </w:t>
      </w:r>
      <w:r w:rsidRPr="00BE4094">
        <w:rPr>
          <w:lang w:val="es-ES_tradnl"/>
        </w:rPr>
        <w:t>186) y 45 (número</w:t>
      </w:r>
      <w:r w:rsidR="00040C12">
        <w:rPr>
          <w:lang w:val="es-ES_tradnl"/>
        </w:rPr>
        <w:t> </w:t>
      </w:r>
      <w:r w:rsidRPr="00BE4094">
        <w:rPr>
          <w:lang w:val="es-ES_tradnl"/>
        </w:rPr>
        <w:t>197) de la Constitución de la UIT,</w:t>
      </w:r>
    </w:p>
    <w:p w14:paraId="72ABD9E4" w14:textId="77777777" w:rsidR="003E1701" w:rsidRPr="00BE4094" w:rsidRDefault="003E1701" w:rsidP="003E1701">
      <w:pPr>
        <w:pStyle w:val="Call"/>
        <w:rPr>
          <w:lang w:val="es-ES_tradnl"/>
        </w:rPr>
      </w:pPr>
      <w:r w:rsidRPr="00BE4094">
        <w:rPr>
          <w:lang w:val="es-ES_tradnl"/>
        </w:rPr>
        <w:t>recordando además</w:t>
      </w:r>
    </w:p>
    <w:p w14:paraId="45D30068" w14:textId="77777777" w:rsidR="003E1701" w:rsidRPr="00BE4094" w:rsidRDefault="003E1701" w:rsidP="006D0284">
      <w:pPr>
        <w:jc w:val="both"/>
        <w:rPr>
          <w:lang w:val="es-ES_tradnl"/>
        </w:rPr>
      </w:pPr>
      <w:r w:rsidRPr="00BE4094">
        <w:rPr>
          <w:i/>
          <w:iCs/>
          <w:lang w:val="es-ES_tradnl"/>
        </w:rPr>
        <w:t>a)</w:t>
      </w:r>
      <w:r w:rsidRPr="00BE4094">
        <w:rPr>
          <w:lang w:val="es-ES_tradnl"/>
        </w:rPr>
        <w:tab/>
        <w:t>la Resolución 2817 (2026) del Consejo de Seguridad de las Naciones Unidas, de 11 de marzo de 2026, en la que se condenan categóricamente los atroces ataques perpetrados por Irán contra los territorios de Arabia Saudita, Bahrein, Kuwait, Omán, Qatar, Emiratos Árabes Unidos y Jordania;</w:t>
      </w:r>
    </w:p>
    <w:p w14:paraId="4AC363EE" w14:textId="2449351E" w:rsidR="003E1701" w:rsidRPr="00BE4094" w:rsidRDefault="003E1701" w:rsidP="006D0284">
      <w:pPr>
        <w:jc w:val="both"/>
        <w:rPr>
          <w:lang w:val="es-ES_tradnl"/>
        </w:rPr>
      </w:pPr>
      <w:r w:rsidRPr="00BE4094">
        <w:rPr>
          <w:i/>
          <w:iCs/>
          <w:lang w:val="es-ES_tradnl"/>
        </w:rPr>
        <w:t>b)</w:t>
      </w:r>
      <w:r w:rsidRPr="00BE4094">
        <w:rPr>
          <w:lang w:val="es-ES_tradnl"/>
        </w:rPr>
        <w:tab/>
        <w:t xml:space="preserve">la Resolución 34 </w:t>
      </w:r>
      <w:r w:rsidR="0089351E" w:rsidRPr="0089351E">
        <w:rPr>
          <w:lang w:val="es-ES_tradnl"/>
        </w:rPr>
        <w:t>(Rev</w:t>
      </w:r>
      <w:r w:rsidR="0089351E">
        <w:rPr>
          <w:lang w:val="es-ES_tradnl"/>
        </w:rPr>
        <w:t>.</w:t>
      </w:r>
      <w:r w:rsidR="0089351E" w:rsidRPr="0089351E">
        <w:rPr>
          <w:lang w:val="es-ES_tradnl"/>
        </w:rPr>
        <w:t xml:space="preserve"> Bak</w:t>
      </w:r>
      <w:r w:rsidR="0089351E">
        <w:rPr>
          <w:lang w:val="es-ES_tradnl"/>
        </w:rPr>
        <w:t>ú</w:t>
      </w:r>
      <w:r w:rsidR="0089351E" w:rsidRPr="0089351E">
        <w:rPr>
          <w:lang w:val="es-ES_tradnl"/>
        </w:rPr>
        <w:t>, 2025)</w:t>
      </w:r>
      <w:r w:rsidR="0089351E">
        <w:rPr>
          <w:lang w:val="es-ES_tradnl"/>
        </w:rPr>
        <w:t xml:space="preserve"> </w:t>
      </w:r>
      <w:r w:rsidRPr="00BE4094">
        <w:rPr>
          <w:lang w:val="es-ES_tradnl"/>
        </w:rPr>
        <w:t>de la Conferencia Mundial de Desarrollo de las Telecomunicaciones</w:t>
      </w:r>
      <w:r w:rsidR="001B6168">
        <w:rPr>
          <w:lang w:val="es-ES_tradnl"/>
        </w:rPr>
        <w:t xml:space="preserve"> (CMDT)</w:t>
      </w:r>
      <w:r w:rsidRPr="00BE4094">
        <w:rPr>
          <w:lang w:val="es-ES_tradnl"/>
        </w:rPr>
        <w:t xml:space="preserve">, sobre la función de las telecomunicaciones y las tecnologías de la información y la comunicación </w:t>
      </w:r>
      <w:r w:rsidR="008334E2">
        <w:rPr>
          <w:lang w:val="es-ES_tradnl"/>
        </w:rPr>
        <w:t xml:space="preserve">(TIC) </w:t>
      </w:r>
      <w:r w:rsidRPr="00BE4094">
        <w:rPr>
          <w:lang w:val="es-ES_tradnl"/>
        </w:rPr>
        <w:t>en la preparación, alerta temprana, rescate, mitigación, socorro y respuesta en situaciones de catástrofe;</w:t>
      </w:r>
    </w:p>
    <w:p w14:paraId="44DD8C9C" w14:textId="044455A9" w:rsidR="003E1701" w:rsidRPr="00BE4094" w:rsidRDefault="003E1701" w:rsidP="006D0284">
      <w:pPr>
        <w:jc w:val="both"/>
        <w:rPr>
          <w:lang w:val="es-ES_tradnl"/>
        </w:rPr>
      </w:pPr>
      <w:r w:rsidRPr="00BE4094">
        <w:rPr>
          <w:i/>
          <w:iCs/>
          <w:lang w:val="es-ES_tradnl"/>
        </w:rPr>
        <w:t>c)</w:t>
      </w:r>
      <w:r w:rsidRPr="00BE4094">
        <w:rPr>
          <w:lang w:val="es-ES_tradnl"/>
        </w:rPr>
        <w:tab/>
        <w:t>la Resolución 130 (Rev. Bucarest, 2022) de la Conferencia de Plenipotenciarios</w:t>
      </w:r>
      <w:r w:rsidR="008E61AF">
        <w:rPr>
          <w:lang w:val="es-ES_tradnl"/>
        </w:rPr>
        <w:t>,</w:t>
      </w:r>
      <w:r w:rsidRPr="00BE4094">
        <w:rPr>
          <w:lang w:val="es-ES_tradnl"/>
        </w:rPr>
        <w:t xml:space="preserve"> sobre el fortalecimiento del papel de la UIT en la creación de confianza y seguridad en la utilización de las tecnologías de la información y la comunicación;</w:t>
      </w:r>
    </w:p>
    <w:p w14:paraId="02680CC6" w14:textId="0554F418" w:rsidR="003E1701" w:rsidRPr="00BE4094" w:rsidRDefault="003E1701" w:rsidP="006D0284">
      <w:pPr>
        <w:jc w:val="both"/>
        <w:rPr>
          <w:lang w:val="es-ES_tradnl"/>
        </w:rPr>
      </w:pPr>
      <w:r w:rsidRPr="00BE4094">
        <w:rPr>
          <w:i/>
          <w:iCs/>
          <w:lang w:val="es-ES_tradnl"/>
        </w:rPr>
        <w:t>d)</w:t>
      </w:r>
      <w:r w:rsidRPr="00BE4094">
        <w:rPr>
          <w:lang w:val="es-ES_tradnl"/>
        </w:rPr>
        <w:tab/>
        <w:t>la Resolución 136 (Rev. Bucarest, 2022) de la Conferencia de Plenipotenciarios</w:t>
      </w:r>
      <w:r w:rsidR="008E61AF">
        <w:rPr>
          <w:lang w:val="es-ES_tradnl"/>
        </w:rPr>
        <w:t>,</w:t>
      </w:r>
      <w:r w:rsidRPr="00BE4094">
        <w:rPr>
          <w:lang w:val="es-ES_tradnl"/>
        </w:rPr>
        <w:t xml:space="preserve"> sobre la utilización de las telecomunicaciones/tecnologías de la información y la comunicación para la asistencia humanitaria,</w:t>
      </w:r>
    </w:p>
    <w:p w14:paraId="6CBEC212" w14:textId="77777777" w:rsidR="003E1701" w:rsidRPr="00BE4094" w:rsidRDefault="003E1701" w:rsidP="00A06F92">
      <w:pPr>
        <w:pStyle w:val="Call"/>
        <w:rPr>
          <w:lang w:val="es-ES_tradnl"/>
        </w:rPr>
      </w:pPr>
      <w:r w:rsidRPr="00BE4094">
        <w:rPr>
          <w:lang w:val="es-ES_tradnl"/>
        </w:rPr>
        <w:t>reafirmando</w:t>
      </w:r>
    </w:p>
    <w:p w14:paraId="6D282AF1" w14:textId="77777777" w:rsidR="003E1701" w:rsidRPr="00BE4094" w:rsidRDefault="003E1701" w:rsidP="008F0461">
      <w:pPr>
        <w:widowControl w:val="0"/>
        <w:jc w:val="both"/>
        <w:rPr>
          <w:lang w:val="es-ES_tradnl"/>
        </w:rPr>
      </w:pPr>
      <w:r w:rsidRPr="00BE4094">
        <w:rPr>
          <w:i/>
          <w:iCs/>
          <w:lang w:val="es-ES_tradnl"/>
        </w:rPr>
        <w:t>a)</w:t>
      </w:r>
      <w:r w:rsidRPr="00BE4094">
        <w:rPr>
          <w:lang w:val="es-ES_tradnl"/>
        </w:rPr>
        <w:tab/>
        <w:t xml:space="preserve">la soberanía, independencia, unidad e integridad territorial de Bahrein, Kuwait, Emiratos </w:t>
      </w:r>
      <w:r w:rsidRPr="00BE4094">
        <w:rPr>
          <w:lang w:val="es-ES_tradnl"/>
        </w:rPr>
        <w:lastRenderedPageBreak/>
        <w:t>Árabes Unidos y Jordania dentro de sus fronteras internacionalmente reconocidas y sus aguas territoriales;</w:t>
      </w:r>
    </w:p>
    <w:p w14:paraId="390460CE" w14:textId="69D2D5CA" w:rsidR="003E1701" w:rsidRPr="008F0461" w:rsidRDefault="003E1701" w:rsidP="006D0284">
      <w:pPr>
        <w:jc w:val="both"/>
        <w:rPr>
          <w:spacing w:val="-2"/>
          <w:lang w:val="es-ES_tradnl"/>
        </w:rPr>
      </w:pPr>
      <w:r w:rsidRPr="008F0461">
        <w:rPr>
          <w:i/>
          <w:iCs/>
          <w:spacing w:val="-2"/>
          <w:lang w:val="es-ES_tradnl"/>
        </w:rPr>
        <w:t>b)</w:t>
      </w:r>
      <w:r w:rsidRPr="008F0461">
        <w:rPr>
          <w:spacing w:val="-2"/>
          <w:lang w:val="es-ES_tradnl"/>
        </w:rPr>
        <w:tab/>
        <w:t>el derecho soberano de cada Estado a reglamentar sus telecomunicaciones y la importancia creciente de las telecomunicaciones para la salvaguardia de la paz y el desarrollo económico y social de todos los Estados, enunciado en el Preámbulo de la Constitución de la</w:t>
      </w:r>
      <w:r w:rsidR="00040C12" w:rsidRPr="008F0461">
        <w:rPr>
          <w:spacing w:val="-2"/>
          <w:lang w:val="es-ES_tradnl"/>
        </w:rPr>
        <w:t> </w:t>
      </w:r>
      <w:r w:rsidRPr="008F0461">
        <w:rPr>
          <w:spacing w:val="-2"/>
          <w:lang w:val="es-ES_tradnl"/>
        </w:rPr>
        <w:t>UIT,</w:t>
      </w:r>
    </w:p>
    <w:p w14:paraId="78027F0C" w14:textId="77777777" w:rsidR="003E1701" w:rsidRPr="00BE4094" w:rsidRDefault="003E1701" w:rsidP="003E1701">
      <w:pPr>
        <w:pStyle w:val="Call"/>
        <w:rPr>
          <w:lang w:val="es-ES_tradnl"/>
        </w:rPr>
      </w:pPr>
      <w:r w:rsidRPr="00BE4094">
        <w:rPr>
          <w:lang w:val="es-ES_tradnl"/>
        </w:rPr>
        <w:t>considerando</w:t>
      </w:r>
    </w:p>
    <w:p w14:paraId="12D0E2C1" w14:textId="77777777" w:rsidR="003E1701" w:rsidRPr="00BE4094" w:rsidRDefault="003E1701" w:rsidP="006D0284">
      <w:pPr>
        <w:jc w:val="both"/>
        <w:rPr>
          <w:lang w:val="es-ES_tradnl"/>
        </w:rPr>
      </w:pPr>
      <w:r w:rsidRPr="00BE4094">
        <w:rPr>
          <w:lang w:val="es-ES_tradnl"/>
        </w:rPr>
        <w:t>que la infraestructura civil de telecomunicaciones/TIC es esencial para la prestación de servicios de telecomunicaciones y para el desarrollo socioeconómico de todas las naciones,</w:t>
      </w:r>
    </w:p>
    <w:p w14:paraId="7297AF19" w14:textId="77777777" w:rsidR="003E1701" w:rsidRPr="00BE4094" w:rsidRDefault="003E1701" w:rsidP="003E1701">
      <w:pPr>
        <w:pStyle w:val="Call"/>
        <w:rPr>
          <w:lang w:val="es-ES_tradnl"/>
        </w:rPr>
      </w:pPr>
      <w:r w:rsidRPr="00BE4094">
        <w:rPr>
          <w:lang w:val="es-ES_tradnl"/>
        </w:rPr>
        <w:t>reiterando el compromiso de la UIT</w:t>
      </w:r>
    </w:p>
    <w:p w14:paraId="402539A2" w14:textId="77777777" w:rsidR="003E1701" w:rsidRPr="00BE4094" w:rsidRDefault="003E1701" w:rsidP="006D0284">
      <w:pPr>
        <w:jc w:val="both"/>
        <w:rPr>
          <w:lang w:val="es-ES_tradnl"/>
        </w:rPr>
      </w:pPr>
      <w:r w:rsidRPr="00BE4094">
        <w:rPr>
          <w:lang w:val="es-ES_tradnl"/>
        </w:rPr>
        <w:t>de "promover la adopción de medidas destinadas a garantizar la seguridad de la vida humana, mediante la cooperación de los servicios de telecomunicación",</w:t>
      </w:r>
    </w:p>
    <w:p w14:paraId="6F20D6E3" w14:textId="77777777" w:rsidR="003E1701" w:rsidRPr="00BE4094" w:rsidRDefault="003E1701" w:rsidP="003E1701">
      <w:pPr>
        <w:pStyle w:val="Call"/>
        <w:rPr>
          <w:lang w:val="es-ES_tradnl"/>
        </w:rPr>
      </w:pPr>
      <w:r w:rsidRPr="00BE4094">
        <w:rPr>
          <w:lang w:val="es-ES_tradnl"/>
        </w:rPr>
        <w:t>condenando</w:t>
      </w:r>
    </w:p>
    <w:p w14:paraId="59E0B6E7" w14:textId="13E04A59" w:rsidR="003E1701" w:rsidRPr="00BE4094" w:rsidRDefault="003E1701" w:rsidP="006D0284">
      <w:pPr>
        <w:jc w:val="both"/>
        <w:rPr>
          <w:lang w:val="es-ES_tradnl"/>
        </w:rPr>
      </w:pPr>
      <w:r w:rsidRPr="001B6168">
        <w:rPr>
          <w:lang w:val="es-ES_tradnl"/>
        </w:rPr>
        <w:t xml:space="preserve">los ataques ilícitos generalizados perpetrados por Irán contra </w:t>
      </w:r>
      <w:r w:rsidR="00803A71" w:rsidRPr="001B6168">
        <w:rPr>
          <w:lang w:val="es-ES_tradnl"/>
        </w:rPr>
        <w:t>objetivos</w:t>
      </w:r>
      <w:r w:rsidRPr="001B6168">
        <w:rPr>
          <w:lang w:val="es-ES_tradnl"/>
        </w:rPr>
        <w:t xml:space="preserve"> civiles, incluidos servicios de telecomunicaciones y cables submarinos, en Bahrein, Kuwait, Emiratos Árabes Unidos</w:t>
      </w:r>
      <w:r w:rsidRPr="00BE4094">
        <w:rPr>
          <w:lang w:val="es-ES_tradnl"/>
        </w:rPr>
        <w:t xml:space="preserve"> y Jordania, de forma contraria a la Constitución y el Convenio de la UIT,</w:t>
      </w:r>
    </w:p>
    <w:p w14:paraId="1CD5A040" w14:textId="77777777" w:rsidR="003E1701" w:rsidRPr="00BE4094" w:rsidRDefault="003E1701" w:rsidP="003E1701">
      <w:pPr>
        <w:pStyle w:val="Call"/>
        <w:rPr>
          <w:lang w:val="es-ES_tradnl"/>
        </w:rPr>
      </w:pPr>
      <w:r w:rsidRPr="00BE4094">
        <w:rPr>
          <w:lang w:val="es-ES_tradnl"/>
        </w:rPr>
        <w:t>expresando su profunda preocupación</w:t>
      </w:r>
    </w:p>
    <w:p w14:paraId="4A71730B" w14:textId="77777777" w:rsidR="003E1701" w:rsidRPr="00BE4094" w:rsidRDefault="003E1701" w:rsidP="006D0284">
      <w:pPr>
        <w:jc w:val="both"/>
        <w:rPr>
          <w:lang w:val="es-ES_tradnl"/>
        </w:rPr>
      </w:pPr>
      <w:r w:rsidRPr="00BE4094">
        <w:rPr>
          <w:lang w:val="es-ES_tradnl"/>
        </w:rPr>
        <w:t>por las amenazas de atentar contra otras infraestructuras civiles de telecomunicaciones, de manera contraria a la Constitución y el Convenio de la UIT,</w:t>
      </w:r>
    </w:p>
    <w:p w14:paraId="7D5744E2" w14:textId="77777777" w:rsidR="003E1701" w:rsidRPr="00BE4094" w:rsidRDefault="003E1701" w:rsidP="003E1701">
      <w:pPr>
        <w:pStyle w:val="Call"/>
        <w:rPr>
          <w:lang w:val="es-ES_tradnl"/>
        </w:rPr>
      </w:pPr>
      <w:r w:rsidRPr="00BE4094">
        <w:rPr>
          <w:lang w:val="es-ES_tradnl"/>
        </w:rPr>
        <w:t>resuelve encargar a los Directores de las tres Oficinas</w:t>
      </w:r>
    </w:p>
    <w:p w14:paraId="17FA94C7" w14:textId="77777777" w:rsidR="003E1701" w:rsidRPr="00BE4094" w:rsidRDefault="003E1701" w:rsidP="006D0284">
      <w:pPr>
        <w:jc w:val="both"/>
        <w:rPr>
          <w:lang w:val="es-ES_tradnl"/>
        </w:rPr>
      </w:pPr>
      <w:r w:rsidRPr="00BE4094">
        <w:rPr>
          <w:lang w:val="es-ES_tradnl"/>
        </w:rPr>
        <w:t>1</w:t>
      </w:r>
      <w:r w:rsidRPr="00BE4094">
        <w:rPr>
          <w:lang w:val="es-ES_tradnl"/>
        </w:rPr>
        <w:tab/>
        <w:t>que supervisen e informen periódicamente de esos ataques contra los servicios e infraestructuras de telecomunicaciones en Bahrein, Kuwait, Emiratos Árabes Unidos y Jordania, incluidas sus repercusiones mundiales;</w:t>
      </w:r>
    </w:p>
    <w:p w14:paraId="032A67BE" w14:textId="77777777" w:rsidR="003E1701" w:rsidRPr="00BE4094" w:rsidRDefault="003E1701" w:rsidP="006D0284">
      <w:pPr>
        <w:jc w:val="both"/>
        <w:rPr>
          <w:lang w:val="es-ES_tradnl"/>
        </w:rPr>
      </w:pPr>
      <w:r w:rsidRPr="00BE4094">
        <w:rPr>
          <w:lang w:val="es-ES_tradnl"/>
        </w:rPr>
        <w:t>2</w:t>
      </w:r>
      <w:r w:rsidRPr="00BE4094">
        <w:rPr>
          <w:lang w:val="es-ES_tradnl"/>
        </w:rPr>
        <w:tab/>
        <w:t>que evalúen las repercusiones de esos ataques en los servicios e infraestructuras de telecomunicaciones, incluidos los programas y actividades de la UIT, en Bahrein, Kuwait, Emiratos Árabes Unidos y Jordania, y presente un informe al respecto;</w:t>
      </w:r>
    </w:p>
    <w:p w14:paraId="0CDAA883" w14:textId="3CBB2772" w:rsidR="003E1701" w:rsidRPr="00BE4094" w:rsidRDefault="003E1701" w:rsidP="006D0284">
      <w:pPr>
        <w:jc w:val="both"/>
        <w:rPr>
          <w:lang w:val="es-ES_tradnl"/>
        </w:rPr>
      </w:pPr>
      <w:r w:rsidRPr="00BE4094">
        <w:rPr>
          <w:lang w:val="es-ES_tradnl"/>
        </w:rPr>
        <w:t>3</w:t>
      </w:r>
      <w:r w:rsidRPr="00BE4094">
        <w:rPr>
          <w:lang w:val="es-ES_tradnl"/>
        </w:rPr>
        <w:tab/>
        <w:t xml:space="preserve">que garanticen la adecuada movilización de recursos humanos y financieros, incluso procedentes de su presupuesto interno y del </w:t>
      </w:r>
      <w:r w:rsidR="00BB3E51">
        <w:rPr>
          <w:lang w:val="es-ES_tradnl"/>
        </w:rPr>
        <w:t>F</w:t>
      </w:r>
      <w:r w:rsidRPr="00BE4094">
        <w:rPr>
          <w:lang w:val="es-ES_tradnl"/>
        </w:rPr>
        <w:t xml:space="preserve">ondo para el Desarrollo de las Tecnologías de la </w:t>
      </w:r>
      <w:r w:rsidR="00606225">
        <w:rPr>
          <w:lang w:val="es-ES_tradnl"/>
        </w:rPr>
        <w:t>I</w:t>
      </w:r>
      <w:r w:rsidRPr="00BE4094">
        <w:rPr>
          <w:lang w:val="es-ES_tradnl"/>
        </w:rPr>
        <w:t>nformación y la Comunicación, para la implementación de las medidas propuestas,</w:t>
      </w:r>
    </w:p>
    <w:p w14:paraId="3B7F5DD1" w14:textId="56DD076F" w:rsidR="003E1701" w:rsidRPr="00BE4094" w:rsidRDefault="003E1701" w:rsidP="003E1701">
      <w:pPr>
        <w:pStyle w:val="Call"/>
        <w:rPr>
          <w:lang w:val="es-ES_tradnl"/>
        </w:rPr>
      </w:pPr>
      <w:r w:rsidRPr="00BE4094">
        <w:rPr>
          <w:lang w:val="es-ES_tradnl"/>
        </w:rPr>
        <w:t>encarga a</w:t>
      </w:r>
      <w:r w:rsidR="003F6CA7">
        <w:rPr>
          <w:lang w:val="es-ES_tradnl"/>
        </w:rPr>
        <w:t>l</w:t>
      </w:r>
      <w:r w:rsidRPr="00BE4094">
        <w:rPr>
          <w:lang w:val="es-ES_tradnl"/>
        </w:rPr>
        <w:t xml:space="preserve"> Secretari</w:t>
      </w:r>
      <w:r w:rsidR="003F6CA7">
        <w:rPr>
          <w:lang w:val="es-ES_tradnl"/>
        </w:rPr>
        <w:t>o</w:t>
      </w:r>
      <w:r w:rsidRPr="00BE4094">
        <w:rPr>
          <w:lang w:val="es-ES_tradnl"/>
        </w:rPr>
        <w:t xml:space="preserve"> General</w:t>
      </w:r>
    </w:p>
    <w:p w14:paraId="203EFC8D" w14:textId="77777777" w:rsidR="003E1701" w:rsidRPr="00BE4094" w:rsidRDefault="003E1701" w:rsidP="006D0284">
      <w:pPr>
        <w:jc w:val="both"/>
        <w:rPr>
          <w:lang w:val="es-ES_tradnl"/>
        </w:rPr>
      </w:pPr>
      <w:r w:rsidRPr="00BE4094">
        <w:rPr>
          <w:lang w:val="es-ES_tradnl"/>
        </w:rPr>
        <w:t>1</w:t>
      </w:r>
      <w:r w:rsidRPr="00BE4094">
        <w:rPr>
          <w:lang w:val="es-ES_tradnl"/>
        </w:rPr>
        <w:tab/>
        <w:t xml:space="preserve">que coordine las actividades desplegadas por los tres Sectores de la Unión de conformidad con el </w:t>
      </w:r>
      <w:r w:rsidRPr="00BE4094">
        <w:rPr>
          <w:i/>
          <w:iCs/>
          <w:lang w:val="es-ES_tradnl"/>
        </w:rPr>
        <w:t>resuelve</w:t>
      </w:r>
      <w:r w:rsidRPr="00BE4094">
        <w:rPr>
          <w:lang w:val="es-ES_tradnl"/>
        </w:rPr>
        <w:t xml:space="preserve"> anterior, a fin de garantizar la mayor eficacia posible a la acción de la Unión en favor de los países afectados;</w:t>
      </w:r>
    </w:p>
    <w:p w14:paraId="2B6B6B6A" w14:textId="7873213C" w:rsidR="003E1701" w:rsidRPr="00BE4094" w:rsidRDefault="003E1701" w:rsidP="008F0461">
      <w:pPr>
        <w:jc w:val="both"/>
        <w:rPr>
          <w:lang w:val="es-ES_tradnl"/>
        </w:rPr>
      </w:pPr>
      <w:r w:rsidRPr="00BE4094">
        <w:rPr>
          <w:lang w:val="es-ES_tradnl"/>
        </w:rPr>
        <w:t>2</w:t>
      </w:r>
      <w:r w:rsidRPr="00BE4094">
        <w:rPr>
          <w:lang w:val="es-ES_tradnl"/>
        </w:rPr>
        <w:tab/>
        <w:t>que presente un informe sobre las repercusiones de esos ataques a la infraestructura de telecomunicaciones/TIC de Bahrein, Kuwait, Emiratos Árabes Unidos y Jordania, incluida una evaluación de los daños para la Conferencia de Plenipotenciarios de 202</w:t>
      </w:r>
      <w:r w:rsidR="009160CC">
        <w:rPr>
          <w:lang w:val="es-ES_tradnl"/>
        </w:rPr>
        <w:t>6</w:t>
      </w:r>
      <w:r w:rsidRPr="00BE4094">
        <w:rPr>
          <w:lang w:val="es-ES_tradnl"/>
        </w:rPr>
        <w:t xml:space="preserve"> y para la última reunión del Consejo del 7 de noviembre de 2026, y futuras reuniones y conferencias, según proceda.</w:t>
      </w:r>
    </w:p>
    <w:p w14:paraId="40F21ECD" w14:textId="77777777" w:rsidR="00F92BED" w:rsidRPr="00BE4094" w:rsidRDefault="00F92BED" w:rsidP="008F0461">
      <w:pPr>
        <w:spacing w:before="240"/>
        <w:jc w:val="center"/>
        <w:rPr>
          <w:lang w:val="es-ES_tradnl"/>
        </w:rPr>
      </w:pPr>
      <w:r w:rsidRPr="00BE4094">
        <w:rPr>
          <w:lang w:val="es-ES_tradnl"/>
        </w:rPr>
        <w:t>______________</w:t>
      </w:r>
    </w:p>
    <w:sectPr w:rsidR="00F92BED" w:rsidRPr="00BE4094" w:rsidSect="00C538FC">
      <w:footerReference w:type="default" r:id="rId6"/>
      <w:headerReference w:type="first" r:id="rId7"/>
      <w:footerReference w:type="first" r:id="rId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305A1" w14:textId="77777777" w:rsidR="00F770E1" w:rsidRDefault="00F770E1">
      <w:r>
        <w:separator/>
      </w:r>
    </w:p>
  </w:endnote>
  <w:endnote w:type="continuationSeparator" w:id="0">
    <w:p w14:paraId="133304D3" w14:textId="77777777" w:rsidR="00F770E1" w:rsidRDefault="00F7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789306FC" w14:textId="77777777" w:rsidTr="00E31DCE">
      <w:trPr>
        <w:jc w:val="center"/>
      </w:trPr>
      <w:tc>
        <w:tcPr>
          <w:tcW w:w="1803" w:type="dxa"/>
          <w:vAlign w:val="center"/>
        </w:tcPr>
        <w:p w14:paraId="508CFC92" w14:textId="42A08E1C" w:rsidR="003273A4" w:rsidRDefault="00040C12" w:rsidP="003273A4">
          <w:pPr>
            <w:pStyle w:val="Header"/>
            <w:jc w:val="left"/>
            <w:rPr>
              <w:noProof/>
            </w:rPr>
          </w:pPr>
          <w:r>
            <w:rPr>
              <w:noProof/>
            </w:rPr>
            <w:t>gDoc 2601321</w:t>
          </w:r>
        </w:p>
      </w:tc>
      <w:tc>
        <w:tcPr>
          <w:tcW w:w="8261" w:type="dxa"/>
        </w:tcPr>
        <w:p w14:paraId="4BC25065" w14:textId="73699260"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A06F92">
            <w:rPr>
              <w:bCs/>
            </w:rPr>
            <w:t>130</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3B7FD8A6"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78563040" w14:textId="77777777" w:rsidTr="00E31DCE">
      <w:trPr>
        <w:jc w:val="center"/>
      </w:trPr>
      <w:tc>
        <w:tcPr>
          <w:tcW w:w="1803" w:type="dxa"/>
          <w:vAlign w:val="center"/>
        </w:tcPr>
        <w:p w14:paraId="199317D6" w14:textId="35C80E4D" w:rsidR="00F24B71" w:rsidRPr="002946E2" w:rsidRDefault="00F85E5C" w:rsidP="00F24B71">
          <w:pPr>
            <w:pStyle w:val="Header"/>
            <w:jc w:val="left"/>
            <w:rPr>
              <w:noProof/>
            </w:rPr>
          </w:pPr>
          <w:hyperlink r:id="rId1" w:anchor="/es" w:history="1">
            <w:r>
              <w:rPr>
                <w:rStyle w:val="Hyperlink"/>
                <w:noProof/>
              </w:rPr>
              <w:t>council.itu.int/2026</w:t>
            </w:r>
          </w:hyperlink>
        </w:p>
      </w:tc>
      <w:tc>
        <w:tcPr>
          <w:tcW w:w="8261" w:type="dxa"/>
        </w:tcPr>
        <w:p w14:paraId="3B063619" w14:textId="28914A6A"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A06F92">
            <w:rPr>
              <w:bCs/>
            </w:rPr>
            <w:t>130</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1D85F8EB"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B5395" w14:textId="77777777" w:rsidR="00F770E1" w:rsidRDefault="00F770E1">
      <w:r>
        <w:t>____________________</w:t>
      </w:r>
    </w:p>
  </w:footnote>
  <w:footnote w:type="continuationSeparator" w:id="0">
    <w:p w14:paraId="693D936C" w14:textId="77777777" w:rsidR="00F770E1" w:rsidRDefault="00F7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8B40" w14:textId="77777777" w:rsidR="001559F5" w:rsidRPr="00B1560D" w:rsidRDefault="00B1560D" w:rsidP="00B1560D">
    <w:pPr>
      <w:pStyle w:val="Header"/>
    </w:pPr>
    <w:r>
      <w:rPr>
        <w:noProof/>
      </w:rPr>
      <w:drawing>
        <wp:inline distT="0" distB="0" distL="0" distR="0" wp14:anchorId="22ABA36C" wp14:editId="2DA92B05">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701"/>
    <w:rsid w:val="000007D1"/>
    <w:rsid w:val="00040C12"/>
    <w:rsid w:val="0006007D"/>
    <w:rsid w:val="00074382"/>
    <w:rsid w:val="00093EEB"/>
    <w:rsid w:val="000B0D00"/>
    <w:rsid w:val="000B7C15"/>
    <w:rsid w:val="000D1D0F"/>
    <w:rsid w:val="000E3F07"/>
    <w:rsid w:val="000E704C"/>
    <w:rsid w:val="000F5290"/>
    <w:rsid w:val="000F5A95"/>
    <w:rsid w:val="0010165C"/>
    <w:rsid w:val="00146BFB"/>
    <w:rsid w:val="001559F5"/>
    <w:rsid w:val="00157AC4"/>
    <w:rsid w:val="0016169C"/>
    <w:rsid w:val="001958F5"/>
    <w:rsid w:val="001B6168"/>
    <w:rsid w:val="001B6E2B"/>
    <w:rsid w:val="001C2158"/>
    <w:rsid w:val="001F14A2"/>
    <w:rsid w:val="002048AC"/>
    <w:rsid w:val="00205124"/>
    <w:rsid w:val="00277DEA"/>
    <w:rsid w:val="002801AA"/>
    <w:rsid w:val="002946E2"/>
    <w:rsid w:val="002C3F32"/>
    <w:rsid w:val="002C4676"/>
    <w:rsid w:val="002C70B0"/>
    <w:rsid w:val="002F3CC4"/>
    <w:rsid w:val="003032E2"/>
    <w:rsid w:val="0031300A"/>
    <w:rsid w:val="003273A4"/>
    <w:rsid w:val="0034796E"/>
    <w:rsid w:val="003E1701"/>
    <w:rsid w:val="003F6CA7"/>
    <w:rsid w:val="004571B0"/>
    <w:rsid w:val="00465C35"/>
    <w:rsid w:val="00473962"/>
    <w:rsid w:val="004B5D49"/>
    <w:rsid w:val="004C0D38"/>
    <w:rsid w:val="004D3A3C"/>
    <w:rsid w:val="00513630"/>
    <w:rsid w:val="00520CE9"/>
    <w:rsid w:val="00540663"/>
    <w:rsid w:val="00560125"/>
    <w:rsid w:val="00585553"/>
    <w:rsid w:val="005B34D9"/>
    <w:rsid w:val="005C15B6"/>
    <w:rsid w:val="005D0CCF"/>
    <w:rsid w:val="005F0915"/>
    <w:rsid w:val="005F3BCB"/>
    <w:rsid w:val="005F410F"/>
    <w:rsid w:val="0060149A"/>
    <w:rsid w:val="00601924"/>
    <w:rsid w:val="00606225"/>
    <w:rsid w:val="0063056D"/>
    <w:rsid w:val="006447EA"/>
    <w:rsid w:val="0064481D"/>
    <w:rsid w:val="0064731F"/>
    <w:rsid w:val="00664572"/>
    <w:rsid w:val="006665EE"/>
    <w:rsid w:val="00666D09"/>
    <w:rsid w:val="00670579"/>
    <w:rsid w:val="006710F6"/>
    <w:rsid w:val="00677A97"/>
    <w:rsid w:val="006B123F"/>
    <w:rsid w:val="006C1B56"/>
    <w:rsid w:val="006D0284"/>
    <w:rsid w:val="006D24B6"/>
    <w:rsid w:val="006D4761"/>
    <w:rsid w:val="00726872"/>
    <w:rsid w:val="00730DEB"/>
    <w:rsid w:val="00760F1C"/>
    <w:rsid w:val="007657F0"/>
    <w:rsid w:val="0077110E"/>
    <w:rsid w:val="0077252D"/>
    <w:rsid w:val="007853D6"/>
    <w:rsid w:val="007955DA"/>
    <w:rsid w:val="007E5DD3"/>
    <w:rsid w:val="007F350B"/>
    <w:rsid w:val="00803A71"/>
    <w:rsid w:val="00820BE4"/>
    <w:rsid w:val="008255A2"/>
    <w:rsid w:val="008334E2"/>
    <w:rsid w:val="008451E8"/>
    <w:rsid w:val="0084546D"/>
    <w:rsid w:val="0089351E"/>
    <w:rsid w:val="008A6C08"/>
    <w:rsid w:val="008E10D5"/>
    <w:rsid w:val="008E61AF"/>
    <w:rsid w:val="008F0461"/>
    <w:rsid w:val="008F6ABC"/>
    <w:rsid w:val="00913B9C"/>
    <w:rsid w:val="009160CC"/>
    <w:rsid w:val="00927F93"/>
    <w:rsid w:val="00956E77"/>
    <w:rsid w:val="00965731"/>
    <w:rsid w:val="009A338E"/>
    <w:rsid w:val="009A76A8"/>
    <w:rsid w:val="009F2F6A"/>
    <w:rsid w:val="009F4811"/>
    <w:rsid w:val="00A01F4F"/>
    <w:rsid w:val="00A06F92"/>
    <w:rsid w:val="00A109AF"/>
    <w:rsid w:val="00A74E7E"/>
    <w:rsid w:val="00A94438"/>
    <w:rsid w:val="00AA390C"/>
    <w:rsid w:val="00AD5A4D"/>
    <w:rsid w:val="00AF0EAC"/>
    <w:rsid w:val="00B0200A"/>
    <w:rsid w:val="00B060DF"/>
    <w:rsid w:val="00B1560D"/>
    <w:rsid w:val="00B574DB"/>
    <w:rsid w:val="00B826C2"/>
    <w:rsid w:val="00B8298E"/>
    <w:rsid w:val="00BB3E51"/>
    <w:rsid w:val="00BB6FD8"/>
    <w:rsid w:val="00BD0723"/>
    <w:rsid w:val="00BD2518"/>
    <w:rsid w:val="00BE4094"/>
    <w:rsid w:val="00BF1D1C"/>
    <w:rsid w:val="00C20C59"/>
    <w:rsid w:val="00C2727F"/>
    <w:rsid w:val="00C4421B"/>
    <w:rsid w:val="00C538FC"/>
    <w:rsid w:val="00C55B1F"/>
    <w:rsid w:val="00C83927"/>
    <w:rsid w:val="00CA436D"/>
    <w:rsid w:val="00CC1FAF"/>
    <w:rsid w:val="00CF1A67"/>
    <w:rsid w:val="00D2750E"/>
    <w:rsid w:val="00D375E0"/>
    <w:rsid w:val="00D50A36"/>
    <w:rsid w:val="00D62446"/>
    <w:rsid w:val="00D750CB"/>
    <w:rsid w:val="00DA4EA2"/>
    <w:rsid w:val="00DC3D3E"/>
    <w:rsid w:val="00DE2C90"/>
    <w:rsid w:val="00DE3B24"/>
    <w:rsid w:val="00DE7376"/>
    <w:rsid w:val="00E06947"/>
    <w:rsid w:val="00E11319"/>
    <w:rsid w:val="00E21444"/>
    <w:rsid w:val="00E248A6"/>
    <w:rsid w:val="00E34072"/>
    <w:rsid w:val="00E3592D"/>
    <w:rsid w:val="00E50D76"/>
    <w:rsid w:val="00E558E8"/>
    <w:rsid w:val="00E8018B"/>
    <w:rsid w:val="00E92DE8"/>
    <w:rsid w:val="00EB1212"/>
    <w:rsid w:val="00ED65AB"/>
    <w:rsid w:val="00F12850"/>
    <w:rsid w:val="00F24B71"/>
    <w:rsid w:val="00F33BF4"/>
    <w:rsid w:val="00F7105E"/>
    <w:rsid w:val="00F75F57"/>
    <w:rsid w:val="00F770E1"/>
    <w:rsid w:val="00F82FEE"/>
    <w:rsid w:val="00F85E5C"/>
    <w:rsid w:val="00F92BED"/>
    <w:rsid w:val="00FD57D3"/>
    <w:rsid w:val="00FE57F6"/>
    <w:rsid w:val="00FF0EB9"/>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E8A784"/>
  <w15:docId w15:val="{FC19457B-C511-4319-84FA-ABBA60F1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6D0284"/>
    <w:rPr>
      <w:rFonts w:asciiTheme="minorHAnsi" w:hAnsiTheme="minorHAnsi" w:cstheme="minorHAnsi"/>
      <w:lang w:val="es-ES"/>
    </w:rPr>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paragraph" w:styleId="Revision">
    <w:name w:val="Revision"/>
    <w:hidden/>
    <w:uiPriority w:val="99"/>
    <w:semiHidden/>
    <w:rsid w:val="004C0D38"/>
    <w:rPr>
      <w:rFonts w:ascii="Calibri" w:hAnsi="Calibr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irez\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1</TotalTime>
  <Pages>2</Pages>
  <Words>691</Words>
  <Characters>3910</Characters>
  <Application>Microsoft Office Word</Application>
  <DocSecurity>0</DocSecurity>
  <Lines>78</Lines>
  <Paragraphs>41</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Resolución 1436 - Repercusiones sobre la infraestructura civil de telecomunicaciones/TIC de Bahrein, Kuwait, Emiratos Árabes Unidos y Jordania, y sus consecuencias para la conectividad regional y mundial</vt:lpstr>
    </vt:vector>
  </TitlesOfParts>
  <Manager>Secretaría General - Pool</Manager>
  <Company>International Telecommunication Union</Company>
  <LinksUpToDate>false</LinksUpToDate>
  <CharactersWithSpaces>4560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1436 - Repercusiones sobre la infraestructura civil de telecomunicaciones/TIC de Bahrein, Kuwait, Emiratos Árabes Unidos y Jordania, y sus consecuencias para la conectividad regional y mundial</dc:title>
  <dc:subject>Consejo 2026 de la UIT</dc:subject>
  <cp:keywords>C26; C2026; Council 2026; PP26</cp:keywords>
  <dc:description/>
  <cp:lastPrinted>2006-03-24T09:51:00Z</cp:lastPrinted>
  <dcterms:created xsi:type="dcterms:W3CDTF">2026-05-28T14:33:00Z</dcterms:created>
  <dcterms:modified xsi:type="dcterms:W3CDTF">2026-05-28T14:33:00Z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