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B67427" w14:paraId="2E3ADD4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726D10" w14:textId="71D4D32E" w:rsidR="00796BD3" w:rsidRPr="00B67427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19CED129" w14:textId="24170BA3" w:rsidR="00796BD3" w:rsidRPr="00B67427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67427">
              <w:rPr>
                <w:b/>
                <w:lang w:val="ru-RU"/>
              </w:rPr>
              <w:t xml:space="preserve">Документ </w:t>
            </w:r>
            <w:r w:rsidR="00796BD3" w:rsidRPr="00B67427">
              <w:rPr>
                <w:b/>
                <w:lang w:val="ru-RU"/>
              </w:rPr>
              <w:t>C2</w:t>
            </w:r>
            <w:r w:rsidR="00BE00DD" w:rsidRPr="00B67427">
              <w:rPr>
                <w:b/>
                <w:lang w:val="ru-RU"/>
              </w:rPr>
              <w:t>6</w:t>
            </w:r>
            <w:r w:rsidR="00796BD3" w:rsidRPr="00B67427">
              <w:rPr>
                <w:b/>
                <w:lang w:val="ru-RU"/>
              </w:rPr>
              <w:t>/</w:t>
            </w:r>
            <w:r w:rsidR="00CE0ACD">
              <w:rPr>
                <w:b/>
                <w:lang w:val="es-ES"/>
              </w:rPr>
              <w:t>130</w:t>
            </w:r>
            <w:r w:rsidR="00796BD3" w:rsidRPr="00B67427">
              <w:rPr>
                <w:b/>
                <w:lang w:val="ru-RU"/>
              </w:rPr>
              <w:t>-R</w:t>
            </w:r>
          </w:p>
        </w:tc>
      </w:tr>
      <w:tr w:rsidR="00796BD3" w:rsidRPr="00FF4119" w14:paraId="64EA3F23" w14:textId="77777777" w:rsidTr="00D17718">
        <w:trPr>
          <w:cantSplit/>
        </w:trPr>
        <w:tc>
          <w:tcPr>
            <w:tcW w:w="3969" w:type="dxa"/>
            <w:vMerge/>
          </w:tcPr>
          <w:p w14:paraId="234795EE" w14:textId="77777777" w:rsidR="00796BD3" w:rsidRPr="00B6742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C4F9A97" w14:textId="35EE66A3" w:rsidR="00796BD3" w:rsidRPr="00FF4119" w:rsidRDefault="00FF4119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FF4119">
              <w:rPr>
                <w:b/>
                <w:lang w:val="en-US"/>
              </w:rPr>
              <w:t>21</w:t>
            </w:r>
            <w:r w:rsidR="004A0FB6" w:rsidRPr="00FF4119">
              <w:rPr>
                <w:b/>
                <w:lang w:val="ru-RU"/>
              </w:rPr>
              <w:t xml:space="preserve"> </w:t>
            </w:r>
            <w:r w:rsidRPr="00FF4119">
              <w:rPr>
                <w:b/>
                <w:lang w:val="ru-RU"/>
              </w:rPr>
              <w:t>мая</w:t>
            </w:r>
            <w:r w:rsidR="004A0FB6" w:rsidRPr="00FF4119">
              <w:rPr>
                <w:b/>
                <w:lang w:val="ru-RU"/>
              </w:rPr>
              <w:t xml:space="preserve"> 2026 г</w:t>
            </w:r>
            <w:r w:rsidR="00414EA5" w:rsidRPr="00FF4119">
              <w:rPr>
                <w:b/>
                <w:lang w:val="ru-RU"/>
              </w:rPr>
              <w:t>ода</w:t>
            </w:r>
          </w:p>
        </w:tc>
      </w:tr>
      <w:tr w:rsidR="00796BD3" w:rsidRPr="00FF4119" w14:paraId="0D23EF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98508F8" w14:textId="77777777" w:rsidR="00796BD3" w:rsidRPr="00FF411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FB5D11C" w14:textId="77777777" w:rsidR="00796BD3" w:rsidRPr="00FF4119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F4119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FF4119" w14:paraId="7E39E7B7" w14:textId="77777777" w:rsidTr="00D17718">
        <w:trPr>
          <w:cantSplit/>
          <w:trHeight w:val="23"/>
        </w:trPr>
        <w:tc>
          <w:tcPr>
            <w:tcW w:w="3969" w:type="dxa"/>
          </w:tcPr>
          <w:p w14:paraId="36B329AB" w14:textId="77777777" w:rsidR="00796BD3" w:rsidRPr="00FF411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25266AE" w14:textId="77777777" w:rsidR="00796BD3" w:rsidRPr="00FF4119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bookmarkEnd w:id="2"/>
      <w:bookmarkEnd w:id="4"/>
    </w:tbl>
    <w:p w14:paraId="1BBBE7C4" w14:textId="77777777" w:rsidR="00D17718" w:rsidRPr="00FF4119" w:rsidRDefault="00D17718" w:rsidP="006E497B">
      <w:pPr>
        <w:rPr>
          <w:lang w:val="ru-RU"/>
        </w:rPr>
      </w:pPr>
    </w:p>
    <w:p w14:paraId="3DD8C5EF" w14:textId="6611F2B2" w:rsidR="00893D1D" w:rsidRPr="00FF4119" w:rsidRDefault="00893D1D" w:rsidP="00893D1D">
      <w:pPr>
        <w:pStyle w:val="ResNo"/>
        <w:rPr>
          <w:lang w:val="es-ES"/>
        </w:rPr>
      </w:pPr>
      <w:bookmarkStart w:id="5" w:name="_Toc70930778"/>
      <w:r w:rsidRPr="00FF4119">
        <w:rPr>
          <w:lang w:val="ru-RU"/>
        </w:rPr>
        <w:t>РЕЗОЛЮЦИЯ</w:t>
      </w:r>
      <w:bookmarkEnd w:id="5"/>
      <w:r w:rsidRPr="00FF4119">
        <w:rPr>
          <w:lang w:val="ru-RU"/>
        </w:rPr>
        <w:t xml:space="preserve"> </w:t>
      </w:r>
      <w:r w:rsidR="00CE0ACD" w:rsidRPr="00FF4119">
        <w:rPr>
          <w:lang w:val="es-ES"/>
        </w:rPr>
        <w:t>1436</w:t>
      </w:r>
    </w:p>
    <w:p w14:paraId="65F58F4C" w14:textId="12F0E31C" w:rsidR="00F70E2B" w:rsidRPr="00FF4119" w:rsidRDefault="00893D1D" w:rsidP="00F70E2B">
      <w:pPr>
        <w:pStyle w:val="Resref"/>
        <w:rPr>
          <w:lang w:val="ru-RU"/>
        </w:rPr>
      </w:pPr>
      <w:r w:rsidRPr="00FF4119">
        <w:rPr>
          <w:lang w:val="ru-RU"/>
        </w:rPr>
        <w:t xml:space="preserve">(принята на </w:t>
      </w:r>
      <w:r w:rsidR="00FF4119" w:rsidRPr="00FF4119">
        <w:rPr>
          <w:lang w:val="ru-RU"/>
        </w:rPr>
        <w:t xml:space="preserve">четвертом </w:t>
      </w:r>
      <w:r w:rsidRPr="00FF4119">
        <w:rPr>
          <w:lang w:val="ru-RU"/>
        </w:rPr>
        <w:t>пленарном заседании)</w:t>
      </w:r>
    </w:p>
    <w:p w14:paraId="4AC509B7" w14:textId="16FF42A0" w:rsidR="00C82ED6" w:rsidRPr="00B67427" w:rsidRDefault="000D174C" w:rsidP="00782942">
      <w:pPr>
        <w:pStyle w:val="Restitle"/>
        <w:rPr>
          <w:lang w:val="ru-RU"/>
        </w:rPr>
      </w:pPr>
      <w:r w:rsidRPr="00FF4119">
        <w:rPr>
          <w:lang w:val="ru-RU"/>
        </w:rPr>
        <w:t>Воздействие на гражданскую инфраструктуру электросвязи/ИКТ в Бахрейне,</w:t>
      </w:r>
      <w:r w:rsidRPr="00B67427">
        <w:rPr>
          <w:lang w:val="ru-RU"/>
        </w:rPr>
        <w:t xml:space="preserve"> </w:t>
      </w:r>
      <w:r w:rsidR="00804EA6" w:rsidRPr="00B67427">
        <w:rPr>
          <w:lang w:val="ru-RU"/>
        </w:rPr>
        <w:br/>
      </w:r>
      <w:r w:rsidRPr="00B67427">
        <w:rPr>
          <w:lang w:val="ru-RU"/>
        </w:rPr>
        <w:t xml:space="preserve">Кувейте, Объединенных Арабских Эмиратах и Иордании, </w:t>
      </w:r>
      <w:r w:rsidR="00804EA6" w:rsidRPr="00B67427">
        <w:rPr>
          <w:lang w:val="ru-RU"/>
        </w:rPr>
        <w:br/>
      </w:r>
      <w:r w:rsidRPr="00B67427">
        <w:rPr>
          <w:lang w:val="ru-RU"/>
        </w:rPr>
        <w:t xml:space="preserve">а также его последствия для возможности установления </w:t>
      </w:r>
      <w:r w:rsidR="00804EA6" w:rsidRPr="00B67427">
        <w:rPr>
          <w:lang w:val="ru-RU"/>
        </w:rPr>
        <w:br/>
      </w:r>
      <w:r w:rsidRPr="00B67427">
        <w:rPr>
          <w:lang w:val="ru-RU"/>
        </w:rPr>
        <w:t>региональных и глобальных соединений</w:t>
      </w:r>
    </w:p>
    <w:p w14:paraId="04128208" w14:textId="77777777" w:rsidR="00C82ED6" w:rsidRPr="00B67427" w:rsidRDefault="00C82ED6" w:rsidP="00804EA6">
      <w:pPr>
        <w:pStyle w:val="Normalaftertitle"/>
        <w:rPr>
          <w:lang w:val="ru-RU"/>
        </w:rPr>
      </w:pPr>
      <w:r w:rsidRPr="00B67427">
        <w:rPr>
          <w:lang w:val="ru-RU"/>
        </w:rPr>
        <w:t>Совет МСЭ,</w:t>
      </w:r>
    </w:p>
    <w:p w14:paraId="55132A7F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напоминая</w:t>
      </w:r>
    </w:p>
    <w:p w14:paraId="5B522FD0" w14:textId="1402F8B7" w:rsidR="00C82ED6" w:rsidRPr="00B67427" w:rsidRDefault="00C82ED6" w:rsidP="00CB5131">
      <w:pPr>
        <w:jc w:val="both"/>
        <w:rPr>
          <w:lang w:val="ru-RU"/>
        </w:rPr>
      </w:pPr>
      <w:r w:rsidRPr="00B67427">
        <w:rPr>
          <w:i/>
          <w:iCs/>
          <w:lang w:val="ru-RU"/>
        </w:rPr>
        <w:t>a)</w:t>
      </w:r>
      <w:r w:rsidRPr="00B67427">
        <w:rPr>
          <w:lang w:val="ru-RU"/>
        </w:rPr>
        <w:tab/>
        <w:t>о благородных принципах, целях и задачах, включенных в Устав Организации Объединенных Наций и во Всеобщую декларацию прав человека, а также в Декларацию принципов</w:t>
      </w:r>
      <w:r w:rsidR="00D32276" w:rsidRPr="00B67427">
        <w:rPr>
          <w:lang w:val="ru-RU"/>
        </w:rPr>
        <w:t>, принятую на</w:t>
      </w:r>
      <w:r w:rsidRPr="00B67427">
        <w:rPr>
          <w:lang w:val="ru-RU"/>
        </w:rPr>
        <w:t xml:space="preserve"> Всемирной встреч</w:t>
      </w:r>
      <w:r w:rsidR="00D32276" w:rsidRPr="00B67427">
        <w:rPr>
          <w:lang w:val="ru-RU"/>
        </w:rPr>
        <w:t>е</w:t>
      </w:r>
      <w:r w:rsidRPr="00B67427">
        <w:rPr>
          <w:lang w:val="ru-RU"/>
        </w:rPr>
        <w:t xml:space="preserve"> на высшем уровне по вопросам информационного общества;</w:t>
      </w:r>
    </w:p>
    <w:p w14:paraId="76DDB8E2" w14:textId="2D518231" w:rsidR="00C82ED6" w:rsidRPr="00B67427" w:rsidRDefault="0066065D" w:rsidP="00804EA6">
      <w:pPr>
        <w:rPr>
          <w:lang w:val="ru-RU"/>
        </w:rPr>
      </w:pPr>
      <w:r w:rsidRPr="00B67427">
        <w:rPr>
          <w:i/>
          <w:iCs/>
          <w:lang w:val="ru-RU"/>
        </w:rPr>
        <w:t>b</w:t>
      </w:r>
      <w:r w:rsidR="00C82ED6" w:rsidRPr="00B67427">
        <w:rPr>
          <w:i/>
          <w:iCs/>
          <w:lang w:val="ru-RU"/>
        </w:rPr>
        <w:t>)</w:t>
      </w:r>
      <w:r w:rsidR="00C82ED6" w:rsidRPr="00B67427">
        <w:rPr>
          <w:lang w:val="ru-RU"/>
        </w:rPr>
        <w:tab/>
        <w:t>о целях Союза, закрепленных в Статье 1 Устава МСЭ;</w:t>
      </w:r>
    </w:p>
    <w:p w14:paraId="330ABF99" w14:textId="2D6A4A67" w:rsidR="00C82ED6" w:rsidRPr="00B67427" w:rsidRDefault="0066065D" w:rsidP="00804EA6">
      <w:pPr>
        <w:rPr>
          <w:lang w:val="ru-RU"/>
        </w:rPr>
      </w:pPr>
      <w:r w:rsidRPr="00B67427">
        <w:rPr>
          <w:i/>
          <w:iCs/>
          <w:lang w:val="ru-RU"/>
        </w:rPr>
        <w:t>c</w:t>
      </w:r>
      <w:r w:rsidR="00C82ED6" w:rsidRPr="00B67427">
        <w:rPr>
          <w:i/>
          <w:iCs/>
          <w:lang w:val="ru-RU"/>
        </w:rPr>
        <w:t>)</w:t>
      </w:r>
      <w:r w:rsidR="00C82ED6" w:rsidRPr="00B67427">
        <w:rPr>
          <w:lang w:val="ru-RU"/>
        </w:rPr>
        <w:tab/>
        <w:t>о принципах, провозглашенные в Статьях 38 (п. 186) и 45 (п. 197) Устава МСЭ,</w:t>
      </w:r>
    </w:p>
    <w:p w14:paraId="3E65100C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напоминая далее</w:t>
      </w:r>
    </w:p>
    <w:p w14:paraId="2D8A6727" w14:textId="54082C66" w:rsidR="00804EA6" w:rsidRPr="00B67427" w:rsidRDefault="00C82ED6" w:rsidP="00CB5131">
      <w:pPr>
        <w:jc w:val="both"/>
        <w:rPr>
          <w:lang w:val="ru-RU"/>
        </w:rPr>
      </w:pPr>
      <w:r w:rsidRPr="00B67427">
        <w:rPr>
          <w:i/>
          <w:iCs/>
          <w:lang w:val="ru-RU"/>
        </w:rPr>
        <w:t>a)</w:t>
      </w:r>
      <w:r w:rsidRPr="00B67427">
        <w:rPr>
          <w:lang w:val="ru-RU"/>
        </w:rPr>
        <w:tab/>
      </w:r>
      <w:r w:rsidR="00CB1A02" w:rsidRPr="00B67427">
        <w:rPr>
          <w:lang w:val="ru-RU"/>
        </w:rPr>
        <w:t xml:space="preserve">о </w:t>
      </w:r>
      <w:r w:rsidRPr="00B67427">
        <w:rPr>
          <w:lang w:val="ru-RU"/>
        </w:rPr>
        <w:t>резолюци</w:t>
      </w:r>
      <w:r w:rsidR="00CB1A02" w:rsidRPr="00B67427">
        <w:rPr>
          <w:lang w:val="ru-RU"/>
        </w:rPr>
        <w:t>и</w:t>
      </w:r>
      <w:r w:rsidRPr="00B67427">
        <w:rPr>
          <w:lang w:val="ru-RU"/>
        </w:rPr>
        <w:t xml:space="preserve"> 2817</w:t>
      </w:r>
      <w:r w:rsidR="000177E6" w:rsidRPr="00B67427">
        <w:rPr>
          <w:lang w:val="ru-RU"/>
        </w:rPr>
        <w:t> </w:t>
      </w:r>
      <w:r w:rsidRPr="00B67427">
        <w:rPr>
          <w:lang w:val="ru-RU"/>
        </w:rPr>
        <w:t>(2026) Совета Безопасности Организации Объединенных Наций от 11 марта 2026 года, в которой самым решительным образом осуждаются вопиющие нападения Ирана на территории Бахрейна, Кувейта, Омана, Катара, Саудовской Аравии, Объединенных Арабских Эмиратов и Иордании</w:t>
      </w:r>
      <w:r w:rsidR="00D32276" w:rsidRPr="00B67427">
        <w:rPr>
          <w:lang w:val="ru-RU"/>
        </w:rPr>
        <w:t>;</w:t>
      </w:r>
    </w:p>
    <w:p w14:paraId="15612857" w14:textId="738439E0" w:rsidR="00C82ED6" w:rsidRPr="00B67427" w:rsidRDefault="0066065D" w:rsidP="00CB5131">
      <w:pPr>
        <w:jc w:val="both"/>
        <w:rPr>
          <w:lang w:val="ru-RU"/>
        </w:rPr>
      </w:pPr>
      <w:r w:rsidRPr="00B67427">
        <w:rPr>
          <w:i/>
          <w:iCs/>
          <w:lang w:val="ru-RU"/>
        </w:rPr>
        <w:t>b</w:t>
      </w:r>
      <w:r w:rsidR="00C82ED6" w:rsidRPr="00B67427">
        <w:rPr>
          <w:i/>
          <w:iCs/>
          <w:lang w:val="ru-RU"/>
        </w:rPr>
        <w:t>)</w:t>
      </w:r>
      <w:r w:rsidR="00C82ED6" w:rsidRPr="00B67427">
        <w:rPr>
          <w:lang w:val="ru-RU"/>
        </w:rPr>
        <w:tab/>
        <w:t>о Резолюции</w:t>
      </w:r>
      <w:r w:rsidR="00804EA6" w:rsidRPr="00B67427">
        <w:rPr>
          <w:lang w:val="ru-RU"/>
        </w:rPr>
        <w:t> </w:t>
      </w:r>
      <w:r w:rsidR="00C82ED6" w:rsidRPr="00B67427">
        <w:rPr>
          <w:lang w:val="ru-RU"/>
        </w:rPr>
        <w:t>34</w:t>
      </w:r>
      <w:r w:rsidR="00FF4119">
        <w:rPr>
          <w:lang w:val="ru-RU"/>
        </w:rPr>
        <w:t xml:space="preserve"> (Пересм. Баку, 2025 г.)</w:t>
      </w:r>
      <w:r w:rsidR="00C82ED6" w:rsidRPr="00B67427">
        <w:rPr>
          <w:lang w:val="ru-RU"/>
        </w:rPr>
        <w:t xml:space="preserve"> Всемирной конференции по развитию электросвязи (ВКРЭ) о роли электросвязи/информационно-коммуникационных технологий </w:t>
      </w:r>
      <w:r w:rsidR="00FF4119">
        <w:rPr>
          <w:lang w:val="ru-RU"/>
        </w:rPr>
        <w:t xml:space="preserve">(ИКТ) </w:t>
      </w:r>
      <w:r w:rsidR="00C82ED6" w:rsidRPr="00B67427">
        <w:rPr>
          <w:lang w:val="ru-RU"/>
        </w:rPr>
        <w:t>в обеспечении готовности к бедствиям, раннем предупреждении, спасании, смягчении последствий бедствий, оказании помощи при бедствиях и мерах реагирования;</w:t>
      </w:r>
    </w:p>
    <w:p w14:paraId="4B5542FC" w14:textId="180BA383" w:rsidR="00C82ED6" w:rsidRPr="00B67427" w:rsidRDefault="0066065D" w:rsidP="00CB5131">
      <w:pPr>
        <w:jc w:val="both"/>
        <w:rPr>
          <w:lang w:val="ru-RU"/>
        </w:rPr>
      </w:pPr>
      <w:r w:rsidRPr="00B67427">
        <w:rPr>
          <w:i/>
          <w:iCs/>
          <w:lang w:val="ru-RU"/>
        </w:rPr>
        <w:t>c</w:t>
      </w:r>
      <w:r w:rsidR="00C82ED6" w:rsidRPr="00B67427">
        <w:rPr>
          <w:i/>
          <w:iCs/>
          <w:lang w:val="ru-RU"/>
        </w:rPr>
        <w:t>)</w:t>
      </w:r>
      <w:r w:rsidR="00C82ED6" w:rsidRPr="00B67427">
        <w:rPr>
          <w:lang w:val="ru-RU"/>
        </w:rPr>
        <w:tab/>
        <w:t>о Резолюции</w:t>
      </w:r>
      <w:r w:rsidR="00804EA6" w:rsidRPr="00B67427">
        <w:rPr>
          <w:lang w:val="ru-RU"/>
        </w:rPr>
        <w:t> </w:t>
      </w:r>
      <w:r w:rsidR="00C82ED6" w:rsidRPr="00B67427">
        <w:rPr>
          <w:lang w:val="ru-RU"/>
        </w:rPr>
        <w:t>30 (Пересм. Бухарест, 2022 г.) Полномочной конференции об усилении роли МСЭ в укреплении доверия и безопасности при использовании ИКТ;</w:t>
      </w:r>
    </w:p>
    <w:p w14:paraId="20F78BED" w14:textId="22E99617" w:rsidR="00C82ED6" w:rsidRPr="00B67427" w:rsidRDefault="0066065D" w:rsidP="00CB5131">
      <w:pPr>
        <w:jc w:val="both"/>
        <w:rPr>
          <w:lang w:val="ru-RU"/>
        </w:rPr>
      </w:pPr>
      <w:r w:rsidRPr="00B67427">
        <w:rPr>
          <w:i/>
          <w:iCs/>
          <w:lang w:val="ru-RU"/>
        </w:rPr>
        <w:t>d</w:t>
      </w:r>
      <w:r w:rsidR="00C82ED6" w:rsidRPr="00B67427">
        <w:rPr>
          <w:i/>
          <w:iCs/>
          <w:lang w:val="ru-RU"/>
        </w:rPr>
        <w:t>)</w:t>
      </w:r>
      <w:r w:rsidR="00C82ED6" w:rsidRPr="00B67427">
        <w:rPr>
          <w:lang w:val="ru-RU"/>
        </w:rPr>
        <w:tab/>
        <w:t>о Резолюции</w:t>
      </w:r>
      <w:r w:rsidR="00804EA6" w:rsidRPr="00B67427">
        <w:rPr>
          <w:lang w:val="ru-RU"/>
        </w:rPr>
        <w:t> </w:t>
      </w:r>
      <w:r w:rsidR="00C82ED6" w:rsidRPr="00B67427">
        <w:rPr>
          <w:lang w:val="ru-RU"/>
        </w:rPr>
        <w:t>136 (Пересм. Бухарест, 2022 г.) Полномочной конференции об</w:t>
      </w:r>
      <w:r w:rsidR="00804EA6" w:rsidRPr="00B67427">
        <w:rPr>
          <w:lang w:val="ru-RU"/>
        </w:rPr>
        <w:t> </w:t>
      </w:r>
      <w:r w:rsidR="00C82ED6" w:rsidRPr="00B67427">
        <w:rPr>
          <w:lang w:val="ru-RU"/>
        </w:rPr>
        <w:t>использовании электросвязи/</w:t>
      </w:r>
      <w:r w:rsidR="00FF4119">
        <w:rPr>
          <w:lang w:val="ru-RU"/>
        </w:rPr>
        <w:t>ИКТ</w:t>
      </w:r>
      <w:r w:rsidR="00C82ED6" w:rsidRPr="00B67427">
        <w:rPr>
          <w:lang w:val="ru-RU"/>
        </w:rPr>
        <w:t xml:space="preserve"> </w:t>
      </w:r>
      <w:r w:rsidR="00CE20DD" w:rsidRPr="00B67427">
        <w:rPr>
          <w:lang w:val="ru-RU"/>
        </w:rPr>
        <w:t>для</w:t>
      </w:r>
      <w:r w:rsidR="00804EA6" w:rsidRPr="00B67427">
        <w:rPr>
          <w:lang w:val="ru-RU"/>
        </w:rPr>
        <w:t> </w:t>
      </w:r>
      <w:r w:rsidR="00C82ED6" w:rsidRPr="00B67427">
        <w:rPr>
          <w:lang w:val="ru-RU"/>
        </w:rPr>
        <w:t>гуманитарных цел</w:t>
      </w:r>
      <w:r w:rsidR="00CE20DD" w:rsidRPr="00B67427">
        <w:rPr>
          <w:lang w:val="ru-RU"/>
        </w:rPr>
        <w:t>ей</w:t>
      </w:r>
      <w:r w:rsidRPr="00B67427">
        <w:rPr>
          <w:lang w:val="ru-RU"/>
        </w:rPr>
        <w:t>,</w:t>
      </w:r>
    </w:p>
    <w:p w14:paraId="7CC63754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вновь подтверждая</w:t>
      </w:r>
    </w:p>
    <w:p w14:paraId="5B459982" w14:textId="1D6BCBDA" w:rsidR="00C82ED6" w:rsidRPr="00B67427" w:rsidRDefault="00C82ED6" w:rsidP="00B61423">
      <w:pPr>
        <w:jc w:val="both"/>
        <w:rPr>
          <w:lang w:val="ru-RU"/>
        </w:rPr>
      </w:pPr>
      <w:r w:rsidRPr="00B67427">
        <w:rPr>
          <w:i/>
          <w:iCs/>
          <w:lang w:val="ru-RU"/>
        </w:rPr>
        <w:t>a)</w:t>
      </w:r>
      <w:r w:rsidRPr="00B67427">
        <w:rPr>
          <w:lang w:val="ru-RU"/>
        </w:rPr>
        <w:tab/>
        <w:t xml:space="preserve">суверенитет, независимость, единство и территориальную целостность </w:t>
      </w:r>
      <w:r w:rsidR="00CE20DD" w:rsidRPr="00B67427">
        <w:rPr>
          <w:lang w:val="ru-RU"/>
        </w:rPr>
        <w:t xml:space="preserve">Бахрейна, Кувейта, Объединенных Арабских Эмиратов и Иордании </w:t>
      </w:r>
      <w:r w:rsidRPr="00B67427">
        <w:rPr>
          <w:lang w:val="ru-RU"/>
        </w:rPr>
        <w:t xml:space="preserve">в пределах </w:t>
      </w:r>
      <w:r w:rsidR="00ED251E" w:rsidRPr="00B67427">
        <w:rPr>
          <w:lang w:val="ru-RU"/>
        </w:rPr>
        <w:t>их</w:t>
      </w:r>
      <w:r w:rsidRPr="00B67427">
        <w:rPr>
          <w:lang w:val="ru-RU"/>
        </w:rPr>
        <w:t xml:space="preserve"> международно признанных границ</w:t>
      </w:r>
      <w:r w:rsidR="0066065D" w:rsidRPr="00B67427">
        <w:rPr>
          <w:lang w:val="ru-RU"/>
        </w:rPr>
        <w:t xml:space="preserve"> и </w:t>
      </w:r>
      <w:r w:rsidRPr="00B67427">
        <w:rPr>
          <w:lang w:val="ru-RU"/>
        </w:rPr>
        <w:t>территориальны</w:t>
      </w:r>
      <w:r w:rsidR="0066065D" w:rsidRPr="00B67427">
        <w:rPr>
          <w:lang w:val="ru-RU"/>
        </w:rPr>
        <w:t>х</w:t>
      </w:r>
      <w:r w:rsidRPr="00B67427">
        <w:rPr>
          <w:lang w:val="ru-RU"/>
        </w:rPr>
        <w:t xml:space="preserve"> вод;</w:t>
      </w:r>
    </w:p>
    <w:p w14:paraId="181F0425" w14:textId="4B782FCE" w:rsidR="00C82ED6" w:rsidRPr="00B67427" w:rsidRDefault="00C82ED6" w:rsidP="00B61423">
      <w:pPr>
        <w:jc w:val="both"/>
        <w:rPr>
          <w:lang w:val="ru-RU"/>
        </w:rPr>
      </w:pPr>
      <w:r w:rsidRPr="00B67427">
        <w:rPr>
          <w:i/>
          <w:iCs/>
          <w:lang w:val="ru-RU"/>
        </w:rPr>
        <w:t>b)</w:t>
      </w:r>
      <w:r w:rsidRPr="00B67427">
        <w:rPr>
          <w:lang w:val="ru-RU"/>
        </w:rPr>
        <w:tab/>
        <w:t>растущее значение электросвязи для сохранения мира и социально-экономического развития всех государств, как это закреплено в Преамбуле Устава МСЭ,</w:t>
      </w:r>
    </w:p>
    <w:p w14:paraId="78EEB2D7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lastRenderedPageBreak/>
        <w:t>учитывая</w:t>
      </w:r>
      <w:r w:rsidRPr="00B67427">
        <w:rPr>
          <w:i w:val="0"/>
          <w:iCs/>
          <w:lang w:val="ru-RU"/>
        </w:rPr>
        <w:t>,</w:t>
      </w:r>
    </w:p>
    <w:p w14:paraId="784FD32B" w14:textId="3C862636" w:rsidR="00C82ED6" w:rsidRPr="00B67427" w:rsidRDefault="00C82ED6" w:rsidP="00EC7924">
      <w:pPr>
        <w:jc w:val="both"/>
        <w:rPr>
          <w:lang w:val="ru-RU"/>
        </w:rPr>
      </w:pPr>
      <w:r w:rsidRPr="00B67427">
        <w:rPr>
          <w:lang w:val="ru-RU"/>
        </w:rPr>
        <w:t xml:space="preserve">что гражданская инфраструктура </w:t>
      </w:r>
      <w:r w:rsidR="0066065D" w:rsidRPr="00B67427">
        <w:rPr>
          <w:lang w:val="ru-RU"/>
        </w:rPr>
        <w:t>электросвязи/</w:t>
      </w:r>
      <w:r w:rsidRPr="00B67427">
        <w:rPr>
          <w:lang w:val="ru-RU"/>
        </w:rPr>
        <w:t>ИКТ имеет важнейшее значение для предоставления услуг электросвязи и социально-экономического развития всех стран</w:t>
      </w:r>
      <w:r w:rsidR="0066065D" w:rsidRPr="00B67427">
        <w:rPr>
          <w:lang w:val="ru-RU"/>
        </w:rPr>
        <w:t>,</w:t>
      </w:r>
    </w:p>
    <w:p w14:paraId="2705E1EF" w14:textId="16057558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вновь подтверждая приверженность МСЭ</w:t>
      </w:r>
    </w:p>
    <w:p w14:paraId="27B95FF3" w14:textId="13405993" w:rsidR="00C82ED6" w:rsidRPr="00B67427" w:rsidRDefault="00C82ED6" w:rsidP="00EC7924">
      <w:pPr>
        <w:jc w:val="both"/>
        <w:rPr>
          <w:lang w:val="ru-RU"/>
        </w:rPr>
      </w:pPr>
      <w:r w:rsidRPr="00B67427">
        <w:rPr>
          <w:lang w:val="ru-RU"/>
        </w:rPr>
        <w:t>содействию "принятию мер для обеспечения безопасности человеческой жизни путем совместного использования служб электросвязи"</w:t>
      </w:r>
      <w:r w:rsidR="00804EA6" w:rsidRPr="00B67427">
        <w:rPr>
          <w:lang w:val="ru-RU"/>
        </w:rPr>
        <w:t>,</w:t>
      </w:r>
    </w:p>
    <w:p w14:paraId="0DA2A3C1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осуждая</w:t>
      </w:r>
    </w:p>
    <w:p w14:paraId="0B32CD0A" w14:textId="49C93C0E" w:rsidR="00C82ED6" w:rsidRPr="00B67427" w:rsidRDefault="00C82ED6" w:rsidP="00EC7924">
      <w:pPr>
        <w:jc w:val="both"/>
        <w:rPr>
          <w:lang w:val="ru-RU"/>
        </w:rPr>
      </w:pPr>
      <w:r w:rsidRPr="00B67427">
        <w:rPr>
          <w:lang w:val="ru-RU"/>
        </w:rPr>
        <w:t>широкомасштабные незаконные нападения Ирана на гражданские объекты, включая службы электросвязи</w:t>
      </w:r>
      <w:r w:rsidR="0066065D" w:rsidRPr="00B67427">
        <w:rPr>
          <w:lang w:val="ru-RU"/>
        </w:rPr>
        <w:t xml:space="preserve"> и подводные кабели</w:t>
      </w:r>
      <w:r w:rsidRPr="00B67427">
        <w:rPr>
          <w:lang w:val="ru-RU"/>
        </w:rPr>
        <w:t>, совершаемые в Бахрейне, Кувейте, Объединенных Арабских Эмиратах и Иордании</w:t>
      </w:r>
      <w:r w:rsidR="009A7A5B" w:rsidRPr="00B67427">
        <w:rPr>
          <w:lang w:val="ru-RU"/>
        </w:rPr>
        <w:t xml:space="preserve"> способом</w:t>
      </w:r>
      <w:r w:rsidRPr="00B67427">
        <w:rPr>
          <w:lang w:val="ru-RU"/>
        </w:rPr>
        <w:t xml:space="preserve">, </w:t>
      </w:r>
      <w:r w:rsidR="009A7A5B" w:rsidRPr="00B67427">
        <w:rPr>
          <w:lang w:val="ru-RU"/>
        </w:rPr>
        <w:t>противоречащим Уставу и Конвенции МСЭ</w:t>
      </w:r>
      <w:r w:rsidRPr="00B67427">
        <w:rPr>
          <w:lang w:val="ru-RU"/>
        </w:rPr>
        <w:t>,</w:t>
      </w:r>
    </w:p>
    <w:p w14:paraId="3AEC7CA8" w14:textId="5191F2FA" w:rsidR="009A7A5B" w:rsidRPr="00B67427" w:rsidRDefault="009A7A5B" w:rsidP="009A7A5B">
      <w:pPr>
        <w:pStyle w:val="Call"/>
        <w:rPr>
          <w:lang w:val="ru-RU"/>
        </w:rPr>
      </w:pPr>
      <w:r w:rsidRPr="00B67427">
        <w:rPr>
          <w:lang w:val="ru-RU"/>
        </w:rPr>
        <w:t>выражая глубокую озабоченность</w:t>
      </w:r>
    </w:p>
    <w:p w14:paraId="7AAD0E17" w14:textId="48EA653E" w:rsidR="009A7A5B" w:rsidRPr="00B67427" w:rsidRDefault="009A7A5B" w:rsidP="00EC7924">
      <w:pPr>
        <w:jc w:val="both"/>
        <w:rPr>
          <w:lang w:val="ru-RU"/>
        </w:rPr>
      </w:pPr>
      <w:r w:rsidRPr="00B67427">
        <w:rPr>
          <w:lang w:val="ru-RU"/>
        </w:rPr>
        <w:t>в связи с угрозами нападения на новые объекты гражданской инфраструктуры электросвязи способом, противоречащим Уставу и Конвенции МСЭ,</w:t>
      </w:r>
    </w:p>
    <w:p w14:paraId="36F0AF7B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решает поручить Директорам трех Бюро</w:t>
      </w:r>
    </w:p>
    <w:p w14:paraId="4A88DA06" w14:textId="4084A981" w:rsidR="00C82ED6" w:rsidRPr="00B67427" w:rsidRDefault="00C82ED6" w:rsidP="00EC7924">
      <w:pPr>
        <w:jc w:val="both"/>
        <w:rPr>
          <w:lang w:val="ru-RU"/>
        </w:rPr>
      </w:pPr>
      <w:r w:rsidRPr="00B67427">
        <w:rPr>
          <w:lang w:val="ru-RU"/>
        </w:rPr>
        <w:t>1</w:t>
      </w:r>
      <w:r w:rsidRPr="00B67427">
        <w:rPr>
          <w:lang w:val="ru-RU"/>
        </w:rPr>
        <w:tab/>
        <w:t xml:space="preserve">отслеживать </w:t>
      </w:r>
      <w:r w:rsidR="009A7A5B" w:rsidRPr="00B67427">
        <w:rPr>
          <w:lang w:val="ru-RU"/>
        </w:rPr>
        <w:t xml:space="preserve">такие </w:t>
      </w:r>
      <w:r w:rsidR="00FF4119">
        <w:rPr>
          <w:lang w:val="ru-RU"/>
        </w:rPr>
        <w:t>нападения</w:t>
      </w:r>
      <w:r w:rsidRPr="00B67427">
        <w:rPr>
          <w:lang w:val="ru-RU"/>
        </w:rPr>
        <w:t xml:space="preserve"> на службы и инфраструктуру электросвязи в Бахрейне, Кувейте, Объединенных Арабских Эмиратах и Иордании и представлять регулярные отчеты об этих </w:t>
      </w:r>
      <w:r w:rsidR="00FF4119">
        <w:rPr>
          <w:lang w:val="ru-RU"/>
        </w:rPr>
        <w:t>нападениях</w:t>
      </w:r>
      <w:r w:rsidRPr="00B67427">
        <w:rPr>
          <w:lang w:val="ru-RU"/>
        </w:rPr>
        <w:t>, в том числе об их глобальных последствиях;</w:t>
      </w:r>
    </w:p>
    <w:p w14:paraId="7F20F7EF" w14:textId="127D622D" w:rsidR="00C82ED6" w:rsidRPr="00B67427" w:rsidRDefault="00C82ED6" w:rsidP="00EC7924">
      <w:pPr>
        <w:jc w:val="both"/>
        <w:rPr>
          <w:lang w:val="ru-RU"/>
        </w:rPr>
      </w:pPr>
      <w:r w:rsidRPr="00B67427">
        <w:rPr>
          <w:lang w:val="ru-RU"/>
        </w:rPr>
        <w:t>2</w:t>
      </w:r>
      <w:r w:rsidRPr="00B67427">
        <w:rPr>
          <w:lang w:val="ru-RU"/>
        </w:rPr>
        <w:tab/>
        <w:t xml:space="preserve">провести оценку воздействия </w:t>
      </w:r>
      <w:r w:rsidR="009A7A5B" w:rsidRPr="00B67427">
        <w:rPr>
          <w:lang w:val="ru-RU"/>
        </w:rPr>
        <w:t>таких</w:t>
      </w:r>
      <w:r w:rsidRPr="00B67427">
        <w:rPr>
          <w:lang w:val="ru-RU"/>
        </w:rPr>
        <w:t xml:space="preserve"> </w:t>
      </w:r>
      <w:r w:rsidR="00FF4119">
        <w:rPr>
          <w:lang w:val="ru-RU"/>
        </w:rPr>
        <w:t>нападений</w:t>
      </w:r>
      <w:r w:rsidRPr="00B67427">
        <w:rPr>
          <w:lang w:val="ru-RU"/>
        </w:rPr>
        <w:t xml:space="preserve"> на службы и инфраструктуру электросвязи, в том числе на программы и деятельность МСЭ, в Бахрейне, Кувейте, Объединенных Арабских Эмиратах и Иордании и представить отчет по данному вопросу</w:t>
      </w:r>
      <w:r w:rsidR="0066065D" w:rsidRPr="00B67427">
        <w:rPr>
          <w:lang w:val="ru-RU"/>
        </w:rPr>
        <w:t>;</w:t>
      </w:r>
    </w:p>
    <w:p w14:paraId="7E75F356" w14:textId="66DCE54B" w:rsidR="0066065D" w:rsidRPr="00B67427" w:rsidRDefault="0066065D" w:rsidP="00EC7924">
      <w:pPr>
        <w:jc w:val="both"/>
        <w:rPr>
          <w:lang w:val="ru-RU"/>
        </w:rPr>
      </w:pPr>
      <w:r w:rsidRPr="00B67427">
        <w:rPr>
          <w:lang w:val="ru-RU"/>
        </w:rPr>
        <w:t>3</w:t>
      </w:r>
      <w:r w:rsidRPr="00B67427">
        <w:rPr>
          <w:lang w:val="ru-RU"/>
        </w:rPr>
        <w:tab/>
        <w:t>обеспечить мобилизацию надлежащих финансовых и людских ресурсов, в том числе в рамках внутреннего бюджета и Фонда развития информационно-коммуникационных технологий, для осуществления предлагаемых действий,</w:t>
      </w:r>
    </w:p>
    <w:p w14:paraId="2ED49146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поручает Генеральному секретарю</w:t>
      </w:r>
    </w:p>
    <w:p w14:paraId="2BD5F13D" w14:textId="6FF054AF" w:rsidR="00C82ED6" w:rsidRPr="00B67427" w:rsidRDefault="00C82ED6" w:rsidP="00EC7924">
      <w:pPr>
        <w:jc w:val="both"/>
        <w:rPr>
          <w:lang w:val="ru-RU"/>
        </w:rPr>
      </w:pPr>
      <w:r w:rsidRPr="00B67427">
        <w:rPr>
          <w:lang w:val="ru-RU"/>
        </w:rPr>
        <w:t>1</w:t>
      </w:r>
      <w:r w:rsidRPr="00B67427">
        <w:rPr>
          <w:lang w:val="ru-RU"/>
        </w:rPr>
        <w:tab/>
        <w:t>координировать деятельность, проводимую тремя Секторами Союза, в соответствии с</w:t>
      </w:r>
      <w:r w:rsidR="00804EA6" w:rsidRPr="00B67427">
        <w:rPr>
          <w:lang w:val="ru-RU"/>
        </w:rPr>
        <w:t> </w:t>
      </w:r>
      <w:r w:rsidRPr="00B67427">
        <w:rPr>
          <w:lang w:val="ru-RU"/>
        </w:rPr>
        <w:t xml:space="preserve">разделом </w:t>
      </w:r>
      <w:r w:rsidRPr="00B67427">
        <w:rPr>
          <w:i/>
          <w:iCs/>
          <w:lang w:val="ru-RU"/>
        </w:rPr>
        <w:t>решает</w:t>
      </w:r>
      <w:r w:rsidRPr="00B67427">
        <w:rPr>
          <w:lang w:val="ru-RU"/>
        </w:rPr>
        <w:t>, выше, в целях обеспечения того, чтобы действия Союза в пользу пострадавших стран были как можно более эффективными</w:t>
      </w:r>
      <w:r w:rsidR="00081EAE" w:rsidRPr="00B67427">
        <w:rPr>
          <w:lang w:val="ru-RU"/>
        </w:rPr>
        <w:t>;</w:t>
      </w:r>
    </w:p>
    <w:p w14:paraId="628EFE5D" w14:textId="0415AEAA" w:rsidR="00C462C5" w:rsidRPr="00B67427" w:rsidRDefault="00C82ED6" w:rsidP="00EC7924">
      <w:pPr>
        <w:jc w:val="both"/>
        <w:rPr>
          <w:lang w:val="ru-RU"/>
        </w:rPr>
      </w:pPr>
      <w:r w:rsidRPr="00B67427">
        <w:rPr>
          <w:lang w:val="ru-RU"/>
        </w:rPr>
        <w:t>2</w:t>
      </w:r>
      <w:r w:rsidRPr="00B67427">
        <w:rPr>
          <w:lang w:val="ru-RU"/>
        </w:rPr>
        <w:tab/>
        <w:t>представить отчет о воздействии</w:t>
      </w:r>
      <w:r w:rsidR="009A7A5B" w:rsidRPr="00B67427">
        <w:rPr>
          <w:lang w:val="ru-RU"/>
        </w:rPr>
        <w:t xml:space="preserve"> таких</w:t>
      </w:r>
      <w:r w:rsidRPr="00B67427">
        <w:rPr>
          <w:lang w:val="ru-RU"/>
        </w:rPr>
        <w:t xml:space="preserve"> </w:t>
      </w:r>
      <w:r w:rsidR="00FF4119">
        <w:rPr>
          <w:lang w:val="ru-RU"/>
        </w:rPr>
        <w:t>нападений</w:t>
      </w:r>
      <w:r w:rsidRPr="00B67427">
        <w:rPr>
          <w:lang w:val="ru-RU"/>
        </w:rPr>
        <w:t xml:space="preserve"> на инфраструктуру </w:t>
      </w:r>
      <w:r w:rsidR="0066065D" w:rsidRPr="00B67427">
        <w:rPr>
          <w:lang w:val="ru-RU"/>
        </w:rPr>
        <w:t>электросвязи/</w:t>
      </w:r>
      <w:r w:rsidRPr="00B67427">
        <w:rPr>
          <w:lang w:val="ru-RU"/>
        </w:rPr>
        <w:t>ИКТ в Бахрейне, Кувейте, Объединенных Арабских Эмиратах и Иордании, включая оценку ущерба, для</w:t>
      </w:r>
      <w:r w:rsidR="00804EA6" w:rsidRPr="00B67427">
        <w:rPr>
          <w:lang w:val="ru-RU"/>
        </w:rPr>
        <w:t> </w:t>
      </w:r>
      <w:r w:rsidRPr="00B67427">
        <w:rPr>
          <w:lang w:val="ru-RU"/>
        </w:rPr>
        <w:t>Полномочной конференции 202</w:t>
      </w:r>
      <w:r w:rsidR="00CB5131" w:rsidRPr="00CB5131">
        <w:rPr>
          <w:lang w:val="ru-RU"/>
        </w:rPr>
        <w:t>6</w:t>
      </w:r>
      <w:r w:rsidR="00ED1982" w:rsidRPr="00B67427">
        <w:rPr>
          <w:lang w:val="ru-RU"/>
        </w:rPr>
        <w:t> </w:t>
      </w:r>
      <w:r w:rsidRPr="00B67427">
        <w:rPr>
          <w:lang w:val="ru-RU"/>
        </w:rPr>
        <w:t>года и для заключительного заседания Совета, которое</w:t>
      </w:r>
      <w:r w:rsidR="00804EA6" w:rsidRPr="00B67427">
        <w:rPr>
          <w:lang w:val="ru-RU"/>
        </w:rPr>
        <w:t> </w:t>
      </w:r>
      <w:r w:rsidRPr="00B67427">
        <w:rPr>
          <w:lang w:val="ru-RU"/>
        </w:rPr>
        <w:t>состоится 7 ноября 2026 года, а также для будущих собраний и конференций, в</w:t>
      </w:r>
      <w:r w:rsidR="00804EA6" w:rsidRPr="00B67427">
        <w:rPr>
          <w:lang w:val="ru-RU"/>
        </w:rPr>
        <w:t> </w:t>
      </w:r>
      <w:r w:rsidRPr="00B67427">
        <w:rPr>
          <w:lang w:val="ru-RU"/>
        </w:rPr>
        <w:t>зависимости от случая.</w:t>
      </w:r>
    </w:p>
    <w:p w14:paraId="22C11A6A" w14:textId="77777777" w:rsidR="00796BD3" w:rsidRPr="00B67427" w:rsidRDefault="00C462C5" w:rsidP="00B67427">
      <w:pPr>
        <w:spacing w:before="480"/>
        <w:jc w:val="center"/>
        <w:rPr>
          <w:lang w:val="ru-RU"/>
        </w:rPr>
      </w:pPr>
      <w:r w:rsidRPr="00B67427">
        <w:rPr>
          <w:lang w:val="ru-RU"/>
        </w:rPr>
        <w:t>______________</w:t>
      </w:r>
    </w:p>
    <w:sectPr w:rsidR="00796BD3" w:rsidRPr="00B67427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FCA2" w14:textId="77777777" w:rsidR="0027603A" w:rsidRDefault="0027603A">
      <w:r>
        <w:separator/>
      </w:r>
    </w:p>
  </w:endnote>
  <w:endnote w:type="continuationSeparator" w:id="0">
    <w:p w14:paraId="6BA5A97F" w14:textId="77777777" w:rsidR="0027603A" w:rsidRDefault="0027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E67F397" w14:textId="77777777" w:rsidTr="00E31DCE">
      <w:trPr>
        <w:jc w:val="center"/>
      </w:trPr>
      <w:tc>
        <w:tcPr>
          <w:tcW w:w="1803" w:type="dxa"/>
          <w:vAlign w:val="center"/>
        </w:tcPr>
        <w:p w14:paraId="502BA0C0" w14:textId="6891E5B1" w:rsidR="00672F8A" w:rsidRPr="00B67427" w:rsidRDefault="00672F8A" w:rsidP="00672F8A">
          <w:pPr>
            <w:pStyle w:val="Header"/>
            <w:jc w:val="left"/>
            <w:rPr>
              <w:noProof/>
              <w:lang w:val="en-GB"/>
            </w:rPr>
          </w:pPr>
        </w:p>
      </w:tc>
      <w:tc>
        <w:tcPr>
          <w:tcW w:w="8261" w:type="dxa"/>
        </w:tcPr>
        <w:p w14:paraId="34C2C0B7" w14:textId="2589F39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E0ACD">
            <w:rPr>
              <w:bCs/>
              <w:lang w:val="es-ES"/>
            </w:rPr>
            <w:t>130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F8A9CA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01D215B" w14:textId="77777777" w:rsidTr="00E31DCE">
      <w:trPr>
        <w:jc w:val="center"/>
      </w:trPr>
      <w:tc>
        <w:tcPr>
          <w:tcW w:w="1803" w:type="dxa"/>
          <w:vAlign w:val="center"/>
        </w:tcPr>
        <w:p w14:paraId="222CB05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7749FA4" w14:textId="1D09E974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E0ACD">
            <w:rPr>
              <w:bCs/>
              <w:lang w:val="es-ES"/>
            </w:rPr>
            <w:t>130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95848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A2ED" w14:textId="77777777" w:rsidR="0027603A" w:rsidRDefault="0027603A">
      <w:r>
        <w:t>____________________</w:t>
      </w:r>
    </w:p>
  </w:footnote>
  <w:footnote w:type="continuationSeparator" w:id="0">
    <w:p w14:paraId="3B5913B2" w14:textId="77777777" w:rsidR="0027603A" w:rsidRDefault="00276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88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D3AC9E2" wp14:editId="635FD3D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65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65"/>
    <w:rsid w:val="00005BE0"/>
    <w:rsid w:val="000177E6"/>
    <w:rsid w:val="0002183E"/>
    <w:rsid w:val="000569B4"/>
    <w:rsid w:val="0006007D"/>
    <w:rsid w:val="00077513"/>
    <w:rsid w:val="00080E82"/>
    <w:rsid w:val="00081EAE"/>
    <w:rsid w:val="00090C41"/>
    <w:rsid w:val="000934DD"/>
    <w:rsid w:val="000A10CA"/>
    <w:rsid w:val="000B2DE7"/>
    <w:rsid w:val="000B4E93"/>
    <w:rsid w:val="000B58ED"/>
    <w:rsid w:val="000B6D02"/>
    <w:rsid w:val="000D174C"/>
    <w:rsid w:val="000E568E"/>
    <w:rsid w:val="000E704C"/>
    <w:rsid w:val="0010298E"/>
    <w:rsid w:val="00102B23"/>
    <w:rsid w:val="00113A94"/>
    <w:rsid w:val="00140099"/>
    <w:rsid w:val="0014229E"/>
    <w:rsid w:val="0014734F"/>
    <w:rsid w:val="00156890"/>
    <w:rsid w:val="0015710D"/>
    <w:rsid w:val="00163A32"/>
    <w:rsid w:val="00165D06"/>
    <w:rsid w:val="00192B41"/>
    <w:rsid w:val="001A4084"/>
    <w:rsid w:val="001B7B09"/>
    <w:rsid w:val="001C0B6D"/>
    <w:rsid w:val="001D7C8D"/>
    <w:rsid w:val="001E6719"/>
    <w:rsid w:val="001E7F50"/>
    <w:rsid w:val="002104FD"/>
    <w:rsid w:val="0022273B"/>
    <w:rsid w:val="00225368"/>
    <w:rsid w:val="00227FF0"/>
    <w:rsid w:val="002348CC"/>
    <w:rsid w:val="00244C39"/>
    <w:rsid w:val="0027603A"/>
    <w:rsid w:val="00276F05"/>
    <w:rsid w:val="00277032"/>
    <w:rsid w:val="00277DEA"/>
    <w:rsid w:val="00291EB6"/>
    <w:rsid w:val="00293361"/>
    <w:rsid w:val="002B2F64"/>
    <w:rsid w:val="002C3F32"/>
    <w:rsid w:val="002D0AC7"/>
    <w:rsid w:val="002D2F57"/>
    <w:rsid w:val="002D48C5"/>
    <w:rsid w:val="003242F4"/>
    <w:rsid w:val="0033025A"/>
    <w:rsid w:val="00345D2A"/>
    <w:rsid w:val="00381936"/>
    <w:rsid w:val="003935CB"/>
    <w:rsid w:val="003C790E"/>
    <w:rsid w:val="003F099E"/>
    <w:rsid w:val="003F235E"/>
    <w:rsid w:val="00401FD7"/>
    <w:rsid w:val="004023E0"/>
    <w:rsid w:val="00403DD8"/>
    <w:rsid w:val="004070A0"/>
    <w:rsid w:val="00414EA5"/>
    <w:rsid w:val="00425CA7"/>
    <w:rsid w:val="004332A1"/>
    <w:rsid w:val="00442515"/>
    <w:rsid w:val="0045686C"/>
    <w:rsid w:val="00465C35"/>
    <w:rsid w:val="0048768A"/>
    <w:rsid w:val="004918C4"/>
    <w:rsid w:val="00497703"/>
    <w:rsid w:val="004A0374"/>
    <w:rsid w:val="004A0FB6"/>
    <w:rsid w:val="004A45B5"/>
    <w:rsid w:val="004D0129"/>
    <w:rsid w:val="00515795"/>
    <w:rsid w:val="005947B0"/>
    <w:rsid w:val="005A64D5"/>
    <w:rsid w:val="005B3DEC"/>
    <w:rsid w:val="005C15B6"/>
    <w:rsid w:val="005E2332"/>
    <w:rsid w:val="00601994"/>
    <w:rsid w:val="0061787C"/>
    <w:rsid w:val="0063056D"/>
    <w:rsid w:val="00635D5F"/>
    <w:rsid w:val="00660449"/>
    <w:rsid w:val="0066065D"/>
    <w:rsid w:val="00672F8A"/>
    <w:rsid w:val="006826B7"/>
    <w:rsid w:val="006A701C"/>
    <w:rsid w:val="006E2D42"/>
    <w:rsid w:val="006E497B"/>
    <w:rsid w:val="00703676"/>
    <w:rsid w:val="00707304"/>
    <w:rsid w:val="00732269"/>
    <w:rsid w:val="0073683E"/>
    <w:rsid w:val="00762555"/>
    <w:rsid w:val="0077110E"/>
    <w:rsid w:val="00782942"/>
    <w:rsid w:val="00784980"/>
    <w:rsid w:val="00785ABD"/>
    <w:rsid w:val="00796BD3"/>
    <w:rsid w:val="007A2DD4"/>
    <w:rsid w:val="007D38B5"/>
    <w:rsid w:val="007E5FC4"/>
    <w:rsid w:val="007E7EA0"/>
    <w:rsid w:val="00804EA6"/>
    <w:rsid w:val="00807255"/>
    <w:rsid w:val="0081023E"/>
    <w:rsid w:val="00813C1F"/>
    <w:rsid w:val="008173AA"/>
    <w:rsid w:val="0082137C"/>
    <w:rsid w:val="00840A14"/>
    <w:rsid w:val="0084546D"/>
    <w:rsid w:val="00893D1D"/>
    <w:rsid w:val="008B62B4"/>
    <w:rsid w:val="008D2D7B"/>
    <w:rsid w:val="008E0737"/>
    <w:rsid w:val="008E6A1D"/>
    <w:rsid w:val="008F7958"/>
    <w:rsid w:val="008F7AF7"/>
    <w:rsid w:val="008F7C2C"/>
    <w:rsid w:val="009126A1"/>
    <w:rsid w:val="00940E96"/>
    <w:rsid w:val="00950A82"/>
    <w:rsid w:val="009557CB"/>
    <w:rsid w:val="00973DB5"/>
    <w:rsid w:val="009A76A8"/>
    <w:rsid w:val="009A7A5B"/>
    <w:rsid w:val="009B0BAE"/>
    <w:rsid w:val="009C1C89"/>
    <w:rsid w:val="009F2F6A"/>
    <w:rsid w:val="009F3448"/>
    <w:rsid w:val="009F5300"/>
    <w:rsid w:val="009F5E77"/>
    <w:rsid w:val="00A01CF9"/>
    <w:rsid w:val="00A01F4F"/>
    <w:rsid w:val="00A0392E"/>
    <w:rsid w:val="00A109AF"/>
    <w:rsid w:val="00A20B63"/>
    <w:rsid w:val="00A23FB6"/>
    <w:rsid w:val="00A3481C"/>
    <w:rsid w:val="00A405F9"/>
    <w:rsid w:val="00A535F1"/>
    <w:rsid w:val="00A64086"/>
    <w:rsid w:val="00A71773"/>
    <w:rsid w:val="00A74304"/>
    <w:rsid w:val="00A8394A"/>
    <w:rsid w:val="00AE2C85"/>
    <w:rsid w:val="00B0107F"/>
    <w:rsid w:val="00B12A37"/>
    <w:rsid w:val="00B32D39"/>
    <w:rsid w:val="00B41837"/>
    <w:rsid w:val="00B61423"/>
    <w:rsid w:val="00B63EF2"/>
    <w:rsid w:val="00B67427"/>
    <w:rsid w:val="00BA7D89"/>
    <w:rsid w:val="00BC0D39"/>
    <w:rsid w:val="00BC7BC0"/>
    <w:rsid w:val="00BD57B7"/>
    <w:rsid w:val="00BE00DD"/>
    <w:rsid w:val="00BE0A9F"/>
    <w:rsid w:val="00BE63E2"/>
    <w:rsid w:val="00C04474"/>
    <w:rsid w:val="00C462C5"/>
    <w:rsid w:val="00C82ED6"/>
    <w:rsid w:val="00C915BE"/>
    <w:rsid w:val="00C92BF3"/>
    <w:rsid w:val="00CB1A02"/>
    <w:rsid w:val="00CB5131"/>
    <w:rsid w:val="00CD2009"/>
    <w:rsid w:val="00CE0ACD"/>
    <w:rsid w:val="00CE20DD"/>
    <w:rsid w:val="00CE32CE"/>
    <w:rsid w:val="00CE6A2F"/>
    <w:rsid w:val="00CF06BC"/>
    <w:rsid w:val="00CF4003"/>
    <w:rsid w:val="00CF629C"/>
    <w:rsid w:val="00D17718"/>
    <w:rsid w:val="00D21265"/>
    <w:rsid w:val="00D32276"/>
    <w:rsid w:val="00D47A52"/>
    <w:rsid w:val="00D631AA"/>
    <w:rsid w:val="00D82BB5"/>
    <w:rsid w:val="00D8434E"/>
    <w:rsid w:val="00D92EEA"/>
    <w:rsid w:val="00D93CF5"/>
    <w:rsid w:val="00DA5D4E"/>
    <w:rsid w:val="00DA770A"/>
    <w:rsid w:val="00E05752"/>
    <w:rsid w:val="00E14331"/>
    <w:rsid w:val="00E176BA"/>
    <w:rsid w:val="00E22E0F"/>
    <w:rsid w:val="00E423EC"/>
    <w:rsid w:val="00E55121"/>
    <w:rsid w:val="00E9508A"/>
    <w:rsid w:val="00EB4FCB"/>
    <w:rsid w:val="00EC6BC5"/>
    <w:rsid w:val="00EC7924"/>
    <w:rsid w:val="00ED1982"/>
    <w:rsid w:val="00ED251E"/>
    <w:rsid w:val="00EF3D48"/>
    <w:rsid w:val="00F050FF"/>
    <w:rsid w:val="00F11F02"/>
    <w:rsid w:val="00F138E5"/>
    <w:rsid w:val="00F13A17"/>
    <w:rsid w:val="00F21F0E"/>
    <w:rsid w:val="00F246DD"/>
    <w:rsid w:val="00F348D0"/>
    <w:rsid w:val="00F35898"/>
    <w:rsid w:val="00F5225B"/>
    <w:rsid w:val="00F70E2B"/>
    <w:rsid w:val="00F7560A"/>
    <w:rsid w:val="00F767DA"/>
    <w:rsid w:val="00FA0B1D"/>
    <w:rsid w:val="00FE5701"/>
    <w:rsid w:val="00FF4119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765A5"/>
  <w15:docId w15:val="{5897A4A7-84D7-4773-9AEE-0C0B28E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E9508A"/>
    <w:rPr>
      <w:rFonts w:asciiTheme="minorHAnsi" w:hAnsiTheme="minorHAnsi" w:cstheme="minorHAnsi"/>
      <w:sz w:val="22"/>
      <w:lang w:val="es-ES"/>
    </w:rPr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customStyle="1" w:styleId="p1">
    <w:name w:val="p1"/>
    <w:basedOn w:val="Normal"/>
    <w:rsid w:val="006826B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color w:val="000000"/>
      <w:sz w:val="15"/>
      <w:szCs w:val="15"/>
      <w:lang w:val="ru-RU" w:eastAsia="ru-RU"/>
    </w:rPr>
  </w:style>
  <w:style w:type="character" w:styleId="CommentReference">
    <w:name w:val="annotation reference"/>
    <w:basedOn w:val="DefaultParagraphFont"/>
    <w:semiHidden/>
    <w:unhideWhenUsed/>
    <w:rsid w:val="00414E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4EA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4EA5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4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4EA5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414EA5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3499</Characters>
  <Application>Microsoft Office Word</Application>
  <DocSecurity>0</DocSecurity>
  <Lines>74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Resolution 1436 - Impact on civilian Telecommunications/ICT infrastructure in Bahrain, Kuwait, the United Arab Emirates and Jordan, and its implications for regional and global connectivity</vt:lpstr>
      <vt:lpstr/>
    </vt:vector>
  </TitlesOfParts>
  <Manager>General Secretariat - Pool</Manager>
  <Company>International Telecommunication Union (ITU)</Company>
  <LinksUpToDate>false</LinksUpToDate>
  <CharactersWithSpaces>4046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1436 - Impact on civilian Telecommunications/ICT infrastructure in Bahrain, Kuwait, the United Arab Emirates and Jordan, and its implications for regional and global connectivity</dc:title>
  <dc:subject>ITU Council 2026</dc:subject>
  <cp:keywords>C26; C2026; Council 2026; PP26</cp:keywords>
  <dc:description/>
  <cp:lastPrinted>2006-03-28T16:12:00Z</cp:lastPrinted>
  <dcterms:created xsi:type="dcterms:W3CDTF">2026-05-28T11:21:00Z</dcterms:created>
  <dcterms:modified xsi:type="dcterms:W3CDTF">2026-05-28T11:21:00Z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