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96174A" w14:paraId="2E6D22F2" w14:textId="77777777" w:rsidTr="00796BDB">
        <w:trPr>
          <w:cantSplit/>
          <w:trHeight w:val="23"/>
        </w:trPr>
        <w:tc>
          <w:tcPr>
            <w:tcW w:w="3969" w:type="dxa"/>
            <w:vMerge w:val="restart"/>
            <w:tcMar>
              <w:left w:w="0" w:type="dxa"/>
            </w:tcMar>
          </w:tcPr>
          <w:p w14:paraId="7EA04E69" w14:textId="6C12E9B8" w:rsidR="00D72F49" w:rsidRPr="0096174A" w:rsidRDefault="00D72F49" w:rsidP="00796BDB">
            <w:pPr>
              <w:tabs>
                <w:tab w:val="left" w:pos="851"/>
              </w:tabs>
              <w:spacing w:before="0" w:line="240" w:lineRule="atLeast"/>
              <w:rPr>
                <w:b/>
              </w:rPr>
            </w:pPr>
          </w:p>
        </w:tc>
        <w:tc>
          <w:tcPr>
            <w:tcW w:w="5245" w:type="dxa"/>
          </w:tcPr>
          <w:p w14:paraId="66ED0887" w14:textId="27AC7E1D" w:rsidR="00D72F49" w:rsidRPr="0096174A" w:rsidRDefault="00D72F49" w:rsidP="009D5FAF">
            <w:pPr>
              <w:tabs>
                <w:tab w:val="left" w:pos="851"/>
              </w:tabs>
              <w:spacing w:before="0" w:line="240" w:lineRule="atLeast"/>
              <w:jc w:val="right"/>
              <w:rPr>
                <w:b/>
              </w:rPr>
            </w:pPr>
            <w:r w:rsidRPr="0096174A">
              <w:rPr>
                <w:b/>
              </w:rPr>
              <w:t>Document C2</w:t>
            </w:r>
            <w:r w:rsidR="00E4448E" w:rsidRPr="0096174A">
              <w:rPr>
                <w:b/>
              </w:rPr>
              <w:t>6</w:t>
            </w:r>
            <w:r w:rsidRPr="0096174A">
              <w:rPr>
                <w:b/>
              </w:rPr>
              <w:t>/</w:t>
            </w:r>
            <w:r w:rsidR="00FE01AA">
              <w:rPr>
                <w:b/>
              </w:rPr>
              <w:t>130</w:t>
            </w:r>
            <w:r w:rsidRPr="0096174A">
              <w:rPr>
                <w:b/>
              </w:rPr>
              <w:t>-F</w:t>
            </w:r>
          </w:p>
        </w:tc>
      </w:tr>
      <w:tr w:rsidR="00D72F49" w:rsidRPr="0096174A" w14:paraId="7593E304" w14:textId="77777777" w:rsidTr="00796BDB">
        <w:trPr>
          <w:cantSplit/>
        </w:trPr>
        <w:tc>
          <w:tcPr>
            <w:tcW w:w="3969" w:type="dxa"/>
            <w:vMerge/>
          </w:tcPr>
          <w:p w14:paraId="2BE27A14" w14:textId="77777777" w:rsidR="00D72F49" w:rsidRPr="0096174A" w:rsidRDefault="00D72F49" w:rsidP="00796BDB">
            <w:pPr>
              <w:tabs>
                <w:tab w:val="left" w:pos="851"/>
              </w:tabs>
              <w:spacing w:line="240" w:lineRule="atLeast"/>
              <w:rPr>
                <w:b/>
              </w:rPr>
            </w:pPr>
          </w:p>
        </w:tc>
        <w:tc>
          <w:tcPr>
            <w:tcW w:w="5245" w:type="dxa"/>
          </w:tcPr>
          <w:p w14:paraId="2A7214C7" w14:textId="2D94EBB4" w:rsidR="00D72F49" w:rsidRPr="0096174A" w:rsidRDefault="00FE01AA" w:rsidP="00796BDB">
            <w:pPr>
              <w:tabs>
                <w:tab w:val="left" w:pos="851"/>
              </w:tabs>
              <w:spacing w:before="0"/>
              <w:jc w:val="right"/>
              <w:rPr>
                <w:b/>
              </w:rPr>
            </w:pPr>
            <w:r>
              <w:rPr>
                <w:b/>
              </w:rPr>
              <w:t>21</w:t>
            </w:r>
            <w:r w:rsidR="00642C4E">
              <w:rPr>
                <w:b/>
              </w:rPr>
              <w:t xml:space="preserve"> mai</w:t>
            </w:r>
            <w:r w:rsidR="00B40F47" w:rsidRPr="0096174A">
              <w:rPr>
                <w:b/>
              </w:rPr>
              <w:t xml:space="preserve"> 2026</w:t>
            </w:r>
          </w:p>
        </w:tc>
      </w:tr>
      <w:tr w:rsidR="00D72F49" w:rsidRPr="0096174A" w14:paraId="788988A6" w14:textId="77777777" w:rsidTr="00796BDB">
        <w:trPr>
          <w:cantSplit/>
          <w:trHeight w:val="23"/>
        </w:trPr>
        <w:tc>
          <w:tcPr>
            <w:tcW w:w="3969" w:type="dxa"/>
            <w:vMerge/>
          </w:tcPr>
          <w:p w14:paraId="457910A8" w14:textId="77777777" w:rsidR="00D72F49" w:rsidRPr="0096174A" w:rsidRDefault="00D72F49" w:rsidP="00796BDB">
            <w:pPr>
              <w:tabs>
                <w:tab w:val="left" w:pos="851"/>
              </w:tabs>
              <w:spacing w:line="240" w:lineRule="atLeast"/>
              <w:rPr>
                <w:b/>
              </w:rPr>
            </w:pPr>
          </w:p>
        </w:tc>
        <w:tc>
          <w:tcPr>
            <w:tcW w:w="5245" w:type="dxa"/>
          </w:tcPr>
          <w:p w14:paraId="5080CEC7" w14:textId="77777777" w:rsidR="00D72F49" w:rsidRPr="0096174A" w:rsidRDefault="00D72F49" w:rsidP="00796BDB">
            <w:pPr>
              <w:tabs>
                <w:tab w:val="left" w:pos="851"/>
              </w:tabs>
              <w:spacing w:before="0" w:line="240" w:lineRule="atLeast"/>
              <w:jc w:val="right"/>
              <w:rPr>
                <w:b/>
              </w:rPr>
            </w:pPr>
            <w:r w:rsidRPr="0096174A">
              <w:rPr>
                <w:b/>
              </w:rPr>
              <w:t>Original: anglais</w:t>
            </w:r>
          </w:p>
        </w:tc>
      </w:tr>
      <w:tr w:rsidR="00D72F49" w:rsidRPr="0096174A" w14:paraId="177F77C7" w14:textId="77777777" w:rsidTr="00796BDB">
        <w:trPr>
          <w:cantSplit/>
          <w:trHeight w:val="23"/>
        </w:trPr>
        <w:tc>
          <w:tcPr>
            <w:tcW w:w="3969" w:type="dxa"/>
          </w:tcPr>
          <w:p w14:paraId="4F4C38C5" w14:textId="77777777" w:rsidR="00D72F49" w:rsidRPr="0096174A" w:rsidRDefault="00D72F49" w:rsidP="00796BDB">
            <w:pPr>
              <w:tabs>
                <w:tab w:val="left" w:pos="851"/>
              </w:tabs>
              <w:spacing w:line="240" w:lineRule="atLeast"/>
              <w:rPr>
                <w:b/>
              </w:rPr>
            </w:pPr>
          </w:p>
        </w:tc>
        <w:tc>
          <w:tcPr>
            <w:tcW w:w="5245" w:type="dxa"/>
          </w:tcPr>
          <w:p w14:paraId="3A2AD022" w14:textId="77777777" w:rsidR="00D72F49" w:rsidRPr="0096174A" w:rsidRDefault="00D72F49" w:rsidP="00796BDB">
            <w:pPr>
              <w:tabs>
                <w:tab w:val="left" w:pos="851"/>
              </w:tabs>
              <w:spacing w:before="0" w:line="240" w:lineRule="atLeast"/>
              <w:jc w:val="right"/>
              <w:rPr>
                <w:b/>
              </w:rPr>
            </w:pPr>
          </w:p>
        </w:tc>
      </w:tr>
    </w:tbl>
    <w:p w14:paraId="0C92624F" w14:textId="0E75402A" w:rsidR="000E6647" w:rsidRPr="0096174A" w:rsidRDefault="000E6647">
      <w:pPr>
        <w:tabs>
          <w:tab w:val="clear" w:pos="567"/>
          <w:tab w:val="clear" w:pos="1134"/>
          <w:tab w:val="clear" w:pos="1701"/>
          <w:tab w:val="clear" w:pos="2268"/>
          <w:tab w:val="clear" w:pos="2835"/>
        </w:tabs>
        <w:overflowPunct/>
        <w:autoSpaceDE/>
        <w:autoSpaceDN/>
        <w:adjustRightInd/>
        <w:spacing w:before="0"/>
        <w:textAlignment w:val="auto"/>
      </w:pPr>
    </w:p>
    <w:p w14:paraId="0B4F0F80" w14:textId="02C0BBE6" w:rsidR="009E7CD1" w:rsidRDefault="009E7CD1" w:rsidP="0012338D">
      <w:pPr>
        <w:pStyle w:val="ResNo"/>
      </w:pPr>
      <w:r w:rsidRPr="0096174A">
        <w:t xml:space="preserve">RÉSOLUTION </w:t>
      </w:r>
      <w:r w:rsidR="00FE01AA">
        <w:t>1436</w:t>
      </w:r>
    </w:p>
    <w:p w14:paraId="0AB52434" w14:textId="1ABE9ABF" w:rsidR="00E246B9" w:rsidRPr="00E246B9" w:rsidRDefault="00F109AE" w:rsidP="00E246B9">
      <w:pPr>
        <w:pStyle w:val="Resref"/>
      </w:pPr>
      <w:r w:rsidRPr="00F109AE">
        <w:t xml:space="preserve">(adoptée à la </w:t>
      </w:r>
      <w:r>
        <w:t>quatrième</w:t>
      </w:r>
      <w:r w:rsidRPr="00F109AE">
        <w:t xml:space="preserve"> séance Plénière)</w:t>
      </w:r>
    </w:p>
    <w:p w14:paraId="3FCB772B" w14:textId="61C1F906" w:rsidR="00B40F47" w:rsidRPr="0096174A" w:rsidRDefault="009E7CD1" w:rsidP="00904E54">
      <w:pPr>
        <w:pStyle w:val="Restitle"/>
      </w:pPr>
      <w:r w:rsidRPr="0096174A">
        <w:t>Dommages subis par l</w:t>
      </w:r>
      <w:r w:rsidR="00A27DFB" w:rsidRPr="0096174A">
        <w:t>'</w:t>
      </w:r>
      <w:r w:rsidRPr="0096174A">
        <w:t xml:space="preserve">infrastructure des télécommunications/des </w:t>
      </w:r>
      <w:r w:rsidR="00904E54" w:rsidRPr="0096174A">
        <w:t>t</w:t>
      </w:r>
      <w:r w:rsidRPr="0096174A">
        <w:t>echnologies de l</w:t>
      </w:r>
      <w:r w:rsidR="00A27DFB" w:rsidRPr="0096174A">
        <w:t>'</w:t>
      </w:r>
      <w:r w:rsidRPr="0096174A">
        <w:t>information et des communications civile</w:t>
      </w:r>
      <w:r w:rsidR="004E2F86" w:rsidRPr="0096174A">
        <w:t xml:space="preserve"> </w:t>
      </w:r>
      <w:r w:rsidRPr="0096174A">
        <w:t>à</w:t>
      </w:r>
      <w:r w:rsidR="00904E54" w:rsidRPr="0096174A">
        <w:t xml:space="preserve"> </w:t>
      </w:r>
      <w:r w:rsidRPr="0096174A">
        <w:t xml:space="preserve">Bahreïn, </w:t>
      </w:r>
      <w:r w:rsidR="004E2F86" w:rsidRPr="0096174A">
        <w:br/>
      </w:r>
      <w:r w:rsidRPr="0096174A">
        <w:t>au Koweït, aux Émirats arabes unis</w:t>
      </w:r>
      <w:r w:rsidR="004E2F86" w:rsidRPr="0096174A">
        <w:t xml:space="preserve"> </w:t>
      </w:r>
      <w:r w:rsidRPr="0096174A">
        <w:t xml:space="preserve">et en Jordanie et incidences </w:t>
      </w:r>
      <w:r w:rsidR="004E2F86" w:rsidRPr="0096174A">
        <w:br/>
      </w:r>
      <w:r w:rsidRPr="0096174A">
        <w:t>sur la connectivité</w:t>
      </w:r>
      <w:r w:rsidR="004E2F86" w:rsidRPr="0096174A">
        <w:t xml:space="preserve"> </w:t>
      </w:r>
      <w:r w:rsidRPr="0096174A">
        <w:t>régionale et mondiale</w:t>
      </w:r>
    </w:p>
    <w:p w14:paraId="04B82C63" w14:textId="77777777" w:rsidR="009E7CD1" w:rsidRPr="0096174A" w:rsidRDefault="009E7CD1" w:rsidP="009E7CD1">
      <w:pPr>
        <w:pStyle w:val="Normalaftertitle"/>
      </w:pPr>
      <w:r w:rsidRPr="0096174A">
        <w:t>Le Conseil de l'UIT,</w:t>
      </w:r>
    </w:p>
    <w:p w14:paraId="288B8AFD" w14:textId="77777777" w:rsidR="009E7CD1" w:rsidRPr="0096174A" w:rsidRDefault="009E7CD1" w:rsidP="0012338D">
      <w:pPr>
        <w:pStyle w:val="Call"/>
      </w:pPr>
      <w:r w:rsidRPr="0096174A">
        <w:t>rappelant</w:t>
      </w:r>
    </w:p>
    <w:p w14:paraId="0C5FC828" w14:textId="77777777" w:rsidR="009E7CD1" w:rsidRPr="0096174A" w:rsidRDefault="009E7CD1" w:rsidP="0012338D">
      <w:r w:rsidRPr="0096174A">
        <w:rPr>
          <w:i/>
          <w:iCs/>
        </w:rPr>
        <w:t>a)</w:t>
      </w:r>
      <w:r w:rsidRPr="0096174A">
        <w:tab/>
        <w:t>les nobles principes, objet et objectifs énoncés dans la Charte des Nations Unies et dans la Déclaration universelle des droits de l'homme, ainsi que dans la Déclaration de principes adoptée par le Sommet mondial sur la société de l'information;</w:t>
      </w:r>
    </w:p>
    <w:p w14:paraId="5D594DCF" w14:textId="2D8EEAF4" w:rsidR="009E7CD1" w:rsidRPr="0096174A" w:rsidRDefault="009C1E7B" w:rsidP="0012338D">
      <w:r w:rsidRPr="0096174A">
        <w:rPr>
          <w:i/>
          <w:iCs/>
        </w:rPr>
        <w:t>b</w:t>
      </w:r>
      <w:r w:rsidR="009E7CD1" w:rsidRPr="0096174A">
        <w:rPr>
          <w:i/>
          <w:iCs/>
        </w:rPr>
        <w:t>)</w:t>
      </w:r>
      <w:r w:rsidR="009E7CD1" w:rsidRPr="0096174A">
        <w:tab/>
        <w:t>l'objet de l'Union, énoncé dans l'article 1 de la Constitution de l'UIT;</w:t>
      </w:r>
    </w:p>
    <w:p w14:paraId="460AF842" w14:textId="5ED8668F" w:rsidR="009E7CD1" w:rsidRPr="0096174A" w:rsidRDefault="009C1E7B" w:rsidP="0012338D">
      <w:r w:rsidRPr="0096174A">
        <w:rPr>
          <w:i/>
          <w:iCs/>
        </w:rPr>
        <w:t>c</w:t>
      </w:r>
      <w:r w:rsidR="009E7CD1" w:rsidRPr="0096174A">
        <w:rPr>
          <w:i/>
          <w:iCs/>
        </w:rPr>
        <w:t>)</w:t>
      </w:r>
      <w:r w:rsidR="009E7CD1" w:rsidRPr="0096174A">
        <w:tab/>
        <w:t>les principes énoncés dans les articles 38 (numéro 186) et 45 (numéro 197) de la Constitution de l</w:t>
      </w:r>
      <w:r w:rsidR="00A27DFB" w:rsidRPr="0096174A">
        <w:t>'</w:t>
      </w:r>
      <w:r w:rsidR="009E7CD1" w:rsidRPr="0096174A">
        <w:t>UIT,</w:t>
      </w:r>
    </w:p>
    <w:p w14:paraId="2DE2D1B2" w14:textId="77777777" w:rsidR="009E7CD1" w:rsidRPr="0096174A" w:rsidRDefault="009E7CD1" w:rsidP="0012338D">
      <w:pPr>
        <w:pStyle w:val="Call"/>
      </w:pPr>
      <w:r w:rsidRPr="0096174A">
        <w:t>rappelant en outre</w:t>
      </w:r>
    </w:p>
    <w:p w14:paraId="71936BB5" w14:textId="42169CA0" w:rsidR="009E7CD1" w:rsidRPr="0096174A" w:rsidRDefault="009E7CD1" w:rsidP="0012338D">
      <w:r w:rsidRPr="0096174A">
        <w:rPr>
          <w:i/>
          <w:iCs/>
        </w:rPr>
        <w:t>a)</w:t>
      </w:r>
      <w:r w:rsidRPr="0096174A">
        <w:tab/>
        <w:t>la Résolution 2817 (2026) du Conseil de sécurité de l</w:t>
      </w:r>
      <w:r w:rsidR="00A27DFB" w:rsidRPr="0096174A">
        <w:t>'</w:t>
      </w:r>
      <w:r w:rsidRPr="0096174A">
        <w:t>Organisation des Nations</w:t>
      </w:r>
      <w:r w:rsidR="008824C1" w:rsidRPr="0096174A">
        <w:t> </w:t>
      </w:r>
      <w:r w:rsidRPr="0096174A">
        <w:t>Unies, en date du 11 mars 2026, aux termes de laquelle celui-ci condamne avec la plus grande fermeté les attaques inacceptables perpétrées par l</w:t>
      </w:r>
      <w:r w:rsidR="00A27DFB" w:rsidRPr="0096174A">
        <w:t>'</w:t>
      </w:r>
      <w:r w:rsidRPr="0096174A">
        <w:t>Iran contre les territoires de l</w:t>
      </w:r>
      <w:r w:rsidR="00A27DFB" w:rsidRPr="0096174A">
        <w:t>'</w:t>
      </w:r>
      <w:r w:rsidRPr="0096174A">
        <w:t>Arabie</w:t>
      </w:r>
      <w:r w:rsidR="002D6CF0" w:rsidRPr="0096174A">
        <w:t> </w:t>
      </w:r>
      <w:r w:rsidRPr="0096174A">
        <w:t>saoudite, de Bahreïn, des Émirats arabes unis, de la Jordanie, du Koweït, d</w:t>
      </w:r>
      <w:r w:rsidR="00A27DFB" w:rsidRPr="0096174A">
        <w:t>'</w:t>
      </w:r>
      <w:r w:rsidRPr="0096174A">
        <w:t>Oman et du Qatar;</w:t>
      </w:r>
    </w:p>
    <w:p w14:paraId="448475AE" w14:textId="27FEB09E" w:rsidR="009E7CD1" w:rsidRPr="0096174A" w:rsidRDefault="009C1E7B" w:rsidP="0012338D">
      <w:r w:rsidRPr="0096174A">
        <w:rPr>
          <w:i/>
          <w:iCs/>
        </w:rPr>
        <w:t>b</w:t>
      </w:r>
      <w:r w:rsidR="009E7CD1" w:rsidRPr="0096174A">
        <w:rPr>
          <w:i/>
          <w:iCs/>
        </w:rPr>
        <w:t>)</w:t>
      </w:r>
      <w:r w:rsidR="009E7CD1" w:rsidRPr="0096174A">
        <w:tab/>
        <w:t xml:space="preserve">la Résolution 34 </w:t>
      </w:r>
      <w:r w:rsidR="00273F26">
        <w:t xml:space="preserve">(Rév. Bakou, 2025) </w:t>
      </w:r>
      <w:r w:rsidR="009E7CD1" w:rsidRPr="0096174A">
        <w:t>de la Conférence mondiale de développement des télécommunications (CMDT) sur le rôle des télécommunications et des technologies de l'information et de la communication (TIC) dans la préparation en prévision des catastrophes, l'alerte avancée, l'atténuation des effets des catastrophes, les interventions et les opérations de secours;</w:t>
      </w:r>
    </w:p>
    <w:p w14:paraId="28A36FC6" w14:textId="4A0E422B" w:rsidR="009E7CD1" w:rsidRPr="0096174A" w:rsidRDefault="009C1E7B" w:rsidP="0012338D">
      <w:r w:rsidRPr="0096174A">
        <w:rPr>
          <w:i/>
          <w:iCs/>
        </w:rPr>
        <w:t>c</w:t>
      </w:r>
      <w:r w:rsidR="009E7CD1" w:rsidRPr="0096174A">
        <w:rPr>
          <w:i/>
          <w:iCs/>
        </w:rPr>
        <w:t>)</w:t>
      </w:r>
      <w:r w:rsidR="009E7CD1" w:rsidRPr="0096174A">
        <w:tab/>
        <w:t>la Résolution 130 (Rév. Bucarest, 2022) de la Conférence de plénipotentiaires sur le renforcement du rôle de l'UIT dans l'instauration de la confiance et de la sécurité dans l'utilisation des TIC;</w:t>
      </w:r>
    </w:p>
    <w:p w14:paraId="2103D76C" w14:textId="3631C86E" w:rsidR="009E7CD1" w:rsidRPr="0096174A" w:rsidRDefault="003C65BE" w:rsidP="0012338D">
      <w:r w:rsidRPr="0096174A">
        <w:rPr>
          <w:i/>
          <w:iCs/>
        </w:rPr>
        <w:t>d</w:t>
      </w:r>
      <w:r w:rsidR="009E7CD1" w:rsidRPr="0096174A">
        <w:rPr>
          <w:i/>
          <w:iCs/>
        </w:rPr>
        <w:t>)</w:t>
      </w:r>
      <w:r w:rsidR="009E7CD1" w:rsidRPr="0096174A">
        <w:tab/>
        <w:t>la Résolution 136 (Rév. Bucarest, 2022) de la Conférence de plénipotentiaires relative à l'utilisation des télécommunications/TIC pour l'aide humanitaire</w:t>
      </w:r>
      <w:r w:rsidRPr="0096174A">
        <w:t>,</w:t>
      </w:r>
    </w:p>
    <w:p w14:paraId="6BEABE84" w14:textId="77777777" w:rsidR="009E7CD1" w:rsidRPr="0096174A" w:rsidRDefault="009E7CD1" w:rsidP="0012338D">
      <w:pPr>
        <w:pStyle w:val="Call"/>
      </w:pPr>
      <w:r w:rsidRPr="0096174A">
        <w:lastRenderedPageBreak/>
        <w:t>réaffirmant</w:t>
      </w:r>
    </w:p>
    <w:p w14:paraId="279BBBCD" w14:textId="1542CB25" w:rsidR="009E7CD1" w:rsidRPr="0096174A" w:rsidRDefault="009E7CD1" w:rsidP="00D6288E">
      <w:pPr>
        <w:jc w:val="both"/>
      </w:pPr>
      <w:r w:rsidRPr="0096174A">
        <w:rPr>
          <w:i/>
          <w:iCs/>
        </w:rPr>
        <w:t>a)</w:t>
      </w:r>
      <w:r w:rsidRPr="0096174A">
        <w:tab/>
        <w:t xml:space="preserve">la souveraineté, l'indépendance, l'unité et l'intégrité territoriale de Bahreïn, du Koweït, des Émirats arabes unis et de la Jordanie à l'intérieur de leurs frontières internationalement reconnues </w:t>
      </w:r>
      <w:r w:rsidR="003C65BE" w:rsidRPr="0096174A">
        <w:t xml:space="preserve">et de </w:t>
      </w:r>
      <w:r w:rsidRPr="0096174A">
        <w:t>leurs eaux territoriales;</w:t>
      </w:r>
    </w:p>
    <w:p w14:paraId="1C80660A" w14:textId="3E77FC92" w:rsidR="009E7CD1" w:rsidRPr="0096174A" w:rsidRDefault="009E7CD1" w:rsidP="00D6288E">
      <w:pPr>
        <w:jc w:val="both"/>
      </w:pPr>
      <w:r w:rsidRPr="0096174A">
        <w:rPr>
          <w:i/>
          <w:iCs/>
        </w:rPr>
        <w:t>b)</w:t>
      </w:r>
      <w:r w:rsidRPr="0096174A">
        <w:tab/>
        <w:t>l</w:t>
      </w:r>
      <w:r w:rsidR="00A27DFB" w:rsidRPr="0096174A">
        <w:t>'</w:t>
      </w:r>
      <w:r w:rsidRPr="0096174A">
        <w:t>importance croissante des télécommunications pour la sauvegarde de la paix et le développement économique et social de tous les États, comme indiqué dans le Préambule de la Constitution de l</w:t>
      </w:r>
      <w:r w:rsidR="00A27DFB" w:rsidRPr="0096174A">
        <w:t>'</w:t>
      </w:r>
      <w:r w:rsidRPr="0096174A">
        <w:t>UIT,</w:t>
      </w:r>
    </w:p>
    <w:p w14:paraId="04D75AD0" w14:textId="77777777" w:rsidR="009E7CD1" w:rsidRPr="0096174A" w:rsidRDefault="009E7CD1" w:rsidP="0012338D">
      <w:pPr>
        <w:pStyle w:val="Call"/>
      </w:pPr>
      <w:r w:rsidRPr="0096174A">
        <w:t>considérant</w:t>
      </w:r>
    </w:p>
    <w:p w14:paraId="6E24385A" w14:textId="36F51157" w:rsidR="009E7CD1" w:rsidRPr="0096174A" w:rsidRDefault="009E7CD1" w:rsidP="00D6288E">
      <w:pPr>
        <w:jc w:val="both"/>
      </w:pPr>
      <w:r w:rsidRPr="0096174A">
        <w:t>que l</w:t>
      </w:r>
      <w:r w:rsidR="00A27DFB" w:rsidRPr="0096174A">
        <w:t>'</w:t>
      </w:r>
      <w:r w:rsidRPr="0096174A">
        <w:t xml:space="preserve">infrastructure </w:t>
      </w:r>
      <w:r w:rsidR="003C65BE" w:rsidRPr="0096174A">
        <w:t>de télécommunication/</w:t>
      </w:r>
      <w:r w:rsidRPr="0096174A">
        <w:t>TIC civile</w:t>
      </w:r>
      <w:r w:rsidR="003C65BE" w:rsidRPr="0096174A" w:rsidDel="003C65BE">
        <w:t xml:space="preserve"> </w:t>
      </w:r>
      <w:r w:rsidRPr="0096174A">
        <w:t>est essentielle à la fourniture de services de télécommunication et au développement social et économique de tous les pays</w:t>
      </w:r>
      <w:r w:rsidR="003C65BE" w:rsidRPr="0096174A">
        <w:t>,</w:t>
      </w:r>
    </w:p>
    <w:p w14:paraId="7E92D6B1" w14:textId="14BBA8B0" w:rsidR="009E7CD1" w:rsidRPr="0096174A" w:rsidRDefault="009E7CD1" w:rsidP="0012338D">
      <w:pPr>
        <w:pStyle w:val="Call"/>
      </w:pPr>
      <w:r w:rsidRPr="0096174A">
        <w:t>rappelant</w:t>
      </w:r>
      <w:r w:rsidRPr="0096174A">
        <w:rPr>
          <w:iCs/>
        </w:rPr>
        <w:t xml:space="preserve"> l'engagement de l'UIT</w:t>
      </w:r>
    </w:p>
    <w:p w14:paraId="62434A32" w14:textId="77777777" w:rsidR="009E7CD1" w:rsidRPr="0096174A" w:rsidRDefault="009E7CD1" w:rsidP="00D6288E">
      <w:pPr>
        <w:jc w:val="both"/>
      </w:pPr>
      <w:r w:rsidRPr="0096174A">
        <w:t>en vue de "provoquer l'adoption de mesures permettant d'assurer la sécurité de la vie humaine par la coopération des services de télécommunication",</w:t>
      </w:r>
    </w:p>
    <w:p w14:paraId="4A8250C8" w14:textId="77777777" w:rsidR="009E7CD1" w:rsidRPr="0096174A" w:rsidRDefault="009E7CD1" w:rsidP="0012338D">
      <w:pPr>
        <w:pStyle w:val="Call"/>
      </w:pPr>
      <w:r w:rsidRPr="0096174A">
        <w:t>condamnant</w:t>
      </w:r>
    </w:p>
    <w:p w14:paraId="0461E2B9" w14:textId="6EB97C42" w:rsidR="009E7CD1" w:rsidRPr="0096174A" w:rsidRDefault="009E7CD1" w:rsidP="00D6288E">
      <w:pPr>
        <w:jc w:val="both"/>
      </w:pPr>
      <w:r w:rsidRPr="0096174A">
        <w:t>le fait que l</w:t>
      </w:r>
      <w:r w:rsidR="00A27DFB" w:rsidRPr="0096174A">
        <w:t>'</w:t>
      </w:r>
      <w:r w:rsidRPr="0096174A">
        <w:t>Iran prenne pour cible de manière illégale et généralisée des biens de caractère civil, y compris les services de télécommunication</w:t>
      </w:r>
      <w:r w:rsidR="003C65BE" w:rsidRPr="0096174A">
        <w:t xml:space="preserve"> et les câbles sous-marins</w:t>
      </w:r>
      <w:r w:rsidRPr="0096174A">
        <w:t xml:space="preserve">, à Bahreïn, au Koweït, aux Émirats arabes unis et en Jordanie, ce qui est </w:t>
      </w:r>
      <w:r w:rsidR="00FE45DA" w:rsidRPr="0096174A">
        <w:t>contraire</w:t>
      </w:r>
      <w:r w:rsidRPr="0096174A">
        <w:t xml:space="preserve"> </w:t>
      </w:r>
      <w:r w:rsidR="00FE45DA" w:rsidRPr="0096174A">
        <w:t xml:space="preserve">à </w:t>
      </w:r>
      <w:r w:rsidRPr="0096174A">
        <w:t xml:space="preserve">la Constitution et </w:t>
      </w:r>
      <w:r w:rsidR="00FE45DA" w:rsidRPr="0096174A">
        <w:t>à</w:t>
      </w:r>
      <w:r w:rsidRPr="0096174A">
        <w:t xml:space="preserve"> la Convention de l</w:t>
      </w:r>
      <w:r w:rsidR="00A27DFB" w:rsidRPr="0096174A">
        <w:t>'</w:t>
      </w:r>
      <w:r w:rsidRPr="0096174A">
        <w:t>UIT</w:t>
      </w:r>
      <w:r w:rsidR="003C65BE" w:rsidRPr="0096174A">
        <w:t>,</w:t>
      </w:r>
    </w:p>
    <w:p w14:paraId="5D50A19B" w14:textId="057C4286" w:rsidR="00FE45DA" w:rsidRPr="0096174A" w:rsidRDefault="00FE45DA" w:rsidP="00FE45DA">
      <w:pPr>
        <w:pStyle w:val="Call"/>
      </w:pPr>
      <w:r w:rsidRPr="0096174A">
        <w:t>notant avec une profonde préoccupation</w:t>
      </w:r>
    </w:p>
    <w:p w14:paraId="5A8B2409" w14:textId="35A491DB" w:rsidR="00A64755" w:rsidRPr="0096174A" w:rsidRDefault="00FE45DA" w:rsidP="00D6288E">
      <w:pPr>
        <w:jc w:val="both"/>
      </w:pPr>
      <w:r w:rsidRPr="0096174A">
        <w:t>les menaces lancées selon lesquelles d'autres infrastructures de télécommunication civiles pourraient être prises pour cible, ce qui est contraire à la Constitution et à la Convention de l'UIT,</w:t>
      </w:r>
    </w:p>
    <w:p w14:paraId="4D7B6343" w14:textId="733BDC9B" w:rsidR="009E7CD1" w:rsidRPr="0096174A" w:rsidRDefault="009E7CD1" w:rsidP="0012338D">
      <w:pPr>
        <w:pStyle w:val="Call"/>
      </w:pPr>
      <w:r w:rsidRPr="0096174A">
        <w:rPr>
          <w:iCs/>
        </w:rPr>
        <w:t xml:space="preserve">décide de </w:t>
      </w:r>
      <w:r w:rsidRPr="0096174A">
        <w:t>charger</w:t>
      </w:r>
      <w:r w:rsidRPr="0096174A">
        <w:rPr>
          <w:iCs/>
        </w:rPr>
        <w:t xml:space="preserve"> les Directeurs des trois Bureaux</w:t>
      </w:r>
    </w:p>
    <w:p w14:paraId="119BD0B1" w14:textId="77B12A62" w:rsidR="009E7CD1" w:rsidRPr="0096174A" w:rsidRDefault="009E7CD1" w:rsidP="00D6288E">
      <w:pPr>
        <w:jc w:val="both"/>
      </w:pPr>
      <w:r w:rsidRPr="0096174A">
        <w:t>1</w:t>
      </w:r>
      <w:r w:rsidRPr="0096174A">
        <w:tab/>
        <w:t xml:space="preserve">de suivre la situation concernant </w:t>
      </w:r>
      <w:r w:rsidR="00FE45DA" w:rsidRPr="0096174A">
        <w:t>c</w:t>
      </w:r>
      <w:r w:rsidRPr="0096174A">
        <w:t>es attaques contre les services et infrastructures de télécommunication de Bahreïn, au Koweït, des Émirats</w:t>
      </w:r>
      <w:r w:rsidR="008824C1" w:rsidRPr="0096174A">
        <w:t> </w:t>
      </w:r>
      <w:r w:rsidRPr="0096174A">
        <w:t>arabes</w:t>
      </w:r>
      <w:r w:rsidR="00904E54" w:rsidRPr="0096174A">
        <w:t> </w:t>
      </w:r>
      <w:r w:rsidRPr="0096174A">
        <w:t>unis et de la Jordanie et de présenter des rapports réguliers à ce sujet, y</w:t>
      </w:r>
      <w:r w:rsidR="008824C1" w:rsidRPr="0096174A">
        <w:t> </w:t>
      </w:r>
      <w:r w:rsidRPr="0096174A">
        <w:t>compris sur leurs incidences à l</w:t>
      </w:r>
      <w:r w:rsidR="00A27DFB" w:rsidRPr="0096174A">
        <w:t>'</w:t>
      </w:r>
      <w:r w:rsidRPr="0096174A">
        <w:t>échelle mondiale;</w:t>
      </w:r>
    </w:p>
    <w:p w14:paraId="2ED5614C" w14:textId="14FE9325" w:rsidR="000E017A" w:rsidRPr="0096174A" w:rsidRDefault="009E7CD1" w:rsidP="00D6288E">
      <w:pPr>
        <w:jc w:val="both"/>
      </w:pPr>
      <w:r w:rsidRPr="0096174A">
        <w:t>2</w:t>
      </w:r>
      <w:r w:rsidRPr="0096174A">
        <w:tab/>
        <w:t>de procéder à une évaluation des incidences d</w:t>
      </w:r>
      <w:r w:rsidR="00FE45DA" w:rsidRPr="0096174A">
        <w:t>e c</w:t>
      </w:r>
      <w:r w:rsidRPr="0096174A">
        <w:t xml:space="preserve">es attaques </w:t>
      </w:r>
      <w:r w:rsidR="00FE45DA" w:rsidRPr="0096174A">
        <w:t>contre</w:t>
      </w:r>
      <w:r w:rsidRPr="0096174A">
        <w:t xml:space="preserve"> les services et l</w:t>
      </w:r>
      <w:r w:rsidR="00A27DFB" w:rsidRPr="0096174A">
        <w:t>'</w:t>
      </w:r>
      <w:r w:rsidRPr="0096174A">
        <w:t>infrastructure de télécommunication, y compris sur les programmes et activités de l</w:t>
      </w:r>
      <w:r w:rsidR="00A27DFB" w:rsidRPr="0096174A">
        <w:t>'</w:t>
      </w:r>
      <w:r w:rsidRPr="0096174A">
        <w:t>UIT, à Bahreïn, au Koweït, aux Émirats arabes unis et en Jordanie, et d</w:t>
      </w:r>
      <w:r w:rsidR="00A27DFB" w:rsidRPr="0096174A">
        <w:t>'</w:t>
      </w:r>
      <w:r w:rsidRPr="0096174A">
        <w:t>élaborer un rapport à ce sujet</w:t>
      </w:r>
      <w:r w:rsidR="000E017A" w:rsidRPr="0096174A">
        <w:t>;</w:t>
      </w:r>
    </w:p>
    <w:p w14:paraId="21A1D77E" w14:textId="03E1E710" w:rsidR="009E7CD1" w:rsidRPr="0096174A" w:rsidRDefault="000E017A" w:rsidP="00D6288E">
      <w:pPr>
        <w:jc w:val="both"/>
      </w:pPr>
      <w:r w:rsidRPr="0096174A">
        <w:t>3</w:t>
      </w:r>
      <w:r w:rsidRPr="0096174A">
        <w:tab/>
        <w:t>de faire en sorte que des ressources financières et des ressources humaines suffisantes soient mobilisées, notamment au titre du budget interne et du Fonds pour le développement des technologies de l'information et de la communication, en vue de la mise en œuvre des actions proposées</w:t>
      </w:r>
      <w:r w:rsidR="009E7CD1" w:rsidRPr="0096174A">
        <w:t>,</w:t>
      </w:r>
    </w:p>
    <w:p w14:paraId="58D4B14C" w14:textId="1D28AC11" w:rsidR="009E7CD1" w:rsidRPr="0096174A" w:rsidRDefault="009E7CD1" w:rsidP="0012338D">
      <w:pPr>
        <w:pStyle w:val="Call"/>
      </w:pPr>
      <w:r w:rsidRPr="0096174A">
        <w:t>charge</w:t>
      </w:r>
      <w:r w:rsidRPr="0096174A">
        <w:rPr>
          <w:iCs/>
        </w:rPr>
        <w:t xml:space="preserve"> l</w:t>
      </w:r>
      <w:r w:rsidR="005A3CDF">
        <w:rPr>
          <w:iCs/>
        </w:rPr>
        <w:t>e</w:t>
      </w:r>
      <w:r w:rsidRPr="0096174A">
        <w:rPr>
          <w:iCs/>
        </w:rPr>
        <w:t xml:space="preserve"> Secrétaire général</w:t>
      </w:r>
    </w:p>
    <w:p w14:paraId="72A2971C" w14:textId="77777777" w:rsidR="009E7CD1" w:rsidRPr="0096174A" w:rsidRDefault="009E7CD1" w:rsidP="00D6288E">
      <w:pPr>
        <w:jc w:val="both"/>
      </w:pPr>
      <w:r w:rsidRPr="0096174A">
        <w:t>1</w:t>
      </w:r>
      <w:r w:rsidRPr="0096174A">
        <w:tab/>
        <w:t xml:space="preserve">de coordonner les activités menées par les trois Secteurs de l'Union, conformément au </w:t>
      </w:r>
      <w:r w:rsidRPr="0096174A">
        <w:rPr>
          <w:i/>
          <w:iCs/>
        </w:rPr>
        <w:t>décide</w:t>
      </w:r>
      <w:r w:rsidRPr="0096174A">
        <w:t xml:space="preserve"> ci-dessus, afin de faire en sorte que l'action engagée par l'UIT en faveur des pays concernés soit la plus efficace possible;</w:t>
      </w:r>
    </w:p>
    <w:p w14:paraId="4ABD655B" w14:textId="6384F13F" w:rsidR="009E7CD1" w:rsidRPr="0096174A" w:rsidRDefault="009E7CD1" w:rsidP="00D6288E">
      <w:pPr>
        <w:keepNext/>
        <w:keepLines/>
        <w:jc w:val="both"/>
      </w:pPr>
      <w:r w:rsidRPr="0096174A">
        <w:lastRenderedPageBreak/>
        <w:t>2</w:t>
      </w:r>
      <w:r w:rsidRPr="0096174A">
        <w:tab/>
        <w:t>de présenter un rapport sur les incidences de ces attaques sur l</w:t>
      </w:r>
      <w:r w:rsidR="00A27DFB" w:rsidRPr="0096174A">
        <w:t>'</w:t>
      </w:r>
      <w:r w:rsidRPr="0096174A">
        <w:t xml:space="preserve">infrastructure </w:t>
      </w:r>
      <w:r w:rsidR="000E017A" w:rsidRPr="0096174A">
        <w:t>de télécommunication/</w:t>
      </w:r>
      <w:r w:rsidRPr="0096174A">
        <w:t>TIC de Bahreïn, du Koweït, des Émirats arabes unis et de la Jordanie, comprenant une évaluation des dommages, à la Conférence de plénipotentiaires de 202</w:t>
      </w:r>
      <w:r w:rsidR="0059316D">
        <w:t>6</w:t>
      </w:r>
      <w:r w:rsidRPr="0096174A">
        <w:t xml:space="preserve"> et la séance finale du Conseil qui se tiendra le 7 novembre 2026, ainsi qu'aux réunions et conférences futures, selon qu</w:t>
      </w:r>
      <w:r w:rsidR="00A27DFB" w:rsidRPr="0096174A">
        <w:t>'</w:t>
      </w:r>
      <w:r w:rsidRPr="0096174A">
        <w:t>il conviendra.</w:t>
      </w:r>
    </w:p>
    <w:p w14:paraId="5307F28F" w14:textId="77777777" w:rsidR="00897553" w:rsidRPr="0096174A" w:rsidRDefault="006A11AE" w:rsidP="00FE01AA">
      <w:pPr>
        <w:spacing w:before="600"/>
        <w:jc w:val="center"/>
      </w:pPr>
      <w:r w:rsidRPr="0096174A">
        <w:t>______________</w:t>
      </w:r>
    </w:p>
    <w:sectPr w:rsidR="00897553" w:rsidRPr="0096174A" w:rsidSect="009E7CD1">
      <w:footerReference w:type="default" r:id="rId8"/>
      <w:headerReference w:type="first" r:id="rId9"/>
      <w:footerReference w:type="first" r:id="rId10"/>
      <w:pgSz w:w="11907" w:h="16840" w:code="9"/>
      <w:pgMar w:top="1418" w:right="1418" w:bottom="1418" w:left="1418" w:header="720" w:footer="720" w:gutter="0"/>
      <w:paperSrc w:first="286" w:other="28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F0EA5" w14:textId="77777777" w:rsidR="002F4FCC" w:rsidRDefault="002F4FCC">
      <w:r>
        <w:separator/>
      </w:r>
    </w:p>
  </w:endnote>
  <w:endnote w:type="continuationSeparator" w:id="0">
    <w:p w14:paraId="5DB91874" w14:textId="77777777" w:rsidR="002F4FCC" w:rsidRDefault="002F4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6"/>
      <w:gridCol w:w="8261"/>
    </w:tblGrid>
    <w:tr w:rsidR="008F6AD7" w:rsidRPr="00784011" w14:paraId="057F2780" w14:textId="77777777" w:rsidTr="007967D5">
      <w:trPr>
        <w:jc w:val="center"/>
      </w:trPr>
      <w:tc>
        <w:tcPr>
          <w:tcW w:w="1646" w:type="dxa"/>
          <w:vAlign w:val="center"/>
        </w:tcPr>
        <w:p w14:paraId="470C2794" w14:textId="08FA0762" w:rsidR="008F6AD7" w:rsidRDefault="008F6AD7" w:rsidP="00A51849">
          <w:pPr>
            <w:pStyle w:val="Header"/>
            <w:jc w:val="left"/>
            <w:rPr>
              <w:noProof/>
            </w:rPr>
          </w:pPr>
        </w:p>
      </w:tc>
      <w:tc>
        <w:tcPr>
          <w:tcW w:w="8261" w:type="dxa"/>
        </w:tcPr>
        <w:p w14:paraId="38573AFF" w14:textId="14A0D205" w:rsidR="008F6AD7" w:rsidRPr="00E06FD5" w:rsidRDefault="008F6AD7" w:rsidP="000063E1">
          <w:pPr>
            <w:pStyle w:val="Header"/>
            <w:tabs>
              <w:tab w:val="left" w:pos="6327"/>
              <w:tab w:val="right" w:pos="8505"/>
              <w:tab w:val="right" w:pos="9639"/>
            </w:tabs>
            <w:jc w:val="left"/>
            <w:rPr>
              <w:rFonts w:ascii="Arial" w:hAnsi="Arial" w:cs="Arial"/>
              <w:b/>
              <w:bCs/>
              <w:szCs w:val="18"/>
            </w:rPr>
          </w:pPr>
          <w:r>
            <w:rPr>
              <w:bCs/>
            </w:rPr>
            <w:tab/>
          </w:r>
          <w:proofErr w:type="spellStart"/>
          <w:r w:rsidRPr="00623AE3">
            <w:rPr>
              <w:bCs/>
            </w:rPr>
            <w:t>C</w:t>
          </w:r>
          <w:r>
            <w:rPr>
              <w:bCs/>
            </w:rPr>
            <w:t>26</w:t>
          </w:r>
          <w:proofErr w:type="spellEnd"/>
          <w:r w:rsidRPr="00623AE3">
            <w:rPr>
              <w:bCs/>
            </w:rPr>
            <w:t>/</w:t>
          </w:r>
          <w:r w:rsidR="00FE01AA">
            <w:rPr>
              <w:bCs/>
            </w:rPr>
            <w:t>130</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7A1B0B53" w14:textId="77777777" w:rsidR="008F6AD7" w:rsidRPr="00A51849" w:rsidRDefault="008F6AD7" w:rsidP="00FC6D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3"/>
      <w:gridCol w:w="8254"/>
    </w:tblGrid>
    <w:tr w:rsidR="00642C4E" w:rsidRPr="00784011" w14:paraId="013AA949" w14:textId="77777777" w:rsidTr="008B63E9">
      <w:trPr>
        <w:jc w:val="center"/>
      </w:trPr>
      <w:tc>
        <w:tcPr>
          <w:tcW w:w="1646" w:type="dxa"/>
          <w:vAlign w:val="center"/>
        </w:tcPr>
        <w:p w14:paraId="192D1A8F" w14:textId="0344C3A9" w:rsidR="00642C4E" w:rsidRDefault="00E246B9" w:rsidP="00642C4E">
          <w:pPr>
            <w:pStyle w:val="Header"/>
            <w:jc w:val="left"/>
            <w:rPr>
              <w:noProof/>
            </w:rPr>
          </w:pPr>
          <w:hyperlink r:id="rId1" w:anchor="/fr" w:history="1">
            <w:r w:rsidRPr="008E5C33">
              <w:rPr>
                <w:rStyle w:val="Hyperlink"/>
                <w:rFonts w:eastAsia="Times New Roman" w:cs="Times New Roman"/>
                <w:noProof/>
                <w:szCs w:val="20"/>
              </w:rPr>
              <w:t>council.itu.int/2026</w:t>
            </w:r>
          </w:hyperlink>
          <w:r>
            <w:rPr>
              <w:noProof/>
            </w:rPr>
            <w:t xml:space="preserve"> </w:t>
          </w:r>
        </w:p>
      </w:tc>
      <w:tc>
        <w:tcPr>
          <w:tcW w:w="8261" w:type="dxa"/>
        </w:tcPr>
        <w:p w14:paraId="7260A8DA" w14:textId="4B29F7B5" w:rsidR="00642C4E" w:rsidRPr="00E06FD5" w:rsidRDefault="00642C4E" w:rsidP="00642C4E">
          <w:pPr>
            <w:pStyle w:val="Header"/>
            <w:tabs>
              <w:tab w:val="left" w:pos="6327"/>
              <w:tab w:val="right" w:pos="8505"/>
              <w:tab w:val="right" w:pos="9639"/>
            </w:tabs>
            <w:jc w:val="left"/>
            <w:rPr>
              <w:rFonts w:ascii="Arial" w:hAnsi="Arial" w:cs="Arial"/>
              <w:b/>
              <w:bCs/>
              <w:szCs w:val="18"/>
            </w:rPr>
          </w:pPr>
          <w:r>
            <w:rPr>
              <w:bCs/>
            </w:rPr>
            <w:tab/>
          </w:r>
          <w:proofErr w:type="spellStart"/>
          <w:r w:rsidRPr="00623AE3">
            <w:rPr>
              <w:bCs/>
            </w:rPr>
            <w:t>C</w:t>
          </w:r>
          <w:r>
            <w:rPr>
              <w:bCs/>
            </w:rPr>
            <w:t>26</w:t>
          </w:r>
          <w:proofErr w:type="spellEnd"/>
          <w:r w:rsidRPr="00623AE3">
            <w:rPr>
              <w:bCs/>
            </w:rPr>
            <w:t>/</w:t>
          </w:r>
          <w:r w:rsidR="00FE01AA">
            <w:rPr>
              <w:bCs/>
            </w:rPr>
            <w:t>130</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6128113C" w14:textId="77777777" w:rsidR="00642C4E" w:rsidRDefault="00642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CF2BB" w14:textId="77777777" w:rsidR="002F4FCC" w:rsidRDefault="002F4FCC">
      <w:r>
        <w:t>____________________</w:t>
      </w:r>
    </w:p>
  </w:footnote>
  <w:footnote w:type="continuationSeparator" w:id="0">
    <w:p w14:paraId="6167DFD4" w14:textId="77777777" w:rsidR="002F4FCC" w:rsidRDefault="002F4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5F96" w14:textId="18FEDD1C" w:rsidR="00642C4E" w:rsidRDefault="00642C4E" w:rsidP="00642C4E">
    <w:pPr>
      <w:pStyle w:val="Header"/>
    </w:pPr>
    <w:r>
      <w:rPr>
        <w:noProof/>
      </w:rPr>
      <w:drawing>
        <wp:inline distT="0" distB="0" distL="0" distR="0" wp14:anchorId="408FBE61" wp14:editId="65877776">
          <wp:extent cx="5760085" cy="84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1925335949">
    <w:abstractNumId w:val="9"/>
  </w:num>
  <w:num w:numId="2" w16cid:durableId="214005531">
    <w:abstractNumId w:val="7"/>
  </w:num>
  <w:num w:numId="3" w16cid:durableId="1945922870">
    <w:abstractNumId w:val="6"/>
  </w:num>
  <w:num w:numId="4" w16cid:durableId="245460669">
    <w:abstractNumId w:val="5"/>
  </w:num>
  <w:num w:numId="5" w16cid:durableId="1664776188">
    <w:abstractNumId w:val="4"/>
  </w:num>
  <w:num w:numId="6" w16cid:durableId="90202694">
    <w:abstractNumId w:val="8"/>
  </w:num>
  <w:num w:numId="7" w16cid:durableId="1017806200">
    <w:abstractNumId w:val="3"/>
  </w:num>
  <w:num w:numId="8" w16cid:durableId="1350523900">
    <w:abstractNumId w:val="2"/>
  </w:num>
  <w:num w:numId="9" w16cid:durableId="75446653">
    <w:abstractNumId w:val="1"/>
  </w:num>
  <w:num w:numId="10" w16cid:durableId="2036536724">
    <w:abstractNumId w:val="0"/>
  </w:num>
  <w:num w:numId="11" w16cid:durableId="325865168">
    <w:abstractNumId w:val="8"/>
  </w:num>
  <w:num w:numId="12" w16cid:durableId="757215886">
    <w:abstractNumId w:val="3"/>
  </w:num>
  <w:num w:numId="13" w16cid:durableId="1956905801">
    <w:abstractNumId w:val="2"/>
  </w:num>
  <w:num w:numId="14" w16cid:durableId="864488644">
    <w:abstractNumId w:val="1"/>
  </w:num>
  <w:num w:numId="15" w16cid:durableId="1399328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F47"/>
    <w:rsid w:val="00000062"/>
    <w:rsid w:val="000063E1"/>
    <w:rsid w:val="00025B8D"/>
    <w:rsid w:val="00076A2C"/>
    <w:rsid w:val="0008592F"/>
    <w:rsid w:val="000D0D0A"/>
    <w:rsid w:val="000E017A"/>
    <w:rsid w:val="000E6647"/>
    <w:rsid w:val="000E704C"/>
    <w:rsid w:val="00103163"/>
    <w:rsid w:val="00106B19"/>
    <w:rsid w:val="001133EF"/>
    <w:rsid w:val="00115D93"/>
    <w:rsid w:val="0012338D"/>
    <w:rsid w:val="001247A8"/>
    <w:rsid w:val="001342E0"/>
    <w:rsid w:val="001370B2"/>
    <w:rsid w:val="001378C0"/>
    <w:rsid w:val="001658F9"/>
    <w:rsid w:val="00183438"/>
    <w:rsid w:val="0018694A"/>
    <w:rsid w:val="0019129B"/>
    <w:rsid w:val="001A0C5B"/>
    <w:rsid w:val="001A3287"/>
    <w:rsid w:val="001A6508"/>
    <w:rsid w:val="001D1354"/>
    <w:rsid w:val="001D4C31"/>
    <w:rsid w:val="001E2D5A"/>
    <w:rsid w:val="001E4D21"/>
    <w:rsid w:val="001E62A6"/>
    <w:rsid w:val="00205124"/>
    <w:rsid w:val="00207CD1"/>
    <w:rsid w:val="00217D44"/>
    <w:rsid w:val="002258DB"/>
    <w:rsid w:val="00226657"/>
    <w:rsid w:val="002477A2"/>
    <w:rsid w:val="00263A51"/>
    <w:rsid w:val="00267E02"/>
    <w:rsid w:val="00271321"/>
    <w:rsid w:val="00273F26"/>
    <w:rsid w:val="00277DEA"/>
    <w:rsid w:val="002A0074"/>
    <w:rsid w:val="002A5D44"/>
    <w:rsid w:val="002C3F32"/>
    <w:rsid w:val="002C4E3D"/>
    <w:rsid w:val="002D2336"/>
    <w:rsid w:val="002D6CF0"/>
    <w:rsid w:val="002E0BC4"/>
    <w:rsid w:val="002F1B76"/>
    <w:rsid w:val="002F4FCC"/>
    <w:rsid w:val="00304C4C"/>
    <w:rsid w:val="0033568E"/>
    <w:rsid w:val="00355FF5"/>
    <w:rsid w:val="00361350"/>
    <w:rsid w:val="003756AD"/>
    <w:rsid w:val="0039382B"/>
    <w:rsid w:val="003C3FAE"/>
    <w:rsid w:val="003C65BE"/>
    <w:rsid w:val="004038CB"/>
    <w:rsid w:val="0040546F"/>
    <w:rsid w:val="004177BD"/>
    <w:rsid w:val="00423563"/>
    <w:rsid w:val="0042404A"/>
    <w:rsid w:val="00445B53"/>
    <w:rsid w:val="0044618F"/>
    <w:rsid w:val="00465C35"/>
    <w:rsid w:val="0046769A"/>
    <w:rsid w:val="00475FB3"/>
    <w:rsid w:val="00493B7E"/>
    <w:rsid w:val="004C37A9"/>
    <w:rsid w:val="004D1D50"/>
    <w:rsid w:val="004E2F86"/>
    <w:rsid w:val="004F259E"/>
    <w:rsid w:val="004F633A"/>
    <w:rsid w:val="00504C7F"/>
    <w:rsid w:val="00506749"/>
    <w:rsid w:val="00511F1D"/>
    <w:rsid w:val="00520F36"/>
    <w:rsid w:val="00524E8D"/>
    <w:rsid w:val="00534E13"/>
    <w:rsid w:val="00535D22"/>
    <w:rsid w:val="00540615"/>
    <w:rsid w:val="00540A6D"/>
    <w:rsid w:val="00553536"/>
    <w:rsid w:val="00566679"/>
    <w:rsid w:val="00571EEA"/>
    <w:rsid w:val="00575417"/>
    <w:rsid w:val="005768E1"/>
    <w:rsid w:val="00587474"/>
    <w:rsid w:val="0059316D"/>
    <w:rsid w:val="005A3CDF"/>
    <w:rsid w:val="005B1938"/>
    <w:rsid w:val="005C15B6"/>
    <w:rsid w:val="005C3890"/>
    <w:rsid w:val="005F0FE3"/>
    <w:rsid w:val="005F7BFE"/>
    <w:rsid w:val="00600017"/>
    <w:rsid w:val="00602682"/>
    <w:rsid w:val="006235CA"/>
    <w:rsid w:val="0062366E"/>
    <w:rsid w:val="0063056D"/>
    <w:rsid w:val="00642C4E"/>
    <w:rsid w:val="0065509F"/>
    <w:rsid w:val="006643AB"/>
    <w:rsid w:val="00683406"/>
    <w:rsid w:val="006A11AE"/>
    <w:rsid w:val="006B224B"/>
    <w:rsid w:val="006F0A53"/>
    <w:rsid w:val="00712121"/>
    <w:rsid w:val="0071402E"/>
    <w:rsid w:val="00714616"/>
    <w:rsid w:val="007210CD"/>
    <w:rsid w:val="00732045"/>
    <w:rsid w:val="0073275D"/>
    <w:rsid w:val="007369DB"/>
    <w:rsid w:val="0077110E"/>
    <w:rsid w:val="00771EFE"/>
    <w:rsid w:val="007843C9"/>
    <w:rsid w:val="007956C2"/>
    <w:rsid w:val="007967D5"/>
    <w:rsid w:val="00796BDB"/>
    <w:rsid w:val="007A187E"/>
    <w:rsid w:val="007C72C2"/>
    <w:rsid w:val="007D4436"/>
    <w:rsid w:val="007F257A"/>
    <w:rsid w:val="007F3665"/>
    <w:rsid w:val="00800037"/>
    <w:rsid w:val="0082299A"/>
    <w:rsid w:val="0083391C"/>
    <w:rsid w:val="0084546D"/>
    <w:rsid w:val="00861D73"/>
    <w:rsid w:val="008824C1"/>
    <w:rsid w:val="00882919"/>
    <w:rsid w:val="008959F5"/>
    <w:rsid w:val="00897553"/>
    <w:rsid w:val="008A4E87"/>
    <w:rsid w:val="008B3842"/>
    <w:rsid w:val="008D76E6"/>
    <w:rsid w:val="008F6AD7"/>
    <w:rsid w:val="00904E54"/>
    <w:rsid w:val="0092392D"/>
    <w:rsid w:val="0093234A"/>
    <w:rsid w:val="00932991"/>
    <w:rsid w:val="00941A56"/>
    <w:rsid w:val="00956A78"/>
    <w:rsid w:val="0096174A"/>
    <w:rsid w:val="0097363B"/>
    <w:rsid w:val="00973F53"/>
    <w:rsid w:val="00981AB3"/>
    <w:rsid w:val="0098348E"/>
    <w:rsid w:val="00984D32"/>
    <w:rsid w:val="009A6BAA"/>
    <w:rsid w:val="009A76A8"/>
    <w:rsid w:val="009C1E7B"/>
    <w:rsid w:val="009C307F"/>
    <w:rsid w:val="009C353C"/>
    <w:rsid w:val="009D5955"/>
    <w:rsid w:val="009D5FAF"/>
    <w:rsid w:val="009E1DAF"/>
    <w:rsid w:val="009E7CD1"/>
    <w:rsid w:val="009F0FB8"/>
    <w:rsid w:val="009F2F6A"/>
    <w:rsid w:val="00A01F4F"/>
    <w:rsid w:val="00A109AF"/>
    <w:rsid w:val="00A125FB"/>
    <w:rsid w:val="00A2113E"/>
    <w:rsid w:val="00A23A51"/>
    <w:rsid w:val="00A24607"/>
    <w:rsid w:val="00A25CD3"/>
    <w:rsid w:val="00A27DFB"/>
    <w:rsid w:val="00A51849"/>
    <w:rsid w:val="00A54F12"/>
    <w:rsid w:val="00A64755"/>
    <w:rsid w:val="00A64C9D"/>
    <w:rsid w:val="00A709FE"/>
    <w:rsid w:val="00A73C60"/>
    <w:rsid w:val="00A74D29"/>
    <w:rsid w:val="00A82767"/>
    <w:rsid w:val="00AA332F"/>
    <w:rsid w:val="00AA4105"/>
    <w:rsid w:val="00AA7BBB"/>
    <w:rsid w:val="00AB64A8"/>
    <w:rsid w:val="00AC0266"/>
    <w:rsid w:val="00AC0F1D"/>
    <w:rsid w:val="00AD24EC"/>
    <w:rsid w:val="00AD36EB"/>
    <w:rsid w:val="00B27B00"/>
    <w:rsid w:val="00B309F9"/>
    <w:rsid w:val="00B32B60"/>
    <w:rsid w:val="00B40F47"/>
    <w:rsid w:val="00B51005"/>
    <w:rsid w:val="00B61619"/>
    <w:rsid w:val="00BB38C1"/>
    <w:rsid w:val="00BB4545"/>
    <w:rsid w:val="00BB75C5"/>
    <w:rsid w:val="00BD5873"/>
    <w:rsid w:val="00BF4B60"/>
    <w:rsid w:val="00C049D7"/>
    <w:rsid w:val="00C04BE3"/>
    <w:rsid w:val="00C25D29"/>
    <w:rsid w:val="00C2625E"/>
    <w:rsid w:val="00C27A7C"/>
    <w:rsid w:val="00C41AF4"/>
    <w:rsid w:val="00C42437"/>
    <w:rsid w:val="00C477D4"/>
    <w:rsid w:val="00C67ADD"/>
    <w:rsid w:val="00C83927"/>
    <w:rsid w:val="00C87096"/>
    <w:rsid w:val="00CA08ED"/>
    <w:rsid w:val="00CC6EAA"/>
    <w:rsid w:val="00CE1856"/>
    <w:rsid w:val="00CE5172"/>
    <w:rsid w:val="00CF0534"/>
    <w:rsid w:val="00CF183B"/>
    <w:rsid w:val="00D375CD"/>
    <w:rsid w:val="00D37B53"/>
    <w:rsid w:val="00D54F36"/>
    <w:rsid w:val="00D553A2"/>
    <w:rsid w:val="00D5721B"/>
    <w:rsid w:val="00D6288E"/>
    <w:rsid w:val="00D72F49"/>
    <w:rsid w:val="00D774D3"/>
    <w:rsid w:val="00D8598B"/>
    <w:rsid w:val="00D85C33"/>
    <w:rsid w:val="00D904E8"/>
    <w:rsid w:val="00D96E9C"/>
    <w:rsid w:val="00DA08C3"/>
    <w:rsid w:val="00DB5A3E"/>
    <w:rsid w:val="00DC22AA"/>
    <w:rsid w:val="00DD1A99"/>
    <w:rsid w:val="00DD5749"/>
    <w:rsid w:val="00DE62C6"/>
    <w:rsid w:val="00DF74DD"/>
    <w:rsid w:val="00E0342F"/>
    <w:rsid w:val="00E246B9"/>
    <w:rsid w:val="00E25AD0"/>
    <w:rsid w:val="00E274C2"/>
    <w:rsid w:val="00E4428F"/>
    <w:rsid w:val="00E4448E"/>
    <w:rsid w:val="00E47427"/>
    <w:rsid w:val="00E611F2"/>
    <w:rsid w:val="00E61300"/>
    <w:rsid w:val="00E723BB"/>
    <w:rsid w:val="00E730C6"/>
    <w:rsid w:val="00E806A2"/>
    <w:rsid w:val="00E93668"/>
    <w:rsid w:val="00E95647"/>
    <w:rsid w:val="00EA1B9B"/>
    <w:rsid w:val="00EB6350"/>
    <w:rsid w:val="00ED68BC"/>
    <w:rsid w:val="00ED799B"/>
    <w:rsid w:val="00F109AE"/>
    <w:rsid w:val="00F15B57"/>
    <w:rsid w:val="00F35EF4"/>
    <w:rsid w:val="00F37FE5"/>
    <w:rsid w:val="00F427DB"/>
    <w:rsid w:val="00FA5EB1"/>
    <w:rsid w:val="00FA7439"/>
    <w:rsid w:val="00FA77A9"/>
    <w:rsid w:val="00FC4EC0"/>
    <w:rsid w:val="00FC6D7D"/>
    <w:rsid w:val="00FC71E8"/>
    <w:rsid w:val="00FE01AA"/>
    <w:rsid w:val="00FE45DA"/>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F3285"/>
  <w15:docId w15:val="{79E02641-4D33-4113-83E0-545B8D05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qFormat/>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qFormat/>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qFormat/>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qFormat/>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E246B9"/>
    <w:rPr>
      <w:rFonts w:asciiTheme="minorHAnsi" w:hAnsiTheme="minorHAnsi" w:cstheme="minorHAnsi"/>
    </w:rPr>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paragraph" w:styleId="CommentText">
    <w:name w:val="annotation text"/>
    <w:basedOn w:val="Normal"/>
    <w:link w:val="CommentTextChar"/>
    <w:unhideWhenUsed/>
    <w:rsid w:val="009E7CD1"/>
    <w:rPr>
      <w:sz w:val="20"/>
      <w:lang w:val="en-GB"/>
    </w:rPr>
  </w:style>
  <w:style w:type="character" w:customStyle="1" w:styleId="CommentTextChar">
    <w:name w:val="Comment Text Char"/>
    <w:basedOn w:val="DefaultParagraphFont"/>
    <w:link w:val="CommentText"/>
    <w:rsid w:val="009E7CD1"/>
    <w:rPr>
      <w:rFonts w:ascii="Calibri" w:hAnsi="Calibri"/>
      <w:lang w:val="en-GB" w:eastAsia="en-US"/>
    </w:rPr>
  </w:style>
  <w:style w:type="character" w:styleId="CommentReference">
    <w:name w:val="annotation reference"/>
    <w:basedOn w:val="DefaultParagraphFont"/>
    <w:semiHidden/>
    <w:unhideWhenUsed/>
    <w:rsid w:val="009E7CD1"/>
    <w:rPr>
      <w:sz w:val="16"/>
      <w:szCs w:val="16"/>
    </w:rPr>
  </w:style>
  <w:style w:type="paragraph" w:styleId="CommentSubject">
    <w:name w:val="annotation subject"/>
    <w:basedOn w:val="CommentText"/>
    <w:next w:val="CommentText"/>
    <w:link w:val="CommentSubjectChar"/>
    <w:semiHidden/>
    <w:unhideWhenUsed/>
    <w:rsid w:val="00C67ADD"/>
    <w:rPr>
      <w:b/>
      <w:bCs/>
      <w:lang w:val="fr-FR"/>
    </w:rPr>
  </w:style>
  <w:style w:type="character" w:customStyle="1" w:styleId="CommentSubjectChar">
    <w:name w:val="Comment Subject Char"/>
    <w:basedOn w:val="CommentTextChar"/>
    <w:link w:val="CommentSubject"/>
    <w:semiHidden/>
    <w:rsid w:val="00C67ADD"/>
    <w:rPr>
      <w:rFonts w:ascii="Calibri" w:hAnsi="Calibri"/>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6E556-1EEF-4D28-AB14-FF5409C12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PF_Council26.dotx</Template>
  <TotalTime>0</TotalTime>
  <Pages>3</Pages>
  <Words>697</Words>
  <Characters>4147</Characters>
  <Application>Microsoft Office Word</Application>
  <DocSecurity>0</DocSecurity>
  <Lines>88</Lines>
  <Paragraphs>48</Paragraphs>
  <ScaleCrop>false</ScaleCrop>
  <HeadingPairs>
    <vt:vector size="2" baseType="variant">
      <vt:variant>
        <vt:lpstr>Title</vt:lpstr>
      </vt:variant>
      <vt:variant>
        <vt:i4>1</vt:i4>
      </vt:variant>
    </vt:vector>
  </HeadingPairs>
  <TitlesOfParts>
    <vt:vector size="1" baseType="lpstr">
      <vt:lpstr>Résolution 1436 - Dommages subis par l'infrastructure des télécommunications/des technologies de l'information et des communications civile à Bahreïn, au Koweït, aux Émirats arabes unis et en Jordanie et incidences sur la connectivité régionale et mondial</vt:lpstr>
    </vt:vector>
  </TitlesOfParts>
  <Manager>Secrétariat général - Pool</Manager>
  <Company>Union internationale des télécommunications (UIT)</Company>
  <LinksUpToDate>false</LinksUpToDate>
  <CharactersWithSpaces>4796</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Résolution 1436 - Dommages subis par l'infrastructure des télécommunications/des technologies de l'information et des communications civile à Bahreïn, au Koweït, aux Émirats arabes unis et en Jordanie et incidences sur la connectivité régionale et mondiale</dc:title>
  <dc:subject>Conseil 2026 de l'UIT</dc:subject>
  <cp:keywords>C26; C2026; Council 2026; PP26</cp:keywords>
  <dc:description/>
  <cp:lastPrinted>2000-07-18T08:55:00Z</cp:lastPrinted>
  <dcterms:created xsi:type="dcterms:W3CDTF">2026-05-28T11:22:00Z</dcterms:created>
  <dcterms:modified xsi:type="dcterms:W3CDTF">2026-05-28T11:22:00Z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