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4AB1BE2F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3144D4C" w14:textId="4BE1AFE7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1CE650AD" w14:textId="6E251EB3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r w:rsidRPr="00E24D59">
              <w:rPr>
                <w:b/>
                <w:lang w:val="fr-CH"/>
              </w:rPr>
              <w:t>/</w:t>
            </w:r>
            <w:r w:rsidR="00595DD8">
              <w:rPr>
                <w:rFonts w:hint="eastAsia"/>
                <w:b/>
                <w:lang w:val="fr-CH" w:eastAsia="zh-CN"/>
              </w:rPr>
              <w:t>12</w:t>
            </w:r>
            <w:r w:rsidR="00F65098">
              <w:rPr>
                <w:rFonts w:hint="eastAsia"/>
                <w:b/>
                <w:lang w:val="fr-CH" w:eastAsia="zh-CN"/>
              </w:rPr>
              <w:t>9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37F57ABC" w14:textId="77777777" w:rsidTr="00555C29">
        <w:trPr>
          <w:cantSplit/>
        </w:trPr>
        <w:tc>
          <w:tcPr>
            <w:tcW w:w="3969" w:type="dxa"/>
            <w:vMerge/>
          </w:tcPr>
          <w:p w14:paraId="1FD9F9E7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854CAD1" w14:textId="5F26AEB4" w:rsidR="00E24D59" w:rsidRPr="00E85629" w:rsidRDefault="00595DD8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5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21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078E8CEE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5F724AB9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EA97F89" w14:textId="7B03625E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="00595DD8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5E3A7928" w14:textId="77777777" w:rsidTr="00555C29">
        <w:trPr>
          <w:cantSplit/>
          <w:trHeight w:val="23"/>
        </w:trPr>
        <w:tc>
          <w:tcPr>
            <w:tcW w:w="3969" w:type="dxa"/>
          </w:tcPr>
          <w:p w14:paraId="02C137FE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98DC139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4"/>
    <w:p w14:paraId="5F0879FD" w14:textId="5E790CFF" w:rsidR="00F65098" w:rsidRPr="00CD312E" w:rsidRDefault="00F65098" w:rsidP="00F65098">
      <w:pPr>
        <w:pStyle w:val="RecNo"/>
        <w:rPr>
          <w:lang w:eastAsia="zh-CN"/>
        </w:rPr>
      </w:pPr>
      <w:r w:rsidRPr="00CD312E">
        <w:rPr>
          <w:rFonts w:hint="eastAsia"/>
          <w:lang w:eastAsia="zh-CN"/>
        </w:rPr>
        <w:t>第</w:t>
      </w:r>
      <w:r w:rsidR="009A1F62">
        <w:rPr>
          <w:rFonts w:hint="eastAsia"/>
          <w:lang w:eastAsia="zh-CN"/>
        </w:rPr>
        <w:t>647</w:t>
      </w:r>
      <w:r w:rsidRPr="00CD312E">
        <w:rPr>
          <w:rFonts w:hint="eastAsia"/>
          <w:lang w:eastAsia="zh-CN"/>
        </w:rPr>
        <w:t>号</w:t>
      </w:r>
      <w:r w:rsidRPr="00CD312E">
        <w:rPr>
          <w:lang w:eastAsia="zh-CN"/>
        </w:rPr>
        <w:t>决定</w:t>
      </w:r>
    </w:p>
    <w:p w14:paraId="129E7737" w14:textId="75C83ECE" w:rsidR="009A1F62" w:rsidRPr="00F62B92" w:rsidRDefault="00E017BE" w:rsidP="009A1F62">
      <w:pPr>
        <w:pStyle w:val="Decref"/>
        <w:rPr>
          <w:lang w:eastAsia="zh-CN"/>
        </w:rPr>
      </w:pPr>
      <w:bookmarkStart w:id="5" w:name="OLE_LINK9"/>
      <w:bookmarkStart w:id="6" w:name="OLE_LINK10"/>
      <w:r w:rsidRPr="00E017BE">
        <w:rPr>
          <w:rFonts w:ascii="Calibri" w:eastAsia="SimSun" w:hAnsi="Calibri" w:cs="Times New Roman" w:hint="eastAsia"/>
          <w:lang w:val="zh-CN" w:eastAsia="zh-CN"/>
        </w:rPr>
        <w:t>（在第九次全体会议上通过）</w:t>
      </w:r>
    </w:p>
    <w:p w14:paraId="633CB992" w14:textId="77777777" w:rsidR="00F65098" w:rsidRPr="004428D8" w:rsidRDefault="00F65098" w:rsidP="00F65098">
      <w:pPr>
        <w:pStyle w:val="Rectitle"/>
        <w:rPr>
          <w:lang w:eastAsia="zh-CN"/>
        </w:rPr>
      </w:pPr>
      <w:r w:rsidRPr="004428D8">
        <w:rPr>
          <w:lang w:eastAsia="zh-CN"/>
        </w:rPr>
        <w:t>离职后健康保险（</w:t>
      </w:r>
      <w:r w:rsidRPr="004428D8">
        <w:rPr>
          <w:lang w:eastAsia="zh-CN"/>
        </w:rPr>
        <w:t>ASHI</w:t>
      </w:r>
      <w:r w:rsidRPr="004428D8">
        <w:rPr>
          <w:lang w:eastAsia="zh-CN"/>
        </w:rPr>
        <w:t>）负债</w:t>
      </w:r>
    </w:p>
    <w:bookmarkEnd w:id="5"/>
    <w:bookmarkEnd w:id="6"/>
    <w:p w14:paraId="2BA80E00" w14:textId="77777777" w:rsidR="00F65098" w:rsidRPr="00963990" w:rsidRDefault="00F65098" w:rsidP="00F65098">
      <w:pPr>
        <w:pStyle w:val="Normalaftertitle"/>
        <w:rPr>
          <w:lang w:eastAsia="zh-CN"/>
        </w:rPr>
      </w:pPr>
      <w:r>
        <w:rPr>
          <w:lang w:val="zh-CN" w:eastAsia="zh-CN"/>
        </w:rPr>
        <w:t>国际电联理事会，</w:t>
      </w:r>
    </w:p>
    <w:p w14:paraId="692DE86B" w14:textId="77777777" w:rsidR="00F65098" w:rsidRPr="00EC4566" w:rsidRDefault="00F65098" w:rsidP="00F65098">
      <w:pPr>
        <w:pStyle w:val="Call"/>
        <w:rPr>
          <w:rFonts w:eastAsia="STKaiti"/>
          <w:i/>
          <w:lang w:eastAsia="zh-CN"/>
        </w:rPr>
      </w:pPr>
      <w:r w:rsidRPr="00EC4566">
        <w:rPr>
          <w:rFonts w:eastAsia="STKaiti"/>
          <w:lang w:val="zh-CN" w:eastAsia="zh-CN"/>
        </w:rPr>
        <w:t>经审查</w:t>
      </w:r>
    </w:p>
    <w:p w14:paraId="213A4995" w14:textId="77777777" w:rsidR="00F65098" w:rsidRPr="00963990" w:rsidRDefault="00F65098" w:rsidP="00F65098">
      <w:pPr>
        <w:ind w:firstLineChars="200" w:firstLine="480"/>
        <w:rPr>
          <w:lang w:eastAsia="zh-CN"/>
        </w:rPr>
      </w:pPr>
      <w:hyperlink r:id="rId8" w:history="1">
        <w:r w:rsidRPr="00E017BE">
          <w:rPr>
            <w:rStyle w:val="Hyperlink"/>
            <w:rFonts w:eastAsia="SimSun"/>
            <w:noProof w:val="0"/>
            <w:lang w:eastAsia="zh-CN"/>
          </w:rPr>
          <w:t>C26/46</w:t>
        </w:r>
      </w:hyperlink>
      <w:r>
        <w:rPr>
          <w:lang w:val="zh-CN" w:eastAsia="zh-CN"/>
        </w:rPr>
        <w:t>号文件</w:t>
      </w:r>
      <w:r w:rsidRPr="00E017BE">
        <w:rPr>
          <w:lang w:eastAsia="zh-CN"/>
        </w:rPr>
        <w:t>，</w:t>
      </w:r>
      <w:hyperlink r:id="rId9" w:history="1"/>
    </w:p>
    <w:p w14:paraId="5425A482" w14:textId="77777777" w:rsidR="00F65098" w:rsidRPr="00963990" w:rsidRDefault="00F65098" w:rsidP="00F65098">
      <w:pPr>
        <w:pStyle w:val="Call"/>
        <w:rPr>
          <w:lang w:eastAsia="zh-CN"/>
        </w:rPr>
      </w:pPr>
      <w:r w:rsidRPr="00EC4566">
        <w:rPr>
          <w:rFonts w:eastAsia="STKaiti"/>
          <w:lang w:val="zh-CN" w:eastAsia="zh-CN"/>
        </w:rPr>
        <w:t>考虑</w:t>
      </w:r>
      <w:r>
        <w:rPr>
          <w:rFonts w:eastAsia="STKaiti" w:hint="eastAsia"/>
          <w:lang w:val="zh-CN" w:eastAsia="zh-CN"/>
        </w:rPr>
        <w:t>到</w:t>
      </w:r>
    </w:p>
    <w:p w14:paraId="4324DEBA" w14:textId="168E4341" w:rsidR="00F65098" w:rsidRPr="00963990" w:rsidRDefault="00F65098" w:rsidP="00F65098">
      <w:pPr>
        <w:ind w:firstLineChars="200" w:firstLine="480"/>
        <w:rPr>
          <w:rFonts w:asciiTheme="minorHAnsi" w:hAnsiTheme="minorHAnsi"/>
          <w:szCs w:val="24"/>
          <w:lang w:eastAsia="zh-CN"/>
        </w:rPr>
      </w:pPr>
      <w:r>
        <w:rPr>
          <w:lang w:val="zh-CN" w:eastAsia="zh-CN"/>
        </w:rPr>
        <w:t>全权代表大会第</w:t>
      </w:r>
      <w:r w:rsidRPr="009A1F62">
        <w:rPr>
          <w:lang w:eastAsia="zh-CN"/>
        </w:rPr>
        <w:t>5</w:t>
      </w:r>
      <w:r>
        <w:rPr>
          <w:lang w:val="zh-CN" w:eastAsia="zh-CN"/>
        </w:rPr>
        <w:t>号决定</w:t>
      </w:r>
      <w:r w:rsidRPr="009A1F62">
        <w:rPr>
          <w:lang w:eastAsia="zh-CN"/>
        </w:rPr>
        <w:t>（</w:t>
      </w:r>
      <w:r w:rsidRPr="009A1F62">
        <w:rPr>
          <w:lang w:eastAsia="zh-CN"/>
        </w:rPr>
        <w:t>2022</w:t>
      </w:r>
      <w:r>
        <w:rPr>
          <w:lang w:val="zh-CN" w:eastAsia="zh-CN"/>
        </w:rPr>
        <w:t>年</w:t>
      </w:r>
      <w:r w:rsidRPr="009A1F62">
        <w:rPr>
          <w:lang w:eastAsia="zh-CN"/>
        </w:rPr>
        <w:t>，</w:t>
      </w:r>
      <w:r>
        <w:rPr>
          <w:lang w:val="zh-CN" w:eastAsia="zh-CN"/>
        </w:rPr>
        <w:t>布加勒斯特</w:t>
      </w:r>
      <w:r w:rsidRPr="009A1F62">
        <w:rPr>
          <w:lang w:eastAsia="zh-CN"/>
        </w:rPr>
        <w:t>，</w:t>
      </w:r>
      <w:r>
        <w:rPr>
          <w:lang w:val="zh-CN" w:eastAsia="zh-CN"/>
        </w:rPr>
        <w:t>修订版</w:t>
      </w:r>
      <w:r w:rsidRPr="009A1F62">
        <w:rPr>
          <w:lang w:eastAsia="zh-CN"/>
        </w:rPr>
        <w:t>）</w:t>
      </w:r>
      <w:r>
        <w:rPr>
          <w:lang w:val="zh-CN" w:eastAsia="zh-CN"/>
        </w:rPr>
        <w:t>是在仔细审议了</w:t>
      </w:r>
      <w:r w:rsidRPr="009A1F62">
        <w:rPr>
          <w:lang w:eastAsia="zh-CN"/>
        </w:rPr>
        <w:t>（</w:t>
      </w:r>
      <w:r>
        <w:rPr>
          <w:lang w:val="zh-CN" w:eastAsia="zh-CN"/>
        </w:rPr>
        <w:t>根据联合国大会第</w:t>
      </w:r>
      <w:r w:rsidRPr="009A1F62">
        <w:rPr>
          <w:lang w:eastAsia="zh-CN"/>
        </w:rPr>
        <w:t>A/RES/68/244</w:t>
      </w:r>
      <w:r>
        <w:rPr>
          <w:lang w:val="zh-CN" w:eastAsia="zh-CN"/>
        </w:rPr>
        <w:t>号决议设立的</w:t>
      </w:r>
      <w:r w:rsidRPr="009A1F62">
        <w:rPr>
          <w:lang w:eastAsia="zh-CN"/>
        </w:rPr>
        <w:t>）</w:t>
      </w:r>
      <w:r>
        <w:rPr>
          <w:lang w:val="zh-CN" w:eastAsia="zh-CN"/>
        </w:rPr>
        <w:t>联合国离职后健康保险</w:t>
      </w:r>
      <w:r w:rsidRPr="009A1F62">
        <w:rPr>
          <w:lang w:eastAsia="zh-CN"/>
        </w:rPr>
        <w:t>（</w:t>
      </w:r>
      <w:r w:rsidRPr="009A1F62">
        <w:rPr>
          <w:lang w:eastAsia="zh-CN"/>
        </w:rPr>
        <w:t>ASHI</w:t>
      </w:r>
      <w:r w:rsidRPr="009A1F62">
        <w:rPr>
          <w:lang w:eastAsia="zh-CN"/>
        </w:rPr>
        <w:t>）</w:t>
      </w:r>
      <w:r>
        <w:rPr>
          <w:lang w:val="zh-CN" w:eastAsia="zh-CN"/>
        </w:rPr>
        <w:t>工作组提出的建议以及联检组</w:t>
      </w:r>
      <w:r w:rsidRPr="009A1F62">
        <w:rPr>
          <w:lang w:eastAsia="zh-CN"/>
        </w:rPr>
        <w:t>（</w:t>
      </w:r>
      <w:r w:rsidRPr="009A1F62">
        <w:rPr>
          <w:lang w:eastAsia="zh-CN"/>
        </w:rPr>
        <w:t>JIU</w:t>
      </w:r>
      <w:r w:rsidRPr="009A1F62">
        <w:rPr>
          <w:lang w:eastAsia="zh-CN"/>
        </w:rPr>
        <w:t>）</w:t>
      </w:r>
      <w:r>
        <w:rPr>
          <w:lang w:val="zh-CN" w:eastAsia="zh-CN"/>
        </w:rPr>
        <w:t>和独立管理顾问委员会</w:t>
      </w:r>
      <w:r w:rsidRPr="009A1F62">
        <w:rPr>
          <w:lang w:eastAsia="zh-CN"/>
        </w:rPr>
        <w:t>（</w:t>
      </w:r>
      <w:r w:rsidRPr="009A1F62">
        <w:rPr>
          <w:lang w:eastAsia="zh-CN"/>
        </w:rPr>
        <w:t>IMAC</w:t>
      </w:r>
      <w:r w:rsidRPr="009A1F62">
        <w:rPr>
          <w:lang w:eastAsia="zh-CN"/>
        </w:rPr>
        <w:t>）</w:t>
      </w:r>
      <w:r>
        <w:rPr>
          <w:lang w:val="zh-CN" w:eastAsia="zh-CN"/>
        </w:rPr>
        <w:t>的建议之后做出的</w:t>
      </w:r>
      <w:r w:rsidRPr="009A1F62">
        <w:rPr>
          <w:lang w:eastAsia="zh-CN"/>
        </w:rPr>
        <w:t>，</w:t>
      </w:r>
    </w:p>
    <w:p w14:paraId="788154B1" w14:textId="77777777" w:rsidR="00F65098" w:rsidRPr="00963990" w:rsidRDefault="00F65098" w:rsidP="00F65098">
      <w:pPr>
        <w:pStyle w:val="Call"/>
        <w:rPr>
          <w:lang w:eastAsia="zh-CN"/>
        </w:rPr>
      </w:pPr>
      <w:r>
        <w:rPr>
          <w:rFonts w:eastAsia="STKaiti" w:hint="eastAsia"/>
          <w:lang w:val="zh-CN" w:eastAsia="zh-CN"/>
        </w:rPr>
        <w:t>顾及</w:t>
      </w:r>
    </w:p>
    <w:p w14:paraId="149B0350" w14:textId="77777777" w:rsidR="00F65098" w:rsidRPr="002D3268" w:rsidRDefault="00F65098" w:rsidP="00F65098">
      <w:pPr>
        <w:ind w:firstLineChars="200" w:firstLine="480"/>
        <w:rPr>
          <w:lang w:eastAsia="zh-CN"/>
        </w:rPr>
      </w:pPr>
      <w:hyperlink r:id="rId10" w:history="1">
        <w:r w:rsidRPr="00702FCA">
          <w:rPr>
            <w:rStyle w:val="Hyperlink"/>
            <w:rFonts w:eastAsia="SimSun"/>
            <w:noProof w:val="0"/>
            <w:lang w:val="zh-CN" w:eastAsia="zh-CN"/>
          </w:rPr>
          <w:t>《财务规则》</w:t>
        </w:r>
      </w:hyperlink>
      <w:r>
        <w:rPr>
          <w:lang w:val="zh-CN" w:eastAsia="zh-CN"/>
        </w:rPr>
        <w:t>第</w:t>
      </w:r>
      <w:r>
        <w:rPr>
          <w:lang w:val="zh-CN" w:eastAsia="zh-CN"/>
        </w:rPr>
        <w:t>25</w:t>
      </w:r>
      <w:r>
        <w:rPr>
          <w:lang w:val="zh-CN" w:eastAsia="zh-CN"/>
        </w:rPr>
        <w:t>条，</w:t>
      </w:r>
      <w:hyperlink r:id="rId11" w:history="1"/>
    </w:p>
    <w:p w14:paraId="19DAD507" w14:textId="77777777" w:rsidR="00F65098" w:rsidRPr="00963990" w:rsidRDefault="00F65098" w:rsidP="00F65098">
      <w:pPr>
        <w:pStyle w:val="Call"/>
        <w:rPr>
          <w:lang w:eastAsia="zh-CN"/>
        </w:rPr>
      </w:pPr>
      <w:r w:rsidRPr="00EC4566">
        <w:rPr>
          <w:rFonts w:eastAsia="STKaiti"/>
          <w:lang w:val="zh-CN" w:eastAsia="zh-CN"/>
        </w:rPr>
        <w:t>决定</w:t>
      </w:r>
    </w:p>
    <w:p w14:paraId="7B2B3386" w14:textId="77777777" w:rsidR="00F65098" w:rsidRPr="00963990" w:rsidRDefault="00F65098" w:rsidP="00F65098">
      <w:pPr>
        <w:ind w:firstLineChars="200" w:firstLine="480"/>
        <w:rPr>
          <w:rFonts w:asciiTheme="minorHAnsi" w:hAnsiTheme="minorHAnsi"/>
          <w:lang w:eastAsia="zh-CN"/>
        </w:rPr>
      </w:pPr>
      <w:r w:rsidRPr="00F54034">
        <w:rPr>
          <w:rFonts w:hint="eastAsia"/>
          <w:lang w:val="zh-CN" w:eastAsia="zh-CN"/>
        </w:rPr>
        <w:t>根据既定实施安排，自</w:t>
      </w:r>
      <w:r w:rsidRPr="00F54034">
        <w:rPr>
          <w:rFonts w:hint="eastAsia"/>
          <w:lang w:val="zh-CN" w:eastAsia="zh-CN"/>
        </w:rPr>
        <w:t>2026</w:t>
      </w:r>
      <w:r w:rsidRPr="00F54034">
        <w:rPr>
          <w:rFonts w:hint="eastAsia"/>
          <w:lang w:val="zh-CN" w:eastAsia="zh-CN"/>
        </w:rPr>
        <w:t>年</w:t>
      </w:r>
      <w:r w:rsidRPr="00F54034">
        <w:rPr>
          <w:rFonts w:hint="eastAsia"/>
          <w:lang w:val="zh-CN" w:eastAsia="zh-CN"/>
        </w:rPr>
        <w:t>1</w:t>
      </w:r>
      <w:r w:rsidRPr="00F54034">
        <w:rPr>
          <w:rFonts w:hint="eastAsia"/>
          <w:lang w:val="zh-CN" w:eastAsia="zh-CN"/>
        </w:rPr>
        <w:t>月</w:t>
      </w:r>
      <w:r w:rsidRPr="00F54034">
        <w:rPr>
          <w:rFonts w:hint="eastAsia"/>
          <w:lang w:val="zh-CN" w:eastAsia="zh-CN"/>
        </w:rPr>
        <w:t>1</w:t>
      </w:r>
      <w:r w:rsidRPr="00F54034">
        <w:rPr>
          <w:rFonts w:hint="eastAsia"/>
          <w:lang w:val="zh-CN" w:eastAsia="zh-CN"/>
        </w:rPr>
        <w:t>日起，新招聘</w:t>
      </w:r>
      <w:r>
        <w:rPr>
          <w:rFonts w:hint="eastAsia"/>
          <w:lang w:val="zh-CN" w:eastAsia="zh-CN"/>
        </w:rPr>
        <w:t>职员</w:t>
      </w:r>
      <w:r w:rsidRPr="00F54034">
        <w:rPr>
          <w:rFonts w:hint="eastAsia"/>
          <w:lang w:val="zh-CN" w:eastAsia="zh-CN"/>
        </w:rPr>
        <w:t>基础薪资的</w:t>
      </w:r>
      <w:r w:rsidRPr="00F54034">
        <w:rPr>
          <w:rFonts w:hint="eastAsia"/>
          <w:lang w:val="zh-CN" w:eastAsia="zh-CN"/>
        </w:rPr>
        <w:t>5.35%</w:t>
      </w:r>
      <w:r w:rsidRPr="00F54034">
        <w:rPr>
          <w:rFonts w:hint="eastAsia"/>
          <w:lang w:val="zh-CN" w:eastAsia="zh-CN"/>
        </w:rPr>
        <w:t>将作为额外融资措施</w:t>
      </w:r>
      <w:r>
        <w:rPr>
          <w:rFonts w:hint="eastAsia"/>
          <w:lang w:val="zh-CN" w:eastAsia="zh-CN"/>
        </w:rPr>
        <w:t>纳</w:t>
      </w:r>
      <w:r w:rsidRPr="00F54034">
        <w:rPr>
          <w:rFonts w:hint="eastAsia"/>
          <w:lang w:val="zh-CN" w:eastAsia="zh-CN"/>
        </w:rPr>
        <w:t>入后续预算</w:t>
      </w:r>
      <w:r>
        <w:rPr>
          <w:rFonts w:hint="eastAsia"/>
          <w:lang w:val="zh-CN" w:eastAsia="zh-CN"/>
        </w:rPr>
        <w:t>，</w:t>
      </w:r>
    </w:p>
    <w:p w14:paraId="43648E8B" w14:textId="77777777" w:rsidR="00F65098" w:rsidRPr="00963990" w:rsidRDefault="00F65098" w:rsidP="00F65098">
      <w:pPr>
        <w:pStyle w:val="Call"/>
        <w:rPr>
          <w:lang w:eastAsia="zh-CN"/>
        </w:rPr>
      </w:pPr>
      <w:r w:rsidRPr="00EC4566">
        <w:rPr>
          <w:rFonts w:eastAsia="STKaiti"/>
          <w:lang w:val="zh-CN" w:eastAsia="zh-CN"/>
        </w:rPr>
        <w:t>责成秘书长</w:t>
      </w:r>
    </w:p>
    <w:p w14:paraId="03BD55DF" w14:textId="77777777" w:rsidR="00F65098" w:rsidRDefault="00F65098" w:rsidP="00F65098">
      <w:pPr>
        <w:ind w:firstLineChars="200" w:firstLine="480"/>
        <w:rPr>
          <w:lang w:val="zh-CN" w:eastAsia="zh-CN"/>
        </w:rPr>
      </w:pPr>
      <w:r>
        <w:rPr>
          <w:lang w:val="zh-CN" w:eastAsia="zh-CN"/>
        </w:rPr>
        <w:t>继续每年向理事会报告</w:t>
      </w:r>
      <w:r>
        <w:rPr>
          <w:lang w:val="zh-CN" w:eastAsia="zh-CN"/>
        </w:rPr>
        <w:t>ASHI</w:t>
      </w:r>
      <w:r>
        <w:rPr>
          <w:lang w:val="zh-CN" w:eastAsia="zh-CN"/>
        </w:rPr>
        <w:t>基金的补充情况。</w:t>
      </w:r>
    </w:p>
    <w:p w14:paraId="71DFB2A8" w14:textId="77777777" w:rsidR="00F65098" w:rsidRPr="00963990" w:rsidRDefault="00F65098" w:rsidP="00F65098">
      <w:pPr>
        <w:ind w:firstLineChars="200" w:firstLine="480"/>
        <w:rPr>
          <w:color w:val="000000"/>
          <w:lang w:eastAsia="zh-CN"/>
        </w:rPr>
      </w:pPr>
    </w:p>
    <w:p w14:paraId="7708BAD4" w14:textId="77777777" w:rsidR="00595DD8" w:rsidRDefault="00595DD8">
      <w:pPr>
        <w:jc w:val="center"/>
      </w:pPr>
      <w:r>
        <w:t>______________</w:t>
      </w:r>
    </w:p>
    <w:sectPr w:rsidR="00595DD8" w:rsidSect="00E24D59"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2A69" w14:textId="77777777" w:rsidR="00C63D1D" w:rsidRDefault="00C63D1D">
      <w:r>
        <w:separator/>
      </w:r>
    </w:p>
  </w:endnote>
  <w:endnote w:type="continuationSeparator" w:id="0">
    <w:p w14:paraId="4FC414DC" w14:textId="77777777" w:rsidR="00C63D1D" w:rsidRDefault="00C6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7E12FD31" w14:textId="77777777" w:rsidTr="00E31DCE">
      <w:trPr>
        <w:jc w:val="center"/>
      </w:trPr>
      <w:tc>
        <w:tcPr>
          <w:tcW w:w="1803" w:type="dxa"/>
          <w:vAlign w:val="center"/>
        </w:tcPr>
        <w:p w14:paraId="4FE1DA9E" w14:textId="29609F20" w:rsidR="00E24D59" w:rsidRPr="00595DD8" w:rsidRDefault="00A13406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595DD8"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>2601317</w:t>
          </w:r>
        </w:p>
      </w:tc>
      <w:tc>
        <w:tcPr>
          <w:tcW w:w="8261" w:type="dxa"/>
        </w:tcPr>
        <w:p w14:paraId="268CAE99" w14:textId="065652DD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A13406">
            <w:rPr>
              <w:bCs/>
              <w:color w:val="808080" w:themeColor="background1" w:themeShade="80"/>
            </w:rPr>
            <w:t>/</w:t>
          </w:r>
          <w:r w:rsidR="00595DD8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128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9884A4B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76EA8766" w14:textId="77777777" w:rsidTr="00E31DCE">
      <w:trPr>
        <w:jc w:val="center"/>
      </w:trPr>
      <w:tc>
        <w:tcPr>
          <w:tcW w:w="1803" w:type="dxa"/>
          <w:vAlign w:val="center"/>
        </w:tcPr>
        <w:p w14:paraId="5C8D6979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38141EB3" w14:textId="0363AF33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595DD8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12</w:t>
          </w:r>
          <w:r w:rsidR="009A1F62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9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1E59541C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CFF5" w14:textId="77777777" w:rsidR="00C63D1D" w:rsidRDefault="00C63D1D">
      <w:r>
        <w:t>____________________</w:t>
      </w:r>
    </w:p>
  </w:footnote>
  <w:footnote w:type="continuationSeparator" w:id="0">
    <w:p w14:paraId="409E0B56" w14:textId="77777777" w:rsidR="00C63D1D" w:rsidRDefault="00C6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7DFA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D8"/>
    <w:rsid w:val="00001B77"/>
    <w:rsid w:val="0000517A"/>
    <w:rsid w:val="0000538F"/>
    <w:rsid w:val="00006E87"/>
    <w:rsid w:val="00031E72"/>
    <w:rsid w:val="000404D2"/>
    <w:rsid w:val="000646BD"/>
    <w:rsid w:val="000853C0"/>
    <w:rsid w:val="00093DD9"/>
    <w:rsid w:val="0009409E"/>
    <w:rsid w:val="000A1C21"/>
    <w:rsid w:val="000C0BC5"/>
    <w:rsid w:val="000D15EA"/>
    <w:rsid w:val="000D7012"/>
    <w:rsid w:val="00100D84"/>
    <w:rsid w:val="00124C9D"/>
    <w:rsid w:val="001305DE"/>
    <w:rsid w:val="0015333E"/>
    <w:rsid w:val="00157773"/>
    <w:rsid w:val="0018251A"/>
    <w:rsid w:val="00190272"/>
    <w:rsid w:val="00193244"/>
    <w:rsid w:val="00195C6C"/>
    <w:rsid w:val="00195FED"/>
    <w:rsid w:val="001A4BD6"/>
    <w:rsid w:val="001B6E2B"/>
    <w:rsid w:val="001D5A18"/>
    <w:rsid w:val="00215132"/>
    <w:rsid w:val="00220C45"/>
    <w:rsid w:val="00224449"/>
    <w:rsid w:val="00277DEA"/>
    <w:rsid w:val="00280EB8"/>
    <w:rsid w:val="002916B4"/>
    <w:rsid w:val="002A1D39"/>
    <w:rsid w:val="002A6670"/>
    <w:rsid w:val="002C3F32"/>
    <w:rsid w:val="00303502"/>
    <w:rsid w:val="00325C25"/>
    <w:rsid w:val="00372C8F"/>
    <w:rsid w:val="00380ECE"/>
    <w:rsid w:val="00393DDF"/>
    <w:rsid w:val="00397F55"/>
    <w:rsid w:val="003B4454"/>
    <w:rsid w:val="003C2E37"/>
    <w:rsid w:val="003F086E"/>
    <w:rsid w:val="003F1415"/>
    <w:rsid w:val="0040144C"/>
    <w:rsid w:val="00403EB7"/>
    <w:rsid w:val="004178E6"/>
    <w:rsid w:val="00430BF0"/>
    <w:rsid w:val="00465C35"/>
    <w:rsid w:val="004672E6"/>
    <w:rsid w:val="00474ED1"/>
    <w:rsid w:val="00477D57"/>
    <w:rsid w:val="00491BA9"/>
    <w:rsid w:val="00493085"/>
    <w:rsid w:val="004A36EC"/>
    <w:rsid w:val="004A7688"/>
    <w:rsid w:val="004B264C"/>
    <w:rsid w:val="004D163F"/>
    <w:rsid w:val="004E4BFF"/>
    <w:rsid w:val="004F2598"/>
    <w:rsid w:val="005403F7"/>
    <w:rsid w:val="00540632"/>
    <w:rsid w:val="00541CF4"/>
    <w:rsid w:val="005451E8"/>
    <w:rsid w:val="005507F2"/>
    <w:rsid w:val="00555C29"/>
    <w:rsid w:val="005759CC"/>
    <w:rsid w:val="00576C08"/>
    <w:rsid w:val="00595DD8"/>
    <w:rsid w:val="005A72E1"/>
    <w:rsid w:val="005C6632"/>
    <w:rsid w:val="005D1C9E"/>
    <w:rsid w:val="00602842"/>
    <w:rsid w:val="00630DD5"/>
    <w:rsid w:val="00637584"/>
    <w:rsid w:val="00653F8B"/>
    <w:rsid w:val="00654257"/>
    <w:rsid w:val="0065435A"/>
    <w:rsid w:val="00670D8A"/>
    <w:rsid w:val="006A2DD3"/>
    <w:rsid w:val="006A5113"/>
    <w:rsid w:val="006A5AF8"/>
    <w:rsid w:val="006C36CD"/>
    <w:rsid w:val="006C57BF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4546D"/>
    <w:rsid w:val="008537BD"/>
    <w:rsid w:val="0086059C"/>
    <w:rsid w:val="00864589"/>
    <w:rsid w:val="00874C82"/>
    <w:rsid w:val="00890AFB"/>
    <w:rsid w:val="00890FC4"/>
    <w:rsid w:val="008914D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83878"/>
    <w:rsid w:val="0098459B"/>
    <w:rsid w:val="00997185"/>
    <w:rsid w:val="009A1F62"/>
    <w:rsid w:val="009A3456"/>
    <w:rsid w:val="009A76A8"/>
    <w:rsid w:val="009C2458"/>
    <w:rsid w:val="009C4A7B"/>
    <w:rsid w:val="009C6123"/>
    <w:rsid w:val="009F1E3E"/>
    <w:rsid w:val="009F2F6A"/>
    <w:rsid w:val="00A01F4F"/>
    <w:rsid w:val="00A109AF"/>
    <w:rsid w:val="00A1213C"/>
    <w:rsid w:val="00A13406"/>
    <w:rsid w:val="00A272FF"/>
    <w:rsid w:val="00A5354B"/>
    <w:rsid w:val="00A71B57"/>
    <w:rsid w:val="00A826A9"/>
    <w:rsid w:val="00AA2E08"/>
    <w:rsid w:val="00AB42C1"/>
    <w:rsid w:val="00AC516F"/>
    <w:rsid w:val="00AE19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D0954"/>
    <w:rsid w:val="00BD1A5A"/>
    <w:rsid w:val="00BD7A9B"/>
    <w:rsid w:val="00BD7BE1"/>
    <w:rsid w:val="00BF416B"/>
    <w:rsid w:val="00C24DAC"/>
    <w:rsid w:val="00C3194B"/>
    <w:rsid w:val="00C45EB2"/>
    <w:rsid w:val="00C63BAC"/>
    <w:rsid w:val="00C63D1D"/>
    <w:rsid w:val="00C64E4E"/>
    <w:rsid w:val="00C66E64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17BE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65098"/>
    <w:rsid w:val="00F6736A"/>
    <w:rsid w:val="00F705DF"/>
    <w:rsid w:val="00F70622"/>
    <w:rsid w:val="00F85624"/>
    <w:rsid w:val="00F86DB5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3480C"/>
  <w15:docId w15:val="{8E1F78BF-ACBC-44CE-8400-961DC1DF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customStyle="1" w:styleId="Decref">
    <w:name w:val="Dec_ref"/>
    <w:basedOn w:val="Resref"/>
    <w:rsid w:val="00595DD8"/>
    <w:pPr>
      <w:keepNext w:val="0"/>
      <w:keepLines w:val="0"/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Theme="minorHAnsi" w:eastAsia="Times New Roman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46/e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Pages/Financial-Regulations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en/council/Pages/Financial-Regulation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5-CL-C-0042/e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GS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1</TotalTime>
  <Pages>1</Pages>
  <Words>247</Words>
  <Characters>315</Characters>
  <Application>Microsoft Office Word</Application>
  <DocSecurity>4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316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647 - The After-Service Health Insurance (ASHI) liability</dc:title>
  <dc:subject>ITU Council 2026</dc:subject>
  <cp:keywords>C26; C2026; Council 2026; PP26</cp:keywords>
  <dc:description/>
  <cp:lastPrinted>2015-02-24T13:23:00Z</cp:lastPrinted>
  <dcterms:created xsi:type="dcterms:W3CDTF">2026-05-28T14:12:00Z</dcterms:created>
  <dcterms:modified xsi:type="dcterms:W3CDTF">2026-05-28T14:12:00Z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