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1EDEA3C6" w14:textId="77777777" w:rsidTr="00C4421B">
        <w:trPr>
          <w:cantSplit/>
          <w:trHeight w:val="23"/>
        </w:trPr>
        <w:tc>
          <w:tcPr>
            <w:tcW w:w="3969" w:type="dxa"/>
            <w:vMerge w:val="restart"/>
            <w:tcMar>
              <w:left w:w="0" w:type="dxa"/>
            </w:tcMar>
          </w:tcPr>
          <w:p w14:paraId="27BC9D1F" w14:textId="40299E69" w:rsidR="00FE57F6" w:rsidRPr="00F11B2F" w:rsidRDefault="00FE57F6" w:rsidP="00C4421B">
            <w:pPr>
              <w:tabs>
                <w:tab w:val="left" w:pos="851"/>
              </w:tabs>
              <w:spacing w:before="0" w:line="240" w:lineRule="atLeast"/>
              <w:rPr>
                <w:b/>
                <w:lang w:val="es-ES"/>
              </w:rPr>
            </w:pPr>
            <w:bookmarkStart w:id="0" w:name="_Hlk133421839"/>
          </w:p>
        </w:tc>
        <w:tc>
          <w:tcPr>
            <w:tcW w:w="5245" w:type="dxa"/>
          </w:tcPr>
          <w:p w14:paraId="09E48568" w14:textId="2B992DDC" w:rsidR="00FE57F6" w:rsidRPr="00BB6FD8" w:rsidRDefault="00FE57F6" w:rsidP="00C4421B">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F85E5C">
              <w:rPr>
                <w:b/>
              </w:rPr>
              <w:t>6</w:t>
            </w:r>
            <w:r w:rsidRPr="00BB6FD8">
              <w:rPr>
                <w:b/>
              </w:rPr>
              <w:t>/</w:t>
            </w:r>
            <w:r w:rsidR="00F11B2F">
              <w:rPr>
                <w:b/>
              </w:rPr>
              <w:t>127</w:t>
            </w:r>
            <w:r w:rsidRPr="00BB6FD8">
              <w:rPr>
                <w:b/>
              </w:rPr>
              <w:t>-</w:t>
            </w:r>
            <w:r w:rsidR="00F24B71" w:rsidRPr="00BB6FD8">
              <w:rPr>
                <w:b/>
              </w:rPr>
              <w:t>S</w:t>
            </w:r>
          </w:p>
        </w:tc>
      </w:tr>
      <w:tr w:rsidR="00FE57F6" w:rsidRPr="00666D09" w14:paraId="384B98A4" w14:textId="77777777" w:rsidTr="00C4421B">
        <w:trPr>
          <w:cantSplit/>
        </w:trPr>
        <w:tc>
          <w:tcPr>
            <w:tcW w:w="3969" w:type="dxa"/>
            <w:vMerge/>
          </w:tcPr>
          <w:p w14:paraId="5E3DB739" w14:textId="77777777" w:rsidR="00FE57F6" w:rsidRPr="00BB6FD8" w:rsidRDefault="00FE57F6" w:rsidP="00C4421B">
            <w:pPr>
              <w:tabs>
                <w:tab w:val="left" w:pos="851"/>
              </w:tabs>
              <w:spacing w:line="240" w:lineRule="atLeast"/>
              <w:rPr>
                <w:b/>
              </w:rPr>
            </w:pPr>
          </w:p>
        </w:tc>
        <w:tc>
          <w:tcPr>
            <w:tcW w:w="5245" w:type="dxa"/>
          </w:tcPr>
          <w:p w14:paraId="00AAECD0" w14:textId="119A4AB0" w:rsidR="00FE57F6" w:rsidRPr="00666D09" w:rsidRDefault="00F11B2F" w:rsidP="00C4421B">
            <w:pPr>
              <w:tabs>
                <w:tab w:val="left" w:pos="851"/>
              </w:tabs>
              <w:spacing w:before="0"/>
              <w:jc w:val="right"/>
              <w:rPr>
                <w:b/>
                <w:lang w:val="en-GB"/>
              </w:rPr>
            </w:pPr>
            <w:r>
              <w:rPr>
                <w:b/>
                <w:lang w:val="es-ES"/>
              </w:rPr>
              <w:t>4 de mayo de 2026</w:t>
            </w:r>
          </w:p>
        </w:tc>
      </w:tr>
      <w:tr w:rsidR="00FE57F6" w:rsidRPr="00BB6FD8" w14:paraId="5A32D885" w14:textId="77777777" w:rsidTr="00C4421B">
        <w:trPr>
          <w:cantSplit/>
          <w:trHeight w:val="23"/>
        </w:trPr>
        <w:tc>
          <w:tcPr>
            <w:tcW w:w="3969" w:type="dxa"/>
            <w:vMerge/>
          </w:tcPr>
          <w:p w14:paraId="472BA472" w14:textId="77777777" w:rsidR="00FE57F6" w:rsidRPr="00666D09" w:rsidRDefault="00FE57F6" w:rsidP="00C4421B">
            <w:pPr>
              <w:tabs>
                <w:tab w:val="left" w:pos="851"/>
              </w:tabs>
              <w:spacing w:line="240" w:lineRule="atLeast"/>
              <w:rPr>
                <w:b/>
                <w:lang w:val="en-GB"/>
              </w:rPr>
            </w:pPr>
          </w:p>
        </w:tc>
        <w:tc>
          <w:tcPr>
            <w:tcW w:w="5245" w:type="dxa"/>
          </w:tcPr>
          <w:p w14:paraId="705078B0"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1F2E68A1" w14:textId="77777777" w:rsidTr="00C4421B">
        <w:trPr>
          <w:cantSplit/>
          <w:trHeight w:val="23"/>
        </w:trPr>
        <w:tc>
          <w:tcPr>
            <w:tcW w:w="3969" w:type="dxa"/>
          </w:tcPr>
          <w:p w14:paraId="6BA94566" w14:textId="77777777" w:rsidR="00FE57F6" w:rsidRPr="00BB6FD8" w:rsidRDefault="00FE57F6" w:rsidP="00C4421B">
            <w:pPr>
              <w:tabs>
                <w:tab w:val="left" w:pos="851"/>
              </w:tabs>
              <w:spacing w:line="240" w:lineRule="atLeast"/>
              <w:rPr>
                <w:b/>
              </w:rPr>
            </w:pPr>
          </w:p>
        </w:tc>
        <w:tc>
          <w:tcPr>
            <w:tcW w:w="5245" w:type="dxa"/>
          </w:tcPr>
          <w:p w14:paraId="57D84726" w14:textId="77777777" w:rsidR="00FE57F6" w:rsidRPr="00BB6FD8" w:rsidRDefault="00FE57F6" w:rsidP="00C4421B">
            <w:pPr>
              <w:tabs>
                <w:tab w:val="left" w:pos="851"/>
              </w:tabs>
              <w:spacing w:before="0" w:line="240" w:lineRule="atLeast"/>
              <w:jc w:val="right"/>
              <w:rPr>
                <w:b/>
              </w:rPr>
            </w:pPr>
          </w:p>
        </w:tc>
      </w:tr>
    </w:tbl>
    <w:bookmarkEnd w:id="0"/>
    <w:p w14:paraId="474EA7B8" w14:textId="645508E4" w:rsidR="00C92167" w:rsidRPr="00050022" w:rsidRDefault="00C92167" w:rsidP="00C92167">
      <w:pPr>
        <w:pStyle w:val="DecNo"/>
        <w:rPr>
          <w:lang w:val="es-ES"/>
        </w:rPr>
      </w:pPr>
      <w:r w:rsidRPr="00050022">
        <w:rPr>
          <w:lang w:val="es-ES"/>
        </w:rPr>
        <w:t xml:space="preserve">ACUERDO 641 (C24, </w:t>
      </w:r>
      <w:r w:rsidR="00050022" w:rsidRPr="00050022">
        <w:rPr>
          <w:caps w:val="0"/>
          <w:lang w:val="es-ES"/>
        </w:rPr>
        <w:t xml:space="preserve">modificado por última vez </w:t>
      </w:r>
      <w:r w:rsidRPr="00050022">
        <w:rPr>
          <w:lang w:val="es-ES"/>
        </w:rPr>
        <w:t>C26)</w:t>
      </w:r>
    </w:p>
    <w:p w14:paraId="1C621EAE" w14:textId="139E9F36" w:rsidR="00C92167" w:rsidRPr="00050022" w:rsidRDefault="00C92167" w:rsidP="00C92167">
      <w:pPr>
        <w:jc w:val="center"/>
        <w:rPr>
          <w:lang w:val="es-ES"/>
        </w:rPr>
      </w:pPr>
      <w:r w:rsidRPr="00050022">
        <w:rPr>
          <w:lang w:val="es-ES"/>
        </w:rPr>
        <w:t>(adoptado en la tercera Sesión Plenaria)</w:t>
      </w:r>
    </w:p>
    <w:p w14:paraId="55B2A090" w14:textId="40C68ED3" w:rsidR="00C92167" w:rsidRPr="00050022" w:rsidRDefault="00C92167" w:rsidP="00C92167">
      <w:pPr>
        <w:pStyle w:val="Dectitle"/>
        <w:rPr>
          <w:lang w:val="es-ES"/>
        </w:rPr>
      </w:pPr>
      <w:r w:rsidRPr="00050022">
        <w:rPr>
          <w:lang w:val="es-ES"/>
        </w:rPr>
        <w:t>Séptimo Foro Mundial de Política de las Telecomunicaciones/</w:t>
      </w:r>
      <w:r w:rsidRPr="00050022">
        <w:rPr>
          <w:lang w:val="es-ES"/>
        </w:rPr>
        <w:br/>
        <w:t>Tecnologías de la Información y la Comunicación</w:t>
      </w:r>
    </w:p>
    <w:p w14:paraId="1C783E9E" w14:textId="1622F235" w:rsidR="00DF5832" w:rsidRPr="00DF5832" w:rsidRDefault="00DF5832" w:rsidP="00DF5832">
      <w:pPr>
        <w:pStyle w:val="Normalaftertitle"/>
        <w:rPr>
          <w:lang w:val="es-ES"/>
        </w:rPr>
      </w:pPr>
      <w:r w:rsidRPr="00DF5832">
        <w:rPr>
          <w:lang w:val="es-ES"/>
        </w:rPr>
        <w:t>El Consejo de la UIT,</w:t>
      </w:r>
    </w:p>
    <w:p w14:paraId="4C06E680" w14:textId="77777777" w:rsidR="00DF5832" w:rsidRPr="00433F75" w:rsidRDefault="00DF5832" w:rsidP="00DF5832">
      <w:pPr>
        <w:pStyle w:val="Call"/>
        <w:rPr>
          <w:lang w:val="es-ES"/>
        </w:rPr>
      </w:pPr>
      <w:r w:rsidRPr="00433F75">
        <w:rPr>
          <w:lang w:val="es-ES"/>
        </w:rPr>
        <w:t>reconociendo</w:t>
      </w:r>
    </w:p>
    <w:p w14:paraId="3FC591B2" w14:textId="77777777" w:rsidR="00DF5832" w:rsidRPr="00433F75" w:rsidRDefault="00DF5832" w:rsidP="00DF5832">
      <w:pPr>
        <w:rPr>
          <w:lang w:val="es-ES"/>
        </w:rPr>
      </w:pPr>
      <w:r w:rsidRPr="00454BB4">
        <w:rPr>
          <w:lang w:val="es-ES"/>
        </w:rPr>
        <w:t>la Resolución 2 (Rev. Bucarest, 2022) de la Conferencia de Plenipotenciarios (Bucarest, 2022) sobre el Foro Mundial de Política de las Telecomunicaciones/Tecnologías de la Información y la Comunicación (FMPT</w:t>
      </w:r>
      <w:r>
        <w:rPr>
          <w:lang w:val="es-ES"/>
        </w:rPr>
        <w:t>),</w:t>
      </w:r>
    </w:p>
    <w:p w14:paraId="1973214C" w14:textId="77777777" w:rsidR="00DF5832" w:rsidRPr="00EA1C80" w:rsidRDefault="00DF5832" w:rsidP="00DF5832">
      <w:pPr>
        <w:pStyle w:val="Call"/>
        <w:rPr>
          <w:lang w:val="es-ES_tradnl"/>
        </w:rPr>
      </w:pPr>
      <w:r w:rsidRPr="00EA1C80">
        <w:rPr>
          <w:lang w:val="es-ES_tradnl"/>
        </w:rPr>
        <w:t>considerando</w:t>
      </w:r>
    </w:p>
    <w:p w14:paraId="70D12CF5" w14:textId="77777777" w:rsidR="00DF5832" w:rsidRPr="00D91279" w:rsidRDefault="00DF5832" w:rsidP="00DF5832">
      <w:pPr>
        <w:rPr>
          <w:lang w:val="es-ES"/>
        </w:rPr>
      </w:pPr>
      <w:r w:rsidRPr="00454BB4">
        <w:rPr>
          <w:lang w:val="es-ES"/>
        </w:rPr>
        <w:t>que el propósito del FMPT es ofrecer un lugar donde las instancias decisorias de todo el mundo intercambien opiniones e información para llegar a una visión compartida sobre los acuciantes retos y las oportunidades que plantean los servicios y las tecnologías de telecomunicaciones/TIC nuevos y emergentes, así como examinar cualquier otra cuestión de política de telecomunicaciones/TIC que pueda beneficiarse de un intercambio general de ideas, además de adoptar opiniones que reflejen opiniones comunes</w:t>
      </w:r>
      <w:r w:rsidRPr="00D91279">
        <w:rPr>
          <w:lang w:val="es-ES"/>
        </w:rPr>
        <w:t>,</w:t>
      </w:r>
    </w:p>
    <w:p w14:paraId="23B6B6BB" w14:textId="77777777" w:rsidR="00DF5832" w:rsidRPr="00EA1C80" w:rsidRDefault="00DF5832" w:rsidP="00DF5832">
      <w:pPr>
        <w:pStyle w:val="Call"/>
        <w:rPr>
          <w:lang w:val="es-ES_tradnl"/>
        </w:rPr>
      </w:pPr>
      <w:r w:rsidRPr="00EA1C80">
        <w:rPr>
          <w:lang w:val="es-ES_tradnl"/>
        </w:rPr>
        <w:t>decide</w:t>
      </w:r>
    </w:p>
    <w:p w14:paraId="338CE400" w14:textId="77777777" w:rsidR="00DF5832" w:rsidRPr="000871E0" w:rsidRDefault="00DF5832" w:rsidP="00DF5832">
      <w:pPr>
        <w:rPr>
          <w:lang w:val="es-ES"/>
        </w:rPr>
      </w:pPr>
      <w:r w:rsidRPr="000871E0">
        <w:rPr>
          <w:lang w:val="es-ES"/>
        </w:rPr>
        <w:t>1</w:t>
      </w:r>
      <w:r w:rsidRPr="000871E0">
        <w:rPr>
          <w:lang w:val="es-ES"/>
        </w:rPr>
        <w:tab/>
      </w:r>
      <w:r w:rsidRPr="00454BB4">
        <w:rPr>
          <w:lang w:val="es-ES"/>
        </w:rPr>
        <w:t xml:space="preserve">organizar el séptimo FMPT </w:t>
      </w:r>
      <w:r>
        <w:rPr>
          <w:lang w:val="es-ES"/>
        </w:rPr>
        <w:t>(FMPT-26) en Bahamas del 2 al 4 de septiembre de 2026, precedido de un Diálogo Estratégico el 1 de septiembre de 2026</w:t>
      </w:r>
      <w:r w:rsidRPr="000871E0">
        <w:rPr>
          <w:lang w:val="es-ES"/>
        </w:rPr>
        <w:t>;</w:t>
      </w:r>
    </w:p>
    <w:p w14:paraId="3F139317" w14:textId="77777777" w:rsidR="00DF5832" w:rsidRDefault="00DF5832" w:rsidP="00DF5832">
      <w:pPr>
        <w:rPr>
          <w:lang w:val="es-ES"/>
        </w:rPr>
      </w:pPr>
      <w:r w:rsidRPr="00A85C1F">
        <w:rPr>
          <w:lang w:val="es-ES"/>
        </w:rPr>
        <w:t>2</w:t>
      </w:r>
      <w:r w:rsidRPr="00A85C1F">
        <w:rPr>
          <w:lang w:val="es-ES"/>
        </w:rPr>
        <w:tab/>
      </w:r>
      <w:r w:rsidRPr="00445AE1">
        <w:rPr>
          <w:lang w:val="es-ES"/>
        </w:rPr>
        <w:t>que el tema del FMPT-26 sea el siguiente</w:t>
      </w:r>
      <w:r w:rsidRPr="00A85C1F">
        <w:rPr>
          <w:lang w:val="es-ES"/>
        </w:rPr>
        <w:t>:</w:t>
      </w:r>
    </w:p>
    <w:p w14:paraId="6CFEB0F2" w14:textId="77777777" w:rsidR="00DF5832" w:rsidRPr="00172904" w:rsidRDefault="00DF5832" w:rsidP="00DF5832">
      <w:pPr>
        <w:pStyle w:val="enumlev1"/>
        <w:rPr>
          <w:rFonts w:asciiTheme="minorHAnsi" w:hAnsiTheme="minorHAnsi" w:cstheme="minorHAnsi"/>
          <w:iCs/>
          <w:lang w:val="es-ES"/>
        </w:rPr>
      </w:pPr>
      <w:r>
        <w:rPr>
          <w:lang w:val="es-ES"/>
        </w:rPr>
        <w:tab/>
      </w:r>
      <w:r>
        <w:rPr>
          <w:rFonts w:asciiTheme="minorHAnsi" w:hAnsiTheme="minorHAnsi" w:cstheme="minorHAnsi"/>
          <w:lang w:val="es-ES"/>
        </w:rPr>
        <w:t>"</w:t>
      </w:r>
      <w:r w:rsidRPr="00DF5832">
        <w:rPr>
          <w:b/>
          <w:bCs/>
          <w:i/>
          <w:iCs/>
          <w:lang w:val="es-ES"/>
        </w:rPr>
        <w:t>Acelerar un futuro digital inclusivo, sostenible, resiliente e innovador</w:t>
      </w:r>
      <w:r w:rsidRPr="00DF5832">
        <w:rPr>
          <w:lang w:val="es-ES"/>
        </w:rPr>
        <w:t>: A este respecto, en el FMPT-26 se examinarán oportunidades, retos y políticas para abordar lo siguiente</w:t>
      </w:r>
      <w:r w:rsidRPr="00172904">
        <w:rPr>
          <w:rFonts w:asciiTheme="minorHAnsi" w:hAnsiTheme="minorHAnsi" w:cstheme="minorHAnsi"/>
          <w:lang w:val="es-ES"/>
        </w:rPr>
        <w:t>:</w:t>
      </w:r>
    </w:p>
    <w:p w14:paraId="01D71AB8" w14:textId="77777777" w:rsidR="00DF5832" w:rsidRPr="00DF5832" w:rsidRDefault="00DF5832" w:rsidP="00DF5832">
      <w:pPr>
        <w:pStyle w:val="enumlev2"/>
        <w:rPr>
          <w:lang w:val="es-ES"/>
        </w:rPr>
      </w:pPr>
      <w:r w:rsidRPr="00DF5832">
        <w:rPr>
          <w:lang w:val="es-ES"/>
        </w:rPr>
        <w:t>–</w:t>
      </w:r>
      <w:r w:rsidRPr="00DF5832">
        <w:rPr>
          <w:lang w:val="es-ES"/>
        </w:rPr>
        <w:tab/>
        <w:t>la reducción de las brechas digitales, en particular respecto del género y la edad, así como de las competencias y la conectividad</w:t>
      </w:r>
    </w:p>
    <w:p w14:paraId="3428C06A" w14:textId="77777777" w:rsidR="00DF5832" w:rsidRPr="00DF5832" w:rsidRDefault="00DF5832" w:rsidP="00DF5832">
      <w:pPr>
        <w:pStyle w:val="enumlev2"/>
        <w:rPr>
          <w:lang w:val="es-ES"/>
        </w:rPr>
      </w:pPr>
      <w:r w:rsidRPr="00DF5832">
        <w:rPr>
          <w:lang w:val="es-ES"/>
        </w:rPr>
        <w:t>–</w:t>
      </w:r>
      <w:r w:rsidRPr="00DF5832">
        <w:rPr>
          <w:lang w:val="es-ES"/>
        </w:rPr>
        <w:tab/>
        <w:t>la transformación digital ecológica: El cambio climático y la sostenibilidad ambiental</w:t>
      </w:r>
    </w:p>
    <w:p w14:paraId="1A6A6580" w14:textId="77777777" w:rsidR="00DF5832" w:rsidRPr="00DF5832" w:rsidRDefault="00DF5832" w:rsidP="00DF5832">
      <w:pPr>
        <w:pStyle w:val="enumlev2"/>
        <w:rPr>
          <w:lang w:val="es-ES"/>
        </w:rPr>
      </w:pPr>
      <w:r w:rsidRPr="00DF5832">
        <w:rPr>
          <w:lang w:val="es-ES"/>
        </w:rPr>
        <w:t>–</w:t>
      </w:r>
      <w:r w:rsidRPr="00DF5832">
        <w:rPr>
          <w:lang w:val="es-ES"/>
        </w:rPr>
        <w:tab/>
        <w:t>la resiliencia de las telecomunicaciones/TIC</w:t>
      </w:r>
    </w:p>
    <w:p w14:paraId="7EC49273" w14:textId="77777777" w:rsidR="00DF5832" w:rsidRPr="00DF5832" w:rsidRDefault="00DF5832" w:rsidP="00DF5832">
      <w:pPr>
        <w:pStyle w:val="enumlev2"/>
        <w:rPr>
          <w:lang w:val="es-ES"/>
        </w:rPr>
      </w:pPr>
      <w:r w:rsidRPr="00DF5832">
        <w:rPr>
          <w:lang w:val="es-ES"/>
        </w:rPr>
        <w:t>–</w:t>
      </w:r>
      <w:r w:rsidRPr="00DF5832">
        <w:rPr>
          <w:lang w:val="es-ES"/>
        </w:rPr>
        <w:tab/>
        <w:t>la conectividad espacial</w:t>
      </w:r>
    </w:p>
    <w:p w14:paraId="56333365" w14:textId="77777777" w:rsidR="00DF5832" w:rsidRPr="00DF5832" w:rsidRDefault="00DF5832" w:rsidP="00DF5832">
      <w:pPr>
        <w:pStyle w:val="enumlev2"/>
        <w:rPr>
          <w:lang w:val="es-ES"/>
        </w:rPr>
      </w:pPr>
      <w:r w:rsidRPr="00DF5832">
        <w:rPr>
          <w:lang w:val="es-ES"/>
        </w:rPr>
        <w:lastRenderedPageBreak/>
        <w:t>–</w:t>
      </w:r>
      <w:r w:rsidRPr="00DF5832">
        <w:rPr>
          <w:lang w:val="es-ES"/>
        </w:rPr>
        <w:tab/>
        <w:t>el fortalecimiento de las iniciativas empresariales y los ecosistemas de innovación centrados en las TIC";</w:t>
      </w:r>
    </w:p>
    <w:p w14:paraId="0547A002" w14:textId="77777777" w:rsidR="00DF5832" w:rsidRPr="00DF5832" w:rsidRDefault="00DF5832" w:rsidP="00DF5832">
      <w:pPr>
        <w:rPr>
          <w:rFonts w:asciiTheme="minorHAnsi" w:hAnsiTheme="minorHAnsi" w:cstheme="minorHAnsi"/>
          <w:lang w:val="es-ES"/>
        </w:rPr>
      </w:pPr>
      <w:r w:rsidRPr="00D648D3">
        <w:rPr>
          <w:lang w:val="es-ES"/>
        </w:rPr>
        <w:t>3</w:t>
      </w:r>
      <w:r w:rsidRPr="00D648D3">
        <w:rPr>
          <w:lang w:val="es-ES"/>
        </w:rPr>
        <w:tab/>
      </w:r>
      <w:r w:rsidRPr="00DF5832">
        <w:rPr>
          <w:lang w:val="es-ES"/>
        </w:rPr>
        <w:t>que el proceso preparatorio del FMPT-26 tenga lugar según lo dispuesto en la Resolución 2 (Rev. Bucarest, 2022);</w:t>
      </w:r>
    </w:p>
    <w:p w14:paraId="27D218F0" w14:textId="77777777" w:rsidR="00DF5832" w:rsidRPr="00481CAB" w:rsidRDefault="00DF5832" w:rsidP="00DF5832">
      <w:pPr>
        <w:rPr>
          <w:lang w:val="es-ES"/>
        </w:rPr>
      </w:pPr>
      <w:r w:rsidRPr="00DF5832">
        <w:rPr>
          <w:lang w:val="es-ES"/>
        </w:rPr>
        <w:t>4</w:t>
      </w:r>
      <w:r w:rsidRPr="00DF5832">
        <w:rPr>
          <w:lang w:val="es-ES"/>
        </w:rPr>
        <w:tab/>
        <w:t>que el orden del día del FMPT-26 se ajuste al proyecto de orden del día que figura en el Anexo 1 del presente Acuerdo</w:t>
      </w:r>
      <w:r w:rsidRPr="00481CAB">
        <w:rPr>
          <w:lang w:val="es-ES"/>
        </w:rPr>
        <w:t>;</w:t>
      </w:r>
    </w:p>
    <w:p w14:paraId="4213691B" w14:textId="77777777" w:rsidR="00DF5832" w:rsidRPr="00DF5832" w:rsidRDefault="00DF5832" w:rsidP="00DF5832">
      <w:pPr>
        <w:rPr>
          <w:lang w:val="es-ES"/>
        </w:rPr>
      </w:pPr>
      <w:r w:rsidRPr="00DF5832">
        <w:rPr>
          <w:lang w:val="es-ES"/>
        </w:rPr>
        <w:t>5</w:t>
      </w:r>
      <w:r w:rsidRPr="00DF5832">
        <w:rPr>
          <w:lang w:val="es-ES"/>
        </w:rPr>
        <w:tab/>
        <w:t>que el FMPT-26 no elabore normas preceptivas; sin embargo, el Foro preparará informes y adoptará opiniones por consenso para su examen por los Estados Miembros, los Miembros de Sector y las reuniones pertinentes de la UIT;</w:t>
      </w:r>
    </w:p>
    <w:p w14:paraId="7DB41A4E" w14:textId="77777777" w:rsidR="00DF5832" w:rsidRPr="00DF5832" w:rsidRDefault="00DF5832" w:rsidP="00DF5832">
      <w:pPr>
        <w:rPr>
          <w:lang w:val="es-ES"/>
        </w:rPr>
      </w:pPr>
      <w:r w:rsidRPr="00DF5832">
        <w:rPr>
          <w:lang w:val="es-ES"/>
        </w:rPr>
        <w:t>6</w:t>
      </w:r>
      <w:r w:rsidRPr="00DF5832">
        <w:rPr>
          <w:lang w:val="es-ES"/>
        </w:rPr>
        <w:tab/>
        <w:t>que el Informe del Secretario General se elabore de forma que:</w:t>
      </w:r>
    </w:p>
    <w:p w14:paraId="016218F4" w14:textId="77777777" w:rsidR="00DF5832" w:rsidRPr="00DF5832" w:rsidRDefault="00DF5832" w:rsidP="00DF5832">
      <w:pPr>
        <w:pStyle w:val="enumlev1"/>
        <w:rPr>
          <w:lang w:val="es-ES"/>
        </w:rPr>
      </w:pPr>
      <w:r w:rsidRPr="00DF5832">
        <w:rPr>
          <w:lang w:val="es-ES"/>
        </w:rPr>
        <w:t>a)</w:t>
      </w:r>
      <w:r w:rsidRPr="00DF5832">
        <w:rPr>
          <w:lang w:val="es-ES"/>
        </w:rPr>
        <w:tab/>
        <w:t>el Secretario General establezca un grupo oficioso y equilibrado de expertos para trabajar en la preparación del FMPT-26 en su respectivo país, a fin de prestar asistencia en este proceso;</w:t>
      </w:r>
    </w:p>
    <w:p w14:paraId="2B63EA6F" w14:textId="77777777" w:rsidR="00DF5832" w:rsidRPr="00DF5832" w:rsidRDefault="00DF5832" w:rsidP="00DF5832">
      <w:pPr>
        <w:pStyle w:val="enumlev1"/>
        <w:rPr>
          <w:lang w:val="es-ES"/>
        </w:rPr>
      </w:pPr>
      <w:r w:rsidRPr="00DF5832">
        <w:rPr>
          <w:lang w:val="es-ES"/>
        </w:rPr>
        <w:t>b)</w:t>
      </w:r>
      <w:r w:rsidRPr="00DF5832">
        <w:rPr>
          <w:lang w:val="es-ES"/>
        </w:rPr>
        <w:tab/>
        <w:t>la elaboración del Informe del FMPT-26 del Secretario General esté en consonancia con lo dispuesto en el Anexo 2 del presente Acuerdo;</w:t>
      </w:r>
    </w:p>
    <w:p w14:paraId="33257B18" w14:textId="77777777" w:rsidR="00DF5832" w:rsidRPr="00DF5832" w:rsidRDefault="00DF5832" w:rsidP="00DF5832">
      <w:pPr>
        <w:pStyle w:val="enumlev1"/>
        <w:rPr>
          <w:lang w:val="es-ES"/>
        </w:rPr>
      </w:pPr>
      <w:r w:rsidRPr="00DF5832">
        <w:rPr>
          <w:lang w:val="es-ES"/>
        </w:rPr>
        <w:t>c)</w:t>
      </w:r>
      <w:r w:rsidRPr="00DF5832">
        <w:rPr>
          <w:lang w:val="es-ES"/>
        </w:rPr>
        <w:tab/>
        <w:t>las reuniones del FMPT-26 se celebren con arreglo a las Reglas de Procedimiento aplicadas en los dos Foros anteriores;</w:t>
      </w:r>
    </w:p>
    <w:p w14:paraId="3FF013BC" w14:textId="77777777" w:rsidR="00DF5832" w:rsidRPr="00DF5832" w:rsidRDefault="00DF5832" w:rsidP="00DF5832">
      <w:pPr>
        <w:pStyle w:val="enumlev1"/>
        <w:rPr>
          <w:lang w:val="es-ES"/>
        </w:rPr>
      </w:pPr>
      <w:r w:rsidRPr="00DF5832">
        <w:rPr>
          <w:lang w:val="es-ES"/>
        </w:rPr>
        <w:t>d)</w:t>
      </w:r>
      <w:r w:rsidRPr="00DF5832">
        <w:rPr>
          <w:lang w:val="es-ES"/>
        </w:rPr>
        <w:tab/>
        <w:t>el Informe Final del Secretario General se distribuya al menos seis semanas antes de la inauguración del FMPT-26;</w:t>
      </w:r>
    </w:p>
    <w:p w14:paraId="7831E47B" w14:textId="77777777" w:rsidR="00DF5832" w:rsidRPr="00DF5832" w:rsidRDefault="00DF5832" w:rsidP="00DF5832">
      <w:pPr>
        <w:jc w:val="both"/>
        <w:rPr>
          <w:rFonts w:asciiTheme="minorHAnsi" w:hAnsiTheme="minorHAnsi" w:cstheme="minorHAnsi"/>
          <w:lang w:val="es-ES"/>
        </w:rPr>
      </w:pPr>
      <w:r w:rsidRPr="00DF5832">
        <w:rPr>
          <w:lang w:val="es-ES"/>
        </w:rPr>
        <w:t>7</w:t>
      </w:r>
      <w:r w:rsidRPr="00DF5832">
        <w:rPr>
          <w:lang w:val="es-ES"/>
        </w:rPr>
        <w:tab/>
        <w:t>que la participación en el FMPT-26 esté abierta a todos los Estados Miembros y Miembros de Sector;</w:t>
      </w:r>
    </w:p>
    <w:p w14:paraId="2D17284A" w14:textId="77777777" w:rsidR="00DF5832" w:rsidRPr="00DF5832" w:rsidRDefault="00DF5832" w:rsidP="00DF5832">
      <w:pPr>
        <w:jc w:val="both"/>
        <w:rPr>
          <w:rFonts w:asciiTheme="minorHAnsi" w:hAnsiTheme="minorHAnsi" w:cstheme="minorHAnsi"/>
          <w:lang w:val="es-ES"/>
        </w:rPr>
      </w:pPr>
      <w:r w:rsidRPr="00DF5832">
        <w:rPr>
          <w:lang w:val="es-ES"/>
        </w:rPr>
        <w:t>8</w:t>
      </w:r>
      <w:r w:rsidRPr="00DF5832">
        <w:rPr>
          <w:lang w:val="es-ES"/>
        </w:rPr>
        <w:tab/>
        <w:t>que las disposiciones relativas al FMPT-26 se ajusten a las decisiones pertinentes de la Conferencia de Plenipotenciarios y del Consejo en relación con esos foros,</w:t>
      </w:r>
    </w:p>
    <w:p w14:paraId="6C715E0C" w14:textId="77777777" w:rsidR="00DF5832" w:rsidRPr="00DF5832" w:rsidRDefault="00DF5832" w:rsidP="00DF5832">
      <w:pPr>
        <w:pStyle w:val="Call"/>
        <w:rPr>
          <w:lang w:val="es-ES"/>
        </w:rPr>
      </w:pPr>
      <w:r w:rsidRPr="00DF5832">
        <w:rPr>
          <w:lang w:val="es-ES"/>
        </w:rPr>
        <w:t>encarga al Secretario General</w:t>
      </w:r>
    </w:p>
    <w:p w14:paraId="5431D0EB" w14:textId="77777777" w:rsidR="00DF5832" w:rsidRPr="00DF5832" w:rsidRDefault="00DF5832" w:rsidP="00DF5832">
      <w:pPr>
        <w:rPr>
          <w:rFonts w:asciiTheme="minorHAnsi" w:hAnsiTheme="minorHAnsi" w:cstheme="minorHAnsi"/>
          <w:color w:val="000000" w:themeColor="text1"/>
          <w:lang w:val="es-ES"/>
        </w:rPr>
      </w:pPr>
      <w:r w:rsidRPr="00DF5832">
        <w:rPr>
          <w:lang w:val="es-ES"/>
        </w:rPr>
        <w:t>que aliente a los Estados Miembros de la UIT y a los Miembros de Sector, entre otras partes interesadas, a que realicen aportaciones voluntarias para ayudar a sufragar los costos del FMPT-26 y facilitar la participación de los PMA.</w:t>
      </w:r>
    </w:p>
    <w:p w14:paraId="1628AA34" w14:textId="77777777" w:rsidR="00DF5832" w:rsidRPr="00DF5832" w:rsidRDefault="00DF5832" w:rsidP="00DF5832">
      <w:pPr>
        <w:spacing w:before="4080"/>
        <w:rPr>
          <w:rFonts w:asciiTheme="minorHAnsi" w:hAnsiTheme="minorHAnsi" w:cstheme="minorHAnsi"/>
          <w:color w:val="000000" w:themeColor="text1"/>
          <w:lang w:val="es-ES"/>
        </w:rPr>
      </w:pPr>
      <w:r w:rsidRPr="00DF5832">
        <w:rPr>
          <w:rFonts w:asciiTheme="minorHAnsi" w:hAnsiTheme="minorHAnsi" w:cstheme="minorHAnsi"/>
          <w:color w:val="000000" w:themeColor="text1"/>
          <w:lang w:val="es-ES"/>
        </w:rPr>
        <w:t xml:space="preserve">Anexos: </w:t>
      </w:r>
      <w:r w:rsidRPr="00DF5832">
        <w:rPr>
          <w:rFonts w:asciiTheme="minorHAnsi" w:hAnsiTheme="minorHAnsi" w:cstheme="minorHAnsi"/>
          <w:b/>
          <w:bCs/>
          <w:color w:val="000000" w:themeColor="text1"/>
          <w:lang w:val="es-ES"/>
        </w:rPr>
        <w:t>2</w:t>
      </w:r>
    </w:p>
    <w:p w14:paraId="311656C5" w14:textId="77777777" w:rsidR="00DF5832" w:rsidRPr="00DF5832" w:rsidRDefault="00DF5832" w:rsidP="00DF5832">
      <w:pPr>
        <w:rPr>
          <w:rFonts w:asciiTheme="minorHAnsi" w:hAnsiTheme="minorHAnsi" w:cstheme="minorHAnsi"/>
          <w:caps/>
          <w:color w:val="000000" w:themeColor="text1"/>
          <w:lang w:val="es-ES"/>
        </w:rPr>
      </w:pPr>
      <w:r w:rsidRPr="00DF5832">
        <w:rPr>
          <w:rFonts w:asciiTheme="minorHAnsi" w:hAnsiTheme="minorHAnsi" w:cstheme="minorHAnsi"/>
          <w:color w:val="000000" w:themeColor="text1"/>
          <w:lang w:val="es-ES"/>
        </w:rPr>
        <w:lastRenderedPageBreak/>
        <w:br w:type="page"/>
      </w:r>
    </w:p>
    <w:p w14:paraId="410BA127" w14:textId="77777777" w:rsidR="00DF5832" w:rsidRPr="00DF5832" w:rsidRDefault="00DF5832" w:rsidP="00DF5832">
      <w:pPr>
        <w:pStyle w:val="AnnexNo"/>
        <w:rPr>
          <w:caps w:val="0"/>
          <w:lang w:val="es-ES"/>
        </w:rPr>
      </w:pPr>
      <w:r w:rsidRPr="00DF5832">
        <w:rPr>
          <w:lang w:val="es-ES"/>
        </w:rPr>
        <w:lastRenderedPageBreak/>
        <w:t>ANEXO 1</w:t>
      </w:r>
    </w:p>
    <w:p w14:paraId="763229FC" w14:textId="77777777" w:rsidR="00DF5832" w:rsidRPr="00B57932" w:rsidRDefault="00DF5832" w:rsidP="00DF5832">
      <w:pPr>
        <w:pStyle w:val="Annextitle"/>
        <w:rPr>
          <w:caps/>
          <w:lang w:val="es-ES"/>
        </w:rPr>
      </w:pPr>
      <w:r w:rsidRPr="00B57932">
        <w:rPr>
          <w:lang w:val="es-ES"/>
        </w:rPr>
        <w:t>Proyecto de orden del día</w:t>
      </w:r>
      <w:r w:rsidRPr="00B57932">
        <w:rPr>
          <w:lang w:val="es-ES"/>
        </w:rPr>
        <w:br/>
      </w:r>
      <w:r w:rsidRPr="00B57932">
        <w:rPr>
          <w:lang w:val="es-ES"/>
        </w:rPr>
        <w:br/>
        <w:t xml:space="preserve">Séptimo </w:t>
      </w:r>
      <w:r w:rsidRPr="00C55EBB">
        <w:rPr>
          <w:lang w:val="es-ES"/>
        </w:rPr>
        <w:t>Foro Mundial de Política de las Telecomunicaciones/Tecnologías de la Información y la Comunicación</w:t>
      </w:r>
    </w:p>
    <w:p w14:paraId="7D819A0F" w14:textId="77777777" w:rsidR="00DF5832" w:rsidRPr="00DF5832" w:rsidRDefault="00DF5832" w:rsidP="00DF5832">
      <w:pPr>
        <w:pStyle w:val="Normalaftertitle"/>
        <w:spacing w:before="360"/>
        <w:rPr>
          <w:lang w:val="es-ES"/>
        </w:rPr>
      </w:pPr>
      <w:r w:rsidRPr="00B57932">
        <w:rPr>
          <w:rFonts w:asciiTheme="minorHAnsi" w:hAnsiTheme="minorHAnsi" w:cstheme="minorHAnsi"/>
          <w:lang w:val="es-ES"/>
        </w:rPr>
        <w:t>1</w:t>
      </w:r>
      <w:r w:rsidRPr="00B57932">
        <w:rPr>
          <w:rFonts w:asciiTheme="minorHAnsi" w:hAnsiTheme="minorHAnsi" w:cstheme="minorHAnsi"/>
          <w:lang w:val="es-ES"/>
        </w:rPr>
        <w:tab/>
      </w:r>
      <w:r w:rsidRPr="00DF5832">
        <w:rPr>
          <w:lang w:val="es-ES"/>
        </w:rPr>
        <w:t>Inauguración del séptimo Foro Mundial de Política de las Telecomunicaciones/TIC</w:t>
      </w:r>
    </w:p>
    <w:p w14:paraId="700038D8" w14:textId="77777777" w:rsidR="00DF5832" w:rsidRPr="00DF5832" w:rsidRDefault="00DF5832" w:rsidP="00DF5832">
      <w:pPr>
        <w:snapToGrid w:val="0"/>
        <w:rPr>
          <w:rFonts w:asciiTheme="minorHAnsi" w:hAnsiTheme="minorHAnsi" w:cstheme="minorHAnsi"/>
          <w:lang w:val="es-ES"/>
        </w:rPr>
      </w:pPr>
      <w:r w:rsidRPr="00DF5832">
        <w:rPr>
          <w:lang w:val="es-ES"/>
        </w:rPr>
        <w:t>2</w:t>
      </w:r>
      <w:r w:rsidRPr="00DF5832">
        <w:rPr>
          <w:lang w:val="es-ES"/>
        </w:rPr>
        <w:tab/>
        <w:t>Elección del Presidente</w:t>
      </w:r>
    </w:p>
    <w:p w14:paraId="53919900" w14:textId="77777777" w:rsidR="00DF5832" w:rsidRPr="00DF5832" w:rsidRDefault="00DF5832" w:rsidP="00DF5832">
      <w:pPr>
        <w:snapToGrid w:val="0"/>
        <w:rPr>
          <w:rFonts w:asciiTheme="minorHAnsi" w:hAnsiTheme="minorHAnsi" w:cstheme="minorHAnsi"/>
          <w:lang w:val="es-ES"/>
        </w:rPr>
      </w:pPr>
      <w:r w:rsidRPr="00DF5832">
        <w:rPr>
          <w:lang w:val="es-ES"/>
        </w:rPr>
        <w:t>3</w:t>
      </w:r>
      <w:r w:rsidRPr="00DF5832">
        <w:rPr>
          <w:lang w:val="es-ES"/>
        </w:rPr>
        <w:tab/>
        <w:t>Discursos de apertura y presentaciones</w:t>
      </w:r>
    </w:p>
    <w:p w14:paraId="13A76972" w14:textId="77777777" w:rsidR="00DF5832" w:rsidRPr="00DF5832" w:rsidRDefault="00DF5832" w:rsidP="00DF5832">
      <w:pPr>
        <w:snapToGrid w:val="0"/>
        <w:rPr>
          <w:rFonts w:asciiTheme="minorHAnsi" w:hAnsiTheme="minorHAnsi" w:cstheme="minorHAnsi"/>
          <w:lang w:val="es-ES"/>
        </w:rPr>
      </w:pPr>
      <w:r w:rsidRPr="00DF5832">
        <w:rPr>
          <w:lang w:val="es-ES"/>
        </w:rPr>
        <w:t>4</w:t>
      </w:r>
      <w:r w:rsidRPr="00DF5832">
        <w:rPr>
          <w:lang w:val="es-ES"/>
        </w:rPr>
        <w:tab/>
        <w:t>Organización de los trabajos del FMPT</w:t>
      </w:r>
    </w:p>
    <w:p w14:paraId="18850917" w14:textId="77777777" w:rsidR="00DF5832" w:rsidRPr="00DF5832" w:rsidRDefault="00DF5832" w:rsidP="00DF5832">
      <w:pPr>
        <w:snapToGrid w:val="0"/>
        <w:rPr>
          <w:rFonts w:asciiTheme="minorHAnsi" w:hAnsiTheme="minorHAnsi" w:cstheme="minorHAnsi"/>
          <w:lang w:val="es-ES"/>
        </w:rPr>
      </w:pPr>
      <w:r w:rsidRPr="00DF5832">
        <w:rPr>
          <w:lang w:val="es-ES"/>
        </w:rPr>
        <w:t>5</w:t>
      </w:r>
      <w:r w:rsidRPr="00DF5832">
        <w:rPr>
          <w:lang w:val="es-ES"/>
        </w:rPr>
        <w:tab/>
        <w:t>Presentación del Informe de la Secretaria General</w:t>
      </w:r>
    </w:p>
    <w:p w14:paraId="42BA868E" w14:textId="77777777" w:rsidR="00DF5832" w:rsidRPr="00DF5832" w:rsidRDefault="00DF5832" w:rsidP="00DF5832">
      <w:pPr>
        <w:snapToGrid w:val="0"/>
        <w:rPr>
          <w:rFonts w:asciiTheme="minorHAnsi" w:hAnsiTheme="minorHAnsi" w:cstheme="minorHAnsi"/>
          <w:lang w:val="es-ES"/>
        </w:rPr>
      </w:pPr>
      <w:r w:rsidRPr="00DF5832">
        <w:rPr>
          <w:lang w:val="es-ES"/>
        </w:rPr>
        <w:t>6</w:t>
      </w:r>
      <w:r w:rsidRPr="00DF5832">
        <w:rPr>
          <w:lang w:val="es-ES"/>
        </w:rPr>
        <w:tab/>
        <w:t>Presentación de comentarios de los miembros sobre el Informe</w:t>
      </w:r>
    </w:p>
    <w:p w14:paraId="08C8CF34" w14:textId="77777777" w:rsidR="00DF5832" w:rsidRPr="00DF5832" w:rsidRDefault="00DF5832" w:rsidP="00DF5832">
      <w:pPr>
        <w:snapToGrid w:val="0"/>
        <w:rPr>
          <w:rFonts w:asciiTheme="minorHAnsi" w:hAnsiTheme="minorHAnsi" w:cstheme="minorHAnsi"/>
          <w:lang w:val="es-ES"/>
        </w:rPr>
      </w:pPr>
      <w:r w:rsidRPr="00DF5832">
        <w:rPr>
          <w:lang w:val="es-ES"/>
        </w:rPr>
        <w:t>7</w:t>
      </w:r>
      <w:r w:rsidRPr="00DF5832">
        <w:rPr>
          <w:lang w:val="es-ES"/>
        </w:rPr>
        <w:tab/>
        <w:t>Debate</w:t>
      </w:r>
    </w:p>
    <w:p w14:paraId="1AC1BAA9" w14:textId="77777777" w:rsidR="00DF5832" w:rsidRPr="00DF5832" w:rsidRDefault="00DF5832" w:rsidP="00DF5832">
      <w:pPr>
        <w:snapToGrid w:val="0"/>
        <w:rPr>
          <w:rFonts w:asciiTheme="minorHAnsi" w:hAnsiTheme="minorHAnsi" w:cstheme="minorHAnsi"/>
          <w:lang w:val="es-ES"/>
        </w:rPr>
      </w:pPr>
      <w:r w:rsidRPr="00DF5832">
        <w:rPr>
          <w:lang w:val="es-ES"/>
        </w:rPr>
        <w:t>8</w:t>
      </w:r>
      <w:r w:rsidRPr="00DF5832">
        <w:rPr>
          <w:lang w:val="es-ES"/>
        </w:rPr>
        <w:tab/>
        <w:t>Consideración de los proyectos de opiniones</w:t>
      </w:r>
    </w:p>
    <w:p w14:paraId="1522A4C9" w14:textId="77777777" w:rsidR="00DF5832" w:rsidRPr="00DF5832" w:rsidRDefault="00DF5832" w:rsidP="00DF5832">
      <w:pPr>
        <w:snapToGrid w:val="0"/>
        <w:rPr>
          <w:lang w:val="es-ES"/>
        </w:rPr>
      </w:pPr>
      <w:r w:rsidRPr="00DF5832">
        <w:rPr>
          <w:lang w:val="es-ES"/>
        </w:rPr>
        <w:t>9</w:t>
      </w:r>
      <w:r w:rsidRPr="00DF5832">
        <w:rPr>
          <w:lang w:val="es-ES"/>
        </w:rPr>
        <w:tab/>
        <w:t>Aprobación del Informe del Presidente y opiniones</w:t>
      </w:r>
    </w:p>
    <w:p w14:paraId="6D18801E" w14:textId="77777777" w:rsidR="00DF5832" w:rsidRPr="00DF5832" w:rsidRDefault="00DF5832" w:rsidP="00DF5832">
      <w:pPr>
        <w:snapToGrid w:val="0"/>
        <w:rPr>
          <w:lang w:val="es-ES"/>
        </w:rPr>
      </w:pPr>
      <w:r w:rsidRPr="00DF5832">
        <w:rPr>
          <w:lang w:val="es-ES"/>
        </w:rPr>
        <w:t>10</w:t>
      </w:r>
      <w:r w:rsidRPr="00DF5832">
        <w:rPr>
          <w:lang w:val="es-ES"/>
        </w:rPr>
        <w:tab/>
        <w:t>Otros asuntos</w:t>
      </w:r>
    </w:p>
    <w:p w14:paraId="5FF7FB94" w14:textId="77777777" w:rsidR="00DF5832" w:rsidRPr="006F5B1E" w:rsidRDefault="00DF5832" w:rsidP="00DF5832">
      <w:pPr>
        <w:rPr>
          <w:lang w:val="es-ES"/>
        </w:rPr>
      </w:pPr>
      <w:r w:rsidRPr="006F5B1E">
        <w:rPr>
          <w:lang w:val="es-ES"/>
        </w:rPr>
        <w:br w:type="page"/>
      </w:r>
    </w:p>
    <w:p w14:paraId="477B4032" w14:textId="77777777" w:rsidR="00DF5832" w:rsidRPr="006F5B1E" w:rsidRDefault="00DF5832" w:rsidP="00DF5832">
      <w:pPr>
        <w:pStyle w:val="AnnexNo"/>
        <w:rPr>
          <w:lang w:val="es-ES"/>
        </w:rPr>
      </w:pPr>
      <w:bookmarkStart w:id="1" w:name="Annex2"/>
      <w:bookmarkEnd w:id="1"/>
      <w:r w:rsidRPr="006F5B1E">
        <w:rPr>
          <w:lang w:val="es-ES"/>
        </w:rPr>
        <w:t>ANEXO</w:t>
      </w:r>
      <w:r>
        <w:rPr>
          <w:lang w:val="es-ES"/>
        </w:rPr>
        <w:t xml:space="preserve"> 2</w:t>
      </w:r>
    </w:p>
    <w:p w14:paraId="5E5A996D" w14:textId="77777777" w:rsidR="00DF5832" w:rsidRPr="006F5B1E" w:rsidRDefault="00DF5832" w:rsidP="00DF5832">
      <w:pPr>
        <w:pStyle w:val="Annextitle"/>
        <w:rPr>
          <w:lang w:val="es-ES"/>
        </w:rPr>
      </w:pPr>
      <w:r w:rsidRPr="009038DB">
        <w:rPr>
          <w:lang w:val="es-ES"/>
        </w:rPr>
        <w:t xml:space="preserve">Procedimiento y </w:t>
      </w:r>
      <w:r>
        <w:rPr>
          <w:lang w:val="es-ES"/>
        </w:rPr>
        <w:t>calendario</w:t>
      </w:r>
      <w:r w:rsidRPr="009038DB">
        <w:rPr>
          <w:lang w:val="es-ES"/>
        </w:rPr>
        <w:t xml:space="preserve"> para la elaboración del Informe del FMPT-26 </w:t>
      </w:r>
      <w:r>
        <w:rPr>
          <w:lang w:val="es-ES"/>
        </w:rPr>
        <w:t>de la</w:t>
      </w:r>
      <w:r w:rsidRPr="009038DB">
        <w:rPr>
          <w:lang w:val="es-ES"/>
        </w:rPr>
        <w:t xml:space="preserve"> Secretari</w:t>
      </w:r>
      <w:r>
        <w:rPr>
          <w:lang w:val="es-ES"/>
        </w:rPr>
        <w:t>a</w:t>
      </w:r>
      <w:r w:rsidRPr="009038DB">
        <w:rPr>
          <w:lang w:val="es-ES"/>
        </w:rPr>
        <w:t xml:space="preserve"> Genera</w:t>
      </w:r>
      <w:r>
        <w:rPr>
          <w:lang w:val="es-ES"/>
        </w:rPr>
        <w:t>l</w:t>
      </w:r>
      <w:r>
        <w:rPr>
          <w:lang w:val="es-ES"/>
        </w:rPr>
        <w:br/>
      </w:r>
      <w:r>
        <w:rPr>
          <w:lang w:val="es-ES"/>
        </w:rPr>
        <w:br/>
      </w:r>
      <w:r w:rsidRPr="006F5B1E">
        <w:rPr>
          <w:lang w:val="es-ES"/>
        </w:rPr>
        <w:t xml:space="preserve">Calendario revisado para la preparación del Informe </w:t>
      </w:r>
      <w:r>
        <w:rPr>
          <w:lang w:val="es-ES"/>
        </w:rPr>
        <w:br/>
        <w:t>de la</w:t>
      </w:r>
      <w:r w:rsidRPr="006F5B1E">
        <w:rPr>
          <w:lang w:val="es-ES"/>
        </w:rPr>
        <w:t xml:space="preserve"> Secretari</w:t>
      </w:r>
      <w:r>
        <w:rPr>
          <w:lang w:val="es-ES"/>
        </w:rPr>
        <w:t>a</w:t>
      </w:r>
      <w:r w:rsidRPr="006F5B1E">
        <w:rPr>
          <w:lang w:val="es-ES"/>
        </w:rPr>
        <w:t xml:space="preserve"> General de la UIT</w:t>
      </w:r>
    </w:p>
    <w:tbl>
      <w:tblPr>
        <w:tblStyle w:val="TableGrid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27"/>
        <w:gridCol w:w="6434"/>
      </w:tblGrid>
      <w:tr w:rsidR="00DF5832" w:rsidRPr="00050022" w14:paraId="082FEF7A" w14:textId="77777777" w:rsidTr="00DF5832">
        <w:trPr>
          <w:jc w:val="center"/>
        </w:trPr>
        <w:tc>
          <w:tcPr>
            <w:tcW w:w="2627" w:type="dxa"/>
            <w:shd w:val="clear" w:color="auto" w:fill="D9D9D9"/>
          </w:tcPr>
          <w:p w14:paraId="54BCCD94" w14:textId="77777777" w:rsidR="00DF5832" w:rsidRPr="00DF5832" w:rsidRDefault="00DF5832" w:rsidP="00D52279">
            <w:pPr>
              <w:pStyle w:val="Tabletext"/>
              <w:jc w:val="center"/>
              <w:rPr>
                <w:b/>
                <w:bCs/>
                <w:lang w:val="es-ES"/>
              </w:rPr>
            </w:pPr>
            <w:r w:rsidRPr="00DF5832">
              <w:rPr>
                <w:b/>
                <w:bCs/>
                <w:lang w:val="es-ES"/>
              </w:rPr>
              <w:t>5 de agosto de 2024</w:t>
            </w:r>
          </w:p>
        </w:tc>
        <w:tc>
          <w:tcPr>
            <w:tcW w:w="6434" w:type="dxa"/>
            <w:shd w:val="clear" w:color="auto" w:fill="D9D9D9"/>
          </w:tcPr>
          <w:p w14:paraId="6A277E94" w14:textId="77777777" w:rsidR="00DF5832" w:rsidRPr="00DF5832" w:rsidRDefault="00DF5832" w:rsidP="00D52279">
            <w:pPr>
              <w:pStyle w:val="Tabletext"/>
              <w:rPr>
                <w:lang w:val="es-ES"/>
              </w:rPr>
            </w:pPr>
            <w:r w:rsidRPr="00DF5832">
              <w:rPr>
                <w:lang w:val="es-ES"/>
              </w:rPr>
              <w:t>Publicación en línea del primer proyecto de estructura del Informe de la Secretaria General para que se formulen observaciones.</w:t>
            </w:r>
          </w:p>
        </w:tc>
      </w:tr>
      <w:tr w:rsidR="00DF5832" w:rsidRPr="00050022" w14:paraId="47F0CA07" w14:textId="77777777" w:rsidTr="00DF5832">
        <w:trPr>
          <w:jc w:val="center"/>
        </w:trPr>
        <w:tc>
          <w:tcPr>
            <w:tcW w:w="2627" w:type="dxa"/>
            <w:shd w:val="clear" w:color="auto" w:fill="D9D9D9"/>
          </w:tcPr>
          <w:p w14:paraId="3202CA87" w14:textId="77777777" w:rsidR="00DF5832" w:rsidRPr="00DF5832" w:rsidRDefault="00DF5832" w:rsidP="00D52279">
            <w:pPr>
              <w:pStyle w:val="Tabletext"/>
              <w:jc w:val="center"/>
              <w:rPr>
                <w:b/>
                <w:bCs/>
                <w:lang w:val="es-ES"/>
              </w:rPr>
            </w:pPr>
            <w:r w:rsidRPr="00DF5832">
              <w:rPr>
                <w:b/>
                <w:bCs/>
                <w:lang w:val="es-ES"/>
              </w:rPr>
              <w:t>26 de agosto de 2024</w:t>
            </w:r>
          </w:p>
        </w:tc>
        <w:tc>
          <w:tcPr>
            <w:tcW w:w="6434" w:type="dxa"/>
            <w:shd w:val="clear" w:color="auto" w:fill="D9D9D9"/>
          </w:tcPr>
          <w:p w14:paraId="30206127" w14:textId="77777777" w:rsidR="00DF5832" w:rsidRPr="00DF5832" w:rsidRDefault="00DF5832" w:rsidP="00D52279">
            <w:pPr>
              <w:pStyle w:val="Tabletext"/>
              <w:rPr>
                <w:lang w:val="es-ES"/>
              </w:rPr>
            </w:pPr>
            <w:r w:rsidRPr="00DF5832">
              <w:rPr>
                <w:lang w:val="es-ES"/>
              </w:rPr>
              <w:t>Plazo para la recepción de observaciones sobre el primer proyecto de informe y para las contribuciones generales sobre posibles proyectos de opinión.</w:t>
            </w:r>
          </w:p>
          <w:p w14:paraId="653BF347" w14:textId="77777777" w:rsidR="00DF5832" w:rsidRPr="00DF5832" w:rsidRDefault="00DF5832" w:rsidP="00D52279">
            <w:pPr>
              <w:pStyle w:val="Tabletext"/>
              <w:rPr>
                <w:lang w:val="es-ES"/>
              </w:rPr>
            </w:pPr>
            <w:r w:rsidRPr="00DF5832">
              <w:rPr>
                <w:lang w:val="es-ES"/>
              </w:rPr>
              <w:t>Plazo para la presentación de candidaturas con miras a constituir un Grupo de Expertos equilibrado que preste asesoramiento a la Secretaria General sobre la elaboración ulterior del Informe y de las correspondientes opiniones.</w:t>
            </w:r>
          </w:p>
        </w:tc>
      </w:tr>
      <w:tr w:rsidR="00DF5832" w:rsidRPr="00050022" w14:paraId="6E7C3170" w14:textId="77777777" w:rsidTr="00DF5832">
        <w:trPr>
          <w:jc w:val="center"/>
        </w:trPr>
        <w:tc>
          <w:tcPr>
            <w:tcW w:w="2627" w:type="dxa"/>
            <w:shd w:val="clear" w:color="auto" w:fill="D9D9D9"/>
          </w:tcPr>
          <w:p w14:paraId="7B834335" w14:textId="77777777" w:rsidR="00DF5832" w:rsidRPr="00DF5832" w:rsidRDefault="00DF5832" w:rsidP="00D52279">
            <w:pPr>
              <w:pStyle w:val="Tabletext"/>
              <w:jc w:val="center"/>
              <w:rPr>
                <w:b/>
                <w:bCs/>
                <w:lang w:val="es-ES"/>
              </w:rPr>
            </w:pPr>
            <w:r w:rsidRPr="00DF5832">
              <w:rPr>
                <w:b/>
                <w:bCs/>
                <w:lang w:val="es-ES"/>
              </w:rPr>
              <w:t xml:space="preserve">Primera reunión del GIE (octubre de 2024 durante el conjunto de reuniones </w:t>
            </w:r>
            <w:r w:rsidRPr="00DF5832">
              <w:rPr>
                <w:b/>
                <w:bCs/>
                <w:lang w:val="es-ES"/>
              </w:rPr>
              <w:br/>
              <w:t>de los GTC)</w:t>
            </w:r>
          </w:p>
        </w:tc>
        <w:tc>
          <w:tcPr>
            <w:tcW w:w="6434" w:type="dxa"/>
            <w:shd w:val="clear" w:color="auto" w:fill="D9D9D9"/>
          </w:tcPr>
          <w:p w14:paraId="75B65232" w14:textId="77777777" w:rsidR="00DF5832" w:rsidRPr="00DF5832" w:rsidRDefault="00DF5832" w:rsidP="00D52279">
            <w:pPr>
              <w:pStyle w:val="Tabletext"/>
              <w:rPr>
                <w:lang w:val="es-ES"/>
              </w:rPr>
            </w:pPr>
            <w:r w:rsidRPr="00DF5832">
              <w:rPr>
                <w:lang w:val="es-ES"/>
              </w:rPr>
              <w:t>Primera reunión del Grupo de Expertos para debatir el primer proyecto de informe de la Secretaria General y las observaciones recibidas.</w:t>
            </w:r>
          </w:p>
        </w:tc>
      </w:tr>
      <w:tr w:rsidR="00DF5832" w:rsidRPr="00050022" w14:paraId="64FA809E" w14:textId="77777777" w:rsidTr="00DF5832">
        <w:trPr>
          <w:jc w:val="center"/>
        </w:trPr>
        <w:tc>
          <w:tcPr>
            <w:tcW w:w="2627" w:type="dxa"/>
            <w:shd w:val="clear" w:color="auto" w:fill="D9D9D9"/>
          </w:tcPr>
          <w:p w14:paraId="2D817778" w14:textId="77777777" w:rsidR="00DF5832" w:rsidRPr="00DF5832" w:rsidRDefault="00DF5832" w:rsidP="00D52279">
            <w:pPr>
              <w:pStyle w:val="Tabletext"/>
              <w:jc w:val="center"/>
              <w:rPr>
                <w:b/>
                <w:bCs/>
                <w:lang w:val="es-ES"/>
              </w:rPr>
            </w:pPr>
            <w:r w:rsidRPr="00DF5832">
              <w:rPr>
                <w:b/>
                <w:bCs/>
                <w:lang w:val="es-ES"/>
              </w:rPr>
              <w:t>4 de noviembre de 2024</w:t>
            </w:r>
          </w:p>
        </w:tc>
        <w:tc>
          <w:tcPr>
            <w:tcW w:w="6434" w:type="dxa"/>
            <w:shd w:val="clear" w:color="auto" w:fill="D9D9D9"/>
          </w:tcPr>
          <w:p w14:paraId="5AD11214" w14:textId="77777777" w:rsidR="00DF5832" w:rsidRPr="00DF5832" w:rsidRDefault="00DF5832" w:rsidP="00D52279">
            <w:pPr>
              <w:pStyle w:val="Tabletext"/>
              <w:rPr>
                <w:lang w:val="es-ES"/>
              </w:rPr>
            </w:pPr>
            <w:r w:rsidRPr="00DF5832">
              <w:rPr>
                <w:lang w:val="es-ES"/>
              </w:rPr>
              <w:t>Publicación en línea del segundo proyecto de informe de la Secretaria General, que abarque los debates de la primera reunión del GIE e incluya información general sobre los proyectos de opinión.</w:t>
            </w:r>
          </w:p>
          <w:p w14:paraId="21AF8127" w14:textId="77777777" w:rsidR="00DF5832" w:rsidRPr="00DF5832" w:rsidRDefault="00DF5832" w:rsidP="00D52279">
            <w:pPr>
              <w:pStyle w:val="Tabletext"/>
              <w:rPr>
                <w:lang w:val="es-ES"/>
              </w:rPr>
            </w:pPr>
            <w:r w:rsidRPr="00DF5832">
              <w:rPr>
                <w:lang w:val="es-ES"/>
              </w:rPr>
              <w:t>Dicho proyecto de informe también estará disponible en línea para su consulta pública abierta.</w:t>
            </w:r>
          </w:p>
        </w:tc>
      </w:tr>
      <w:tr w:rsidR="00DF5832" w:rsidRPr="00050022" w14:paraId="790E365A" w14:textId="77777777" w:rsidTr="00DF5832">
        <w:trPr>
          <w:jc w:val="center"/>
        </w:trPr>
        <w:tc>
          <w:tcPr>
            <w:tcW w:w="2627" w:type="dxa"/>
            <w:shd w:val="clear" w:color="auto" w:fill="D9D9D9"/>
          </w:tcPr>
          <w:p w14:paraId="79252A3A" w14:textId="77777777" w:rsidR="00DF5832" w:rsidRPr="00DF5832" w:rsidRDefault="00DF5832" w:rsidP="00D52279">
            <w:pPr>
              <w:pStyle w:val="Tabletext"/>
              <w:jc w:val="center"/>
              <w:rPr>
                <w:b/>
                <w:bCs/>
                <w:lang w:val="es-ES"/>
              </w:rPr>
            </w:pPr>
            <w:r w:rsidRPr="00DF5832">
              <w:rPr>
                <w:b/>
                <w:bCs/>
                <w:lang w:val="es-ES"/>
              </w:rPr>
              <w:t>20 de diciembre de 2024</w:t>
            </w:r>
          </w:p>
        </w:tc>
        <w:tc>
          <w:tcPr>
            <w:tcW w:w="6434" w:type="dxa"/>
            <w:shd w:val="clear" w:color="auto" w:fill="D9D9D9"/>
          </w:tcPr>
          <w:p w14:paraId="21D1E470" w14:textId="77777777" w:rsidR="00DF5832" w:rsidRPr="00DF5832" w:rsidRDefault="00DF5832" w:rsidP="00D52279">
            <w:pPr>
              <w:pStyle w:val="Tabletext"/>
              <w:rPr>
                <w:lang w:val="es-ES"/>
              </w:rPr>
            </w:pPr>
            <w:r w:rsidRPr="00DF5832">
              <w:rPr>
                <w:lang w:val="es-ES"/>
              </w:rPr>
              <w:t>Plazo para la recepción de observaciones sobre el segundo proyecto de informe y para las contribuciones sobre posibles proyectos de opinión.</w:t>
            </w:r>
          </w:p>
          <w:p w14:paraId="0C356FC9" w14:textId="77777777" w:rsidR="00DF5832" w:rsidRPr="00DF5832" w:rsidRDefault="00DF5832" w:rsidP="00D52279">
            <w:pPr>
              <w:pStyle w:val="Tabletext"/>
              <w:rPr>
                <w:lang w:val="es-ES"/>
              </w:rPr>
            </w:pPr>
            <w:r w:rsidRPr="00DF5832">
              <w:rPr>
                <w:lang w:val="es-ES"/>
              </w:rPr>
              <w:t>Plazo para las contribuciones relativas a las consultas públicas abiertas.</w:t>
            </w:r>
          </w:p>
        </w:tc>
      </w:tr>
      <w:tr w:rsidR="00DF5832" w:rsidRPr="00050022" w14:paraId="02818C94" w14:textId="77777777" w:rsidTr="00DF5832">
        <w:trPr>
          <w:jc w:val="center"/>
        </w:trPr>
        <w:tc>
          <w:tcPr>
            <w:tcW w:w="2627" w:type="dxa"/>
            <w:shd w:val="clear" w:color="auto" w:fill="D9D9D9"/>
          </w:tcPr>
          <w:p w14:paraId="31480DB6" w14:textId="77777777" w:rsidR="00DF5832" w:rsidRPr="00DF5832" w:rsidRDefault="00DF5832" w:rsidP="00D52279">
            <w:pPr>
              <w:pStyle w:val="Tabletext"/>
              <w:jc w:val="center"/>
              <w:rPr>
                <w:b/>
                <w:bCs/>
                <w:lang w:val="es-ES"/>
              </w:rPr>
            </w:pPr>
            <w:r w:rsidRPr="00DF5832">
              <w:rPr>
                <w:b/>
                <w:bCs/>
                <w:lang w:val="es-ES"/>
              </w:rPr>
              <w:t xml:space="preserve">Segunda reunión del GIE (febrero de 2025 durante el conjunto de reuniones </w:t>
            </w:r>
            <w:r w:rsidRPr="00DF5832">
              <w:rPr>
                <w:b/>
                <w:bCs/>
                <w:lang w:val="es-ES"/>
              </w:rPr>
              <w:br/>
              <w:t>de los GTC)</w:t>
            </w:r>
          </w:p>
        </w:tc>
        <w:tc>
          <w:tcPr>
            <w:tcW w:w="6434" w:type="dxa"/>
            <w:shd w:val="clear" w:color="auto" w:fill="D9D9D9"/>
          </w:tcPr>
          <w:p w14:paraId="3442D210" w14:textId="77777777" w:rsidR="00DF5832" w:rsidRPr="00DF5832" w:rsidRDefault="00DF5832" w:rsidP="00D52279">
            <w:pPr>
              <w:pStyle w:val="Tabletext"/>
              <w:rPr>
                <w:lang w:val="es-ES"/>
              </w:rPr>
            </w:pPr>
            <w:r w:rsidRPr="00DF5832">
              <w:rPr>
                <w:lang w:val="es-ES"/>
              </w:rPr>
              <w:t>Segunda reunión del Grupo de Expertos para debatir el segundo proyecto de informe de la Secretaria General, así como los posibles proyectos de opinión y las observaciones recibidas, incluidas las relativas a la consulta pública abierta.</w:t>
            </w:r>
          </w:p>
        </w:tc>
      </w:tr>
      <w:tr w:rsidR="00DF5832" w:rsidRPr="00050022" w14:paraId="00CB28BB" w14:textId="77777777" w:rsidTr="00DF5832">
        <w:trPr>
          <w:jc w:val="center"/>
        </w:trPr>
        <w:tc>
          <w:tcPr>
            <w:tcW w:w="2627" w:type="dxa"/>
            <w:shd w:val="clear" w:color="auto" w:fill="D9D9D9"/>
          </w:tcPr>
          <w:p w14:paraId="3EFAB84C" w14:textId="77777777" w:rsidR="00DF5832" w:rsidRPr="00DF5832" w:rsidRDefault="00DF5832" w:rsidP="00D52279">
            <w:pPr>
              <w:pStyle w:val="Tabletext"/>
              <w:jc w:val="center"/>
              <w:rPr>
                <w:b/>
                <w:bCs/>
                <w:lang w:val="es-ES"/>
              </w:rPr>
            </w:pPr>
            <w:r w:rsidRPr="00DF5832">
              <w:rPr>
                <w:b/>
                <w:bCs/>
                <w:lang w:val="es-ES"/>
              </w:rPr>
              <w:t>31 de marzo de 2025</w:t>
            </w:r>
          </w:p>
        </w:tc>
        <w:tc>
          <w:tcPr>
            <w:tcW w:w="6434" w:type="dxa"/>
            <w:shd w:val="clear" w:color="auto" w:fill="D9D9D9"/>
          </w:tcPr>
          <w:p w14:paraId="337D0DBC" w14:textId="77777777" w:rsidR="00DF5832" w:rsidRPr="00DF5832" w:rsidRDefault="00DF5832" w:rsidP="00D52279">
            <w:pPr>
              <w:pStyle w:val="Tabletext"/>
              <w:rPr>
                <w:lang w:val="es-ES"/>
              </w:rPr>
            </w:pPr>
            <w:r w:rsidRPr="00DF5832">
              <w:rPr>
                <w:lang w:val="es-ES"/>
              </w:rPr>
              <w:t>Publicación en línea del tercer proyecto de informe de la Secretaria General, que abarque los debates de la segunda reunión del GIE e incluya el texto de los posibles proyectos de opinión como Anexo.</w:t>
            </w:r>
          </w:p>
          <w:p w14:paraId="5F84B2C5" w14:textId="77777777" w:rsidR="00DF5832" w:rsidRPr="00DF5832" w:rsidRDefault="00DF5832" w:rsidP="00D52279">
            <w:pPr>
              <w:pStyle w:val="Tabletext"/>
              <w:rPr>
                <w:lang w:val="es-ES"/>
              </w:rPr>
            </w:pPr>
            <w:r w:rsidRPr="00DF5832">
              <w:rPr>
                <w:lang w:val="es-ES"/>
              </w:rPr>
              <w:t>Dicho proyecto de informe también estará disponible en línea para su consulta pública abierta.</w:t>
            </w:r>
          </w:p>
        </w:tc>
      </w:tr>
      <w:tr w:rsidR="00DF5832" w:rsidRPr="00050022" w14:paraId="6C38B907" w14:textId="77777777" w:rsidTr="00DF5832">
        <w:trPr>
          <w:jc w:val="center"/>
        </w:trPr>
        <w:tc>
          <w:tcPr>
            <w:tcW w:w="2627" w:type="dxa"/>
          </w:tcPr>
          <w:p w14:paraId="0CE63666" w14:textId="77777777" w:rsidR="00DF5832" w:rsidRPr="00DF5832" w:rsidRDefault="00DF5832" w:rsidP="00D52279">
            <w:pPr>
              <w:pStyle w:val="Tabletext"/>
              <w:jc w:val="center"/>
              <w:rPr>
                <w:b/>
                <w:bCs/>
                <w:lang w:val="es-ES"/>
              </w:rPr>
            </w:pPr>
            <w:r w:rsidRPr="00DF5832">
              <w:rPr>
                <w:b/>
                <w:bCs/>
                <w:lang w:val="es-ES"/>
              </w:rPr>
              <w:t>16 de junio de 2025</w:t>
            </w:r>
          </w:p>
        </w:tc>
        <w:tc>
          <w:tcPr>
            <w:tcW w:w="6434" w:type="dxa"/>
          </w:tcPr>
          <w:p w14:paraId="76C19DD3" w14:textId="77777777" w:rsidR="00DF5832" w:rsidRPr="00DF5832" w:rsidRDefault="00DF5832" w:rsidP="00D52279">
            <w:pPr>
              <w:pStyle w:val="Tabletext"/>
              <w:rPr>
                <w:lang w:val="es-ES"/>
              </w:rPr>
            </w:pPr>
            <w:r w:rsidRPr="00DF5832">
              <w:rPr>
                <w:lang w:val="es-ES"/>
              </w:rPr>
              <w:t>Plazo para la recepción de observaciones sobre el tercer proyecto de informe, con inclusión de los posibles proyectos de opinión.</w:t>
            </w:r>
          </w:p>
          <w:p w14:paraId="7CD0AAE3" w14:textId="77777777" w:rsidR="00DF5832" w:rsidRPr="00DF5832" w:rsidRDefault="00DF5832" w:rsidP="00D52279">
            <w:pPr>
              <w:pStyle w:val="Tabletext"/>
              <w:rPr>
                <w:lang w:val="es-ES"/>
              </w:rPr>
            </w:pPr>
            <w:r w:rsidRPr="00DF5832">
              <w:rPr>
                <w:lang w:val="es-ES"/>
              </w:rPr>
              <w:t>Plazo para la presentación de contribuciones de las consultas públicas abiertas.</w:t>
            </w:r>
          </w:p>
        </w:tc>
      </w:tr>
      <w:tr w:rsidR="00DF5832" w:rsidRPr="00050022" w14:paraId="40B6EA3D" w14:textId="77777777" w:rsidTr="00DF5832">
        <w:trPr>
          <w:jc w:val="center"/>
        </w:trPr>
        <w:tc>
          <w:tcPr>
            <w:tcW w:w="2627" w:type="dxa"/>
          </w:tcPr>
          <w:p w14:paraId="571F3767" w14:textId="77777777" w:rsidR="00DF5832" w:rsidRPr="00DF5832" w:rsidRDefault="00DF5832" w:rsidP="00D52279">
            <w:pPr>
              <w:pStyle w:val="Tabletext"/>
              <w:jc w:val="center"/>
              <w:rPr>
                <w:b/>
                <w:bCs/>
                <w:lang w:val="es-ES"/>
              </w:rPr>
            </w:pPr>
            <w:r w:rsidRPr="00DF5832">
              <w:rPr>
                <w:b/>
                <w:bCs/>
                <w:lang w:val="es-ES"/>
              </w:rPr>
              <w:t>7 de agosto de 2025</w:t>
            </w:r>
          </w:p>
        </w:tc>
        <w:tc>
          <w:tcPr>
            <w:tcW w:w="6434" w:type="dxa"/>
          </w:tcPr>
          <w:p w14:paraId="639D5FFB" w14:textId="77777777" w:rsidR="00DF5832" w:rsidRPr="00DF5832" w:rsidRDefault="00DF5832" w:rsidP="00D52279">
            <w:pPr>
              <w:pStyle w:val="Tabletext"/>
              <w:rPr>
                <w:lang w:val="es-ES"/>
              </w:rPr>
            </w:pPr>
            <w:r w:rsidRPr="00DF5832">
              <w:rPr>
                <w:lang w:val="es-ES"/>
              </w:rPr>
              <w:t xml:space="preserve">Plazo provisional para la presentación de aportaciones por escrito a raíz de la publicación, el 16 de junio de 2025, del informe del Presidente, que contiene los proyectos de opinión de referencia. </w:t>
            </w:r>
          </w:p>
          <w:p w14:paraId="2777F9CD" w14:textId="77777777" w:rsidR="00DF5832" w:rsidRPr="00DF5832" w:rsidRDefault="00DF5832" w:rsidP="00D52279">
            <w:pPr>
              <w:pStyle w:val="Tabletext"/>
              <w:rPr>
                <w:lang w:val="es-ES"/>
              </w:rPr>
            </w:pPr>
            <w:r w:rsidRPr="00DF5832">
              <w:rPr>
                <w:lang w:val="es-ES"/>
              </w:rPr>
              <w:t>Dicho plazo provisional tiene por objeto facilitar el examen ininterrumpido de los proyectos de opinión antes de la próxima reunión del Grupo Informal de Expertos.</w:t>
            </w:r>
          </w:p>
        </w:tc>
      </w:tr>
      <w:tr w:rsidR="00DF5832" w:rsidRPr="00050022" w14:paraId="5EBD517D" w14:textId="77777777" w:rsidTr="00DF5832">
        <w:trPr>
          <w:jc w:val="center"/>
        </w:trPr>
        <w:tc>
          <w:tcPr>
            <w:tcW w:w="2627" w:type="dxa"/>
          </w:tcPr>
          <w:p w14:paraId="44450BEA" w14:textId="77777777" w:rsidR="00DF5832" w:rsidRPr="00DF5832" w:rsidRDefault="00DF5832" w:rsidP="00D52279">
            <w:pPr>
              <w:pStyle w:val="Tabletext"/>
              <w:jc w:val="center"/>
              <w:rPr>
                <w:b/>
                <w:bCs/>
                <w:lang w:val="es-ES"/>
              </w:rPr>
            </w:pPr>
            <w:r w:rsidRPr="00DF5832">
              <w:rPr>
                <w:b/>
                <w:bCs/>
                <w:lang w:val="es-ES"/>
              </w:rPr>
              <w:t>Tercera reunión del GIE (septiembre de 2025 durante el conjunto de reuniones de los GTC)</w:t>
            </w:r>
          </w:p>
        </w:tc>
        <w:tc>
          <w:tcPr>
            <w:tcW w:w="6434" w:type="dxa"/>
          </w:tcPr>
          <w:p w14:paraId="27E6DD1C" w14:textId="77777777" w:rsidR="00DF5832" w:rsidRPr="00DF5832" w:rsidRDefault="00DF5832" w:rsidP="00D52279">
            <w:pPr>
              <w:pStyle w:val="Tabletext"/>
              <w:rPr>
                <w:lang w:val="es-ES"/>
              </w:rPr>
            </w:pPr>
            <w:r w:rsidRPr="00DF5832">
              <w:rPr>
                <w:lang w:val="es-ES"/>
              </w:rPr>
              <w:t>Tercera reunión del Grupo de Expertos para debatir el tercer proyecto de informe de la Secretaria General, así como los proyectos de opinión y las observaciones recibidas, incluidas las relativas a la consulta pública abierta.</w:t>
            </w:r>
          </w:p>
        </w:tc>
      </w:tr>
      <w:tr w:rsidR="00DF5832" w:rsidRPr="00050022" w14:paraId="34C08321" w14:textId="77777777" w:rsidTr="00DF5832">
        <w:trPr>
          <w:jc w:val="center"/>
        </w:trPr>
        <w:tc>
          <w:tcPr>
            <w:tcW w:w="2627" w:type="dxa"/>
          </w:tcPr>
          <w:p w14:paraId="1FEC0BD8" w14:textId="77777777" w:rsidR="00DF5832" w:rsidRPr="00DF5832" w:rsidRDefault="00DF5832" w:rsidP="00D52279">
            <w:pPr>
              <w:pStyle w:val="Tabletext"/>
              <w:jc w:val="center"/>
              <w:rPr>
                <w:b/>
                <w:bCs/>
                <w:lang w:val="es-ES"/>
              </w:rPr>
            </w:pPr>
            <w:r w:rsidRPr="00DF5832">
              <w:rPr>
                <w:b/>
                <w:bCs/>
                <w:lang w:val="es-ES"/>
              </w:rPr>
              <w:t>3 de noviembre de 2025</w:t>
            </w:r>
          </w:p>
        </w:tc>
        <w:tc>
          <w:tcPr>
            <w:tcW w:w="6434" w:type="dxa"/>
          </w:tcPr>
          <w:p w14:paraId="3D8F125E" w14:textId="77777777" w:rsidR="00DF5832" w:rsidRPr="00DF5832" w:rsidRDefault="00DF5832" w:rsidP="00D52279">
            <w:pPr>
              <w:pStyle w:val="Tabletext"/>
              <w:rPr>
                <w:lang w:val="es-ES"/>
              </w:rPr>
            </w:pPr>
            <w:r w:rsidRPr="00DF5832">
              <w:rPr>
                <w:lang w:val="es-ES"/>
              </w:rPr>
              <w:t>Publicación en línea del cuarto proyecto de informe de la Secretaria General, que abarque los debates de la tercera reunión del GIE e incluya los proyectos de opinión como Anexo.</w:t>
            </w:r>
          </w:p>
        </w:tc>
      </w:tr>
      <w:tr w:rsidR="00DF5832" w:rsidRPr="00050022" w14:paraId="37227E48" w14:textId="77777777" w:rsidTr="00DF5832">
        <w:trPr>
          <w:jc w:val="center"/>
        </w:trPr>
        <w:tc>
          <w:tcPr>
            <w:tcW w:w="2627" w:type="dxa"/>
          </w:tcPr>
          <w:p w14:paraId="587360CE" w14:textId="77777777" w:rsidR="00DF5832" w:rsidRPr="00DF5832" w:rsidRDefault="00DF5832" w:rsidP="00D52279">
            <w:pPr>
              <w:pStyle w:val="Tabletext"/>
              <w:jc w:val="center"/>
              <w:rPr>
                <w:b/>
                <w:bCs/>
                <w:lang w:val="es-ES"/>
              </w:rPr>
            </w:pPr>
            <w:r w:rsidRPr="00DF5832">
              <w:rPr>
                <w:b/>
                <w:bCs/>
                <w:lang w:val="es-ES"/>
              </w:rPr>
              <w:t>19 de diciembre de 2025</w:t>
            </w:r>
          </w:p>
        </w:tc>
        <w:tc>
          <w:tcPr>
            <w:tcW w:w="6434" w:type="dxa"/>
          </w:tcPr>
          <w:p w14:paraId="5D55942E" w14:textId="77777777" w:rsidR="00DF5832" w:rsidRPr="00DF5832" w:rsidRDefault="00DF5832" w:rsidP="00D52279">
            <w:pPr>
              <w:pStyle w:val="Tabletext"/>
              <w:rPr>
                <w:lang w:val="es-ES"/>
              </w:rPr>
            </w:pPr>
            <w:r w:rsidRPr="00DF5832">
              <w:rPr>
                <w:lang w:val="es-ES"/>
              </w:rPr>
              <w:t>Plazo para la recepción de observaciones sobre el cuarto proyecto de informe, con inclusión del texto de los proyectos de opinión.</w:t>
            </w:r>
          </w:p>
        </w:tc>
      </w:tr>
      <w:tr w:rsidR="00DF5832" w:rsidRPr="00050022" w14:paraId="5A1114CC" w14:textId="77777777" w:rsidTr="00DF5832">
        <w:trPr>
          <w:jc w:val="center"/>
        </w:trPr>
        <w:tc>
          <w:tcPr>
            <w:tcW w:w="2627" w:type="dxa"/>
          </w:tcPr>
          <w:p w14:paraId="41535444" w14:textId="77777777" w:rsidR="00DF5832" w:rsidRPr="00DF5832" w:rsidRDefault="00DF5832" w:rsidP="00D52279">
            <w:pPr>
              <w:pStyle w:val="Tabletext"/>
              <w:jc w:val="center"/>
              <w:rPr>
                <w:b/>
                <w:bCs/>
                <w:lang w:val="es-ES"/>
              </w:rPr>
            </w:pPr>
            <w:r w:rsidRPr="00DF5832">
              <w:rPr>
                <w:b/>
                <w:bCs/>
                <w:lang w:val="es-ES"/>
              </w:rPr>
              <w:t>Cuarta reunión del GIE (enero de 2026 durante el conjunto de reuniones de los GTC)</w:t>
            </w:r>
          </w:p>
        </w:tc>
        <w:tc>
          <w:tcPr>
            <w:tcW w:w="6434" w:type="dxa"/>
          </w:tcPr>
          <w:p w14:paraId="34D492D0" w14:textId="77777777" w:rsidR="00DF5832" w:rsidRPr="00DF5832" w:rsidRDefault="00DF5832" w:rsidP="00D52279">
            <w:pPr>
              <w:pStyle w:val="Tabletext"/>
              <w:rPr>
                <w:lang w:val="es-ES"/>
              </w:rPr>
            </w:pPr>
            <w:r w:rsidRPr="00DF5832">
              <w:rPr>
                <w:lang w:val="es-ES"/>
              </w:rPr>
              <w:t>Cuarta reunión del Grupo de Expertos para finalizar el proyecto de informe de la Secretaria General, incluido el texto final de los proyectos de opinión que han de someterse al séptimo FMPT.</w:t>
            </w:r>
          </w:p>
        </w:tc>
      </w:tr>
      <w:tr w:rsidR="00DF5832" w:rsidRPr="00050022" w14:paraId="2B10E55B" w14:textId="77777777" w:rsidTr="00DF5832">
        <w:trPr>
          <w:jc w:val="center"/>
        </w:trPr>
        <w:tc>
          <w:tcPr>
            <w:tcW w:w="2627" w:type="dxa"/>
          </w:tcPr>
          <w:p w14:paraId="5C57AAC7" w14:textId="77777777" w:rsidR="00DF5832" w:rsidRPr="00DF5832" w:rsidRDefault="00DF5832" w:rsidP="00D52279">
            <w:pPr>
              <w:pStyle w:val="Tabletext"/>
              <w:jc w:val="center"/>
              <w:rPr>
                <w:b/>
                <w:bCs/>
                <w:lang w:val="es-ES"/>
              </w:rPr>
            </w:pPr>
            <w:r w:rsidRPr="00DF5832">
              <w:rPr>
                <w:b/>
                <w:bCs/>
                <w:lang w:val="es-ES"/>
              </w:rPr>
              <w:t>Consulta oficiosa</w:t>
            </w:r>
          </w:p>
          <w:p w14:paraId="2A3F77E0" w14:textId="77777777" w:rsidR="00DF5832" w:rsidRPr="00DF5832" w:rsidRDefault="00DF5832" w:rsidP="00D52279">
            <w:pPr>
              <w:pStyle w:val="Tabletext"/>
              <w:jc w:val="center"/>
              <w:rPr>
                <w:b/>
                <w:bCs/>
                <w:lang w:val="es-ES"/>
              </w:rPr>
            </w:pPr>
            <w:r w:rsidRPr="00DF5832">
              <w:rPr>
                <w:b/>
                <w:bCs/>
                <w:lang w:val="es-ES"/>
              </w:rPr>
              <w:t>24 de febrero</w:t>
            </w:r>
          </w:p>
        </w:tc>
        <w:tc>
          <w:tcPr>
            <w:tcW w:w="6434" w:type="dxa"/>
          </w:tcPr>
          <w:p w14:paraId="5FE68F36" w14:textId="368D59CA" w:rsidR="00DF5832" w:rsidRPr="00DF5832" w:rsidRDefault="00DF5832" w:rsidP="00D52279">
            <w:pPr>
              <w:pStyle w:val="Tabletext"/>
              <w:rPr>
                <w:lang w:val="es-ES"/>
              </w:rPr>
            </w:pPr>
            <w:r w:rsidRPr="00DF5832">
              <w:rPr>
                <w:lang w:val="es-ES"/>
              </w:rPr>
              <w:t>Reunión de seguimiento oficiosa en línea para proseguir la labor del</w:t>
            </w:r>
            <w:r w:rsidR="00925FE0">
              <w:rPr>
                <w:lang w:val="es-ES"/>
              </w:rPr>
              <w:t> </w:t>
            </w:r>
            <w:r w:rsidRPr="00DF5832">
              <w:rPr>
                <w:lang w:val="es-ES"/>
              </w:rPr>
              <w:t>GIE</w:t>
            </w:r>
          </w:p>
        </w:tc>
      </w:tr>
      <w:tr w:rsidR="00DF5832" w:rsidRPr="00050022" w14:paraId="25B3FDA6" w14:textId="77777777" w:rsidTr="00DF5832">
        <w:trPr>
          <w:jc w:val="center"/>
        </w:trPr>
        <w:tc>
          <w:tcPr>
            <w:tcW w:w="2627" w:type="dxa"/>
          </w:tcPr>
          <w:p w14:paraId="423BACA0" w14:textId="77777777" w:rsidR="00DF5832" w:rsidRPr="00DF5832" w:rsidRDefault="00DF5832" w:rsidP="00D52279">
            <w:pPr>
              <w:pStyle w:val="Tabletext"/>
              <w:jc w:val="center"/>
              <w:rPr>
                <w:b/>
                <w:bCs/>
                <w:lang w:val="es-ES"/>
              </w:rPr>
            </w:pPr>
            <w:r w:rsidRPr="00DF5832">
              <w:rPr>
                <w:b/>
                <w:bCs/>
                <w:lang w:val="es-ES"/>
              </w:rPr>
              <w:t>Consulta oficiosa</w:t>
            </w:r>
          </w:p>
          <w:p w14:paraId="065A446E" w14:textId="77777777" w:rsidR="00DF5832" w:rsidRPr="00DF5832" w:rsidRDefault="00DF5832" w:rsidP="00D52279">
            <w:pPr>
              <w:pStyle w:val="Tabletext"/>
              <w:jc w:val="center"/>
              <w:rPr>
                <w:b/>
                <w:bCs/>
                <w:lang w:val="es-ES"/>
              </w:rPr>
            </w:pPr>
            <w:r w:rsidRPr="00DF5832">
              <w:rPr>
                <w:b/>
                <w:bCs/>
                <w:lang w:val="es-ES"/>
              </w:rPr>
              <w:t>24 de marzo de 20216</w:t>
            </w:r>
          </w:p>
        </w:tc>
        <w:tc>
          <w:tcPr>
            <w:tcW w:w="6434" w:type="dxa"/>
          </w:tcPr>
          <w:p w14:paraId="4FFFDC51" w14:textId="55216BC9" w:rsidR="00DF5832" w:rsidRPr="00DF5832" w:rsidRDefault="00DF5832" w:rsidP="00D52279">
            <w:pPr>
              <w:pStyle w:val="Tabletext"/>
              <w:rPr>
                <w:lang w:val="es-ES"/>
              </w:rPr>
            </w:pPr>
            <w:r w:rsidRPr="00DF5832">
              <w:rPr>
                <w:lang w:val="es-ES"/>
              </w:rPr>
              <w:t>Reunión de seguimiento oficiosa en línea para proseguir la labor del</w:t>
            </w:r>
            <w:r w:rsidR="00925FE0">
              <w:rPr>
                <w:lang w:val="es-ES"/>
              </w:rPr>
              <w:t> </w:t>
            </w:r>
            <w:r w:rsidRPr="00DF5832">
              <w:rPr>
                <w:lang w:val="es-ES"/>
              </w:rPr>
              <w:t>GIE</w:t>
            </w:r>
          </w:p>
        </w:tc>
      </w:tr>
      <w:tr w:rsidR="00DF5832" w:rsidRPr="00050022" w14:paraId="0074EF96" w14:textId="77777777" w:rsidTr="00DF5832">
        <w:trPr>
          <w:jc w:val="center"/>
        </w:trPr>
        <w:tc>
          <w:tcPr>
            <w:tcW w:w="2627" w:type="dxa"/>
          </w:tcPr>
          <w:p w14:paraId="05168434" w14:textId="77777777" w:rsidR="00DF5832" w:rsidRPr="00DF5832" w:rsidRDefault="00DF5832" w:rsidP="00D52279">
            <w:pPr>
              <w:pStyle w:val="Tabletext"/>
              <w:jc w:val="center"/>
              <w:rPr>
                <w:b/>
                <w:bCs/>
                <w:lang w:val="es-ES"/>
              </w:rPr>
            </w:pPr>
            <w:r w:rsidRPr="00DF5832">
              <w:rPr>
                <w:b/>
                <w:bCs/>
                <w:lang w:val="es-ES"/>
              </w:rPr>
              <w:t>13 de abril de 2026*</w:t>
            </w:r>
          </w:p>
        </w:tc>
        <w:tc>
          <w:tcPr>
            <w:tcW w:w="6434" w:type="dxa"/>
          </w:tcPr>
          <w:p w14:paraId="4BDA6986" w14:textId="77777777" w:rsidR="00DF5832" w:rsidRPr="00DF5832" w:rsidRDefault="00DF5832" w:rsidP="00D52279">
            <w:pPr>
              <w:pStyle w:val="Tabletext"/>
              <w:rPr>
                <w:lang w:val="es-ES"/>
              </w:rPr>
            </w:pPr>
            <w:r w:rsidRPr="00DF5832">
              <w:rPr>
                <w:lang w:val="es-ES"/>
              </w:rPr>
              <w:t>Publicación en línea de la versión definitiva del Informe de la Secretaria General al FMPT, incluidos los proyectos de opinión*.</w:t>
            </w:r>
          </w:p>
          <w:p w14:paraId="150F2115" w14:textId="77777777" w:rsidR="00DF5832" w:rsidRPr="00DF5832" w:rsidRDefault="00DF5832" w:rsidP="00D52279">
            <w:pPr>
              <w:pStyle w:val="Tabletext"/>
              <w:rPr>
                <w:lang w:val="es-ES"/>
              </w:rPr>
            </w:pPr>
            <w:r w:rsidRPr="00DF5832">
              <w:rPr>
                <w:lang w:val="es-ES"/>
              </w:rPr>
              <w:t>*Nota: a raíz del contenido y del alcance de los debates sobre los proyectos de opinión, estos no concluyeron hasta la reunión oficiosa final celebrada el 26 de abril de 2026; el informe final se publicó el 29 de abril de 2026</w:t>
            </w:r>
          </w:p>
        </w:tc>
      </w:tr>
      <w:tr w:rsidR="00DF5832" w:rsidRPr="00050022" w14:paraId="2A133D59" w14:textId="77777777" w:rsidTr="00DF5832">
        <w:trPr>
          <w:jc w:val="center"/>
        </w:trPr>
        <w:tc>
          <w:tcPr>
            <w:tcW w:w="2627" w:type="dxa"/>
          </w:tcPr>
          <w:p w14:paraId="2117EF83" w14:textId="77777777" w:rsidR="00DF5832" w:rsidRPr="00DF5832" w:rsidRDefault="00DF5832" w:rsidP="00D52279">
            <w:pPr>
              <w:pStyle w:val="Tabletext"/>
              <w:jc w:val="center"/>
              <w:rPr>
                <w:b/>
                <w:bCs/>
                <w:lang w:val="es-ES"/>
              </w:rPr>
            </w:pPr>
            <w:r w:rsidRPr="00DF5832">
              <w:rPr>
                <w:b/>
                <w:bCs/>
                <w:lang w:val="es-ES"/>
              </w:rPr>
              <w:t>Consulta oficiosa</w:t>
            </w:r>
          </w:p>
          <w:p w14:paraId="2E4C39E7" w14:textId="77777777" w:rsidR="00DF5832" w:rsidRPr="00DF5832" w:rsidRDefault="00DF5832" w:rsidP="00D52279">
            <w:pPr>
              <w:pStyle w:val="Tabletext"/>
              <w:jc w:val="center"/>
              <w:rPr>
                <w:b/>
                <w:bCs/>
                <w:lang w:val="es-ES"/>
              </w:rPr>
            </w:pPr>
            <w:r w:rsidRPr="00DF5832">
              <w:rPr>
                <w:b/>
                <w:bCs/>
                <w:lang w:val="es-ES"/>
              </w:rPr>
              <w:t>26 de abril de 2016</w:t>
            </w:r>
          </w:p>
        </w:tc>
        <w:tc>
          <w:tcPr>
            <w:tcW w:w="6434" w:type="dxa"/>
          </w:tcPr>
          <w:p w14:paraId="3D561292" w14:textId="77777777" w:rsidR="00DF5832" w:rsidRPr="00DF5832" w:rsidRDefault="00DF5832" w:rsidP="00D52279">
            <w:pPr>
              <w:pStyle w:val="Tabletext"/>
              <w:rPr>
                <w:lang w:val="es-ES"/>
              </w:rPr>
            </w:pPr>
            <w:r w:rsidRPr="00DF5832">
              <w:rPr>
                <w:lang w:val="es-ES"/>
              </w:rPr>
              <w:t>Reunión de seguimiento oficiosa final presencial, con participación a distancia, para concluir la labor del GIE</w:t>
            </w:r>
          </w:p>
        </w:tc>
      </w:tr>
      <w:tr w:rsidR="00DF5832" w:rsidRPr="00050022" w14:paraId="337E1490" w14:textId="77777777" w:rsidTr="00DF5832">
        <w:trPr>
          <w:jc w:val="center"/>
        </w:trPr>
        <w:tc>
          <w:tcPr>
            <w:tcW w:w="2627" w:type="dxa"/>
          </w:tcPr>
          <w:p w14:paraId="3F255A72" w14:textId="77777777" w:rsidR="00DF5832" w:rsidRPr="00DF5832" w:rsidRDefault="00DF5832" w:rsidP="00D52279">
            <w:pPr>
              <w:pStyle w:val="Tabletext"/>
              <w:jc w:val="center"/>
              <w:rPr>
                <w:b/>
                <w:bCs/>
                <w:lang w:val="es-ES"/>
              </w:rPr>
            </w:pPr>
            <w:r w:rsidRPr="00DF5832">
              <w:rPr>
                <w:b/>
                <w:bCs/>
                <w:lang w:val="es-ES"/>
              </w:rPr>
              <w:t>1-4 de septiembre de 2026</w:t>
            </w:r>
          </w:p>
        </w:tc>
        <w:tc>
          <w:tcPr>
            <w:tcW w:w="6434" w:type="dxa"/>
          </w:tcPr>
          <w:p w14:paraId="170B9C76" w14:textId="77777777" w:rsidR="00DF5832" w:rsidRPr="00DF5832" w:rsidRDefault="00DF5832" w:rsidP="00D52279">
            <w:pPr>
              <w:pStyle w:val="Tabletext"/>
              <w:rPr>
                <w:lang w:val="es-ES"/>
              </w:rPr>
            </w:pPr>
            <w:r w:rsidRPr="00DF5832">
              <w:rPr>
                <w:lang w:val="es-ES"/>
              </w:rPr>
              <w:t>Séptimo Foro Mundial de Política de las Telecomunicaciones/</w:t>
            </w:r>
            <w:r w:rsidRPr="00DF5832">
              <w:rPr>
                <w:lang w:val="es-ES"/>
              </w:rPr>
              <w:br/>
              <w:t>Tecnologías de la Información y la Comunicación, que tendrá lugar en Nassau, organizado por el Gobierno de Bahamas.</w:t>
            </w:r>
          </w:p>
        </w:tc>
      </w:tr>
    </w:tbl>
    <w:p w14:paraId="77146C27" w14:textId="77777777" w:rsidR="00F92BED" w:rsidRPr="00F11B2F" w:rsidRDefault="00F92BED" w:rsidP="0032202E">
      <w:pPr>
        <w:pStyle w:val="Reasons"/>
        <w:rPr>
          <w:lang w:val="es-ES"/>
        </w:rPr>
      </w:pPr>
    </w:p>
    <w:p w14:paraId="6585FE1D" w14:textId="77777777" w:rsidR="00F92BED" w:rsidRPr="00F92BED" w:rsidRDefault="00F92BED" w:rsidP="00F92BED">
      <w:pPr>
        <w:jc w:val="center"/>
      </w:pPr>
      <w:r>
        <w:t>______________</w:t>
      </w:r>
    </w:p>
    <w:sectPr w:rsidR="00F92BED" w:rsidRPr="00F92BED" w:rsidSect="00C538FC">
      <w:footerReference w:type="default" r:id="rId6"/>
      <w:headerReference w:type="first" r:id="rId7"/>
      <w:footerReference w:type="first" r:id="rId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A47A" w14:textId="77777777" w:rsidR="00F11B2F" w:rsidRDefault="00F11B2F">
      <w:r>
        <w:separator/>
      </w:r>
    </w:p>
  </w:endnote>
  <w:endnote w:type="continuationSeparator" w:id="0">
    <w:p w14:paraId="55B5EC37" w14:textId="77777777" w:rsidR="00F11B2F" w:rsidRDefault="00F1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BE63FC6" w14:textId="77777777" w:rsidTr="00E31DCE">
      <w:trPr>
        <w:jc w:val="center"/>
      </w:trPr>
      <w:tc>
        <w:tcPr>
          <w:tcW w:w="1803" w:type="dxa"/>
          <w:vAlign w:val="center"/>
        </w:tcPr>
        <w:p w14:paraId="450991AA" w14:textId="51DFF04E" w:rsidR="003273A4" w:rsidRDefault="002946E2" w:rsidP="003273A4">
          <w:pPr>
            <w:pStyle w:val="Header"/>
            <w:jc w:val="left"/>
            <w:rPr>
              <w:noProof/>
            </w:rPr>
          </w:pPr>
          <w:r>
            <w:rPr>
              <w:noProof/>
            </w:rPr>
            <w:t xml:space="preserve">gDoc </w:t>
          </w:r>
          <w:r w:rsidR="00925FE0" w:rsidRPr="00925FE0">
            <w:rPr>
              <w:noProof/>
            </w:rPr>
            <w:t>2601163</w:t>
          </w:r>
        </w:p>
      </w:tc>
      <w:tc>
        <w:tcPr>
          <w:tcW w:w="8261" w:type="dxa"/>
        </w:tcPr>
        <w:p w14:paraId="1B26004D" w14:textId="667E5F9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925FE0">
            <w:rPr>
              <w:bCs/>
            </w:rPr>
            <w:t>127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B295270"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C2FA575" w14:textId="77777777" w:rsidTr="00E31DCE">
      <w:trPr>
        <w:jc w:val="center"/>
      </w:trPr>
      <w:tc>
        <w:tcPr>
          <w:tcW w:w="1803" w:type="dxa"/>
          <w:vAlign w:val="center"/>
        </w:tcPr>
        <w:p w14:paraId="022F6693"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F7EBD43" w14:textId="2972AA68"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925FE0">
            <w:rPr>
              <w:bCs/>
            </w:rPr>
            <w:t>127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AEB5C7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98BE" w14:textId="77777777" w:rsidR="00F11B2F" w:rsidRDefault="00F11B2F">
      <w:r>
        <w:t>____________________</w:t>
      </w:r>
    </w:p>
  </w:footnote>
  <w:footnote w:type="continuationSeparator" w:id="0">
    <w:p w14:paraId="5906A104" w14:textId="77777777" w:rsidR="00F11B2F" w:rsidRDefault="00F11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FD22" w14:textId="77777777" w:rsidR="001559F5" w:rsidRPr="00B1560D" w:rsidRDefault="00B1560D" w:rsidP="00B1560D">
    <w:pPr>
      <w:pStyle w:val="Header"/>
    </w:pPr>
    <w:r>
      <w:rPr>
        <w:noProof/>
      </w:rPr>
      <w:drawing>
        <wp:inline distT="0" distB="0" distL="0" distR="0" wp14:anchorId="68121ED1" wp14:editId="1A351EA8">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2F"/>
    <w:rsid w:val="000007D1"/>
    <w:rsid w:val="00050022"/>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A7CD5"/>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6F1CAD"/>
    <w:rsid w:val="00726872"/>
    <w:rsid w:val="00760F1C"/>
    <w:rsid w:val="007657F0"/>
    <w:rsid w:val="0077110E"/>
    <w:rsid w:val="0077252D"/>
    <w:rsid w:val="007955DA"/>
    <w:rsid w:val="007E5DD3"/>
    <w:rsid w:val="007F350B"/>
    <w:rsid w:val="00820BE4"/>
    <w:rsid w:val="008451E8"/>
    <w:rsid w:val="0084546D"/>
    <w:rsid w:val="008F6ABC"/>
    <w:rsid w:val="00913B9C"/>
    <w:rsid w:val="00925FE0"/>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92167"/>
    <w:rsid w:val="00CC1FAF"/>
    <w:rsid w:val="00CF1A67"/>
    <w:rsid w:val="00D244A4"/>
    <w:rsid w:val="00D2750E"/>
    <w:rsid w:val="00D375E0"/>
    <w:rsid w:val="00D50A36"/>
    <w:rsid w:val="00D62446"/>
    <w:rsid w:val="00DA4EA2"/>
    <w:rsid w:val="00DC3D3E"/>
    <w:rsid w:val="00DE2C90"/>
    <w:rsid w:val="00DE3B24"/>
    <w:rsid w:val="00DE7376"/>
    <w:rsid w:val="00DF5832"/>
    <w:rsid w:val="00E06947"/>
    <w:rsid w:val="00E11319"/>
    <w:rsid w:val="00E21444"/>
    <w:rsid w:val="00E34072"/>
    <w:rsid w:val="00E3592D"/>
    <w:rsid w:val="00E50D76"/>
    <w:rsid w:val="00E8018B"/>
    <w:rsid w:val="00E92DE8"/>
    <w:rsid w:val="00EB1212"/>
    <w:rsid w:val="00ED65AB"/>
    <w:rsid w:val="00F11B2F"/>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2858F5"/>
  <w15:docId w15:val="{8C6C4A41-4DB2-40E7-A408-D8BB45A6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table" w:styleId="TableGridLight">
    <w:name w:val="Grid Table Light"/>
    <w:basedOn w:val="TableNormal"/>
    <w:uiPriority w:val="40"/>
    <w:rsid w:val="00DF58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cNo">
    <w:name w:val="Dec_No"/>
    <w:basedOn w:val="ResNo"/>
    <w:rsid w:val="00C92167"/>
    <w:rPr>
      <w:lang w:val="en-GB"/>
    </w:rPr>
  </w:style>
  <w:style w:type="paragraph" w:customStyle="1" w:styleId="Dectitle">
    <w:name w:val="Dec_title"/>
    <w:basedOn w:val="Restitle"/>
    <w:rsid w:val="00C92167"/>
    <w:pPr>
      <w:spacing w:before="12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6</Pages>
  <Words>1389</Words>
  <Characters>7325</Characters>
  <Application>Microsoft Office Word</Application>
  <DocSecurity>0</DocSecurity>
  <Lines>192</Lines>
  <Paragraphs>111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8603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Council Decision 641 (Mod. 2026)</dc:title>
  <dc:subject>Consejo 2026 de la UIT</dc:subject>
  <dc:creator>GBS</dc:creator>
  <cp:keywords>C26; C2026; Council 2026; PP26</cp:keywords>
  <dc:description/>
  <cp:lastModifiedBy>GBS</cp:lastModifiedBy>
  <cp:revision>2</cp:revision>
  <cp:lastPrinted>2006-03-24T09:51:00Z</cp:lastPrinted>
  <dcterms:created xsi:type="dcterms:W3CDTF">2026-05-06T11:34:00Z</dcterms:created>
  <dcterms:modified xsi:type="dcterms:W3CDTF">2026-05-06T11:34:00Z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