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A04080" w14:paraId="69D81E64" w14:textId="77777777" w:rsidTr="00C4421B">
        <w:trPr>
          <w:cantSplit/>
          <w:trHeight w:val="23"/>
        </w:trPr>
        <w:tc>
          <w:tcPr>
            <w:tcW w:w="3969" w:type="dxa"/>
            <w:vMerge w:val="restart"/>
            <w:tcMar>
              <w:left w:w="0" w:type="dxa"/>
            </w:tcMar>
          </w:tcPr>
          <w:p w14:paraId="7BF34C6B" w14:textId="23371141" w:rsidR="00FE57F6" w:rsidRPr="00A04080" w:rsidRDefault="00FE57F6" w:rsidP="00C4421B">
            <w:pPr>
              <w:tabs>
                <w:tab w:val="left" w:pos="851"/>
              </w:tabs>
              <w:spacing w:before="0" w:line="240" w:lineRule="atLeast"/>
              <w:rPr>
                <w:b/>
                <w:lang w:val="es-ES"/>
              </w:rPr>
            </w:pPr>
            <w:bookmarkStart w:id="0" w:name="_Hlk133421839"/>
          </w:p>
        </w:tc>
        <w:tc>
          <w:tcPr>
            <w:tcW w:w="5245" w:type="dxa"/>
          </w:tcPr>
          <w:p w14:paraId="3FC7AA2C" w14:textId="68D19A25" w:rsidR="00FE57F6" w:rsidRPr="00A04080" w:rsidRDefault="00FE57F6" w:rsidP="000147ED">
            <w:pPr>
              <w:spacing w:before="0"/>
              <w:jc w:val="right"/>
              <w:rPr>
                <w:b/>
                <w:bCs/>
                <w:lang w:val="es-ES"/>
              </w:rPr>
            </w:pPr>
            <w:r w:rsidRPr="00A04080">
              <w:rPr>
                <w:b/>
                <w:bCs/>
                <w:lang w:val="es-ES"/>
              </w:rPr>
              <w:t>Document</w:t>
            </w:r>
            <w:r w:rsidR="00F24B71" w:rsidRPr="00A04080">
              <w:rPr>
                <w:b/>
                <w:bCs/>
                <w:lang w:val="es-ES"/>
              </w:rPr>
              <w:t>o</w:t>
            </w:r>
            <w:r w:rsidRPr="00A04080">
              <w:rPr>
                <w:b/>
                <w:bCs/>
                <w:lang w:val="es-ES"/>
              </w:rPr>
              <w:t xml:space="preserve"> C2</w:t>
            </w:r>
            <w:r w:rsidR="00F85E5C" w:rsidRPr="00A04080">
              <w:rPr>
                <w:b/>
                <w:bCs/>
                <w:lang w:val="es-ES"/>
              </w:rPr>
              <w:t>6</w:t>
            </w:r>
            <w:r w:rsidRPr="00A04080">
              <w:rPr>
                <w:b/>
                <w:bCs/>
                <w:lang w:val="es-ES"/>
              </w:rPr>
              <w:t>/</w:t>
            </w:r>
            <w:r w:rsidR="000147ED" w:rsidRPr="00A04080">
              <w:rPr>
                <w:b/>
                <w:bCs/>
                <w:lang w:val="es-ES"/>
              </w:rPr>
              <w:t>1</w:t>
            </w:r>
            <w:r w:rsidR="00411A60">
              <w:rPr>
                <w:b/>
                <w:bCs/>
                <w:lang w:val="es-ES"/>
              </w:rPr>
              <w:t>2</w:t>
            </w:r>
            <w:r w:rsidR="00E379FD">
              <w:rPr>
                <w:b/>
                <w:bCs/>
                <w:lang w:val="es-ES"/>
              </w:rPr>
              <w:t>5</w:t>
            </w:r>
            <w:r w:rsidRPr="00A04080">
              <w:rPr>
                <w:b/>
                <w:bCs/>
                <w:lang w:val="es-ES"/>
              </w:rPr>
              <w:t>-</w:t>
            </w:r>
            <w:r w:rsidR="00F24B71" w:rsidRPr="00A04080">
              <w:rPr>
                <w:b/>
                <w:bCs/>
                <w:lang w:val="es-ES"/>
              </w:rPr>
              <w:t>S</w:t>
            </w:r>
          </w:p>
        </w:tc>
      </w:tr>
      <w:tr w:rsidR="00FE57F6" w:rsidRPr="00A04080" w14:paraId="3B8A7CBB" w14:textId="77777777" w:rsidTr="00C4421B">
        <w:trPr>
          <w:cantSplit/>
        </w:trPr>
        <w:tc>
          <w:tcPr>
            <w:tcW w:w="3969" w:type="dxa"/>
            <w:vMerge/>
          </w:tcPr>
          <w:p w14:paraId="2312DC50" w14:textId="77777777" w:rsidR="00FE57F6" w:rsidRPr="00A04080" w:rsidRDefault="00FE57F6" w:rsidP="00C4421B">
            <w:pPr>
              <w:tabs>
                <w:tab w:val="left" w:pos="851"/>
              </w:tabs>
              <w:spacing w:line="240" w:lineRule="atLeast"/>
              <w:rPr>
                <w:b/>
                <w:lang w:val="es-ES"/>
              </w:rPr>
            </w:pPr>
          </w:p>
        </w:tc>
        <w:tc>
          <w:tcPr>
            <w:tcW w:w="5245" w:type="dxa"/>
          </w:tcPr>
          <w:p w14:paraId="259AB7D0" w14:textId="6CB3072E" w:rsidR="00FE57F6" w:rsidRPr="00A04080" w:rsidRDefault="00245C14" w:rsidP="000147ED">
            <w:pPr>
              <w:spacing w:before="0"/>
              <w:jc w:val="right"/>
              <w:rPr>
                <w:b/>
                <w:bCs/>
                <w:lang w:val="es-ES"/>
              </w:rPr>
            </w:pPr>
            <w:r>
              <w:rPr>
                <w:b/>
                <w:bCs/>
                <w:lang w:val="es-ES"/>
              </w:rPr>
              <w:t>3 de agosto</w:t>
            </w:r>
            <w:r w:rsidR="000147ED" w:rsidRPr="00A04080">
              <w:rPr>
                <w:b/>
                <w:bCs/>
                <w:lang w:val="es-ES"/>
              </w:rPr>
              <w:t xml:space="preserve"> de 2026</w:t>
            </w:r>
          </w:p>
        </w:tc>
      </w:tr>
      <w:tr w:rsidR="00FE57F6" w:rsidRPr="00A04080" w14:paraId="3B7BDBAD" w14:textId="77777777" w:rsidTr="00C4421B">
        <w:trPr>
          <w:cantSplit/>
          <w:trHeight w:val="23"/>
        </w:trPr>
        <w:tc>
          <w:tcPr>
            <w:tcW w:w="3969" w:type="dxa"/>
            <w:vMerge/>
          </w:tcPr>
          <w:p w14:paraId="4ADFE76D" w14:textId="77777777" w:rsidR="00FE57F6" w:rsidRPr="00A04080" w:rsidRDefault="00FE57F6" w:rsidP="00C4421B">
            <w:pPr>
              <w:tabs>
                <w:tab w:val="left" w:pos="851"/>
              </w:tabs>
              <w:spacing w:line="240" w:lineRule="atLeast"/>
              <w:rPr>
                <w:b/>
                <w:lang w:val="es-ES"/>
              </w:rPr>
            </w:pPr>
          </w:p>
        </w:tc>
        <w:tc>
          <w:tcPr>
            <w:tcW w:w="5245" w:type="dxa"/>
          </w:tcPr>
          <w:p w14:paraId="0ABE241B" w14:textId="77777777" w:rsidR="00FE57F6" w:rsidRPr="00A04080" w:rsidRDefault="00F24B71" w:rsidP="000147ED">
            <w:pPr>
              <w:spacing w:before="0"/>
              <w:jc w:val="right"/>
              <w:rPr>
                <w:b/>
                <w:bCs/>
                <w:lang w:val="es-ES"/>
              </w:rPr>
            </w:pPr>
            <w:r w:rsidRPr="00A04080">
              <w:rPr>
                <w:b/>
                <w:bCs/>
                <w:lang w:val="es-ES"/>
              </w:rPr>
              <w:t>Original: inglés</w:t>
            </w:r>
          </w:p>
        </w:tc>
      </w:tr>
      <w:tr w:rsidR="00FE57F6" w:rsidRPr="00A04080" w14:paraId="3F377ABC" w14:textId="77777777" w:rsidTr="00C4421B">
        <w:trPr>
          <w:cantSplit/>
          <w:trHeight w:val="23"/>
        </w:trPr>
        <w:tc>
          <w:tcPr>
            <w:tcW w:w="3969" w:type="dxa"/>
          </w:tcPr>
          <w:p w14:paraId="19A75AB6" w14:textId="77777777" w:rsidR="00FE57F6" w:rsidRPr="00A04080" w:rsidRDefault="00FE57F6" w:rsidP="00C4421B">
            <w:pPr>
              <w:tabs>
                <w:tab w:val="left" w:pos="851"/>
              </w:tabs>
              <w:spacing w:line="240" w:lineRule="atLeast"/>
              <w:rPr>
                <w:b/>
                <w:lang w:val="es-ES"/>
              </w:rPr>
            </w:pPr>
          </w:p>
        </w:tc>
        <w:tc>
          <w:tcPr>
            <w:tcW w:w="5245" w:type="dxa"/>
          </w:tcPr>
          <w:p w14:paraId="444FA9F2" w14:textId="77777777" w:rsidR="00FE57F6" w:rsidRPr="00A04080" w:rsidRDefault="00FE57F6" w:rsidP="00C4421B">
            <w:pPr>
              <w:tabs>
                <w:tab w:val="left" w:pos="851"/>
              </w:tabs>
              <w:spacing w:before="0" w:line="240" w:lineRule="atLeast"/>
              <w:jc w:val="right"/>
              <w:rPr>
                <w:b/>
                <w:lang w:val="es-ES"/>
              </w:rPr>
            </w:pPr>
          </w:p>
        </w:tc>
      </w:tr>
      <w:tr w:rsidR="00FE57F6" w:rsidRPr="00431773" w14:paraId="2F83711C" w14:textId="77777777" w:rsidTr="00C4421B">
        <w:trPr>
          <w:cantSplit/>
        </w:trPr>
        <w:tc>
          <w:tcPr>
            <w:tcW w:w="9214" w:type="dxa"/>
            <w:gridSpan w:val="2"/>
            <w:tcMar>
              <w:left w:w="0" w:type="dxa"/>
            </w:tcMar>
          </w:tcPr>
          <w:p w14:paraId="4E6C659F" w14:textId="1C360078" w:rsidR="00FE57F6" w:rsidRPr="00A04080" w:rsidRDefault="000147ED" w:rsidP="00A04080">
            <w:pPr>
              <w:pStyle w:val="Source"/>
              <w:spacing w:before="360"/>
              <w:rPr>
                <w:sz w:val="34"/>
                <w:szCs w:val="34"/>
                <w:lang w:val="es-ES"/>
              </w:rPr>
            </w:pPr>
            <w:r w:rsidRPr="00A04080">
              <w:rPr>
                <w:sz w:val="34"/>
                <w:szCs w:val="34"/>
                <w:lang w:val="es-ES"/>
              </w:rPr>
              <w:t>RESUMEN DE LOS DEBATES</w:t>
            </w:r>
            <w:r w:rsidRPr="00A04080">
              <w:rPr>
                <w:sz w:val="34"/>
                <w:szCs w:val="34"/>
                <w:lang w:val="es-ES"/>
              </w:rPr>
              <w:br/>
            </w:r>
            <w:r w:rsidRPr="00A04080">
              <w:rPr>
                <w:sz w:val="34"/>
                <w:szCs w:val="34"/>
                <w:lang w:val="es-ES"/>
              </w:rPr>
              <w:br/>
              <w:t>DE LA</w:t>
            </w:r>
            <w:r w:rsidRPr="00A04080">
              <w:rPr>
                <w:sz w:val="34"/>
                <w:szCs w:val="34"/>
                <w:lang w:val="es-ES"/>
              </w:rPr>
              <w:br/>
            </w:r>
            <w:r w:rsidRPr="00A04080">
              <w:rPr>
                <w:sz w:val="34"/>
                <w:szCs w:val="34"/>
                <w:lang w:val="es-ES"/>
              </w:rPr>
              <w:br/>
            </w:r>
            <w:r w:rsidR="00E379FD" w:rsidRPr="00E379FD">
              <w:rPr>
                <w:sz w:val="34"/>
                <w:szCs w:val="34"/>
                <w:lang w:val="es-ES"/>
              </w:rPr>
              <w:t>OCTAVA</w:t>
            </w:r>
            <w:r w:rsidR="00D31931" w:rsidRPr="00D31931">
              <w:rPr>
                <w:sz w:val="34"/>
                <w:szCs w:val="34"/>
                <w:lang w:val="es-ES"/>
              </w:rPr>
              <w:t xml:space="preserve"> </w:t>
            </w:r>
            <w:r w:rsidRPr="00A04080">
              <w:rPr>
                <w:sz w:val="34"/>
                <w:szCs w:val="34"/>
                <w:lang w:val="es-ES"/>
              </w:rPr>
              <w:t>SESIÓN PLENARIA</w:t>
            </w:r>
          </w:p>
        </w:tc>
      </w:tr>
      <w:tr w:rsidR="00FE57F6" w:rsidRPr="00431773" w14:paraId="1DA7B0C9" w14:textId="77777777" w:rsidTr="00C4421B">
        <w:trPr>
          <w:cantSplit/>
        </w:trPr>
        <w:tc>
          <w:tcPr>
            <w:tcW w:w="9214" w:type="dxa"/>
            <w:gridSpan w:val="2"/>
            <w:tcMar>
              <w:left w:w="0" w:type="dxa"/>
            </w:tcMar>
          </w:tcPr>
          <w:p w14:paraId="4645DA98" w14:textId="6E5F9B4D" w:rsidR="000147ED" w:rsidRPr="00A04080" w:rsidRDefault="00523B73" w:rsidP="003C3B9A">
            <w:pPr>
              <w:jc w:val="center"/>
              <w:rPr>
                <w:lang w:val="es-ES"/>
              </w:rPr>
            </w:pPr>
            <w:r w:rsidRPr="00523B73">
              <w:rPr>
                <w:lang w:val="es-ES"/>
              </w:rPr>
              <w:t xml:space="preserve">Viernes 8 de mayo de 2026, </w:t>
            </w:r>
            <w:r w:rsidR="00E379FD" w:rsidRPr="00E379FD">
              <w:rPr>
                <w:lang w:val="es-ES"/>
              </w:rPr>
              <w:t>de las 09.15 a las 12.05 horas</w:t>
            </w:r>
          </w:p>
          <w:p w14:paraId="60970BAC" w14:textId="668E3979" w:rsidR="00FE57F6" w:rsidRPr="005E3F36" w:rsidRDefault="000147ED" w:rsidP="003C3B9A">
            <w:pPr>
              <w:jc w:val="center"/>
              <w:rPr>
                <w:lang w:val="it-IT"/>
              </w:rPr>
            </w:pPr>
            <w:r w:rsidRPr="005E3F36">
              <w:rPr>
                <w:b/>
                <w:bCs/>
                <w:lang w:val="it-IT"/>
              </w:rPr>
              <w:t>Presidente:</w:t>
            </w:r>
            <w:r w:rsidRPr="005E3F36">
              <w:rPr>
                <w:lang w:val="it-IT"/>
              </w:rPr>
              <w:t xml:space="preserve"> Sr. B</w:t>
            </w:r>
            <w:r w:rsidR="00137BDC">
              <w:rPr>
                <w:lang w:val="it-IT"/>
              </w:rPr>
              <w:t>.</w:t>
            </w:r>
            <w:r w:rsidRPr="005E3F36">
              <w:rPr>
                <w:lang w:val="it-IT"/>
              </w:rPr>
              <w:t xml:space="preserve"> Tijani (Nigeria)</w:t>
            </w:r>
          </w:p>
        </w:tc>
      </w:tr>
      <w:bookmarkEnd w:id="0"/>
    </w:tbl>
    <w:p w14:paraId="552F9EE4" w14:textId="52457D20" w:rsidR="00093EEB" w:rsidRPr="000147ED" w:rsidRDefault="00093EEB">
      <w:pPr>
        <w:rPr>
          <w:lang w:val="it-IT"/>
        </w:rPr>
      </w:pPr>
    </w:p>
    <w:tbl>
      <w:tblPr>
        <w:tblW w:w="9214" w:type="dxa"/>
        <w:tblInd w:w="170" w:type="dxa"/>
        <w:tblLayout w:type="fixed"/>
        <w:tblLook w:val="04A0" w:firstRow="1" w:lastRow="0" w:firstColumn="1" w:lastColumn="0" w:noHBand="0" w:noVBand="1"/>
      </w:tblPr>
      <w:tblGrid>
        <w:gridCol w:w="446"/>
        <w:gridCol w:w="6597"/>
        <w:gridCol w:w="2171"/>
      </w:tblGrid>
      <w:tr w:rsidR="000147ED" w:rsidRPr="00A04080" w14:paraId="6CA3174E" w14:textId="77777777" w:rsidTr="004D1528">
        <w:trPr>
          <w:tblHeader/>
        </w:trPr>
        <w:tc>
          <w:tcPr>
            <w:tcW w:w="446" w:type="dxa"/>
          </w:tcPr>
          <w:p w14:paraId="12C605C9" w14:textId="77777777" w:rsidR="000147ED" w:rsidRPr="005E3F36" w:rsidRDefault="000147ED" w:rsidP="00A04080">
            <w:pPr>
              <w:rPr>
                <w:b/>
                <w:bCs/>
                <w:lang w:val="it-IT"/>
              </w:rPr>
            </w:pPr>
            <w:bookmarkStart w:id="1" w:name="_Hlk141438382"/>
            <w:r w:rsidRPr="005E3F36">
              <w:rPr>
                <w:b/>
                <w:bCs/>
                <w:lang w:val="it-IT"/>
              </w:rPr>
              <w:br w:type="page"/>
            </w:r>
            <w:r w:rsidRPr="005E3F36">
              <w:rPr>
                <w:b/>
                <w:bCs/>
                <w:lang w:val="it-IT"/>
              </w:rPr>
              <w:br w:type="page"/>
            </w:r>
          </w:p>
        </w:tc>
        <w:tc>
          <w:tcPr>
            <w:tcW w:w="6597" w:type="dxa"/>
            <w:hideMark/>
          </w:tcPr>
          <w:p w14:paraId="51D8A5BE" w14:textId="0DC313F2" w:rsidR="000147ED" w:rsidRPr="00A04080" w:rsidRDefault="000147ED" w:rsidP="00A04080">
            <w:pPr>
              <w:rPr>
                <w:b/>
                <w:bCs/>
                <w:lang w:val="es-ES"/>
              </w:rPr>
            </w:pPr>
            <w:r w:rsidRPr="00A04080">
              <w:rPr>
                <w:b/>
                <w:bCs/>
                <w:lang w:val="es-ES"/>
              </w:rPr>
              <w:t>Asuntos tratados</w:t>
            </w:r>
          </w:p>
        </w:tc>
        <w:tc>
          <w:tcPr>
            <w:tcW w:w="2171" w:type="dxa"/>
            <w:hideMark/>
          </w:tcPr>
          <w:p w14:paraId="7F5B4CED" w14:textId="77777777" w:rsidR="000147ED" w:rsidRPr="00A04080" w:rsidRDefault="000147ED" w:rsidP="00A04080">
            <w:pPr>
              <w:jc w:val="center"/>
              <w:rPr>
                <w:b/>
                <w:bCs/>
                <w:lang w:val="es-ES"/>
              </w:rPr>
            </w:pPr>
            <w:r w:rsidRPr="00A04080">
              <w:rPr>
                <w:b/>
                <w:bCs/>
                <w:lang w:val="es-ES"/>
              </w:rPr>
              <w:t>Documentos</w:t>
            </w:r>
          </w:p>
        </w:tc>
      </w:tr>
      <w:tr w:rsidR="000147ED" w:rsidRPr="00E379FD" w14:paraId="31CE6E87" w14:textId="77777777" w:rsidTr="00E379FD">
        <w:trPr>
          <w:trHeight w:val="20"/>
        </w:trPr>
        <w:tc>
          <w:tcPr>
            <w:tcW w:w="446" w:type="dxa"/>
            <w:hideMark/>
          </w:tcPr>
          <w:p w14:paraId="47C20B3D" w14:textId="77777777" w:rsidR="000147ED" w:rsidRPr="00A04080" w:rsidRDefault="000147ED" w:rsidP="00A04080">
            <w:pPr>
              <w:rPr>
                <w:lang w:val="es-ES"/>
              </w:rPr>
            </w:pPr>
            <w:r w:rsidRPr="00A04080">
              <w:rPr>
                <w:lang w:val="es-ES"/>
              </w:rPr>
              <w:t>1</w:t>
            </w:r>
          </w:p>
        </w:tc>
        <w:tc>
          <w:tcPr>
            <w:tcW w:w="6597" w:type="dxa"/>
          </w:tcPr>
          <w:p w14:paraId="7A35FF65" w14:textId="1025966C" w:rsidR="000147ED" w:rsidRPr="00A04080" w:rsidRDefault="00E379FD" w:rsidP="00411A60">
            <w:pPr>
              <w:rPr>
                <w:lang w:val="es-ES"/>
              </w:rPr>
            </w:pPr>
            <w:r w:rsidRPr="00E379FD">
              <w:rPr>
                <w:lang w:val="es-ES"/>
              </w:rPr>
              <w:t>Calendario propuesto para las reuniones de 2027, 2028 y 2029 del Consejo y las series de reuniones de los Grupos de Trabajo del Consejo para el mismo periodo</w:t>
            </w:r>
          </w:p>
        </w:tc>
        <w:tc>
          <w:tcPr>
            <w:tcW w:w="2171" w:type="dxa"/>
          </w:tcPr>
          <w:p w14:paraId="0493B68A" w14:textId="1D88D504" w:rsidR="000147ED" w:rsidRPr="00411A60" w:rsidRDefault="00E379FD" w:rsidP="00E379FD">
            <w:pPr>
              <w:jc w:val="center"/>
              <w:rPr>
                <w:szCs w:val="24"/>
                <w:lang w:val="es-ES"/>
              </w:rPr>
            </w:pPr>
            <w:hyperlink r:id="rId8" w:history="1">
              <w:r w:rsidRPr="00E379FD">
                <w:rPr>
                  <w:rStyle w:val="Hyperlink"/>
                  <w:rFonts w:eastAsia="Times New Roman" w:cs="Times New Roman"/>
                  <w:szCs w:val="24"/>
                  <w:lang w:val="es-ES"/>
                </w:rPr>
                <w:t>C26/2</w:t>
              </w:r>
            </w:hyperlink>
          </w:p>
        </w:tc>
      </w:tr>
      <w:tr w:rsidR="000147ED" w:rsidRPr="00E379FD" w14:paraId="598270ED" w14:textId="77777777" w:rsidTr="00E379FD">
        <w:trPr>
          <w:trHeight w:val="20"/>
        </w:trPr>
        <w:tc>
          <w:tcPr>
            <w:tcW w:w="446" w:type="dxa"/>
          </w:tcPr>
          <w:p w14:paraId="5772F2D4" w14:textId="77777777" w:rsidR="000147ED" w:rsidRPr="00A04080" w:rsidRDefault="000147ED" w:rsidP="00A04080">
            <w:pPr>
              <w:rPr>
                <w:lang w:val="es-ES"/>
              </w:rPr>
            </w:pPr>
            <w:r w:rsidRPr="00A04080">
              <w:rPr>
                <w:lang w:val="es-ES"/>
              </w:rPr>
              <w:t>2</w:t>
            </w:r>
          </w:p>
        </w:tc>
        <w:tc>
          <w:tcPr>
            <w:tcW w:w="6597" w:type="dxa"/>
          </w:tcPr>
          <w:p w14:paraId="6FDA9B49" w14:textId="6ED4D1F2" w:rsidR="000147ED" w:rsidRPr="00A04080" w:rsidRDefault="00E379FD" w:rsidP="00411A60">
            <w:pPr>
              <w:rPr>
                <w:shd w:val="clear" w:color="auto" w:fill="FFFFFF"/>
                <w:lang w:val="es-ES"/>
              </w:rPr>
            </w:pPr>
            <w:r w:rsidRPr="00E379FD">
              <w:rPr>
                <w:shd w:val="clear" w:color="auto" w:fill="FFFFFF"/>
                <w:lang w:val="es-ES"/>
              </w:rPr>
              <w:t>Calendario de futuras conferencias, asambleas y reuniones de la Unión: 2026-2029</w:t>
            </w:r>
          </w:p>
        </w:tc>
        <w:tc>
          <w:tcPr>
            <w:tcW w:w="2171" w:type="dxa"/>
          </w:tcPr>
          <w:p w14:paraId="30842B6B" w14:textId="0B55FA80" w:rsidR="000147ED" w:rsidRPr="00411A60" w:rsidRDefault="00E379FD" w:rsidP="00E379FD">
            <w:pPr>
              <w:jc w:val="center"/>
              <w:rPr>
                <w:szCs w:val="24"/>
                <w:lang w:val="es-ES"/>
              </w:rPr>
            </w:pPr>
            <w:hyperlink r:id="rId9" w:history="1">
              <w:r w:rsidRPr="00E379FD">
                <w:rPr>
                  <w:rStyle w:val="Hyperlink"/>
                  <w:rFonts w:eastAsia="Times New Roman" w:cs="Times New Roman"/>
                  <w:szCs w:val="24"/>
                  <w:lang w:val="es-ES"/>
                </w:rPr>
                <w:t>C26/37(Rev.1)</w:t>
              </w:r>
            </w:hyperlink>
          </w:p>
        </w:tc>
      </w:tr>
      <w:tr w:rsidR="000147ED" w:rsidRPr="00E379FD" w14:paraId="0B16DB81" w14:textId="77777777" w:rsidTr="00E379FD">
        <w:trPr>
          <w:trHeight w:val="20"/>
        </w:trPr>
        <w:tc>
          <w:tcPr>
            <w:tcW w:w="446" w:type="dxa"/>
          </w:tcPr>
          <w:p w14:paraId="7C3311C1" w14:textId="77777777" w:rsidR="000147ED" w:rsidRPr="00A04080" w:rsidRDefault="000147ED" w:rsidP="00A04080">
            <w:pPr>
              <w:rPr>
                <w:lang w:val="es-ES"/>
              </w:rPr>
            </w:pPr>
            <w:r w:rsidRPr="00A04080">
              <w:rPr>
                <w:lang w:val="es-ES"/>
              </w:rPr>
              <w:t>3</w:t>
            </w:r>
          </w:p>
        </w:tc>
        <w:tc>
          <w:tcPr>
            <w:tcW w:w="6597" w:type="dxa"/>
          </w:tcPr>
          <w:p w14:paraId="4E3D1B43" w14:textId="1FB1E2B8" w:rsidR="000147ED" w:rsidRPr="00A04080" w:rsidRDefault="00E379FD" w:rsidP="00411A60">
            <w:pPr>
              <w:rPr>
                <w:lang w:val="es-ES"/>
              </w:rPr>
            </w:pPr>
            <w:r w:rsidRPr="00E379FD">
              <w:rPr>
                <w:lang w:val="es-ES"/>
              </w:rPr>
              <w:t>Propuesta para celebrar la Conferencia de Plenipotenciarios de</w:t>
            </w:r>
            <w:r w:rsidR="007623CC">
              <w:rPr>
                <w:lang w:val="es-ES"/>
              </w:rPr>
              <w:t> </w:t>
            </w:r>
            <w:r w:rsidRPr="00E379FD">
              <w:rPr>
                <w:lang w:val="es-ES"/>
              </w:rPr>
              <w:t>2030 en la India</w:t>
            </w:r>
          </w:p>
        </w:tc>
        <w:tc>
          <w:tcPr>
            <w:tcW w:w="2171" w:type="dxa"/>
          </w:tcPr>
          <w:p w14:paraId="194BC6D0" w14:textId="46B9EF4F" w:rsidR="000147ED" w:rsidRPr="00411A60" w:rsidRDefault="00E379FD" w:rsidP="00E379FD">
            <w:pPr>
              <w:jc w:val="center"/>
              <w:rPr>
                <w:szCs w:val="24"/>
                <w:lang w:val="es-ES"/>
              </w:rPr>
            </w:pPr>
            <w:hyperlink r:id="rId10" w:history="1">
              <w:r w:rsidRPr="00E379FD">
                <w:rPr>
                  <w:rStyle w:val="Hyperlink"/>
                  <w:rFonts w:eastAsia="Times New Roman" w:cs="Times New Roman"/>
                  <w:szCs w:val="24"/>
                  <w:lang w:val="es-ES"/>
                </w:rPr>
                <w:t>C26/78</w:t>
              </w:r>
            </w:hyperlink>
          </w:p>
        </w:tc>
      </w:tr>
      <w:tr w:rsidR="000147ED" w:rsidRPr="00E379FD" w14:paraId="6FF31813" w14:textId="77777777" w:rsidTr="00E379FD">
        <w:trPr>
          <w:trHeight w:val="20"/>
        </w:trPr>
        <w:tc>
          <w:tcPr>
            <w:tcW w:w="446" w:type="dxa"/>
          </w:tcPr>
          <w:p w14:paraId="06EF9159" w14:textId="77777777" w:rsidR="000147ED" w:rsidRPr="00A04080" w:rsidRDefault="000147ED" w:rsidP="00A04080">
            <w:pPr>
              <w:rPr>
                <w:lang w:val="es-ES"/>
              </w:rPr>
            </w:pPr>
            <w:r w:rsidRPr="00A04080">
              <w:rPr>
                <w:lang w:val="es-ES"/>
              </w:rPr>
              <w:t>4</w:t>
            </w:r>
          </w:p>
        </w:tc>
        <w:tc>
          <w:tcPr>
            <w:tcW w:w="6597" w:type="dxa"/>
          </w:tcPr>
          <w:p w14:paraId="2FA7C0A0" w14:textId="3D94EBA3" w:rsidR="000147ED" w:rsidRPr="00A04080" w:rsidRDefault="00E379FD" w:rsidP="00411A60">
            <w:pPr>
              <w:rPr>
                <w:lang w:val="es-ES"/>
              </w:rPr>
            </w:pPr>
            <w:r w:rsidRPr="00E379FD">
              <w:rPr>
                <w:lang w:val="es-ES"/>
              </w:rPr>
              <w:t>Gestión clara, coherente y respetuosa del tiempo de las conferencias y asambleas de la</w:t>
            </w:r>
            <w:r w:rsidR="007623CC">
              <w:rPr>
                <w:lang w:val="es-ES"/>
              </w:rPr>
              <w:t> </w:t>
            </w:r>
            <w:r w:rsidRPr="00E379FD">
              <w:rPr>
                <w:lang w:val="es-ES"/>
              </w:rPr>
              <w:t>UIT</w:t>
            </w:r>
          </w:p>
        </w:tc>
        <w:tc>
          <w:tcPr>
            <w:tcW w:w="2171" w:type="dxa"/>
          </w:tcPr>
          <w:p w14:paraId="519583EE" w14:textId="6A756D31" w:rsidR="000147ED" w:rsidRPr="00411A60" w:rsidRDefault="00E379FD" w:rsidP="00E379FD">
            <w:pPr>
              <w:jc w:val="center"/>
              <w:rPr>
                <w:lang w:val="es-ES"/>
              </w:rPr>
            </w:pPr>
            <w:hyperlink r:id="rId11" w:history="1">
              <w:r w:rsidRPr="00E379FD">
                <w:rPr>
                  <w:rStyle w:val="Hyperlink"/>
                  <w:rFonts w:eastAsia="Times New Roman" w:cs="Times New Roman"/>
                  <w:szCs w:val="20"/>
                  <w:lang w:val="es-ES"/>
                </w:rPr>
                <w:t>C26/97</w:t>
              </w:r>
            </w:hyperlink>
          </w:p>
        </w:tc>
      </w:tr>
      <w:tr w:rsidR="000147ED" w:rsidRPr="00E379FD" w14:paraId="6F2BD095" w14:textId="77777777" w:rsidTr="00E379FD">
        <w:trPr>
          <w:trHeight w:val="20"/>
        </w:trPr>
        <w:tc>
          <w:tcPr>
            <w:tcW w:w="446" w:type="dxa"/>
          </w:tcPr>
          <w:p w14:paraId="5BEF9034" w14:textId="77777777" w:rsidR="000147ED" w:rsidRPr="00A04080" w:rsidRDefault="000147ED" w:rsidP="00A04080">
            <w:pPr>
              <w:rPr>
                <w:lang w:val="es-ES"/>
              </w:rPr>
            </w:pPr>
            <w:r w:rsidRPr="00A04080">
              <w:rPr>
                <w:lang w:val="es-ES"/>
              </w:rPr>
              <w:t>5</w:t>
            </w:r>
          </w:p>
        </w:tc>
        <w:tc>
          <w:tcPr>
            <w:tcW w:w="6597" w:type="dxa"/>
          </w:tcPr>
          <w:p w14:paraId="107C0C1C" w14:textId="050443B6" w:rsidR="000147ED" w:rsidRPr="00A04080" w:rsidRDefault="00E379FD" w:rsidP="00411A60">
            <w:pPr>
              <w:rPr>
                <w:lang w:val="es-ES" w:eastAsia="en-GB"/>
              </w:rPr>
            </w:pPr>
            <w:r w:rsidRPr="00E379FD">
              <w:rPr>
                <w:lang w:val="es-ES" w:eastAsia="en-GB"/>
              </w:rPr>
              <w:t>Problemas que plantea sistemáticamente la obtención de visados de entrada en Suiza para los delegados de la Federación de Rusia</w:t>
            </w:r>
          </w:p>
        </w:tc>
        <w:tc>
          <w:tcPr>
            <w:tcW w:w="2171" w:type="dxa"/>
          </w:tcPr>
          <w:p w14:paraId="01E95343" w14:textId="579FD124" w:rsidR="000147ED" w:rsidRPr="00411A60" w:rsidRDefault="00E379FD" w:rsidP="00E379FD">
            <w:pPr>
              <w:jc w:val="center"/>
              <w:rPr>
                <w:lang w:val="es-ES"/>
              </w:rPr>
            </w:pPr>
            <w:hyperlink r:id="rId12" w:history="1">
              <w:r w:rsidRPr="00E379FD">
                <w:rPr>
                  <w:rStyle w:val="Hyperlink"/>
                  <w:rFonts w:eastAsia="Times New Roman" w:cs="Times New Roman"/>
                  <w:szCs w:val="20"/>
                  <w:lang w:val="es-ES"/>
                </w:rPr>
                <w:t>C26/77</w:t>
              </w:r>
            </w:hyperlink>
          </w:p>
        </w:tc>
      </w:tr>
      <w:tr w:rsidR="00E379FD" w:rsidRPr="00E379FD" w14:paraId="7B7DC7D2" w14:textId="77777777" w:rsidTr="00E379FD">
        <w:trPr>
          <w:trHeight w:val="20"/>
        </w:trPr>
        <w:tc>
          <w:tcPr>
            <w:tcW w:w="446" w:type="dxa"/>
          </w:tcPr>
          <w:p w14:paraId="75486D8C" w14:textId="1F2CEACA" w:rsidR="00E379FD" w:rsidRPr="00A04080" w:rsidRDefault="00E379FD" w:rsidP="00A04080">
            <w:pPr>
              <w:rPr>
                <w:lang w:val="es-ES"/>
              </w:rPr>
            </w:pPr>
            <w:r>
              <w:rPr>
                <w:lang w:val="es-ES"/>
              </w:rPr>
              <w:t>6</w:t>
            </w:r>
          </w:p>
        </w:tc>
        <w:tc>
          <w:tcPr>
            <w:tcW w:w="6597" w:type="dxa"/>
          </w:tcPr>
          <w:p w14:paraId="769F9D5A" w14:textId="427E217C" w:rsidR="00E379FD" w:rsidRPr="00523B73" w:rsidRDefault="00E379FD" w:rsidP="00411A60">
            <w:pPr>
              <w:rPr>
                <w:lang w:val="es-ES" w:eastAsia="en-GB"/>
              </w:rPr>
            </w:pPr>
            <w:r w:rsidRPr="00E379FD">
              <w:rPr>
                <w:lang w:val="es-ES" w:eastAsia="en-GB"/>
              </w:rPr>
              <w:t>Informe de la Presidenta del Grupo de Trabajo del Consejo sobre los Idiomas (GTC-Idiomas) e informe cuadrienal del GTC-Idiomas</w:t>
            </w:r>
          </w:p>
        </w:tc>
        <w:tc>
          <w:tcPr>
            <w:tcW w:w="2171" w:type="dxa"/>
          </w:tcPr>
          <w:p w14:paraId="64646B85" w14:textId="72B59AB6" w:rsidR="00E379FD" w:rsidRPr="00D31931" w:rsidRDefault="00E379FD" w:rsidP="00E379FD">
            <w:pPr>
              <w:jc w:val="center"/>
              <w:rPr>
                <w:lang w:val="es-ES"/>
              </w:rPr>
            </w:pPr>
            <w:hyperlink r:id="rId13" w:history="1">
              <w:r w:rsidRPr="00E379FD">
                <w:rPr>
                  <w:rStyle w:val="Hyperlink"/>
                  <w:rFonts w:eastAsia="Times New Roman" w:cs="Times New Roman"/>
                  <w:szCs w:val="20"/>
                  <w:lang w:val="es-ES"/>
                </w:rPr>
                <w:t>C26/12</w:t>
              </w:r>
            </w:hyperlink>
            <w:r w:rsidRPr="00E379FD">
              <w:rPr>
                <w:lang w:val="es-ES"/>
              </w:rPr>
              <w:t xml:space="preserve">, </w:t>
            </w:r>
            <w:hyperlink r:id="rId14" w:history="1">
              <w:r w:rsidRPr="00E379FD">
                <w:rPr>
                  <w:rStyle w:val="Hyperlink"/>
                  <w:rFonts w:eastAsia="Times New Roman" w:cs="Times New Roman"/>
                  <w:szCs w:val="20"/>
                  <w:lang w:val="es-ES"/>
                </w:rPr>
                <w:t>C26/13</w:t>
              </w:r>
            </w:hyperlink>
          </w:p>
        </w:tc>
      </w:tr>
      <w:tr w:rsidR="00E379FD" w:rsidRPr="00E379FD" w14:paraId="255343FA" w14:textId="77777777" w:rsidTr="00E379FD">
        <w:trPr>
          <w:trHeight w:val="20"/>
        </w:trPr>
        <w:tc>
          <w:tcPr>
            <w:tcW w:w="446" w:type="dxa"/>
          </w:tcPr>
          <w:p w14:paraId="5FA67F04" w14:textId="77777777" w:rsidR="00E379FD" w:rsidRPr="00A04080" w:rsidRDefault="00E379FD" w:rsidP="00A04080">
            <w:pPr>
              <w:rPr>
                <w:lang w:val="es-ES"/>
              </w:rPr>
            </w:pPr>
          </w:p>
        </w:tc>
        <w:tc>
          <w:tcPr>
            <w:tcW w:w="6597" w:type="dxa"/>
          </w:tcPr>
          <w:p w14:paraId="1163A8A7" w14:textId="49214A43" w:rsidR="00E379FD" w:rsidRPr="00523B73" w:rsidRDefault="00E379FD" w:rsidP="00411A60">
            <w:pPr>
              <w:rPr>
                <w:lang w:val="es-ES" w:eastAsia="en-GB"/>
              </w:rPr>
            </w:pPr>
            <w:r w:rsidRPr="00E379FD">
              <w:rPr>
                <w:lang w:val="es-ES" w:eastAsia="en-GB"/>
              </w:rPr>
              <w:t>Proyecto de revisión de la Resolución</w:t>
            </w:r>
            <w:r w:rsidR="007623CC">
              <w:rPr>
                <w:lang w:val="es-ES" w:eastAsia="en-GB"/>
              </w:rPr>
              <w:t> </w:t>
            </w:r>
            <w:r w:rsidRPr="00E379FD">
              <w:rPr>
                <w:lang w:val="es-ES" w:eastAsia="en-GB"/>
              </w:rPr>
              <w:t>1386 (C17, modificada por última vez en C25) del Consejo, relativa al Comité de Coordinación de la Terminología de la UIT, y proyecto de revisión de la Resolución</w:t>
            </w:r>
            <w:r w:rsidR="007623CC">
              <w:rPr>
                <w:lang w:val="es-ES" w:eastAsia="en-GB"/>
              </w:rPr>
              <w:t> </w:t>
            </w:r>
            <w:r w:rsidRPr="00E379FD">
              <w:rPr>
                <w:lang w:val="es-ES" w:eastAsia="en-GB"/>
              </w:rPr>
              <w:t>154 (Rev.</w:t>
            </w:r>
            <w:r w:rsidR="007623CC">
              <w:rPr>
                <w:lang w:val="es-ES" w:eastAsia="en-GB"/>
              </w:rPr>
              <w:t> </w:t>
            </w:r>
            <w:r w:rsidRPr="00E379FD">
              <w:rPr>
                <w:lang w:val="es-ES" w:eastAsia="en-GB"/>
              </w:rPr>
              <w:t>Bucarest, 2022) de la Conferencia de Plenipotenciarios</w:t>
            </w:r>
          </w:p>
        </w:tc>
        <w:tc>
          <w:tcPr>
            <w:tcW w:w="2171" w:type="dxa"/>
          </w:tcPr>
          <w:p w14:paraId="3749CD3C" w14:textId="159A0271" w:rsidR="00E379FD" w:rsidRPr="00D31931" w:rsidRDefault="00E379FD" w:rsidP="00E379FD">
            <w:pPr>
              <w:jc w:val="center"/>
              <w:rPr>
                <w:lang w:val="es-ES"/>
              </w:rPr>
            </w:pPr>
            <w:hyperlink r:id="rId15" w:history="1">
              <w:r w:rsidRPr="00E379FD">
                <w:rPr>
                  <w:rStyle w:val="Hyperlink"/>
                  <w:rFonts w:eastAsia="Times New Roman" w:cs="Times New Roman"/>
                  <w:szCs w:val="20"/>
                  <w:lang w:val="es-ES"/>
                </w:rPr>
                <w:t>C26/87+Add.1</w:t>
              </w:r>
            </w:hyperlink>
          </w:p>
        </w:tc>
      </w:tr>
      <w:tr w:rsidR="00E379FD" w:rsidRPr="00E379FD" w14:paraId="23DC9351" w14:textId="77777777" w:rsidTr="00E379FD">
        <w:trPr>
          <w:trHeight w:val="20"/>
        </w:trPr>
        <w:tc>
          <w:tcPr>
            <w:tcW w:w="446" w:type="dxa"/>
          </w:tcPr>
          <w:p w14:paraId="182EF39B" w14:textId="600C42B2" w:rsidR="00E379FD" w:rsidRPr="00A04080" w:rsidRDefault="00E379FD" w:rsidP="00A04080">
            <w:pPr>
              <w:rPr>
                <w:lang w:val="es-ES"/>
              </w:rPr>
            </w:pPr>
            <w:r>
              <w:rPr>
                <w:lang w:val="es-ES"/>
              </w:rPr>
              <w:t>7</w:t>
            </w:r>
          </w:p>
        </w:tc>
        <w:tc>
          <w:tcPr>
            <w:tcW w:w="6597" w:type="dxa"/>
          </w:tcPr>
          <w:p w14:paraId="5C444F15" w14:textId="65EBCC7C" w:rsidR="00E379FD" w:rsidRPr="00E379FD" w:rsidRDefault="00E379FD" w:rsidP="00E379FD">
            <w:pPr>
              <w:rPr>
                <w:lang w:val="es-ES" w:eastAsia="en-GB"/>
              </w:rPr>
            </w:pPr>
            <w:r w:rsidRPr="00E379FD">
              <w:rPr>
                <w:lang w:val="es-ES" w:eastAsia="en-GB"/>
              </w:rPr>
              <w:t>Actividades de la UIT en el ámbito de Internet: Resoluciones</w:t>
            </w:r>
            <w:r w:rsidR="007623CC">
              <w:rPr>
                <w:lang w:val="es-ES" w:eastAsia="en-GB"/>
              </w:rPr>
              <w:t> </w:t>
            </w:r>
            <w:r w:rsidRPr="00E379FD">
              <w:rPr>
                <w:lang w:val="es-ES" w:eastAsia="en-GB"/>
              </w:rPr>
              <w:t>101, 102, 133, 180 y 206 de la Conferencia de Plenipotenciarios (</w:t>
            </w:r>
            <w:r w:rsidRPr="00E379FD">
              <w:rPr>
                <w:i/>
                <w:iCs/>
                <w:lang w:val="es-ES" w:eastAsia="en-GB"/>
              </w:rPr>
              <w:t>continuación</w:t>
            </w:r>
            <w:r w:rsidRPr="00E379FD">
              <w:rPr>
                <w:lang w:val="es-ES" w:eastAsia="en-GB"/>
              </w:rPr>
              <w:t>)</w:t>
            </w:r>
          </w:p>
        </w:tc>
        <w:tc>
          <w:tcPr>
            <w:tcW w:w="2171" w:type="dxa"/>
          </w:tcPr>
          <w:p w14:paraId="439AC74C" w14:textId="3D87C60E" w:rsidR="00E379FD" w:rsidRPr="00E379FD" w:rsidRDefault="00E379FD" w:rsidP="00E379FD">
            <w:pPr>
              <w:jc w:val="center"/>
              <w:rPr>
                <w:lang w:val="es-ES"/>
              </w:rPr>
            </w:pPr>
            <w:hyperlink r:id="rId16" w:history="1">
              <w:r w:rsidRPr="00E379FD">
                <w:rPr>
                  <w:rStyle w:val="Hyperlink"/>
                  <w:rFonts w:eastAsia="Times New Roman" w:cs="Times New Roman"/>
                  <w:szCs w:val="20"/>
                  <w:lang w:val="es-ES"/>
                </w:rPr>
                <w:t>C26/33</w:t>
              </w:r>
            </w:hyperlink>
            <w:r w:rsidRPr="00E379FD">
              <w:rPr>
                <w:lang w:val="es-ES"/>
              </w:rPr>
              <w:t xml:space="preserve">, </w:t>
            </w:r>
            <w:hyperlink r:id="rId17" w:history="1">
              <w:r w:rsidRPr="00E379FD">
                <w:rPr>
                  <w:rStyle w:val="Hyperlink"/>
                  <w:rFonts w:eastAsia="Times New Roman" w:cs="Times New Roman"/>
                  <w:szCs w:val="20"/>
                  <w:lang w:val="es-ES"/>
                </w:rPr>
                <w:t>C26/DT/4</w:t>
              </w:r>
            </w:hyperlink>
          </w:p>
        </w:tc>
      </w:tr>
      <w:tr w:rsidR="00E379FD" w:rsidRPr="00E379FD" w14:paraId="7EA12F46" w14:textId="77777777" w:rsidTr="00E379FD">
        <w:trPr>
          <w:trHeight w:val="20"/>
        </w:trPr>
        <w:tc>
          <w:tcPr>
            <w:tcW w:w="446" w:type="dxa"/>
          </w:tcPr>
          <w:p w14:paraId="7B1EC9AF" w14:textId="51679050" w:rsidR="00E379FD" w:rsidRPr="00A04080" w:rsidRDefault="00E379FD" w:rsidP="00A04080">
            <w:pPr>
              <w:rPr>
                <w:lang w:val="es-ES"/>
              </w:rPr>
            </w:pPr>
            <w:r>
              <w:rPr>
                <w:lang w:val="es-ES"/>
              </w:rPr>
              <w:lastRenderedPageBreak/>
              <w:t>8</w:t>
            </w:r>
          </w:p>
        </w:tc>
        <w:tc>
          <w:tcPr>
            <w:tcW w:w="6597" w:type="dxa"/>
          </w:tcPr>
          <w:p w14:paraId="672C3436" w14:textId="5A251B79" w:rsidR="00E379FD" w:rsidRPr="00E379FD" w:rsidRDefault="00E379FD" w:rsidP="00E379FD">
            <w:pPr>
              <w:rPr>
                <w:lang w:val="es-ES" w:eastAsia="en-GB"/>
              </w:rPr>
            </w:pPr>
            <w:r w:rsidRPr="00E379FD">
              <w:rPr>
                <w:lang w:val="es-ES" w:eastAsia="en-GB"/>
              </w:rPr>
              <w:t>Aplicación de la Resolución</w:t>
            </w:r>
            <w:r w:rsidR="007623CC">
              <w:rPr>
                <w:lang w:val="es-ES" w:eastAsia="en-GB"/>
              </w:rPr>
              <w:t> </w:t>
            </w:r>
            <w:r w:rsidRPr="00E379FD">
              <w:rPr>
                <w:lang w:val="es-ES" w:eastAsia="en-GB"/>
              </w:rPr>
              <w:t>30 (Rev.</w:t>
            </w:r>
            <w:r w:rsidR="007623CC">
              <w:rPr>
                <w:lang w:val="es-ES" w:eastAsia="en-GB"/>
              </w:rPr>
              <w:t> </w:t>
            </w:r>
            <w:r w:rsidRPr="00E379FD">
              <w:rPr>
                <w:lang w:val="es-ES" w:eastAsia="en-GB"/>
              </w:rPr>
              <w:t>Bucarest, 2022) de la Conferencia de Plenipotenciarios, sobre medidas especiales en favor de los países menos adelantados, los pequeños Estados insulares en desarrollo, los países en desarrollo sin litoral y los países con economías en transición</w:t>
            </w:r>
          </w:p>
        </w:tc>
        <w:tc>
          <w:tcPr>
            <w:tcW w:w="2171" w:type="dxa"/>
          </w:tcPr>
          <w:p w14:paraId="25DBDC5A" w14:textId="570C2E06" w:rsidR="00E379FD" w:rsidRPr="00E379FD" w:rsidRDefault="00E379FD" w:rsidP="00E379FD">
            <w:pPr>
              <w:jc w:val="center"/>
              <w:rPr>
                <w:lang w:val="es-ES"/>
              </w:rPr>
            </w:pPr>
            <w:hyperlink r:id="rId18" w:history="1">
              <w:r w:rsidRPr="00E379FD">
                <w:rPr>
                  <w:rStyle w:val="Hyperlink"/>
                  <w:rFonts w:eastAsia="Times New Roman" w:cs="Times New Roman"/>
                  <w:szCs w:val="20"/>
                  <w:lang w:val="es-ES"/>
                </w:rPr>
                <w:t>C26/74</w:t>
              </w:r>
            </w:hyperlink>
          </w:p>
        </w:tc>
      </w:tr>
      <w:tr w:rsidR="00E379FD" w:rsidRPr="00E379FD" w14:paraId="71EB8258" w14:textId="77777777" w:rsidTr="00E379FD">
        <w:trPr>
          <w:trHeight w:val="20"/>
        </w:trPr>
        <w:tc>
          <w:tcPr>
            <w:tcW w:w="446" w:type="dxa"/>
          </w:tcPr>
          <w:p w14:paraId="6C1CC643" w14:textId="72F46E11" w:rsidR="00E379FD" w:rsidRDefault="00E379FD" w:rsidP="00A04080">
            <w:pPr>
              <w:rPr>
                <w:lang w:val="es-ES"/>
              </w:rPr>
            </w:pPr>
            <w:r>
              <w:rPr>
                <w:lang w:val="es-ES"/>
              </w:rPr>
              <w:t>9</w:t>
            </w:r>
          </w:p>
        </w:tc>
        <w:tc>
          <w:tcPr>
            <w:tcW w:w="6597" w:type="dxa"/>
          </w:tcPr>
          <w:p w14:paraId="26EEF4CC" w14:textId="07139DC2" w:rsidR="00E379FD" w:rsidRPr="00E379FD" w:rsidRDefault="00E379FD" w:rsidP="00E379FD">
            <w:pPr>
              <w:rPr>
                <w:lang w:val="es-ES" w:eastAsia="en-GB"/>
              </w:rPr>
            </w:pPr>
            <w:r w:rsidRPr="00E379FD">
              <w:rPr>
                <w:lang w:val="es-ES" w:eastAsia="en-GB"/>
              </w:rPr>
              <w:t>Declaraciones de consejeros y observadores</w:t>
            </w:r>
          </w:p>
        </w:tc>
        <w:tc>
          <w:tcPr>
            <w:tcW w:w="2171" w:type="dxa"/>
          </w:tcPr>
          <w:p w14:paraId="383204B6" w14:textId="5037DD26" w:rsidR="00E379FD" w:rsidRPr="00E379FD" w:rsidRDefault="00E379FD" w:rsidP="00E379FD">
            <w:pPr>
              <w:jc w:val="center"/>
              <w:rPr>
                <w:lang w:val="es-ES"/>
              </w:rPr>
            </w:pPr>
            <w:r w:rsidRPr="00E379FD">
              <w:rPr>
                <w:lang w:val="es-ES"/>
              </w:rPr>
              <w:t>–</w:t>
            </w:r>
          </w:p>
        </w:tc>
      </w:tr>
      <w:bookmarkEnd w:id="1"/>
    </w:tbl>
    <w:p w14:paraId="39546E32" w14:textId="77777777" w:rsidR="007646D4" w:rsidRDefault="001559F5" w:rsidP="007646D4">
      <w:pPr>
        <w:rPr>
          <w:lang w:val="es-ES"/>
        </w:rPr>
      </w:pPr>
      <w:r w:rsidRPr="00E379FD">
        <w:rPr>
          <w:lang w:val="es-ES"/>
        </w:rPr>
        <w:br w:type="page"/>
      </w:r>
    </w:p>
    <w:p w14:paraId="3935DA67" w14:textId="3B5EA7B4" w:rsidR="007646D4" w:rsidRPr="00E379FD" w:rsidRDefault="007646D4" w:rsidP="007646D4">
      <w:pPr>
        <w:pStyle w:val="Heading1"/>
        <w:rPr>
          <w:lang w:val="es-ES"/>
        </w:rPr>
      </w:pPr>
      <w:r w:rsidRPr="00E379FD">
        <w:rPr>
          <w:lang w:val="es-ES"/>
        </w:rPr>
        <w:lastRenderedPageBreak/>
        <w:t>1</w:t>
      </w:r>
      <w:r w:rsidRPr="00E379FD">
        <w:rPr>
          <w:lang w:val="es-ES"/>
        </w:rPr>
        <w:tab/>
        <w:t>Calendario propuesto para las reuniones de 2027, 2028 y 2029 del Consejo y las series de reuniones de los Grupos de Trabajo del Consejo para el mismo periodo (Documento</w:t>
      </w:r>
      <w:r>
        <w:rPr>
          <w:lang w:val="es-ES"/>
        </w:rPr>
        <w:t> </w:t>
      </w:r>
      <w:proofErr w:type="spellStart"/>
      <w:r>
        <w:fldChar w:fldCharType="begin"/>
      </w:r>
      <w:r w:rsidRPr="00431773">
        <w:rPr>
          <w:lang w:val="es-ES"/>
        </w:rPr>
        <w:instrText>HYPERLINK "https://www.itu.int/md/S26-CL-C-0002/es"</w:instrText>
      </w:r>
      <w:r>
        <w:fldChar w:fldCharType="separate"/>
      </w:r>
      <w:r w:rsidRPr="00E379FD">
        <w:rPr>
          <w:rStyle w:val="Hyperlink"/>
          <w:rFonts w:eastAsia="Times New Roman" w:cs="Times New Roman"/>
          <w:szCs w:val="20"/>
          <w:lang w:val="es-ES"/>
        </w:rPr>
        <w:t>C26</w:t>
      </w:r>
      <w:proofErr w:type="spellEnd"/>
      <w:r w:rsidRPr="00E379FD">
        <w:rPr>
          <w:rStyle w:val="Hyperlink"/>
          <w:rFonts w:eastAsia="Times New Roman" w:cs="Times New Roman"/>
          <w:szCs w:val="20"/>
          <w:lang w:val="es-ES"/>
        </w:rPr>
        <w:t>/2</w:t>
      </w:r>
      <w:r>
        <w:fldChar w:fldCharType="end"/>
      </w:r>
      <w:r w:rsidRPr="00E379FD">
        <w:rPr>
          <w:lang w:val="es-ES"/>
        </w:rPr>
        <w:t>)</w:t>
      </w:r>
    </w:p>
    <w:p w14:paraId="6208702A" w14:textId="77777777" w:rsidR="007646D4" w:rsidRPr="00E379FD" w:rsidRDefault="007646D4" w:rsidP="00431773">
      <w:pPr>
        <w:jc w:val="both"/>
        <w:rPr>
          <w:lang w:val="es-ES"/>
        </w:rPr>
      </w:pPr>
      <w:r w:rsidRPr="00E379FD">
        <w:rPr>
          <w:lang w:val="es-ES"/>
        </w:rPr>
        <w:t>1.1</w:t>
      </w:r>
      <w:r w:rsidRPr="00E379FD">
        <w:rPr>
          <w:lang w:val="es-ES"/>
        </w:rPr>
        <w:tab/>
        <w:t>El Secretario de la Plenaria present</w:t>
      </w:r>
      <w:r>
        <w:rPr>
          <w:lang w:val="es-ES"/>
        </w:rPr>
        <w:t>a</w:t>
      </w:r>
      <w:r w:rsidRPr="00E379FD">
        <w:rPr>
          <w:lang w:val="es-ES"/>
        </w:rPr>
        <w:t xml:space="preserve"> el Documento</w:t>
      </w:r>
      <w:r>
        <w:rPr>
          <w:lang w:val="es-ES"/>
        </w:rPr>
        <w:t> </w:t>
      </w:r>
      <w:r w:rsidRPr="00E379FD">
        <w:rPr>
          <w:lang w:val="es-ES"/>
        </w:rPr>
        <w:t xml:space="preserve">C26/2, que </w:t>
      </w:r>
      <w:r>
        <w:rPr>
          <w:lang w:val="es-ES"/>
        </w:rPr>
        <w:t>contiene</w:t>
      </w:r>
      <w:r w:rsidRPr="00E379FD">
        <w:rPr>
          <w:lang w:val="es-ES"/>
        </w:rPr>
        <w:t xml:space="preserve"> el calendario propuesto para las reuniones de 2027, 2028 y 2029 del Consejo y las series de reuniones de los Grupos de Trabajo del Consejo (GTC) y los Grupos de Expertos (GE) para el mismo periodo. La Secretaría </w:t>
      </w:r>
      <w:r>
        <w:rPr>
          <w:lang w:val="es-ES"/>
        </w:rPr>
        <w:t>propone</w:t>
      </w:r>
      <w:r w:rsidRPr="00E379FD">
        <w:rPr>
          <w:lang w:val="es-ES"/>
        </w:rPr>
        <w:t xml:space="preserve"> que los GTC/GE celebren una única serie de reuniones cada año a fin de reducir los costes y racionalizar los recursos, enfoque que se aplica habitualmente el año inmediatamente posterior a una Conferencia de Plenipotenciarios. Se invit</w:t>
      </w:r>
      <w:r>
        <w:rPr>
          <w:lang w:val="es-ES"/>
        </w:rPr>
        <w:t>a</w:t>
      </w:r>
      <w:r w:rsidRPr="00E379FD">
        <w:rPr>
          <w:lang w:val="es-ES"/>
        </w:rPr>
        <w:t xml:space="preserve"> a los Estados Miembros a considerar la posibilidad de celebrar la reunión de 2029 del Consejo (Consejo-29) o bien en la Sede de la</w:t>
      </w:r>
      <w:r>
        <w:rPr>
          <w:lang w:val="es-ES"/>
        </w:rPr>
        <w:t> </w:t>
      </w:r>
      <w:r w:rsidRPr="00E379FD">
        <w:rPr>
          <w:lang w:val="es-ES"/>
        </w:rPr>
        <w:t>UIT o en las instalaciones de la Organización Mundial de la Salud en junio de</w:t>
      </w:r>
      <w:r>
        <w:rPr>
          <w:lang w:val="es-ES"/>
        </w:rPr>
        <w:t> </w:t>
      </w:r>
      <w:r w:rsidRPr="00E379FD">
        <w:rPr>
          <w:lang w:val="es-ES"/>
        </w:rPr>
        <w:t>2029, o bien en la Sede en octubre de 2029, fecha en la que ya habr</w:t>
      </w:r>
      <w:r>
        <w:rPr>
          <w:lang w:val="es-ES"/>
        </w:rPr>
        <w:t>á</w:t>
      </w:r>
      <w:r w:rsidRPr="00E379FD">
        <w:rPr>
          <w:lang w:val="es-ES"/>
        </w:rPr>
        <w:t>n cesado las molestias causadas por las obras de demolición.</w:t>
      </w:r>
    </w:p>
    <w:p w14:paraId="78C3F7C9" w14:textId="77777777" w:rsidR="007646D4" w:rsidRPr="00D74B06" w:rsidRDefault="007646D4" w:rsidP="00431773">
      <w:pPr>
        <w:jc w:val="both"/>
        <w:rPr>
          <w:spacing w:val="-2"/>
          <w:lang w:val="es-ES"/>
        </w:rPr>
      </w:pPr>
      <w:r w:rsidRPr="00D74B06">
        <w:rPr>
          <w:spacing w:val="-2"/>
          <w:lang w:val="es-ES"/>
        </w:rPr>
        <w:t>1.2</w:t>
      </w:r>
      <w:r w:rsidRPr="00D74B06">
        <w:rPr>
          <w:spacing w:val="-2"/>
          <w:lang w:val="es-ES"/>
        </w:rPr>
        <w:tab/>
        <w:t>Varios consejeros se oponen a la idea de que los GTC/GE celebren una única serie de reuniones en años distintos al que sigue a una Conferencia de Plenipotenciarios. Los GTC están abiertos a todos los Estados Miembros y, por tanto, les brindan una oportunidad única de participar en los trabajos y procesos de toma de decisiones de la UIT en pie de igualdad. No se conoce con certeza la repercusión total de dicha reducción de las series de reuniones de los GTC/GE, ni a cuánto ascienden los costes inherentes a cada serie de reuniones, puesto que la mayor parte de los gastos corresponden a miembros del personal que ya están trabajando. Ciertos GTC y GE, como puede ser el GTC sobre protección de la infancia en línea (GTC-PIeL), abordan temas que es prudente debatir de forma periódica. También se considera esencial que el GTC sobre recursos humanos y financieros (GTC-RHF) se reúna en enero o febrero y formule observaciones sobre los proyectos de informes antes de la reunión del Consejo. Además, se han señalado diversos puntos del orden del día sobre los que no se han tomado decisiones en la reunión en curso para su posterior debate, entre otros, los relativos al GTC-RHF y al GTC sobre cuestiones de política pública internacional relacionadas con Internet (GTC-Internet).</w:t>
      </w:r>
    </w:p>
    <w:p w14:paraId="1105D5E1" w14:textId="77777777" w:rsidR="007646D4" w:rsidRPr="00E379FD" w:rsidRDefault="007646D4" w:rsidP="00431773">
      <w:pPr>
        <w:jc w:val="both"/>
        <w:rPr>
          <w:lang w:val="es-ES"/>
        </w:rPr>
      </w:pPr>
      <w:r w:rsidRPr="00E379FD">
        <w:rPr>
          <w:lang w:val="es-ES"/>
        </w:rPr>
        <w:t>1.3</w:t>
      </w:r>
      <w:r w:rsidRPr="00E379FD">
        <w:rPr>
          <w:lang w:val="es-ES"/>
        </w:rPr>
        <w:tab/>
        <w:t>Dicho esto, varios consejeros apoya</w:t>
      </w:r>
      <w:r>
        <w:rPr>
          <w:lang w:val="es-ES"/>
        </w:rPr>
        <w:t>n</w:t>
      </w:r>
      <w:r w:rsidRPr="00E379FD">
        <w:rPr>
          <w:lang w:val="es-ES"/>
        </w:rPr>
        <w:t xml:space="preserve"> la idea de que los GTC/GE celebren una única serie de reuniones y alegan que, de esa forma, se reducir</w:t>
      </w:r>
      <w:r>
        <w:rPr>
          <w:lang w:val="es-ES"/>
        </w:rPr>
        <w:t>á</w:t>
      </w:r>
      <w:r w:rsidRPr="00E379FD">
        <w:rPr>
          <w:lang w:val="es-ES"/>
        </w:rPr>
        <w:t>n costes y se optimizar</w:t>
      </w:r>
      <w:r>
        <w:rPr>
          <w:lang w:val="es-ES"/>
        </w:rPr>
        <w:t>á</w:t>
      </w:r>
      <w:r w:rsidRPr="00E379FD">
        <w:rPr>
          <w:lang w:val="es-ES"/>
        </w:rPr>
        <w:t xml:space="preserve"> el uso de los recursos y el tiempo del personal. Resulta prudente mostrarse flexible ante las repercusiones que se calcula </w:t>
      </w:r>
      <w:r>
        <w:rPr>
          <w:lang w:val="es-ES"/>
        </w:rPr>
        <w:t>pueden</w:t>
      </w:r>
      <w:r w:rsidRPr="00E379FD">
        <w:rPr>
          <w:lang w:val="es-ES"/>
        </w:rPr>
        <w:t xml:space="preserve"> tener las obras previstas en la Sede. Se acog</w:t>
      </w:r>
      <w:r>
        <w:rPr>
          <w:lang w:val="es-ES"/>
        </w:rPr>
        <w:t>e</w:t>
      </w:r>
      <w:r w:rsidRPr="00E379FD">
        <w:rPr>
          <w:lang w:val="es-ES"/>
        </w:rPr>
        <w:t xml:space="preserve"> con satisfacción la propuesta de celebrar reuniones en línea adicionales en lugar de una segunda serie de reuniones. Después de que varios consejeros señal</w:t>
      </w:r>
      <w:r>
        <w:rPr>
          <w:lang w:val="es-ES"/>
        </w:rPr>
        <w:t>e</w:t>
      </w:r>
      <w:r w:rsidRPr="00E379FD">
        <w:rPr>
          <w:lang w:val="es-ES"/>
        </w:rPr>
        <w:t>n el tiempo que se inv</w:t>
      </w:r>
      <w:r>
        <w:rPr>
          <w:lang w:val="es-ES"/>
        </w:rPr>
        <w:t>ierte</w:t>
      </w:r>
      <w:r w:rsidRPr="00E379FD">
        <w:rPr>
          <w:lang w:val="es-ES"/>
        </w:rPr>
        <w:t xml:space="preserve"> en viajar a Ginebra para las reuniones del Consejo y las series de reuniones de los Grupos, así como los costes asociados, se tom</w:t>
      </w:r>
      <w:r>
        <w:rPr>
          <w:lang w:val="es-ES"/>
        </w:rPr>
        <w:t>a</w:t>
      </w:r>
      <w:r w:rsidRPr="00E379FD">
        <w:rPr>
          <w:lang w:val="es-ES"/>
        </w:rPr>
        <w:t xml:space="preserve"> nota de que la celebración de reuniones virtuales intermedias aumentaría el número de Estados Miembros capaces de participar. Un consejero afirm</w:t>
      </w:r>
      <w:r>
        <w:rPr>
          <w:lang w:val="es-ES"/>
        </w:rPr>
        <w:t>a</w:t>
      </w:r>
      <w:r w:rsidRPr="00E379FD">
        <w:rPr>
          <w:lang w:val="es-ES"/>
        </w:rPr>
        <w:t xml:space="preserve"> que el Consejo no deb</w:t>
      </w:r>
      <w:r>
        <w:rPr>
          <w:lang w:val="es-ES"/>
        </w:rPr>
        <w:t>e</w:t>
      </w:r>
      <w:r w:rsidRPr="00E379FD">
        <w:rPr>
          <w:lang w:val="es-ES"/>
        </w:rPr>
        <w:t xml:space="preserve"> tomar una decisión a ese respecto hasta que la Conferencia de Plenipotenciarios (Doha, 2026) (PP-26) h</w:t>
      </w:r>
      <w:r>
        <w:rPr>
          <w:lang w:val="es-ES"/>
        </w:rPr>
        <w:t>aya</w:t>
      </w:r>
      <w:r w:rsidRPr="00E379FD">
        <w:rPr>
          <w:lang w:val="es-ES"/>
        </w:rPr>
        <w:t xml:space="preserve"> decidido qué GTC/GE deb</w:t>
      </w:r>
      <w:r>
        <w:rPr>
          <w:lang w:val="es-ES"/>
        </w:rPr>
        <w:t>e</w:t>
      </w:r>
      <w:r w:rsidRPr="00E379FD">
        <w:rPr>
          <w:lang w:val="es-ES"/>
        </w:rPr>
        <w:t xml:space="preserve"> proseguir su labor.</w:t>
      </w:r>
    </w:p>
    <w:p w14:paraId="27EAD5F5" w14:textId="77777777" w:rsidR="007646D4" w:rsidRPr="00E379FD" w:rsidRDefault="007646D4" w:rsidP="007646D4">
      <w:pPr>
        <w:rPr>
          <w:lang w:val="es-ES"/>
        </w:rPr>
      </w:pPr>
      <w:r w:rsidRPr="00E379FD">
        <w:rPr>
          <w:lang w:val="es-ES"/>
        </w:rPr>
        <w:t>1.4</w:t>
      </w:r>
      <w:r w:rsidRPr="00E379FD">
        <w:rPr>
          <w:lang w:val="es-ES"/>
        </w:rPr>
        <w:tab/>
        <w:t>Tras tomar nota de la propuesta de celebrar la reunión de</w:t>
      </w:r>
      <w:r>
        <w:rPr>
          <w:lang w:val="es-ES"/>
        </w:rPr>
        <w:t> </w:t>
      </w:r>
      <w:r w:rsidRPr="00E379FD">
        <w:rPr>
          <w:lang w:val="es-ES"/>
        </w:rPr>
        <w:t>2029 del Consejo en instalaciones ajenas a la</w:t>
      </w:r>
      <w:r>
        <w:rPr>
          <w:lang w:val="es-ES"/>
        </w:rPr>
        <w:t> </w:t>
      </w:r>
      <w:r w:rsidRPr="00E379FD">
        <w:rPr>
          <w:lang w:val="es-ES"/>
        </w:rPr>
        <w:t xml:space="preserve">UIT, un consejero </w:t>
      </w:r>
      <w:r>
        <w:rPr>
          <w:lang w:val="es-ES"/>
        </w:rPr>
        <w:t>recuerda</w:t>
      </w:r>
      <w:r w:rsidRPr="00E379FD">
        <w:rPr>
          <w:lang w:val="es-ES"/>
        </w:rPr>
        <w:t xml:space="preserve"> que se ha solicitado asesoramiento jurídico sobre la posible celebración de una reunión del Consejo fuera de la Sede.</w:t>
      </w:r>
    </w:p>
    <w:p w14:paraId="771EDAD6" w14:textId="77777777" w:rsidR="007646D4" w:rsidRPr="00D74B06" w:rsidRDefault="007646D4" w:rsidP="00431773">
      <w:pPr>
        <w:jc w:val="both"/>
        <w:rPr>
          <w:spacing w:val="-2"/>
          <w:lang w:val="es-ES"/>
        </w:rPr>
      </w:pPr>
      <w:r w:rsidRPr="00D74B06">
        <w:rPr>
          <w:spacing w:val="-2"/>
          <w:lang w:val="es-ES"/>
        </w:rPr>
        <w:t>1.5</w:t>
      </w:r>
      <w:r w:rsidRPr="00D74B06">
        <w:rPr>
          <w:spacing w:val="-2"/>
          <w:lang w:val="es-ES"/>
        </w:rPr>
        <w:tab/>
        <w:t xml:space="preserve">En cuanto a las fechas de la reunión de 2029 del Consejo, un consejero se muestra partidario de que esta se celebre en junio de 2029; es posible que las obras de construcción no concluyan a tiempo para la adecuada organización de la reunión de 2029 del Consejo en la Sede </w:t>
      </w:r>
      <w:r w:rsidRPr="00D74B06">
        <w:rPr>
          <w:spacing w:val="-2"/>
          <w:lang w:val="es-ES"/>
        </w:rPr>
        <w:lastRenderedPageBreak/>
        <w:t>y, si esta celebra más tarde, la Secretaría dispondrá de menos tiempo para aplicar las decisiones tomadas antes de la reunión del Consejo y de la Conferencia de Plenipotenciarios de 2030.</w:t>
      </w:r>
    </w:p>
    <w:p w14:paraId="75BE44D7" w14:textId="77777777" w:rsidR="007646D4" w:rsidRPr="00E379FD" w:rsidRDefault="007646D4" w:rsidP="00431773">
      <w:pPr>
        <w:jc w:val="both"/>
        <w:rPr>
          <w:lang w:val="es-ES"/>
        </w:rPr>
      </w:pPr>
      <w:r w:rsidRPr="00E379FD">
        <w:rPr>
          <w:lang w:val="es-ES"/>
        </w:rPr>
        <w:t>1.6</w:t>
      </w:r>
      <w:r w:rsidRPr="00E379FD">
        <w:rPr>
          <w:lang w:val="es-ES"/>
        </w:rPr>
        <w:tab/>
        <w:t xml:space="preserve">El Consejo </w:t>
      </w:r>
      <w:r>
        <w:rPr>
          <w:b/>
          <w:bCs/>
          <w:lang w:val="es-ES"/>
        </w:rPr>
        <w:t>acuerda</w:t>
      </w:r>
      <w:r w:rsidRPr="009521B6">
        <w:rPr>
          <w:lang w:val="es-ES"/>
        </w:rPr>
        <w:t xml:space="preserve">, </w:t>
      </w:r>
      <w:r w:rsidRPr="00E379FD">
        <w:rPr>
          <w:lang w:val="es-ES"/>
        </w:rPr>
        <w:t>en principio, que los GTC/GE celebr</w:t>
      </w:r>
      <w:r>
        <w:rPr>
          <w:lang w:val="es-ES"/>
        </w:rPr>
        <w:t>en</w:t>
      </w:r>
      <w:r w:rsidRPr="00E379FD">
        <w:rPr>
          <w:lang w:val="es-ES"/>
        </w:rPr>
        <w:t xml:space="preserve"> una serie de reuniones en otoño de</w:t>
      </w:r>
      <w:r>
        <w:rPr>
          <w:lang w:val="es-ES"/>
        </w:rPr>
        <w:t> </w:t>
      </w:r>
      <w:r w:rsidRPr="00E379FD">
        <w:rPr>
          <w:lang w:val="es-ES"/>
        </w:rPr>
        <w:t xml:space="preserve">2027, habida cuenta del breve plazo comprendido entre la Conferencia de Plenipotenciarios y las únicas fechas posibles, tal y como se </w:t>
      </w:r>
      <w:r>
        <w:rPr>
          <w:lang w:val="es-ES"/>
        </w:rPr>
        <w:t>hizo</w:t>
      </w:r>
      <w:r w:rsidRPr="00E379FD">
        <w:rPr>
          <w:lang w:val="es-ES"/>
        </w:rPr>
        <w:t xml:space="preserve"> en 2023 tras la Conferencia de Plenipotenciarios (Bucarest, 2022), y </w:t>
      </w:r>
      <w:r w:rsidRPr="00E379FD">
        <w:rPr>
          <w:b/>
          <w:bCs/>
          <w:lang w:val="es-ES"/>
        </w:rPr>
        <w:t>solicit</w:t>
      </w:r>
      <w:r>
        <w:rPr>
          <w:b/>
          <w:bCs/>
          <w:lang w:val="es-ES"/>
        </w:rPr>
        <w:t>a</w:t>
      </w:r>
      <w:r w:rsidRPr="00E379FD">
        <w:rPr>
          <w:b/>
          <w:bCs/>
          <w:lang w:val="es-ES"/>
        </w:rPr>
        <w:t xml:space="preserve"> </w:t>
      </w:r>
      <w:r w:rsidRPr="00E379FD">
        <w:rPr>
          <w:lang w:val="es-ES"/>
        </w:rPr>
        <w:t xml:space="preserve">a la Secretaria General que </w:t>
      </w:r>
      <w:r>
        <w:rPr>
          <w:lang w:val="es-ES"/>
        </w:rPr>
        <w:t>proponga</w:t>
      </w:r>
      <w:r w:rsidRPr="00E379FD">
        <w:rPr>
          <w:lang w:val="es-ES"/>
        </w:rPr>
        <w:t xml:space="preserve"> un nuevo proyecto de Resolución con otras fechas en la reunión extraordinaria que el Consejo celebrar</w:t>
      </w:r>
      <w:r>
        <w:rPr>
          <w:lang w:val="es-ES"/>
        </w:rPr>
        <w:t>á</w:t>
      </w:r>
      <w:r w:rsidRPr="00E379FD">
        <w:rPr>
          <w:lang w:val="es-ES"/>
        </w:rPr>
        <w:t xml:space="preserve"> en Doha en 2027, teniendo presentes los últimos datos disponibles sobre la continuidad de las actividades y las decisiones de la</w:t>
      </w:r>
      <w:r>
        <w:rPr>
          <w:lang w:val="es-ES"/>
        </w:rPr>
        <w:t> </w:t>
      </w:r>
      <w:r w:rsidRPr="00E379FD">
        <w:rPr>
          <w:lang w:val="es-ES"/>
        </w:rPr>
        <w:t>PP-26 relativas a los GTC/GE.</w:t>
      </w:r>
    </w:p>
    <w:p w14:paraId="1F63EB1C" w14:textId="77777777" w:rsidR="007646D4" w:rsidRPr="00E379FD" w:rsidRDefault="007646D4" w:rsidP="007646D4">
      <w:pPr>
        <w:pStyle w:val="Heading1"/>
        <w:rPr>
          <w:lang w:val="es-ES"/>
        </w:rPr>
      </w:pPr>
      <w:r w:rsidRPr="00E379FD">
        <w:rPr>
          <w:lang w:val="es-ES"/>
        </w:rPr>
        <w:t>2</w:t>
      </w:r>
      <w:r w:rsidRPr="00E379FD">
        <w:rPr>
          <w:lang w:val="es-ES"/>
        </w:rPr>
        <w:tab/>
        <w:t>Calendario de futuras conferencias, asambleas y reuniones de la Unión: 2026-2029 (Documento</w:t>
      </w:r>
      <w:r>
        <w:rPr>
          <w:lang w:val="es-ES"/>
        </w:rPr>
        <w:t> </w:t>
      </w:r>
      <w:proofErr w:type="spellStart"/>
      <w:r>
        <w:fldChar w:fldCharType="begin"/>
      </w:r>
      <w:r w:rsidRPr="00431773">
        <w:rPr>
          <w:lang w:val="es-ES"/>
        </w:rPr>
        <w:instrText>HYPERLINK "https://www.itu.int/md/S26-CL-C-0037/es"</w:instrText>
      </w:r>
      <w:r>
        <w:fldChar w:fldCharType="separate"/>
      </w:r>
      <w:r>
        <w:rPr>
          <w:rStyle w:val="Hyperlink"/>
          <w:rFonts w:eastAsia="Times New Roman" w:cs="Times New Roman"/>
          <w:szCs w:val="20"/>
          <w:lang w:val="es-ES"/>
        </w:rPr>
        <w:t>C26</w:t>
      </w:r>
      <w:proofErr w:type="spellEnd"/>
      <w:r>
        <w:rPr>
          <w:rStyle w:val="Hyperlink"/>
          <w:rFonts w:eastAsia="Times New Roman" w:cs="Times New Roman"/>
          <w:szCs w:val="20"/>
          <w:lang w:val="es-ES"/>
        </w:rPr>
        <w:t>/37(</w:t>
      </w:r>
      <w:proofErr w:type="spellStart"/>
      <w:r>
        <w:rPr>
          <w:rStyle w:val="Hyperlink"/>
          <w:rFonts w:eastAsia="Times New Roman" w:cs="Times New Roman"/>
          <w:szCs w:val="20"/>
          <w:lang w:val="es-ES"/>
        </w:rPr>
        <w:t>Rev.1</w:t>
      </w:r>
      <w:proofErr w:type="spellEnd"/>
      <w:r>
        <w:rPr>
          <w:rStyle w:val="Hyperlink"/>
          <w:rFonts w:eastAsia="Times New Roman" w:cs="Times New Roman"/>
          <w:szCs w:val="20"/>
          <w:lang w:val="es-ES"/>
        </w:rPr>
        <w:t>)</w:t>
      </w:r>
      <w:r>
        <w:fldChar w:fldCharType="end"/>
      </w:r>
      <w:r w:rsidRPr="00E379FD">
        <w:rPr>
          <w:lang w:val="es-ES"/>
        </w:rPr>
        <w:t>)</w:t>
      </w:r>
    </w:p>
    <w:p w14:paraId="573F6684" w14:textId="78F26E7B" w:rsidR="007646D4" w:rsidRPr="00E379FD" w:rsidRDefault="007646D4" w:rsidP="00431773">
      <w:pPr>
        <w:jc w:val="both"/>
        <w:rPr>
          <w:lang w:val="es-ES"/>
        </w:rPr>
      </w:pPr>
      <w:r w:rsidRPr="00E379FD">
        <w:rPr>
          <w:lang w:val="es-ES"/>
        </w:rPr>
        <w:t>2.1</w:t>
      </w:r>
      <w:r w:rsidRPr="00E379FD">
        <w:rPr>
          <w:lang w:val="es-ES"/>
        </w:rPr>
        <w:tab/>
        <w:t>Un representante de la Secretaría General present</w:t>
      </w:r>
      <w:r>
        <w:rPr>
          <w:lang w:val="es-ES"/>
        </w:rPr>
        <w:t>a</w:t>
      </w:r>
      <w:r w:rsidRPr="00E379FD">
        <w:rPr>
          <w:lang w:val="es-ES"/>
        </w:rPr>
        <w:t xml:space="preserve"> el Documento</w:t>
      </w:r>
      <w:r>
        <w:rPr>
          <w:lang w:val="es-ES"/>
        </w:rPr>
        <w:t> </w:t>
      </w:r>
      <w:r w:rsidRPr="00E379FD">
        <w:rPr>
          <w:lang w:val="es-ES"/>
        </w:rPr>
        <w:t>C26/37(Rev.1), en el que se enumera</w:t>
      </w:r>
      <w:r>
        <w:rPr>
          <w:lang w:val="es-ES"/>
        </w:rPr>
        <w:t>n</w:t>
      </w:r>
      <w:r w:rsidRPr="00E379FD">
        <w:rPr>
          <w:lang w:val="es-ES"/>
        </w:rPr>
        <w:t xml:space="preserve"> las asambleas, conferencias y reuniones previstas para el per</w:t>
      </w:r>
      <w:r>
        <w:rPr>
          <w:lang w:val="es-ES"/>
        </w:rPr>
        <w:t>i</w:t>
      </w:r>
      <w:r w:rsidRPr="00E379FD">
        <w:rPr>
          <w:lang w:val="es-ES"/>
        </w:rPr>
        <w:t>odo 2026</w:t>
      </w:r>
      <w:r w:rsidR="00431773">
        <w:rPr>
          <w:lang w:val="es-ES"/>
        </w:rPr>
        <w:noBreakHyphen/>
      </w:r>
      <w:r w:rsidRPr="00E379FD">
        <w:rPr>
          <w:lang w:val="es-ES"/>
        </w:rPr>
        <w:t>2029.</w:t>
      </w:r>
    </w:p>
    <w:p w14:paraId="364CAB86" w14:textId="77777777" w:rsidR="007646D4" w:rsidRPr="00E379FD" w:rsidRDefault="007646D4" w:rsidP="00431773">
      <w:pPr>
        <w:jc w:val="both"/>
        <w:rPr>
          <w:lang w:val="es-ES"/>
        </w:rPr>
      </w:pPr>
      <w:r w:rsidRPr="00E379FD">
        <w:rPr>
          <w:lang w:val="es-ES"/>
        </w:rPr>
        <w:t>2.2</w:t>
      </w:r>
      <w:r w:rsidRPr="00E379FD">
        <w:rPr>
          <w:lang w:val="es-ES"/>
        </w:rPr>
        <w:tab/>
        <w:t>Los consejeros acog</w:t>
      </w:r>
      <w:r>
        <w:rPr>
          <w:lang w:val="es-ES"/>
        </w:rPr>
        <w:t>en</w:t>
      </w:r>
      <w:r w:rsidRPr="00E379FD">
        <w:rPr>
          <w:lang w:val="es-ES"/>
        </w:rPr>
        <w:t xml:space="preserve"> favorablemente el calendario propuesto. No obstante, un consejero señal</w:t>
      </w:r>
      <w:r>
        <w:rPr>
          <w:lang w:val="es-ES"/>
        </w:rPr>
        <w:t>a</w:t>
      </w:r>
      <w:r w:rsidRPr="00E379FD">
        <w:rPr>
          <w:lang w:val="es-ES"/>
        </w:rPr>
        <w:t xml:space="preserve"> que las fechas de la segunda sesión de la Reunión Preparatoria de la Conferencia para la Conferencia Mundial de Radiocomunicaciones de 2027 (CMR-27), prevista para abril de</w:t>
      </w:r>
      <w:r>
        <w:rPr>
          <w:lang w:val="es-ES"/>
        </w:rPr>
        <w:t> </w:t>
      </w:r>
      <w:r w:rsidRPr="00E379FD">
        <w:rPr>
          <w:lang w:val="es-ES"/>
        </w:rPr>
        <w:t>2027, coincid</w:t>
      </w:r>
      <w:r>
        <w:rPr>
          <w:lang w:val="es-ES"/>
        </w:rPr>
        <w:t>en</w:t>
      </w:r>
      <w:r w:rsidRPr="00E379FD">
        <w:rPr>
          <w:lang w:val="es-ES"/>
        </w:rPr>
        <w:t xml:space="preserve"> con una importante exposición internacional en Ginebra, lo que conllevar</w:t>
      </w:r>
      <w:r>
        <w:rPr>
          <w:lang w:val="es-ES"/>
        </w:rPr>
        <w:t>á</w:t>
      </w:r>
      <w:r w:rsidRPr="00E379FD">
        <w:rPr>
          <w:lang w:val="es-ES"/>
        </w:rPr>
        <w:t xml:space="preserve"> una mayor carga financiera para los Estados Miembros debido al aumento de la demanda y los costes de alojamiento. Se abog</w:t>
      </w:r>
      <w:r>
        <w:rPr>
          <w:lang w:val="es-ES"/>
        </w:rPr>
        <w:t>a</w:t>
      </w:r>
      <w:r w:rsidRPr="00E379FD">
        <w:rPr>
          <w:lang w:val="es-ES"/>
        </w:rPr>
        <w:t xml:space="preserve"> pues por reconsiderar esas fechas.</w:t>
      </w:r>
    </w:p>
    <w:p w14:paraId="365CF7CA" w14:textId="77777777" w:rsidR="007646D4" w:rsidRPr="00E379FD" w:rsidRDefault="007646D4" w:rsidP="00431773">
      <w:pPr>
        <w:jc w:val="both"/>
        <w:rPr>
          <w:lang w:val="es-ES"/>
        </w:rPr>
      </w:pPr>
      <w:r w:rsidRPr="00E379FD">
        <w:rPr>
          <w:lang w:val="es-ES"/>
        </w:rPr>
        <w:t>2.3</w:t>
      </w:r>
      <w:r w:rsidRPr="00E379FD">
        <w:rPr>
          <w:lang w:val="es-ES"/>
        </w:rPr>
        <w:tab/>
        <w:t>El consejero de China destac</w:t>
      </w:r>
      <w:r>
        <w:rPr>
          <w:lang w:val="es-ES"/>
        </w:rPr>
        <w:t>a</w:t>
      </w:r>
      <w:r w:rsidRPr="00E379FD">
        <w:rPr>
          <w:lang w:val="es-ES"/>
        </w:rPr>
        <w:t xml:space="preserve"> que las fechas propuestas para la reunión del Grupo Asesor de Normalización de las Telecomunicaciones (GANT), en febrero de</w:t>
      </w:r>
      <w:r>
        <w:rPr>
          <w:lang w:val="es-ES"/>
        </w:rPr>
        <w:t> </w:t>
      </w:r>
      <w:r w:rsidRPr="00E379FD">
        <w:rPr>
          <w:lang w:val="es-ES"/>
        </w:rPr>
        <w:t>2027, coincid</w:t>
      </w:r>
      <w:r>
        <w:rPr>
          <w:lang w:val="es-ES"/>
        </w:rPr>
        <w:t>en</w:t>
      </w:r>
      <w:r w:rsidRPr="00E379FD">
        <w:rPr>
          <w:lang w:val="es-ES"/>
        </w:rPr>
        <w:t xml:space="preserve"> con la celebración del Año Nuevo lunar, una de las festividades más importantes de su país, y solicit</w:t>
      </w:r>
      <w:r>
        <w:rPr>
          <w:lang w:val="es-ES"/>
        </w:rPr>
        <w:t>a</w:t>
      </w:r>
      <w:r w:rsidRPr="00E379FD">
        <w:rPr>
          <w:lang w:val="es-ES"/>
        </w:rPr>
        <w:t xml:space="preserve"> que se prop</w:t>
      </w:r>
      <w:r>
        <w:rPr>
          <w:lang w:val="es-ES"/>
        </w:rPr>
        <w:t>ongan</w:t>
      </w:r>
      <w:r w:rsidRPr="00E379FD">
        <w:rPr>
          <w:lang w:val="es-ES"/>
        </w:rPr>
        <w:t xml:space="preserve"> fechas alternativas.</w:t>
      </w:r>
    </w:p>
    <w:p w14:paraId="279ADE7F" w14:textId="77777777" w:rsidR="007646D4" w:rsidRPr="00E379FD" w:rsidRDefault="007646D4" w:rsidP="00431773">
      <w:pPr>
        <w:jc w:val="both"/>
        <w:rPr>
          <w:lang w:val="es-ES"/>
        </w:rPr>
      </w:pPr>
      <w:r w:rsidRPr="00E379FD">
        <w:rPr>
          <w:lang w:val="es-ES"/>
        </w:rPr>
        <w:t>2.4</w:t>
      </w:r>
      <w:r w:rsidRPr="00E379FD">
        <w:rPr>
          <w:lang w:val="es-ES"/>
        </w:rPr>
        <w:tab/>
        <w:t>La Directora Adjunta de la Oficina de Desarrollo de las Telecomunicaciones, en respuesta a la preocupación planteada por el consejero de China, afirm</w:t>
      </w:r>
      <w:r>
        <w:rPr>
          <w:lang w:val="es-ES"/>
        </w:rPr>
        <w:t>a</w:t>
      </w:r>
      <w:r w:rsidRPr="00E379FD">
        <w:rPr>
          <w:lang w:val="es-ES"/>
        </w:rPr>
        <w:t xml:space="preserve"> que la Secretaría sopesar</w:t>
      </w:r>
      <w:r>
        <w:rPr>
          <w:lang w:val="es-ES"/>
        </w:rPr>
        <w:t>á</w:t>
      </w:r>
      <w:r w:rsidRPr="00E379FD">
        <w:rPr>
          <w:lang w:val="es-ES"/>
        </w:rPr>
        <w:t xml:space="preserve"> la posibilidad de revisar las fechas propuestas para la reunión del GANT.</w:t>
      </w:r>
    </w:p>
    <w:p w14:paraId="7B566701" w14:textId="77777777" w:rsidR="007646D4" w:rsidRPr="00E379FD" w:rsidRDefault="007646D4" w:rsidP="00431773">
      <w:pPr>
        <w:jc w:val="both"/>
        <w:rPr>
          <w:lang w:val="es-ES"/>
        </w:rPr>
      </w:pPr>
      <w:r w:rsidRPr="00E379FD">
        <w:rPr>
          <w:lang w:val="es-ES"/>
        </w:rPr>
        <w:t>2.5</w:t>
      </w:r>
      <w:r w:rsidRPr="00E379FD">
        <w:rPr>
          <w:lang w:val="es-ES"/>
        </w:rPr>
        <w:tab/>
        <w:t>El observador de Uzbekistán declar</w:t>
      </w:r>
      <w:r>
        <w:rPr>
          <w:lang w:val="es-ES"/>
        </w:rPr>
        <w:t>a</w:t>
      </w:r>
      <w:r w:rsidRPr="00E379FD">
        <w:rPr>
          <w:lang w:val="es-ES"/>
        </w:rPr>
        <w:t xml:space="preserve"> tener el honor de cursar, en nombre de su Gobierno, una invitación formal por la que este se ofrec</w:t>
      </w:r>
      <w:r>
        <w:rPr>
          <w:lang w:val="es-ES"/>
        </w:rPr>
        <w:t>e</w:t>
      </w:r>
      <w:r w:rsidRPr="00E379FD">
        <w:rPr>
          <w:lang w:val="es-ES"/>
        </w:rPr>
        <w:t xml:space="preserve"> a acoger la Asamblea Mundial de Normalización de las Telecomunicaciones de 2028 (AMNT-28) en Samarcanda. Uzbekistán brindar</w:t>
      </w:r>
      <w:r>
        <w:rPr>
          <w:lang w:val="es-ES"/>
        </w:rPr>
        <w:t>á</w:t>
      </w:r>
      <w:r w:rsidRPr="00E379FD">
        <w:rPr>
          <w:lang w:val="es-ES"/>
        </w:rPr>
        <w:t xml:space="preserve"> una plataforma moderna para la colaboración, la innovación y la búsqueda de consensos en torno a las grandes cuestiones de las telecomunicaciones digitales y las tecnologías de la información y la comunicación (TIC), en la que podr</w:t>
      </w:r>
      <w:r>
        <w:rPr>
          <w:lang w:val="es-ES"/>
        </w:rPr>
        <w:t>á</w:t>
      </w:r>
      <w:r w:rsidRPr="00E379FD">
        <w:rPr>
          <w:lang w:val="es-ES"/>
        </w:rPr>
        <w:t>n participar tanto los Estados Miembros de la</w:t>
      </w:r>
      <w:r>
        <w:rPr>
          <w:lang w:val="es-ES"/>
        </w:rPr>
        <w:t> </w:t>
      </w:r>
      <w:r w:rsidRPr="00E379FD">
        <w:rPr>
          <w:lang w:val="es-ES"/>
        </w:rPr>
        <w:t>UIT como el sector privado. La carta de invitación oficial figura en el Documento</w:t>
      </w:r>
      <w:r>
        <w:rPr>
          <w:lang w:val="es-ES"/>
        </w:rPr>
        <w:t> </w:t>
      </w:r>
      <w:proofErr w:type="spellStart"/>
      <w:r>
        <w:fldChar w:fldCharType="begin"/>
      </w:r>
      <w:r w:rsidRPr="00431773">
        <w:rPr>
          <w:lang w:val="es-ES"/>
        </w:rPr>
        <w:instrText>HYPERLINK "https://www.itu.int/md/S26-CL-INF-0030/es"</w:instrText>
      </w:r>
      <w:r>
        <w:fldChar w:fldCharType="separate"/>
      </w:r>
      <w:r w:rsidRPr="00245C14">
        <w:rPr>
          <w:rStyle w:val="Hyperlink"/>
          <w:rFonts w:eastAsia="Times New Roman" w:cs="Times New Roman"/>
          <w:szCs w:val="20"/>
          <w:lang w:val="es-ES"/>
        </w:rPr>
        <w:t>C26</w:t>
      </w:r>
      <w:proofErr w:type="spellEnd"/>
      <w:r w:rsidRPr="00245C14">
        <w:rPr>
          <w:rStyle w:val="Hyperlink"/>
          <w:rFonts w:eastAsia="Times New Roman" w:cs="Times New Roman"/>
          <w:szCs w:val="20"/>
          <w:lang w:val="es-ES"/>
        </w:rPr>
        <w:t>/INF/30(</w:t>
      </w:r>
      <w:proofErr w:type="spellStart"/>
      <w:r w:rsidRPr="00245C14">
        <w:rPr>
          <w:rStyle w:val="Hyperlink"/>
          <w:rFonts w:eastAsia="Times New Roman" w:cs="Times New Roman"/>
          <w:szCs w:val="20"/>
          <w:lang w:val="es-ES"/>
        </w:rPr>
        <w:t>Rev.1</w:t>
      </w:r>
      <w:proofErr w:type="spellEnd"/>
      <w:r w:rsidRPr="00245C14">
        <w:rPr>
          <w:rStyle w:val="Hyperlink"/>
          <w:rFonts w:eastAsia="Times New Roman" w:cs="Times New Roman"/>
          <w:szCs w:val="20"/>
          <w:lang w:val="es-ES"/>
        </w:rPr>
        <w:t>)</w:t>
      </w:r>
      <w:r>
        <w:fldChar w:fldCharType="end"/>
      </w:r>
      <w:r w:rsidRPr="00E379FD">
        <w:rPr>
          <w:lang w:val="es-ES"/>
        </w:rPr>
        <w:t>.</w:t>
      </w:r>
    </w:p>
    <w:p w14:paraId="3CBA8C65" w14:textId="77777777" w:rsidR="007646D4" w:rsidRPr="00E379FD" w:rsidRDefault="007646D4" w:rsidP="00431773">
      <w:pPr>
        <w:jc w:val="both"/>
        <w:rPr>
          <w:lang w:val="es-ES"/>
        </w:rPr>
      </w:pPr>
      <w:r w:rsidRPr="00E379FD">
        <w:rPr>
          <w:lang w:val="es-ES"/>
        </w:rPr>
        <w:t>2.6</w:t>
      </w:r>
      <w:r w:rsidRPr="00E379FD">
        <w:rPr>
          <w:lang w:val="es-ES"/>
        </w:rPr>
        <w:tab/>
        <w:t xml:space="preserve">El Consejo </w:t>
      </w:r>
      <w:r w:rsidRPr="00E379FD">
        <w:rPr>
          <w:b/>
          <w:bCs/>
          <w:lang w:val="es-ES"/>
        </w:rPr>
        <w:t>tom</w:t>
      </w:r>
      <w:r>
        <w:rPr>
          <w:b/>
          <w:bCs/>
          <w:lang w:val="es-ES"/>
        </w:rPr>
        <w:t>a</w:t>
      </w:r>
      <w:r w:rsidRPr="00E379FD">
        <w:rPr>
          <w:b/>
          <w:bCs/>
          <w:lang w:val="es-ES"/>
        </w:rPr>
        <w:t xml:space="preserve"> nota </w:t>
      </w:r>
      <w:r w:rsidRPr="00E379FD">
        <w:rPr>
          <w:lang w:val="es-ES"/>
        </w:rPr>
        <w:t>del Documento</w:t>
      </w:r>
      <w:r>
        <w:rPr>
          <w:lang w:val="es-ES"/>
        </w:rPr>
        <w:t> </w:t>
      </w:r>
      <w:r w:rsidRPr="00E379FD">
        <w:rPr>
          <w:lang w:val="es-ES"/>
        </w:rPr>
        <w:t>C26/37(Rev.1), así como de la invitación del Gobierno de Uzbekistán por la que se ofrec</w:t>
      </w:r>
      <w:r>
        <w:rPr>
          <w:lang w:val="es-ES"/>
        </w:rPr>
        <w:t>e</w:t>
      </w:r>
      <w:r w:rsidRPr="00E379FD">
        <w:rPr>
          <w:lang w:val="es-ES"/>
        </w:rPr>
        <w:t xml:space="preserve"> a acoger la AMNT-28, e </w:t>
      </w:r>
      <w:r w:rsidRPr="00E379FD">
        <w:rPr>
          <w:b/>
          <w:bCs/>
          <w:lang w:val="es-ES"/>
        </w:rPr>
        <w:t>invit</w:t>
      </w:r>
      <w:r>
        <w:rPr>
          <w:b/>
          <w:bCs/>
          <w:lang w:val="es-ES"/>
        </w:rPr>
        <w:t>a</w:t>
      </w:r>
      <w:r w:rsidRPr="00E379FD">
        <w:rPr>
          <w:b/>
          <w:bCs/>
          <w:lang w:val="es-ES"/>
        </w:rPr>
        <w:t xml:space="preserve"> </w:t>
      </w:r>
      <w:r w:rsidRPr="00E379FD">
        <w:rPr>
          <w:lang w:val="es-ES"/>
        </w:rPr>
        <w:t>a la Administración de Uzbekistán a someter dicha invitación a la consideración de la</w:t>
      </w:r>
      <w:r>
        <w:rPr>
          <w:lang w:val="es-ES"/>
        </w:rPr>
        <w:t> </w:t>
      </w:r>
      <w:r w:rsidRPr="00E379FD">
        <w:rPr>
          <w:lang w:val="es-ES"/>
        </w:rPr>
        <w:t>PP-26.</w:t>
      </w:r>
    </w:p>
    <w:p w14:paraId="5BA8E26B" w14:textId="77777777" w:rsidR="007646D4" w:rsidRPr="00E379FD" w:rsidRDefault="007646D4" w:rsidP="007646D4">
      <w:pPr>
        <w:pStyle w:val="Heading1"/>
        <w:rPr>
          <w:lang w:val="es-ES"/>
        </w:rPr>
      </w:pPr>
      <w:r w:rsidRPr="00E379FD">
        <w:rPr>
          <w:lang w:val="es-ES"/>
        </w:rPr>
        <w:lastRenderedPageBreak/>
        <w:t>3</w:t>
      </w:r>
      <w:r w:rsidRPr="00E379FD">
        <w:rPr>
          <w:lang w:val="es-ES"/>
        </w:rPr>
        <w:tab/>
        <w:t>Propuesta para celebrar la Conferencia de Plenipotenciarios de 2030 en la India (Documento</w:t>
      </w:r>
      <w:r>
        <w:rPr>
          <w:lang w:val="es-ES"/>
        </w:rPr>
        <w:t> </w:t>
      </w:r>
      <w:proofErr w:type="spellStart"/>
      <w:r>
        <w:fldChar w:fldCharType="begin"/>
      </w:r>
      <w:r w:rsidRPr="00431773">
        <w:rPr>
          <w:lang w:val="es-ES"/>
        </w:rPr>
        <w:instrText>HYPERLINK "https://www.itu.int/md/S26-CL-C-0078/es"</w:instrText>
      </w:r>
      <w:r>
        <w:fldChar w:fldCharType="separate"/>
      </w:r>
      <w:r>
        <w:rPr>
          <w:rStyle w:val="Hyperlink"/>
          <w:rFonts w:eastAsia="Times New Roman" w:cs="Times New Roman"/>
          <w:szCs w:val="20"/>
          <w:lang w:val="es-ES"/>
        </w:rPr>
        <w:t>C26</w:t>
      </w:r>
      <w:proofErr w:type="spellEnd"/>
      <w:r>
        <w:rPr>
          <w:rStyle w:val="Hyperlink"/>
          <w:rFonts w:eastAsia="Times New Roman" w:cs="Times New Roman"/>
          <w:szCs w:val="20"/>
          <w:lang w:val="es-ES"/>
        </w:rPr>
        <w:t>/78</w:t>
      </w:r>
      <w:r>
        <w:fldChar w:fldCharType="end"/>
      </w:r>
      <w:r w:rsidRPr="00E379FD">
        <w:rPr>
          <w:lang w:val="es-ES"/>
        </w:rPr>
        <w:t>)</w:t>
      </w:r>
    </w:p>
    <w:p w14:paraId="79031A01" w14:textId="77777777" w:rsidR="007646D4" w:rsidRPr="00E379FD" w:rsidRDefault="007646D4" w:rsidP="00431773">
      <w:pPr>
        <w:jc w:val="both"/>
        <w:rPr>
          <w:lang w:val="es-ES"/>
        </w:rPr>
      </w:pPr>
      <w:r w:rsidRPr="00E379FD">
        <w:rPr>
          <w:lang w:val="es-ES"/>
        </w:rPr>
        <w:t>3.1</w:t>
      </w:r>
      <w:r w:rsidRPr="00E379FD">
        <w:rPr>
          <w:lang w:val="es-ES"/>
        </w:rPr>
        <w:tab/>
        <w:t>El consejero de la India present</w:t>
      </w:r>
      <w:r>
        <w:rPr>
          <w:lang w:val="es-ES"/>
        </w:rPr>
        <w:t>a</w:t>
      </w:r>
      <w:r w:rsidRPr="00E379FD">
        <w:rPr>
          <w:lang w:val="es-ES"/>
        </w:rPr>
        <w:t xml:space="preserve"> la contribución recogida en el Documento</w:t>
      </w:r>
      <w:r>
        <w:rPr>
          <w:lang w:val="es-ES"/>
        </w:rPr>
        <w:t> </w:t>
      </w:r>
      <w:r w:rsidRPr="00E379FD">
        <w:rPr>
          <w:lang w:val="es-ES"/>
        </w:rPr>
        <w:t xml:space="preserve">C26/78, en la que la Administración de la India reitera su oferta de acoger la Conferencia de Plenipotenciarios de 2030 (PP-30). El orador </w:t>
      </w:r>
      <w:r>
        <w:rPr>
          <w:lang w:val="es-ES"/>
        </w:rPr>
        <w:t>recuerda</w:t>
      </w:r>
      <w:r w:rsidRPr="00E379FD">
        <w:rPr>
          <w:lang w:val="es-ES"/>
        </w:rPr>
        <w:t xml:space="preserve"> que la India </w:t>
      </w:r>
      <w:r>
        <w:rPr>
          <w:lang w:val="es-ES"/>
        </w:rPr>
        <w:t>es</w:t>
      </w:r>
      <w:r w:rsidRPr="00E379FD">
        <w:rPr>
          <w:lang w:val="es-ES"/>
        </w:rPr>
        <w:t xml:space="preserve"> un miembro veterano y comprometido de la</w:t>
      </w:r>
      <w:r>
        <w:rPr>
          <w:lang w:val="es-ES"/>
        </w:rPr>
        <w:t> </w:t>
      </w:r>
      <w:r w:rsidRPr="00E379FD">
        <w:rPr>
          <w:lang w:val="es-ES"/>
        </w:rPr>
        <w:t>UIT, y señal</w:t>
      </w:r>
      <w:r>
        <w:rPr>
          <w:lang w:val="es-ES"/>
        </w:rPr>
        <w:t>a</w:t>
      </w:r>
      <w:r w:rsidRPr="00E379FD">
        <w:rPr>
          <w:lang w:val="es-ES"/>
        </w:rPr>
        <w:t xml:space="preserve"> que el país </w:t>
      </w:r>
      <w:r>
        <w:rPr>
          <w:lang w:val="es-ES"/>
        </w:rPr>
        <w:t>cuenta</w:t>
      </w:r>
      <w:r w:rsidRPr="00E379FD">
        <w:rPr>
          <w:lang w:val="es-ES"/>
        </w:rPr>
        <w:t xml:space="preserve"> con una vasta experiencia en lo que respecta a la organización de reuniones internacionales del más alto nivel. La Administración de la India </w:t>
      </w:r>
      <w:r>
        <w:rPr>
          <w:lang w:val="es-ES"/>
        </w:rPr>
        <w:t>concibe</w:t>
      </w:r>
      <w:r w:rsidRPr="00E379FD">
        <w:rPr>
          <w:lang w:val="es-ES"/>
        </w:rPr>
        <w:t xml:space="preserve"> la PP-30 como un evento histórico que obrar</w:t>
      </w:r>
      <w:r>
        <w:rPr>
          <w:lang w:val="es-ES"/>
        </w:rPr>
        <w:t>á</w:t>
      </w:r>
      <w:r w:rsidRPr="00E379FD">
        <w:rPr>
          <w:lang w:val="es-ES"/>
        </w:rPr>
        <w:t xml:space="preserve"> en favor del establecimiento de un diálogo inclusivo, la previsión estratégica y una sólida cooperación multilateral, todo ello respaldado por una infraestructura de primer orden, una conectividad fluida y una hospitalidad excepcional.</w:t>
      </w:r>
    </w:p>
    <w:p w14:paraId="0709913A" w14:textId="77777777" w:rsidR="007646D4" w:rsidRPr="00E379FD" w:rsidRDefault="007646D4" w:rsidP="00431773">
      <w:pPr>
        <w:jc w:val="both"/>
        <w:rPr>
          <w:lang w:val="es-ES"/>
        </w:rPr>
      </w:pPr>
      <w:r w:rsidRPr="00E379FD">
        <w:rPr>
          <w:lang w:val="es-ES"/>
        </w:rPr>
        <w:t>3.2</w:t>
      </w:r>
      <w:r w:rsidRPr="00E379FD">
        <w:rPr>
          <w:lang w:val="es-ES"/>
        </w:rPr>
        <w:tab/>
        <w:t>En el debate posterior, los consejeros, tras reconocer la experiencia y los conocimientos que atesora la India en torno a la organización de reuniones internacionales, expresa</w:t>
      </w:r>
      <w:r>
        <w:rPr>
          <w:lang w:val="es-ES"/>
        </w:rPr>
        <w:t>n</w:t>
      </w:r>
      <w:r w:rsidRPr="00E379FD">
        <w:rPr>
          <w:lang w:val="es-ES"/>
        </w:rPr>
        <w:t xml:space="preserve"> su apoyo a la oferta de dicha Administración de acoger la</w:t>
      </w:r>
      <w:r>
        <w:rPr>
          <w:lang w:val="es-ES"/>
        </w:rPr>
        <w:t> </w:t>
      </w:r>
      <w:r w:rsidRPr="00E379FD">
        <w:rPr>
          <w:lang w:val="es-ES"/>
        </w:rPr>
        <w:t>PP-30. Acto seguido, encomia</w:t>
      </w:r>
      <w:r>
        <w:rPr>
          <w:lang w:val="es-ES"/>
        </w:rPr>
        <w:t>n</w:t>
      </w:r>
      <w:r w:rsidRPr="00E379FD">
        <w:rPr>
          <w:lang w:val="es-ES"/>
        </w:rPr>
        <w:t xml:space="preserve"> el compromiso de la India para con los valores compartidos de la</w:t>
      </w:r>
      <w:r>
        <w:rPr>
          <w:lang w:val="es-ES"/>
        </w:rPr>
        <w:t> </w:t>
      </w:r>
      <w:r w:rsidRPr="00E379FD">
        <w:rPr>
          <w:lang w:val="es-ES"/>
        </w:rPr>
        <w:t>UIT y afirma</w:t>
      </w:r>
      <w:r>
        <w:rPr>
          <w:lang w:val="es-ES"/>
        </w:rPr>
        <w:t>n</w:t>
      </w:r>
      <w:r w:rsidRPr="00E379FD">
        <w:rPr>
          <w:lang w:val="es-ES"/>
        </w:rPr>
        <w:t xml:space="preserve"> confiar en que el país </w:t>
      </w:r>
      <w:r>
        <w:rPr>
          <w:lang w:val="es-ES"/>
        </w:rPr>
        <w:t>cuenta</w:t>
      </w:r>
      <w:r w:rsidRPr="00E379FD">
        <w:rPr>
          <w:lang w:val="es-ES"/>
        </w:rPr>
        <w:t xml:space="preserve"> con los recursos y la capacidad necesarios para organizar con éxito una Conferencia de Plenipotenciarios. Algunos consejeros, si bien apoya</w:t>
      </w:r>
      <w:r>
        <w:rPr>
          <w:lang w:val="es-ES"/>
        </w:rPr>
        <w:t>n</w:t>
      </w:r>
      <w:r w:rsidRPr="00E379FD">
        <w:rPr>
          <w:lang w:val="es-ES"/>
        </w:rPr>
        <w:t xml:space="preserve"> plenamente la oferta de la India, </w:t>
      </w:r>
      <w:r>
        <w:rPr>
          <w:lang w:val="es-ES"/>
        </w:rPr>
        <w:t>consideran</w:t>
      </w:r>
      <w:r w:rsidRPr="00E379FD">
        <w:rPr>
          <w:lang w:val="es-ES"/>
        </w:rPr>
        <w:t xml:space="preserve"> que esta </w:t>
      </w:r>
      <w:r>
        <w:rPr>
          <w:lang w:val="es-ES"/>
        </w:rPr>
        <w:t>debe</w:t>
      </w:r>
      <w:r w:rsidRPr="00E379FD">
        <w:rPr>
          <w:lang w:val="es-ES"/>
        </w:rPr>
        <w:t xml:space="preserve"> remitirse a la</w:t>
      </w:r>
      <w:r>
        <w:rPr>
          <w:lang w:val="es-ES"/>
        </w:rPr>
        <w:t> </w:t>
      </w:r>
      <w:r w:rsidRPr="00E379FD">
        <w:rPr>
          <w:lang w:val="es-ES"/>
        </w:rPr>
        <w:t>PP-26 para su aprobación, de acuerdo con la práctica establecida.</w:t>
      </w:r>
    </w:p>
    <w:p w14:paraId="15151119" w14:textId="77777777" w:rsidR="007646D4" w:rsidRPr="00E379FD" w:rsidRDefault="007646D4" w:rsidP="00431773">
      <w:pPr>
        <w:jc w:val="both"/>
        <w:rPr>
          <w:lang w:val="es-ES"/>
        </w:rPr>
      </w:pPr>
      <w:r w:rsidRPr="00E379FD">
        <w:rPr>
          <w:lang w:val="es-ES"/>
        </w:rPr>
        <w:t>3.3</w:t>
      </w:r>
      <w:r w:rsidRPr="00E379FD">
        <w:rPr>
          <w:lang w:val="es-ES"/>
        </w:rPr>
        <w:tab/>
        <w:t>El consejero de la India agradec</w:t>
      </w:r>
      <w:r>
        <w:rPr>
          <w:lang w:val="es-ES"/>
        </w:rPr>
        <w:t>e</w:t>
      </w:r>
      <w:r w:rsidRPr="00E379FD">
        <w:rPr>
          <w:lang w:val="es-ES"/>
        </w:rPr>
        <w:t xml:space="preserve"> a todos los Estados Miembros y a todos los consejeros su confianza y apoyo, y reafirm</w:t>
      </w:r>
      <w:r>
        <w:rPr>
          <w:lang w:val="es-ES"/>
        </w:rPr>
        <w:t>a</w:t>
      </w:r>
      <w:r w:rsidRPr="00E379FD">
        <w:rPr>
          <w:lang w:val="es-ES"/>
        </w:rPr>
        <w:t xml:space="preserve"> el compromiso de su Administración para con el éxito de la Conferencia de Plenipotenciarios.</w:t>
      </w:r>
    </w:p>
    <w:p w14:paraId="643DBA4E" w14:textId="77777777" w:rsidR="007646D4" w:rsidRPr="00E379FD" w:rsidRDefault="007646D4" w:rsidP="00431773">
      <w:pPr>
        <w:jc w:val="both"/>
        <w:rPr>
          <w:lang w:val="es-ES"/>
        </w:rPr>
      </w:pPr>
      <w:r w:rsidRPr="00E379FD">
        <w:rPr>
          <w:lang w:val="es-ES"/>
        </w:rPr>
        <w:t>3.4</w:t>
      </w:r>
      <w:r w:rsidRPr="00E379FD">
        <w:rPr>
          <w:lang w:val="es-ES"/>
        </w:rPr>
        <w:tab/>
        <w:t>En respuesta a una pregunta de un consejero, un representante de la Secretaría General señal</w:t>
      </w:r>
      <w:r>
        <w:rPr>
          <w:lang w:val="es-ES"/>
        </w:rPr>
        <w:t>a</w:t>
      </w:r>
      <w:r w:rsidRPr="00E379FD">
        <w:rPr>
          <w:lang w:val="es-ES"/>
        </w:rPr>
        <w:t xml:space="preserve"> que el proceso de selección de países anfitriones de conferencias y asambleas de la</w:t>
      </w:r>
      <w:r>
        <w:rPr>
          <w:lang w:val="es-ES"/>
        </w:rPr>
        <w:t> </w:t>
      </w:r>
      <w:r w:rsidRPr="00E379FD">
        <w:rPr>
          <w:lang w:val="es-ES"/>
        </w:rPr>
        <w:t>UIT (Documento</w:t>
      </w:r>
      <w:r>
        <w:rPr>
          <w:lang w:val="es-ES"/>
        </w:rPr>
        <w:t> </w:t>
      </w:r>
      <w:proofErr w:type="spellStart"/>
      <w:r>
        <w:fldChar w:fldCharType="begin"/>
      </w:r>
      <w:r w:rsidRPr="00431773">
        <w:rPr>
          <w:lang w:val="es-ES"/>
        </w:rPr>
        <w:instrText>HYPERLINK "https://www.itu.int/md/S26-CL-C-0070/es"</w:instrText>
      </w:r>
      <w:r>
        <w:fldChar w:fldCharType="separate"/>
      </w:r>
      <w:r w:rsidRPr="00245C14">
        <w:rPr>
          <w:rStyle w:val="Hyperlink"/>
          <w:rFonts w:eastAsia="Times New Roman" w:cs="Times New Roman"/>
          <w:szCs w:val="20"/>
          <w:lang w:val="es-ES"/>
        </w:rPr>
        <w:t>C26</w:t>
      </w:r>
      <w:proofErr w:type="spellEnd"/>
      <w:r w:rsidRPr="00245C14">
        <w:rPr>
          <w:rStyle w:val="Hyperlink"/>
          <w:rFonts w:eastAsia="Times New Roman" w:cs="Times New Roman"/>
          <w:szCs w:val="20"/>
          <w:lang w:val="es-ES"/>
        </w:rPr>
        <w:t>/70</w:t>
      </w:r>
      <w:r>
        <w:fldChar w:fldCharType="end"/>
      </w:r>
      <w:r w:rsidRPr="00E379FD">
        <w:rPr>
          <w:lang w:val="es-ES"/>
        </w:rPr>
        <w:t>) empezar</w:t>
      </w:r>
      <w:r>
        <w:rPr>
          <w:lang w:val="es-ES"/>
        </w:rPr>
        <w:t>á</w:t>
      </w:r>
      <w:r w:rsidRPr="00E379FD">
        <w:rPr>
          <w:lang w:val="es-ES"/>
        </w:rPr>
        <w:t xml:space="preserve"> a aplicarse en los eventos de</w:t>
      </w:r>
      <w:r>
        <w:rPr>
          <w:lang w:val="es-ES"/>
        </w:rPr>
        <w:t> </w:t>
      </w:r>
      <w:r w:rsidRPr="00E379FD">
        <w:rPr>
          <w:lang w:val="es-ES"/>
        </w:rPr>
        <w:t>2031.</w:t>
      </w:r>
    </w:p>
    <w:p w14:paraId="2F213474" w14:textId="77777777" w:rsidR="007646D4" w:rsidRPr="00E379FD" w:rsidRDefault="007646D4" w:rsidP="00431773">
      <w:pPr>
        <w:jc w:val="both"/>
        <w:rPr>
          <w:lang w:val="es-ES"/>
        </w:rPr>
      </w:pPr>
      <w:r w:rsidRPr="00E379FD">
        <w:rPr>
          <w:lang w:val="es-ES"/>
        </w:rPr>
        <w:t>3.5</w:t>
      </w:r>
      <w:r w:rsidRPr="00E379FD">
        <w:rPr>
          <w:lang w:val="es-ES"/>
        </w:rPr>
        <w:tab/>
        <w:t xml:space="preserve">El Consejo </w:t>
      </w:r>
      <w:r>
        <w:rPr>
          <w:b/>
          <w:bCs/>
          <w:lang w:val="es-ES"/>
        </w:rPr>
        <w:t>aprueba</w:t>
      </w:r>
      <w:r w:rsidRPr="00E379FD">
        <w:rPr>
          <w:b/>
          <w:bCs/>
          <w:lang w:val="es-ES"/>
        </w:rPr>
        <w:t xml:space="preserve"> </w:t>
      </w:r>
      <w:r w:rsidRPr="00E379FD">
        <w:rPr>
          <w:lang w:val="es-ES"/>
        </w:rPr>
        <w:t>la invitación de la India por la que se ofrec</w:t>
      </w:r>
      <w:r>
        <w:rPr>
          <w:lang w:val="es-ES"/>
        </w:rPr>
        <w:t>e</w:t>
      </w:r>
      <w:r w:rsidRPr="00E379FD">
        <w:rPr>
          <w:lang w:val="es-ES"/>
        </w:rPr>
        <w:t xml:space="preserve"> a acoger la</w:t>
      </w:r>
      <w:r>
        <w:rPr>
          <w:lang w:val="es-ES"/>
        </w:rPr>
        <w:t> </w:t>
      </w:r>
      <w:r w:rsidRPr="00E379FD">
        <w:rPr>
          <w:lang w:val="es-ES"/>
        </w:rPr>
        <w:t xml:space="preserve">PP-30 y </w:t>
      </w:r>
      <w:r>
        <w:rPr>
          <w:b/>
          <w:bCs/>
          <w:lang w:val="es-ES"/>
        </w:rPr>
        <w:t>acuerda</w:t>
      </w:r>
      <w:r w:rsidRPr="00E379FD">
        <w:rPr>
          <w:lang w:val="es-ES"/>
        </w:rPr>
        <w:t xml:space="preserve"> transmitir dicha invitación a la</w:t>
      </w:r>
      <w:r>
        <w:rPr>
          <w:lang w:val="es-ES"/>
        </w:rPr>
        <w:t> </w:t>
      </w:r>
      <w:r w:rsidRPr="00E379FD">
        <w:rPr>
          <w:lang w:val="es-ES"/>
        </w:rPr>
        <w:t>PP-26 para su aceptación formal y su inclusión en la versión revisada de la Resolución</w:t>
      </w:r>
      <w:r>
        <w:rPr>
          <w:lang w:val="es-ES"/>
        </w:rPr>
        <w:t> </w:t>
      </w:r>
      <w:r w:rsidRPr="00E379FD">
        <w:rPr>
          <w:lang w:val="es-ES"/>
        </w:rPr>
        <w:t>77 (Rev.</w:t>
      </w:r>
      <w:r>
        <w:rPr>
          <w:lang w:val="es-ES"/>
        </w:rPr>
        <w:t> </w:t>
      </w:r>
      <w:r w:rsidRPr="00E379FD">
        <w:rPr>
          <w:lang w:val="es-ES"/>
        </w:rPr>
        <w:t>Bucarest, 2022).</w:t>
      </w:r>
    </w:p>
    <w:p w14:paraId="27E6121F" w14:textId="77777777" w:rsidR="007646D4" w:rsidRPr="00E379FD" w:rsidRDefault="007646D4" w:rsidP="007646D4">
      <w:pPr>
        <w:pStyle w:val="Heading1"/>
        <w:rPr>
          <w:lang w:val="es-ES"/>
        </w:rPr>
      </w:pPr>
      <w:r w:rsidRPr="00E379FD">
        <w:rPr>
          <w:lang w:val="es-ES"/>
        </w:rPr>
        <w:t>4</w:t>
      </w:r>
      <w:r w:rsidRPr="00E379FD">
        <w:rPr>
          <w:lang w:val="es-ES"/>
        </w:rPr>
        <w:tab/>
        <w:t>Gestión clara, coherente y respetuosa del tiempo de las conferencias y asambleas de la</w:t>
      </w:r>
      <w:r>
        <w:rPr>
          <w:lang w:val="es-ES"/>
        </w:rPr>
        <w:t> </w:t>
      </w:r>
      <w:r w:rsidRPr="00E379FD">
        <w:rPr>
          <w:lang w:val="es-ES"/>
        </w:rPr>
        <w:t>UIT (Documento</w:t>
      </w:r>
      <w:r>
        <w:rPr>
          <w:lang w:val="es-ES"/>
        </w:rPr>
        <w:t> </w:t>
      </w:r>
      <w:proofErr w:type="spellStart"/>
      <w:r>
        <w:fldChar w:fldCharType="begin"/>
      </w:r>
      <w:r w:rsidRPr="00431773">
        <w:rPr>
          <w:lang w:val="es-ES"/>
        </w:rPr>
        <w:instrText>HYPERLINK "https://www.itu.int/md/S26-CL-C-0097/es"</w:instrText>
      </w:r>
      <w:r>
        <w:fldChar w:fldCharType="separate"/>
      </w:r>
      <w:r>
        <w:rPr>
          <w:rStyle w:val="Hyperlink"/>
          <w:rFonts w:eastAsia="Times New Roman" w:cs="Times New Roman"/>
          <w:szCs w:val="20"/>
          <w:lang w:val="es-ES"/>
        </w:rPr>
        <w:t>C26</w:t>
      </w:r>
      <w:proofErr w:type="spellEnd"/>
      <w:r>
        <w:rPr>
          <w:rStyle w:val="Hyperlink"/>
          <w:rFonts w:eastAsia="Times New Roman" w:cs="Times New Roman"/>
          <w:szCs w:val="20"/>
          <w:lang w:val="es-ES"/>
        </w:rPr>
        <w:t>/97</w:t>
      </w:r>
      <w:r>
        <w:fldChar w:fldCharType="end"/>
      </w:r>
      <w:r w:rsidRPr="00E379FD">
        <w:rPr>
          <w:lang w:val="es-ES"/>
        </w:rPr>
        <w:t>)</w:t>
      </w:r>
    </w:p>
    <w:p w14:paraId="4051E9C8" w14:textId="77777777" w:rsidR="007646D4" w:rsidRPr="00D74B06" w:rsidRDefault="007646D4" w:rsidP="00431773">
      <w:pPr>
        <w:jc w:val="both"/>
        <w:rPr>
          <w:spacing w:val="-2"/>
          <w:lang w:val="es-ES"/>
        </w:rPr>
      </w:pPr>
      <w:r w:rsidRPr="00D74B06">
        <w:rPr>
          <w:spacing w:val="-2"/>
          <w:lang w:val="es-ES"/>
        </w:rPr>
        <w:t>4.1</w:t>
      </w:r>
      <w:r w:rsidRPr="00D74B06">
        <w:rPr>
          <w:spacing w:val="-2"/>
          <w:lang w:val="es-ES"/>
        </w:rPr>
        <w:tab/>
        <w:t>La consejera de los Estados Unidos presenta la contribución recogida en el Documento C26/97, que contiene un proyecto de Resolución del Consejo sobre una gestión clara, coherente y respetuosa del tiempo de las conferencias y asambleas de la UIT. La oradora explica que, ante la ausencia de normas formales que regulen la gestión del tiempo, las modalidades de trabajo de las conferencias y asambleas de la UIT se dejan a la discreción del país anfitrión y la Secretaría, caso por caso, y que la falta de orientaciones generales dificulta la aplicación de prácticas de gestión del tiempo claras y coherentes cuando surgen dificultades. Habida cuenta de que las Resoluciones del Consejo no son vinculantes para las modalidades de las asambleas y conferencias de la UIT, el objetivo del proyecto de Resolución es codificar las mejores prácticas y proporcionar una orientación coherente a las comisiones de dirección.</w:t>
      </w:r>
    </w:p>
    <w:p w14:paraId="2182722D" w14:textId="77777777" w:rsidR="007646D4" w:rsidRPr="00E379FD" w:rsidRDefault="007646D4" w:rsidP="00431773">
      <w:pPr>
        <w:keepNext/>
        <w:keepLines/>
        <w:jc w:val="both"/>
        <w:rPr>
          <w:lang w:val="es-ES"/>
        </w:rPr>
      </w:pPr>
      <w:r w:rsidRPr="00E379FD">
        <w:rPr>
          <w:lang w:val="es-ES"/>
        </w:rPr>
        <w:lastRenderedPageBreak/>
        <w:t>4.2</w:t>
      </w:r>
      <w:r w:rsidRPr="00E379FD">
        <w:rPr>
          <w:lang w:val="es-ES"/>
        </w:rPr>
        <w:tab/>
        <w:t>En el debate posterior, varios consejeros expresa</w:t>
      </w:r>
      <w:r>
        <w:rPr>
          <w:lang w:val="es-ES"/>
        </w:rPr>
        <w:t>n</w:t>
      </w:r>
      <w:r w:rsidRPr="00E379FD">
        <w:rPr>
          <w:lang w:val="es-ES"/>
        </w:rPr>
        <w:t xml:space="preserve"> su firme apoyo a la propuesta </w:t>
      </w:r>
      <w:r>
        <w:rPr>
          <w:lang w:val="es-ES"/>
        </w:rPr>
        <w:t>y hacen</w:t>
      </w:r>
      <w:r w:rsidRPr="00E379FD">
        <w:rPr>
          <w:lang w:val="es-ES"/>
        </w:rPr>
        <w:t xml:space="preserve"> hincapié en que la adopción de directrices permitir</w:t>
      </w:r>
      <w:r>
        <w:rPr>
          <w:lang w:val="es-ES"/>
        </w:rPr>
        <w:t>á</w:t>
      </w:r>
      <w:r w:rsidRPr="00E379FD">
        <w:rPr>
          <w:lang w:val="es-ES"/>
        </w:rPr>
        <w:t xml:space="preserve"> garantizar unos horarios de trabajo predecibles, una planificación rigurosa y unos procesos de toma de decisiones sólidos. La prolongación de las jornadas de trabajo no se traduc</w:t>
      </w:r>
      <w:r>
        <w:rPr>
          <w:lang w:val="es-ES"/>
        </w:rPr>
        <w:t>en</w:t>
      </w:r>
      <w:r w:rsidRPr="00E379FD">
        <w:rPr>
          <w:lang w:val="es-ES"/>
        </w:rPr>
        <w:t xml:space="preserve"> necesariamente en una mejora de los resultados. Las directrices en cuestión fomentar</w:t>
      </w:r>
      <w:r>
        <w:rPr>
          <w:lang w:val="es-ES"/>
        </w:rPr>
        <w:t>án</w:t>
      </w:r>
      <w:r w:rsidRPr="00E379FD">
        <w:rPr>
          <w:lang w:val="es-ES"/>
        </w:rPr>
        <w:t xml:space="preserve"> una cultura de respeto, facilitar</w:t>
      </w:r>
      <w:r>
        <w:rPr>
          <w:lang w:val="es-ES"/>
        </w:rPr>
        <w:t>án</w:t>
      </w:r>
      <w:r w:rsidRPr="00E379FD">
        <w:rPr>
          <w:lang w:val="es-ES"/>
        </w:rPr>
        <w:t xml:space="preserve"> negociaciones productivas y promover</w:t>
      </w:r>
      <w:r>
        <w:rPr>
          <w:lang w:val="es-ES"/>
        </w:rPr>
        <w:t>án</w:t>
      </w:r>
      <w:r w:rsidRPr="00E379FD">
        <w:rPr>
          <w:lang w:val="es-ES"/>
        </w:rPr>
        <w:t xml:space="preserve"> la inclusividad, permitiendo que todas las delegaciones, sin importar su magnitud o capacidad, particip</w:t>
      </w:r>
      <w:r>
        <w:rPr>
          <w:lang w:val="es-ES"/>
        </w:rPr>
        <w:t>en</w:t>
      </w:r>
      <w:r w:rsidRPr="00E379FD">
        <w:rPr>
          <w:lang w:val="es-ES"/>
        </w:rPr>
        <w:t xml:space="preserve"> de forma equitativa, plena y significativa en los procedimientos. Otros consejeros expresa</w:t>
      </w:r>
      <w:r>
        <w:rPr>
          <w:lang w:val="es-ES"/>
        </w:rPr>
        <w:t>n</w:t>
      </w:r>
      <w:r w:rsidRPr="00E379FD">
        <w:rPr>
          <w:lang w:val="es-ES"/>
        </w:rPr>
        <w:t xml:space="preserve"> inquietudes en cuanto a la seguridad y los costes adicionales que </w:t>
      </w:r>
      <w:r>
        <w:rPr>
          <w:lang w:val="es-ES"/>
        </w:rPr>
        <w:t xml:space="preserve">puede conllevar </w:t>
      </w:r>
      <w:r w:rsidRPr="00E379FD">
        <w:rPr>
          <w:lang w:val="es-ES"/>
        </w:rPr>
        <w:t>el regreso al alojamiento tras las reuniones que se prolong</w:t>
      </w:r>
      <w:r>
        <w:rPr>
          <w:lang w:val="es-ES"/>
        </w:rPr>
        <w:t>uen</w:t>
      </w:r>
      <w:r w:rsidRPr="00E379FD">
        <w:rPr>
          <w:lang w:val="es-ES"/>
        </w:rPr>
        <w:t xml:space="preserve"> hasta altas horas de la noche.</w:t>
      </w:r>
    </w:p>
    <w:p w14:paraId="2462FDFE" w14:textId="77777777" w:rsidR="007646D4" w:rsidRPr="00E379FD" w:rsidRDefault="007646D4" w:rsidP="00431773">
      <w:pPr>
        <w:jc w:val="both"/>
        <w:rPr>
          <w:lang w:val="es-ES"/>
        </w:rPr>
      </w:pPr>
      <w:r w:rsidRPr="00E379FD">
        <w:rPr>
          <w:lang w:val="es-ES"/>
        </w:rPr>
        <w:t>4.3</w:t>
      </w:r>
      <w:r w:rsidRPr="00E379FD">
        <w:rPr>
          <w:lang w:val="es-ES"/>
        </w:rPr>
        <w:tab/>
        <w:t>Algunos consejeros evoca</w:t>
      </w:r>
      <w:r>
        <w:rPr>
          <w:lang w:val="es-ES"/>
        </w:rPr>
        <w:t>n</w:t>
      </w:r>
      <w:r w:rsidRPr="00E379FD">
        <w:rPr>
          <w:lang w:val="es-ES"/>
        </w:rPr>
        <w:t xml:space="preserve"> otros aspectos de una buena gestión del tiempo, entre ellos, destaca</w:t>
      </w:r>
      <w:r>
        <w:rPr>
          <w:lang w:val="es-ES"/>
        </w:rPr>
        <w:t>n</w:t>
      </w:r>
      <w:r w:rsidRPr="00E379FD">
        <w:rPr>
          <w:lang w:val="es-ES"/>
        </w:rPr>
        <w:t xml:space="preserve"> la necesidad de distribuir los órdenes del día de las conferencias con la debida antelación, alentar a las delegaciones a limitar la duración de sus intervenciones y evitar la celebración de reuniones en paralelo. Un consejero </w:t>
      </w:r>
      <w:r>
        <w:rPr>
          <w:lang w:val="es-ES"/>
        </w:rPr>
        <w:t>propone</w:t>
      </w:r>
      <w:r w:rsidRPr="00E379FD">
        <w:rPr>
          <w:lang w:val="es-ES"/>
        </w:rPr>
        <w:t xml:space="preserve"> incluir los puntos planteados en el </w:t>
      </w:r>
      <w:r w:rsidRPr="00E379FD">
        <w:rPr>
          <w:i/>
          <w:iCs/>
          <w:lang w:val="es-ES"/>
        </w:rPr>
        <w:t xml:space="preserve">resuelve </w:t>
      </w:r>
      <w:r w:rsidRPr="00E379FD">
        <w:rPr>
          <w:lang w:val="es-ES"/>
        </w:rPr>
        <w:t>del proyecto de Resolución en la formación que se impart</w:t>
      </w:r>
      <w:r>
        <w:rPr>
          <w:lang w:val="es-ES"/>
        </w:rPr>
        <w:t>e</w:t>
      </w:r>
      <w:r w:rsidRPr="00E379FD">
        <w:rPr>
          <w:lang w:val="es-ES"/>
        </w:rPr>
        <w:t xml:space="preserve"> a los presidentes de las conferencias y reuniones.</w:t>
      </w:r>
    </w:p>
    <w:p w14:paraId="04B6C45B" w14:textId="77777777" w:rsidR="007646D4" w:rsidRPr="00E379FD" w:rsidRDefault="007646D4" w:rsidP="00431773">
      <w:pPr>
        <w:jc w:val="both"/>
        <w:rPr>
          <w:lang w:val="es-ES"/>
        </w:rPr>
      </w:pPr>
      <w:r w:rsidRPr="00E379FD">
        <w:rPr>
          <w:lang w:val="es-ES"/>
        </w:rPr>
        <w:t>4.4</w:t>
      </w:r>
      <w:r w:rsidRPr="00E379FD">
        <w:rPr>
          <w:lang w:val="es-ES"/>
        </w:rPr>
        <w:tab/>
        <w:t>Otros consejeros, aunque en principio acog</w:t>
      </w:r>
      <w:r>
        <w:rPr>
          <w:lang w:val="es-ES"/>
        </w:rPr>
        <w:t>en</w:t>
      </w:r>
      <w:r w:rsidRPr="00E379FD">
        <w:rPr>
          <w:lang w:val="es-ES"/>
        </w:rPr>
        <w:t xml:space="preserve"> favorablemente la propuesta y las ventajas conexas, subraya</w:t>
      </w:r>
      <w:r>
        <w:rPr>
          <w:lang w:val="es-ES"/>
        </w:rPr>
        <w:t>n</w:t>
      </w:r>
      <w:r w:rsidRPr="00E379FD">
        <w:rPr>
          <w:lang w:val="es-ES"/>
        </w:rPr>
        <w:t xml:space="preserve"> la necesidad de velar por la flexibilidad y la practicidad, puesto que, en ocasiones, las conferencias en las que se elabora</w:t>
      </w:r>
      <w:r>
        <w:rPr>
          <w:lang w:val="es-ES"/>
        </w:rPr>
        <w:t>n</w:t>
      </w:r>
      <w:r w:rsidRPr="00E379FD">
        <w:rPr>
          <w:lang w:val="es-ES"/>
        </w:rPr>
        <w:t xml:space="preserve"> tratados </w:t>
      </w:r>
      <w:r>
        <w:rPr>
          <w:lang w:val="es-ES"/>
        </w:rPr>
        <w:t>requieren</w:t>
      </w:r>
      <w:r w:rsidRPr="00E379FD">
        <w:rPr>
          <w:lang w:val="es-ES"/>
        </w:rPr>
        <w:t xml:space="preserve"> de la celebración de debates prolongados hasta altas horas de la noche; no deb</w:t>
      </w:r>
      <w:r>
        <w:rPr>
          <w:lang w:val="es-ES"/>
        </w:rPr>
        <w:t>en</w:t>
      </w:r>
      <w:r w:rsidRPr="00E379FD">
        <w:rPr>
          <w:lang w:val="es-ES"/>
        </w:rPr>
        <w:t xml:space="preserve"> imponerse restricciones a la capacidad de las delegaciones para representar a sus gobiernos. En ese momento, resulta prematuro considerar la adopción de la Resolución. El proyecto de Resolución deb</w:t>
      </w:r>
      <w:r>
        <w:rPr>
          <w:lang w:val="es-ES"/>
        </w:rPr>
        <w:t>e</w:t>
      </w:r>
      <w:r w:rsidRPr="00E379FD">
        <w:rPr>
          <w:lang w:val="es-ES"/>
        </w:rPr>
        <w:t xml:space="preserve"> ser objeto de debates ulteriores, de ser posible, en el seno del</w:t>
      </w:r>
      <w:r>
        <w:rPr>
          <w:lang w:val="es-ES"/>
        </w:rPr>
        <w:t> </w:t>
      </w:r>
      <w:r w:rsidRPr="00E379FD">
        <w:rPr>
          <w:lang w:val="es-ES"/>
        </w:rPr>
        <w:t>GTC-RHF. Un consejero señal</w:t>
      </w:r>
      <w:r>
        <w:rPr>
          <w:lang w:val="es-ES"/>
        </w:rPr>
        <w:t>a</w:t>
      </w:r>
      <w:r w:rsidRPr="00E379FD">
        <w:rPr>
          <w:lang w:val="es-ES"/>
        </w:rPr>
        <w:t xml:space="preserve"> que los términos utilizados en el proyecto de Resolución ya prev</w:t>
      </w:r>
      <w:r>
        <w:rPr>
          <w:lang w:val="es-ES"/>
        </w:rPr>
        <w:t>én</w:t>
      </w:r>
      <w:r w:rsidRPr="00E379FD">
        <w:rPr>
          <w:lang w:val="es-ES"/>
        </w:rPr>
        <w:t xml:space="preserve"> un margen de flexibilidad en su aplicación.</w:t>
      </w:r>
    </w:p>
    <w:p w14:paraId="72978AAE" w14:textId="77777777" w:rsidR="007646D4" w:rsidRPr="00E379FD" w:rsidRDefault="007646D4" w:rsidP="00431773">
      <w:pPr>
        <w:jc w:val="both"/>
        <w:rPr>
          <w:lang w:val="es-ES"/>
        </w:rPr>
      </w:pPr>
      <w:r w:rsidRPr="00E379FD">
        <w:rPr>
          <w:lang w:val="es-ES"/>
        </w:rPr>
        <w:t>4.5</w:t>
      </w:r>
      <w:r w:rsidRPr="00E379FD">
        <w:rPr>
          <w:lang w:val="es-ES"/>
        </w:rPr>
        <w:tab/>
        <w:t>En respuesta a una pregunta, un representante de la Unidad de Asuntos Jurídicos explic</w:t>
      </w:r>
      <w:r>
        <w:rPr>
          <w:lang w:val="es-ES"/>
        </w:rPr>
        <w:t>a</w:t>
      </w:r>
      <w:r w:rsidRPr="00E379FD">
        <w:rPr>
          <w:lang w:val="es-ES"/>
        </w:rPr>
        <w:t xml:space="preserve"> que el Consejo </w:t>
      </w:r>
      <w:r>
        <w:rPr>
          <w:lang w:val="es-ES"/>
        </w:rPr>
        <w:t>puede</w:t>
      </w:r>
      <w:r w:rsidRPr="00E379FD">
        <w:rPr>
          <w:lang w:val="es-ES"/>
        </w:rPr>
        <w:t xml:space="preserve"> adoptar resoluciones en las que foment</w:t>
      </w:r>
      <w:r>
        <w:rPr>
          <w:lang w:val="es-ES"/>
        </w:rPr>
        <w:t>en</w:t>
      </w:r>
      <w:r w:rsidRPr="00E379FD">
        <w:rPr>
          <w:lang w:val="es-ES"/>
        </w:rPr>
        <w:t xml:space="preserve"> prácticas coherentes de gestión del tiempo, pues una de sus funciones consist</w:t>
      </w:r>
      <w:r>
        <w:rPr>
          <w:lang w:val="es-ES"/>
        </w:rPr>
        <w:t>e</w:t>
      </w:r>
      <w:r w:rsidRPr="00E379FD">
        <w:rPr>
          <w:lang w:val="es-ES"/>
        </w:rPr>
        <w:t xml:space="preserve"> en facilitar un funcionamiento y una coordinación eficientes de las asambleas y conferencias de la</w:t>
      </w:r>
      <w:r>
        <w:rPr>
          <w:lang w:val="es-ES"/>
        </w:rPr>
        <w:t> </w:t>
      </w:r>
      <w:r w:rsidRPr="00E379FD">
        <w:rPr>
          <w:lang w:val="es-ES"/>
        </w:rPr>
        <w:t xml:space="preserve">UIT. Sin embargo, no </w:t>
      </w:r>
      <w:r>
        <w:rPr>
          <w:lang w:val="es-ES"/>
        </w:rPr>
        <w:t>puede</w:t>
      </w:r>
      <w:r w:rsidRPr="00E379FD">
        <w:rPr>
          <w:lang w:val="es-ES"/>
        </w:rPr>
        <w:t xml:space="preserve"> aprobar resoluciones en virtud de las cuales se </w:t>
      </w:r>
      <w:r>
        <w:rPr>
          <w:lang w:val="es-ES"/>
        </w:rPr>
        <w:t>enmiende</w:t>
      </w:r>
      <w:r w:rsidRPr="00E379FD">
        <w:rPr>
          <w:lang w:val="es-ES"/>
        </w:rPr>
        <w:t xml:space="preserve"> el Reglamento general de las conferencias, asambleas y reuniones de la Unión.</w:t>
      </w:r>
    </w:p>
    <w:p w14:paraId="3AB03B2F" w14:textId="77777777" w:rsidR="007646D4" w:rsidRPr="00E379FD" w:rsidRDefault="007646D4" w:rsidP="00431773">
      <w:pPr>
        <w:jc w:val="both"/>
        <w:rPr>
          <w:lang w:val="es-ES"/>
        </w:rPr>
      </w:pPr>
      <w:r w:rsidRPr="00E379FD">
        <w:rPr>
          <w:lang w:val="es-ES"/>
        </w:rPr>
        <w:t>4.6</w:t>
      </w:r>
      <w:r w:rsidRPr="00E379FD">
        <w:rPr>
          <w:lang w:val="es-ES"/>
        </w:rPr>
        <w:tab/>
        <w:t>El Presidente invit</w:t>
      </w:r>
      <w:r>
        <w:rPr>
          <w:lang w:val="es-ES"/>
        </w:rPr>
        <w:t>a</w:t>
      </w:r>
      <w:r w:rsidRPr="00E379FD">
        <w:rPr>
          <w:lang w:val="es-ES"/>
        </w:rPr>
        <w:t xml:space="preserve"> a los Estados Miembros interesados a celebrar consultas informales a efectos de la elaboración de un proyecto de Resolución revisado, teniendo presentes las observaciones de los consejeros.</w:t>
      </w:r>
    </w:p>
    <w:p w14:paraId="15DB4B39" w14:textId="77777777" w:rsidR="007646D4" w:rsidRPr="00E379FD" w:rsidRDefault="007646D4" w:rsidP="007646D4">
      <w:pPr>
        <w:pStyle w:val="Heading1"/>
        <w:rPr>
          <w:lang w:val="es-ES"/>
        </w:rPr>
      </w:pPr>
      <w:r w:rsidRPr="00E379FD">
        <w:rPr>
          <w:lang w:val="es-ES"/>
        </w:rPr>
        <w:t>5</w:t>
      </w:r>
      <w:r w:rsidRPr="00E379FD">
        <w:rPr>
          <w:lang w:val="es-ES"/>
        </w:rPr>
        <w:tab/>
        <w:t>Problemas que plantea sistemáticamente la obtención de visados de entrada en Suiza para los delegados de la Federación de Rusia (Documento</w:t>
      </w:r>
      <w:r>
        <w:rPr>
          <w:lang w:val="es-ES"/>
        </w:rPr>
        <w:t> </w:t>
      </w:r>
      <w:proofErr w:type="spellStart"/>
      <w:r>
        <w:fldChar w:fldCharType="begin"/>
      </w:r>
      <w:r w:rsidRPr="00431773">
        <w:rPr>
          <w:lang w:val="es-ES"/>
        </w:rPr>
        <w:instrText>HYPERLINK "https://www.itu.int/md/S26-CL-C-0077/es"</w:instrText>
      </w:r>
      <w:r>
        <w:fldChar w:fldCharType="separate"/>
      </w:r>
      <w:r>
        <w:rPr>
          <w:rStyle w:val="Hyperlink"/>
          <w:rFonts w:eastAsia="Times New Roman" w:cs="Times New Roman"/>
          <w:szCs w:val="20"/>
          <w:lang w:val="es-ES"/>
        </w:rPr>
        <w:t>C26</w:t>
      </w:r>
      <w:proofErr w:type="spellEnd"/>
      <w:r>
        <w:rPr>
          <w:rStyle w:val="Hyperlink"/>
          <w:rFonts w:eastAsia="Times New Roman" w:cs="Times New Roman"/>
          <w:szCs w:val="20"/>
          <w:lang w:val="es-ES"/>
        </w:rPr>
        <w:t>/77</w:t>
      </w:r>
      <w:r>
        <w:fldChar w:fldCharType="end"/>
      </w:r>
      <w:r w:rsidRPr="00E379FD">
        <w:rPr>
          <w:lang w:val="es-ES"/>
        </w:rPr>
        <w:t>)</w:t>
      </w:r>
    </w:p>
    <w:p w14:paraId="18E198AF" w14:textId="77777777" w:rsidR="007646D4" w:rsidRPr="00E379FD" w:rsidRDefault="007646D4" w:rsidP="00D74B06">
      <w:pPr>
        <w:jc w:val="both"/>
        <w:rPr>
          <w:lang w:val="es-ES"/>
        </w:rPr>
      </w:pPr>
      <w:r w:rsidRPr="00E379FD">
        <w:rPr>
          <w:lang w:val="es-ES"/>
        </w:rPr>
        <w:t>5.1</w:t>
      </w:r>
      <w:r w:rsidRPr="00E379FD">
        <w:rPr>
          <w:lang w:val="es-ES"/>
        </w:rPr>
        <w:tab/>
        <w:t>Tras recibir el apoyo de un consejero, el observador de la Federación de Rusia present</w:t>
      </w:r>
      <w:r>
        <w:rPr>
          <w:lang w:val="es-ES"/>
        </w:rPr>
        <w:t>a</w:t>
      </w:r>
      <w:r w:rsidRPr="00E379FD">
        <w:rPr>
          <w:lang w:val="es-ES"/>
        </w:rPr>
        <w:t xml:space="preserve"> la contribución incluida en el Documento</w:t>
      </w:r>
      <w:r>
        <w:rPr>
          <w:lang w:val="es-ES"/>
        </w:rPr>
        <w:t> </w:t>
      </w:r>
      <w:r w:rsidRPr="00E379FD">
        <w:rPr>
          <w:lang w:val="es-ES"/>
        </w:rPr>
        <w:t>C26/77, en la que se destaca</w:t>
      </w:r>
      <w:r>
        <w:rPr>
          <w:lang w:val="es-ES"/>
        </w:rPr>
        <w:t>n</w:t>
      </w:r>
      <w:r w:rsidRPr="00E379FD">
        <w:rPr>
          <w:lang w:val="es-ES"/>
        </w:rPr>
        <w:t xml:space="preserve"> los problemas a los que se enfrenta</w:t>
      </w:r>
      <w:r>
        <w:rPr>
          <w:lang w:val="es-ES"/>
        </w:rPr>
        <w:t>n</w:t>
      </w:r>
      <w:r w:rsidRPr="00E379FD">
        <w:rPr>
          <w:lang w:val="es-ES"/>
        </w:rPr>
        <w:t xml:space="preserve"> repetidamente los delegados de la Federación de Rusia para obtener visados de entrada en Suiza a fin de participar en reuniones de la</w:t>
      </w:r>
      <w:r>
        <w:rPr>
          <w:lang w:val="es-ES"/>
        </w:rPr>
        <w:t> </w:t>
      </w:r>
      <w:r w:rsidRPr="00E379FD">
        <w:rPr>
          <w:lang w:val="es-ES"/>
        </w:rPr>
        <w:t>UIT celebradas en Ginebra. El país anfitrión y la Secretaría General deb</w:t>
      </w:r>
      <w:r>
        <w:rPr>
          <w:lang w:val="es-ES"/>
        </w:rPr>
        <w:t>en</w:t>
      </w:r>
      <w:r w:rsidRPr="00E379FD">
        <w:rPr>
          <w:lang w:val="es-ES"/>
        </w:rPr>
        <w:t xml:space="preserve"> proponer soluciones prácticas para garantizar que los delegados de la Federación de Rusia </w:t>
      </w:r>
      <w:r>
        <w:rPr>
          <w:lang w:val="es-ES"/>
        </w:rPr>
        <w:t>puedan</w:t>
      </w:r>
      <w:r w:rsidRPr="00E379FD">
        <w:rPr>
          <w:lang w:val="es-ES"/>
        </w:rPr>
        <w:t xml:space="preserve"> participar plenamente, en condiciones de igualdad y sin trabas en los trabajos de la Unión.</w:t>
      </w:r>
    </w:p>
    <w:p w14:paraId="21AB3649" w14:textId="77777777" w:rsidR="007646D4" w:rsidRPr="00E379FD" w:rsidRDefault="007646D4" w:rsidP="00D74B06">
      <w:pPr>
        <w:jc w:val="both"/>
        <w:rPr>
          <w:lang w:val="es-ES"/>
        </w:rPr>
      </w:pPr>
      <w:r w:rsidRPr="00E379FD">
        <w:rPr>
          <w:lang w:val="es-ES"/>
        </w:rPr>
        <w:lastRenderedPageBreak/>
        <w:t>5.2</w:t>
      </w:r>
      <w:r w:rsidRPr="00E379FD">
        <w:rPr>
          <w:lang w:val="es-ES"/>
        </w:rPr>
        <w:tab/>
        <w:t>Un consejero señal</w:t>
      </w:r>
      <w:r>
        <w:rPr>
          <w:lang w:val="es-ES"/>
        </w:rPr>
        <w:t>a</w:t>
      </w:r>
      <w:r w:rsidRPr="00E379FD">
        <w:rPr>
          <w:lang w:val="es-ES"/>
        </w:rPr>
        <w:t xml:space="preserve"> que, conforme a lo dispuesto en la Constitución y el Convenio de la</w:t>
      </w:r>
      <w:r>
        <w:rPr>
          <w:lang w:val="es-ES"/>
        </w:rPr>
        <w:t> </w:t>
      </w:r>
      <w:r w:rsidRPr="00E379FD">
        <w:rPr>
          <w:lang w:val="es-ES"/>
        </w:rPr>
        <w:t xml:space="preserve">UIT, todos los Estados Miembros </w:t>
      </w:r>
      <w:r>
        <w:rPr>
          <w:lang w:val="es-ES"/>
        </w:rPr>
        <w:t>tienen</w:t>
      </w:r>
      <w:r w:rsidRPr="00E379FD">
        <w:rPr>
          <w:lang w:val="es-ES"/>
        </w:rPr>
        <w:t xml:space="preserve"> el mismo derecho a participar en las reuniones, conferencias y asambleas de la</w:t>
      </w:r>
      <w:r>
        <w:rPr>
          <w:lang w:val="es-ES"/>
        </w:rPr>
        <w:t> </w:t>
      </w:r>
      <w:r w:rsidRPr="00E379FD">
        <w:rPr>
          <w:lang w:val="es-ES"/>
        </w:rPr>
        <w:t xml:space="preserve">UIT, sin discriminación alguna. En virtud de ese principio, queda prohibida toda medida capaz de obstaculizar la participación de los delegados, ya </w:t>
      </w:r>
      <w:r>
        <w:rPr>
          <w:lang w:val="es-ES"/>
        </w:rPr>
        <w:t>sea</w:t>
      </w:r>
      <w:r w:rsidRPr="00E379FD">
        <w:rPr>
          <w:lang w:val="es-ES"/>
        </w:rPr>
        <w:t xml:space="preserve"> por motivos políticos o de otra índole.</w:t>
      </w:r>
    </w:p>
    <w:p w14:paraId="404E57A6" w14:textId="77777777" w:rsidR="007646D4" w:rsidRPr="00E379FD" w:rsidRDefault="007646D4" w:rsidP="00D74B06">
      <w:pPr>
        <w:jc w:val="both"/>
        <w:rPr>
          <w:lang w:val="es-ES"/>
        </w:rPr>
      </w:pPr>
      <w:r w:rsidRPr="00E379FD">
        <w:rPr>
          <w:lang w:val="es-ES"/>
        </w:rPr>
        <w:t>5.3</w:t>
      </w:r>
      <w:r w:rsidRPr="00E379FD">
        <w:rPr>
          <w:lang w:val="es-ES"/>
        </w:rPr>
        <w:tab/>
        <w:t>El consejero de Suiza afirm</w:t>
      </w:r>
      <w:r>
        <w:rPr>
          <w:lang w:val="es-ES"/>
        </w:rPr>
        <w:t>a</w:t>
      </w:r>
      <w:r w:rsidRPr="00E379FD">
        <w:rPr>
          <w:lang w:val="es-ES"/>
        </w:rPr>
        <w:t xml:space="preserve"> que su país se toma muy en serio los compromisos contraídos en calidad de país anfitrión de la</w:t>
      </w:r>
      <w:r>
        <w:rPr>
          <w:lang w:val="es-ES"/>
        </w:rPr>
        <w:t> </w:t>
      </w:r>
      <w:r w:rsidRPr="00E379FD">
        <w:rPr>
          <w:lang w:val="es-ES"/>
        </w:rPr>
        <w:t>UIT y hac</w:t>
      </w:r>
      <w:r>
        <w:rPr>
          <w:lang w:val="es-ES"/>
        </w:rPr>
        <w:t>e</w:t>
      </w:r>
      <w:r w:rsidRPr="00E379FD">
        <w:rPr>
          <w:lang w:val="es-ES"/>
        </w:rPr>
        <w:t xml:space="preserve"> todo lo posible por facilitar la entrada en Suiza de las delegaciones que viaja</w:t>
      </w:r>
      <w:r>
        <w:rPr>
          <w:lang w:val="es-ES"/>
        </w:rPr>
        <w:t>n</w:t>
      </w:r>
      <w:r w:rsidRPr="00E379FD">
        <w:rPr>
          <w:lang w:val="es-ES"/>
        </w:rPr>
        <w:t xml:space="preserve"> a Ginebra con el fin de participar en debates multilaterales y actividades diplomáticas. Sin embargo, tras la suspensión en 2022 del acuerdo bilateral de facilitación de visados suscrito por Suiza y la Federación de Rusia, las personas titulares de un pasaporte diplomático de la Federación de Rusia que viaja</w:t>
      </w:r>
      <w:r>
        <w:rPr>
          <w:lang w:val="es-ES"/>
        </w:rPr>
        <w:t>n</w:t>
      </w:r>
      <w:r w:rsidRPr="00E379FD">
        <w:rPr>
          <w:lang w:val="es-ES"/>
        </w:rPr>
        <w:t xml:space="preserve"> a Suiza en misión oficial </w:t>
      </w:r>
      <w:r w:rsidRPr="00F04C47">
        <w:rPr>
          <w:lang w:val="es-ES"/>
        </w:rPr>
        <w:t>–</w:t>
      </w:r>
      <w:r w:rsidRPr="00E379FD">
        <w:rPr>
          <w:lang w:val="es-ES"/>
        </w:rPr>
        <w:t>por ejemplo, con objeto de asistir a reuniones y conferencias internacionales, participar en conversaciones de paz y seguridad, o incorporarse a la plantilla de una organización internacional o una misión diplomática</w:t>
      </w:r>
      <w:r w:rsidRPr="00F04C47">
        <w:rPr>
          <w:lang w:val="es-ES"/>
        </w:rPr>
        <w:t>–</w:t>
      </w:r>
      <w:r>
        <w:rPr>
          <w:lang w:val="es-ES"/>
        </w:rPr>
        <w:t xml:space="preserve"> están</w:t>
      </w:r>
      <w:r w:rsidRPr="00E379FD">
        <w:rPr>
          <w:lang w:val="es-ES"/>
        </w:rPr>
        <w:t xml:space="preserve"> obligadas a obtener un visado de entrada. Dichos visados se </w:t>
      </w:r>
      <w:r>
        <w:rPr>
          <w:lang w:val="es-ES"/>
        </w:rPr>
        <w:t>expiden</w:t>
      </w:r>
      <w:r w:rsidRPr="00E379FD">
        <w:rPr>
          <w:lang w:val="es-ES"/>
        </w:rPr>
        <w:t xml:space="preserve"> de conformidad con el acervo de Schengen únicamente para eventos que reca</w:t>
      </w:r>
      <w:r>
        <w:rPr>
          <w:lang w:val="es-ES"/>
        </w:rPr>
        <w:t>en</w:t>
      </w:r>
      <w:r w:rsidRPr="00E379FD">
        <w:rPr>
          <w:lang w:val="es-ES"/>
        </w:rPr>
        <w:t xml:space="preserve"> dentro del ámbito de competencia internacional del país anfitrión. Siempre que </w:t>
      </w:r>
      <w:r>
        <w:rPr>
          <w:lang w:val="es-ES"/>
        </w:rPr>
        <w:t>resulta</w:t>
      </w:r>
      <w:r w:rsidRPr="00E379FD">
        <w:rPr>
          <w:lang w:val="es-ES"/>
        </w:rPr>
        <w:t xml:space="preserve"> necesario, el Departamento Federal de Asuntos Exteriores autoriza estancias en Suiza a los ciudadanos rusos que viaja</w:t>
      </w:r>
      <w:r>
        <w:rPr>
          <w:lang w:val="es-ES"/>
        </w:rPr>
        <w:t>n</w:t>
      </w:r>
      <w:r w:rsidRPr="00E379FD">
        <w:rPr>
          <w:lang w:val="es-ES"/>
        </w:rPr>
        <w:t xml:space="preserve"> en misión oficial. Se </w:t>
      </w:r>
      <w:r>
        <w:rPr>
          <w:lang w:val="es-ES"/>
        </w:rPr>
        <w:t>requieren</w:t>
      </w:r>
      <w:r w:rsidRPr="00E379FD">
        <w:rPr>
          <w:lang w:val="es-ES"/>
        </w:rPr>
        <w:t xml:space="preserve"> al menos ocho días laborables para la tramitación de las solicitudes de visado a causa de los requisitos del acervo de Schengen. Un proveedor externo se encarga de tramitar los visados de los viajeros procedentes de numerosos países, incluida la Federación de Rusia; no obstante, los delegados que participa</w:t>
      </w:r>
      <w:r>
        <w:rPr>
          <w:lang w:val="es-ES"/>
        </w:rPr>
        <w:t>n</w:t>
      </w:r>
      <w:r w:rsidRPr="00E379FD">
        <w:rPr>
          <w:lang w:val="es-ES"/>
        </w:rPr>
        <w:t xml:space="preserve"> a título oficial en reuniones y conferencias internacionales </w:t>
      </w:r>
      <w:r>
        <w:rPr>
          <w:lang w:val="es-ES"/>
        </w:rPr>
        <w:t>pueden</w:t>
      </w:r>
      <w:r w:rsidRPr="00E379FD">
        <w:rPr>
          <w:lang w:val="es-ES"/>
        </w:rPr>
        <w:t xml:space="preserve"> presentar sus solicitudes de visado directamente en una embajada o consulado de Suiza, sin necesidad de concertar una cita previa, siempre que su solicitud </w:t>
      </w:r>
      <w:r>
        <w:rPr>
          <w:lang w:val="es-ES"/>
        </w:rPr>
        <w:t>vaya</w:t>
      </w:r>
      <w:r w:rsidRPr="00E379FD">
        <w:rPr>
          <w:lang w:val="es-ES"/>
        </w:rPr>
        <w:t xml:space="preserve"> acompañada de una nota verbal de un Ministerio de Asuntos Exteriores o de una invitación de una organización internacional. La Misión Permanente de Suiza ante la Oficina de las Naciones Unidas y otros Organismos Internacionales con sede en Ginebra qued</w:t>
      </w:r>
      <w:r>
        <w:rPr>
          <w:lang w:val="es-ES"/>
        </w:rPr>
        <w:t>a</w:t>
      </w:r>
      <w:r w:rsidRPr="00E379FD">
        <w:rPr>
          <w:lang w:val="es-ES"/>
        </w:rPr>
        <w:t xml:space="preserve"> a disposición de los Estados Miembros para prestarles asistencia en la medida de lo posible.</w:t>
      </w:r>
    </w:p>
    <w:p w14:paraId="18855FF0" w14:textId="77777777" w:rsidR="007646D4" w:rsidRPr="00E379FD" w:rsidRDefault="007646D4" w:rsidP="00D74B06">
      <w:pPr>
        <w:jc w:val="both"/>
        <w:rPr>
          <w:lang w:val="es-ES"/>
        </w:rPr>
      </w:pPr>
      <w:r w:rsidRPr="00E379FD">
        <w:rPr>
          <w:lang w:val="es-ES"/>
        </w:rPr>
        <w:t>5.4</w:t>
      </w:r>
      <w:r w:rsidRPr="00E379FD">
        <w:rPr>
          <w:lang w:val="es-ES"/>
        </w:rPr>
        <w:tab/>
        <w:t>El Vicesecretario General declar</w:t>
      </w:r>
      <w:r>
        <w:rPr>
          <w:lang w:val="es-ES"/>
        </w:rPr>
        <w:t>a</w:t>
      </w:r>
      <w:r w:rsidRPr="00E379FD">
        <w:rPr>
          <w:lang w:val="es-ES"/>
        </w:rPr>
        <w:t xml:space="preserve"> que la Secretaría General trabaja en estrecha colaboración con el país anfitrión, el cual brinda apoyo y asistencia y </w:t>
      </w:r>
      <w:r>
        <w:rPr>
          <w:lang w:val="es-ES"/>
        </w:rPr>
        <w:t>responde</w:t>
      </w:r>
      <w:r w:rsidRPr="00E379FD">
        <w:rPr>
          <w:lang w:val="es-ES"/>
        </w:rPr>
        <w:t xml:space="preserve"> con rapidez a las cuestiones individuales que se señala</w:t>
      </w:r>
      <w:r>
        <w:rPr>
          <w:lang w:val="es-ES"/>
        </w:rPr>
        <w:t>n</w:t>
      </w:r>
      <w:r w:rsidRPr="00E379FD">
        <w:rPr>
          <w:lang w:val="es-ES"/>
        </w:rPr>
        <w:t xml:space="preserve"> a su atención en relación con los visados. Tras recibir la contribución de la Federación de Rusia, el orador se</w:t>
      </w:r>
      <w:r>
        <w:rPr>
          <w:lang w:val="es-ES"/>
        </w:rPr>
        <w:t xml:space="preserve"> puso</w:t>
      </w:r>
      <w:r w:rsidRPr="00E379FD">
        <w:rPr>
          <w:lang w:val="es-ES"/>
        </w:rPr>
        <w:t xml:space="preserve"> en contacto directamente con la Misión Permanente de Suiza, quien le aseguró que seguiría esforzándose por facilitar la expedición de visados para los delegados que particip</w:t>
      </w:r>
      <w:r>
        <w:rPr>
          <w:lang w:val="es-ES"/>
        </w:rPr>
        <w:t>en</w:t>
      </w:r>
      <w:r w:rsidRPr="00E379FD">
        <w:rPr>
          <w:lang w:val="es-ES"/>
        </w:rPr>
        <w:t xml:space="preserve"> en reuniones, asambleas y conferencias de la</w:t>
      </w:r>
      <w:r>
        <w:rPr>
          <w:lang w:val="es-ES"/>
        </w:rPr>
        <w:t> </w:t>
      </w:r>
      <w:r w:rsidRPr="00E379FD">
        <w:rPr>
          <w:lang w:val="es-ES"/>
        </w:rPr>
        <w:t>UIT.</w:t>
      </w:r>
    </w:p>
    <w:p w14:paraId="4FBE2B7D" w14:textId="77777777" w:rsidR="007646D4" w:rsidRPr="00E379FD" w:rsidRDefault="007646D4" w:rsidP="007646D4">
      <w:pPr>
        <w:rPr>
          <w:lang w:val="es-ES"/>
        </w:rPr>
      </w:pPr>
      <w:r w:rsidRPr="00E379FD">
        <w:rPr>
          <w:lang w:val="es-ES"/>
        </w:rPr>
        <w:t>5.5</w:t>
      </w:r>
      <w:r w:rsidRPr="00E379FD">
        <w:rPr>
          <w:lang w:val="es-ES"/>
        </w:rPr>
        <w:tab/>
        <w:t xml:space="preserve">El Consejo </w:t>
      </w:r>
      <w:r w:rsidRPr="00E379FD">
        <w:rPr>
          <w:b/>
          <w:bCs/>
          <w:lang w:val="es-ES"/>
        </w:rPr>
        <w:t>tom</w:t>
      </w:r>
      <w:r>
        <w:rPr>
          <w:b/>
          <w:bCs/>
          <w:lang w:val="es-ES"/>
        </w:rPr>
        <w:t>a</w:t>
      </w:r>
      <w:r w:rsidRPr="00E379FD">
        <w:rPr>
          <w:b/>
          <w:bCs/>
          <w:lang w:val="es-ES"/>
        </w:rPr>
        <w:t xml:space="preserve"> nota </w:t>
      </w:r>
      <w:r w:rsidRPr="00E379FD">
        <w:rPr>
          <w:lang w:val="es-ES"/>
        </w:rPr>
        <w:t>de</w:t>
      </w:r>
      <w:r w:rsidRPr="00E379FD">
        <w:rPr>
          <w:b/>
          <w:bCs/>
          <w:lang w:val="es-ES"/>
        </w:rPr>
        <w:t xml:space="preserve"> </w:t>
      </w:r>
      <w:r w:rsidRPr="00E379FD">
        <w:rPr>
          <w:lang w:val="es-ES"/>
        </w:rPr>
        <w:t>la información contenida en el Documento</w:t>
      </w:r>
      <w:r>
        <w:rPr>
          <w:lang w:val="es-ES"/>
        </w:rPr>
        <w:t> </w:t>
      </w:r>
      <w:r w:rsidRPr="00E379FD">
        <w:rPr>
          <w:lang w:val="es-ES"/>
        </w:rPr>
        <w:t>C26/77.</w:t>
      </w:r>
    </w:p>
    <w:p w14:paraId="4D97482E" w14:textId="77777777" w:rsidR="007646D4" w:rsidRPr="00E379FD" w:rsidRDefault="007646D4" w:rsidP="007646D4">
      <w:pPr>
        <w:pStyle w:val="Heading1"/>
        <w:rPr>
          <w:lang w:val="es-ES"/>
        </w:rPr>
      </w:pPr>
      <w:r w:rsidRPr="00E379FD">
        <w:rPr>
          <w:lang w:val="es-ES"/>
        </w:rPr>
        <w:lastRenderedPageBreak/>
        <w:t>6</w:t>
      </w:r>
      <w:r w:rsidRPr="00E379FD">
        <w:rPr>
          <w:lang w:val="es-ES"/>
        </w:rPr>
        <w:tab/>
        <w:t>Informe de la Presidenta del Grupo de Trabajo del Consejo sobre los Idiomas (GTC-Idiomas) e informe cuadrienal del GTC-Idiomas</w:t>
      </w:r>
      <w:r w:rsidRPr="00E379FD">
        <w:rPr>
          <w:lang w:val="es-ES"/>
        </w:rPr>
        <w:br/>
        <w:t>(Documentos</w:t>
      </w:r>
      <w:r>
        <w:rPr>
          <w:lang w:val="es-ES"/>
        </w:rPr>
        <w:t> </w:t>
      </w:r>
      <w:proofErr w:type="spellStart"/>
      <w:r>
        <w:fldChar w:fldCharType="begin"/>
      </w:r>
      <w:r w:rsidRPr="00431773">
        <w:rPr>
          <w:lang w:val="es-ES"/>
        </w:rPr>
        <w:instrText>HYPERLINK "https://www.itu.int/md/S26-CL-C-0012/es"</w:instrText>
      </w:r>
      <w:r>
        <w:fldChar w:fldCharType="separate"/>
      </w:r>
      <w:r w:rsidRPr="00E379FD">
        <w:rPr>
          <w:rStyle w:val="Hyperlink"/>
          <w:rFonts w:eastAsia="Times New Roman" w:cs="Times New Roman"/>
          <w:szCs w:val="20"/>
          <w:lang w:val="es-ES"/>
        </w:rPr>
        <w:t>C26</w:t>
      </w:r>
      <w:proofErr w:type="spellEnd"/>
      <w:r w:rsidRPr="00E379FD">
        <w:rPr>
          <w:rStyle w:val="Hyperlink"/>
          <w:rFonts w:eastAsia="Times New Roman" w:cs="Times New Roman"/>
          <w:szCs w:val="20"/>
          <w:lang w:val="es-ES"/>
        </w:rPr>
        <w:t>/12</w:t>
      </w:r>
      <w:r>
        <w:fldChar w:fldCharType="end"/>
      </w:r>
      <w:r w:rsidRPr="00E379FD">
        <w:rPr>
          <w:lang w:val="es-ES"/>
        </w:rPr>
        <w:t xml:space="preserve"> y</w:t>
      </w:r>
      <w:r>
        <w:rPr>
          <w:lang w:val="es-ES"/>
        </w:rPr>
        <w:t xml:space="preserve"> </w:t>
      </w:r>
      <w:hyperlink r:id="rId19" w:history="1">
        <w:proofErr w:type="spellStart"/>
        <w:r>
          <w:rPr>
            <w:rStyle w:val="Hyperlink"/>
            <w:rFonts w:eastAsia="Times New Roman" w:cs="Times New Roman"/>
            <w:szCs w:val="20"/>
            <w:lang w:val="es-ES"/>
          </w:rPr>
          <w:t>C26</w:t>
        </w:r>
        <w:proofErr w:type="spellEnd"/>
        <w:r>
          <w:rPr>
            <w:rStyle w:val="Hyperlink"/>
            <w:rFonts w:eastAsia="Times New Roman" w:cs="Times New Roman"/>
            <w:szCs w:val="20"/>
            <w:lang w:val="es-ES"/>
          </w:rPr>
          <w:t>/13</w:t>
        </w:r>
      </w:hyperlink>
      <w:r w:rsidRPr="00E379FD">
        <w:rPr>
          <w:lang w:val="es-ES"/>
        </w:rPr>
        <w:t>)</w:t>
      </w:r>
    </w:p>
    <w:p w14:paraId="3FB8EA86" w14:textId="77777777" w:rsidR="007646D4" w:rsidRPr="00E379FD" w:rsidRDefault="007646D4" w:rsidP="007646D4">
      <w:pPr>
        <w:pStyle w:val="Heading1"/>
        <w:spacing w:before="120"/>
        <w:rPr>
          <w:lang w:val="es-ES"/>
        </w:rPr>
      </w:pPr>
      <w:r w:rsidRPr="00E379FD">
        <w:rPr>
          <w:lang w:val="es-ES"/>
        </w:rPr>
        <w:tab/>
        <w:t>Proyecto de revisión de la Resolución</w:t>
      </w:r>
      <w:r>
        <w:rPr>
          <w:lang w:val="es-ES"/>
        </w:rPr>
        <w:t> </w:t>
      </w:r>
      <w:r w:rsidRPr="00E379FD">
        <w:rPr>
          <w:lang w:val="es-ES"/>
        </w:rPr>
        <w:t>1386 (C17, modificada por última vez en C25) del Consejo, relativa al Comité de Coordinación de la Terminología de la</w:t>
      </w:r>
      <w:r>
        <w:rPr>
          <w:lang w:val="es-ES"/>
        </w:rPr>
        <w:t> </w:t>
      </w:r>
      <w:r w:rsidRPr="00E379FD">
        <w:rPr>
          <w:lang w:val="es-ES"/>
        </w:rPr>
        <w:t>UIT, y proyecto de revisión de la Resolución</w:t>
      </w:r>
      <w:r>
        <w:rPr>
          <w:lang w:val="es-ES"/>
        </w:rPr>
        <w:t> </w:t>
      </w:r>
      <w:r w:rsidRPr="00E379FD">
        <w:rPr>
          <w:lang w:val="es-ES"/>
        </w:rPr>
        <w:t>154 (Rev.</w:t>
      </w:r>
      <w:r>
        <w:rPr>
          <w:lang w:val="es-ES"/>
        </w:rPr>
        <w:t> </w:t>
      </w:r>
      <w:r w:rsidRPr="00E379FD">
        <w:rPr>
          <w:lang w:val="es-ES"/>
        </w:rPr>
        <w:t>Bucarest, 2022) de la Conferencia de Plenipotenciarios (Documento</w:t>
      </w:r>
      <w:r>
        <w:rPr>
          <w:lang w:val="es-ES"/>
        </w:rPr>
        <w:t> </w:t>
      </w:r>
      <w:proofErr w:type="spellStart"/>
      <w:r>
        <w:fldChar w:fldCharType="begin"/>
      </w:r>
      <w:r w:rsidRPr="00431773">
        <w:rPr>
          <w:lang w:val="es-ES"/>
        </w:rPr>
        <w:instrText>HYPERLINK "https://www.itu.int/md/S26-CL-C-0087/es"</w:instrText>
      </w:r>
      <w:r>
        <w:fldChar w:fldCharType="separate"/>
      </w:r>
      <w:r>
        <w:rPr>
          <w:rStyle w:val="Hyperlink"/>
          <w:rFonts w:eastAsia="Times New Roman" w:cs="Times New Roman"/>
          <w:szCs w:val="20"/>
          <w:lang w:val="es-ES"/>
        </w:rPr>
        <w:t>C26</w:t>
      </w:r>
      <w:proofErr w:type="spellEnd"/>
      <w:r>
        <w:rPr>
          <w:rStyle w:val="Hyperlink"/>
          <w:rFonts w:eastAsia="Times New Roman" w:cs="Times New Roman"/>
          <w:szCs w:val="20"/>
          <w:lang w:val="es-ES"/>
        </w:rPr>
        <w:t>/</w:t>
      </w:r>
      <w:proofErr w:type="spellStart"/>
      <w:r>
        <w:rPr>
          <w:rStyle w:val="Hyperlink"/>
          <w:rFonts w:eastAsia="Times New Roman" w:cs="Times New Roman"/>
          <w:szCs w:val="20"/>
          <w:lang w:val="es-ES"/>
        </w:rPr>
        <w:t>87+Add.1</w:t>
      </w:r>
      <w:proofErr w:type="spellEnd"/>
      <w:r>
        <w:fldChar w:fldCharType="end"/>
      </w:r>
      <w:r w:rsidRPr="00E379FD">
        <w:rPr>
          <w:lang w:val="es-ES"/>
        </w:rPr>
        <w:t>)</w:t>
      </w:r>
    </w:p>
    <w:p w14:paraId="3409DA0B" w14:textId="77777777" w:rsidR="007646D4" w:rsidRPr="00E379FD" w:rsidRDefault="007646D4" w:rsidP="00D74B06">
      <w:pPr>
        <w:jc w:val="both"/>
        <w:rPr>
          <w:lang w:val="es-ES"/>
        </w:rPr>
      </w:pPr>
      <w:r w:rsidRPr="00E379FD">
        <w:rPr>
          <w:lang w:val="es-ES"/>
        </w:rPr>
        <w:t>6.1</w:t>
      </w:r>
      <w:r w:rsidRPr="00E379FD">
        <w:rPr>
          <w:lang w:val="es-ES"/>
        </w:rPr>
        <w:tab/>
        <w:t>La Presidenta del Grupo de Trabajo del Consejo sobre los Idiomas (GTC-Idiomas) present</w:t>
      </w:r>
      <w:r>
        <w:rPr>
          <w:lang w:val="es-ES"/>
        </w:rPr>
        <w:t>a</w:t>
      </w:r>
      <w:r w:rsidRPr="00E379FD">
        <w:rPr>
          <w:lang w:val="es-ES"/>
        </w:rPr>
        <w:t xml:space="preserve"> el Documento</w:t>
      </w:r>
      <w:r>
        <w:rPr>
          <w:lang w:val="es-ES"/>
        </w:rPr>
        <w:t> </w:t>
      </w:r>
      <w:r w:rsidRPr="00E379FD">
        <w:rPr>
          <w:lang w:val="es-ES"/>
        </w:rPr>
        <w:t>C26/12, en el que se resum</w:t>
      </w:r>
      <w:r>
        <w:rPr>
          <w:lang w:val="es-ES"/>
        </w:rPr>
        <w:t>en</w:t>
      </w:r>
      <w:r w:rsidRPr="00E379FD">
        <w:rPr>
          <w:lang w:val="es-ES"/>
        </w:rPr>
        <w:t xml:space="preserve"> los resultados de la 17</w:t>
      </w:r>
      <w:r>
        <w:rPr>
          <w:lang w:val="es-ES"/>
        </w:rPr>
        <w:t>.</w:t>
      </w:r>
      <w:r w:rsidRPr="00E379FD">
        <w:rPr>
          <w:lang w:val="es-ES"/>
        </w:rPr>
        <w:t>ª</w:t>
      </w:r>
      <w:r>
        <w:rPr>
          <w:lang w:val="es-ES"/>
        </w:rPr>
        <w:t> </w:t>
      </w:r>
      <w:r w:rsidRPr="00E379FD">
        <w:rPr>
          <w:lang w:val="es-ES"/>
        </w:rPr>
        <w:t>reunión del GTC-Idiomas, y el Documento</w:t>
      </w:r>
      <w:r>
        <w:rPr>
          <w:lang w:val="es-ES"/>
        </w:rPr>
        <w:t> </w:t>
      </w:r>
      <w:r w:rsidRPr="00E379FD">
        <w:rPr>
          <w:lang w:val="es-ES"/>
        </w:rPr>
        <w:t xml:space="preserve">C26/13, que </w:t>
      </w:r>
      <w:r>
        <w:rPr>
          <w:lang w:val="es-ES"/>
        </w:rPr>
        <w:t>contiene</w:t>
      </w:r>
      <w:r w:rsidRPr="00E379FD">
        <w:rPr>
          <w:lang w:val="es-ES"/>
        </w:rPr>
        <w:t xml:space="preserve"> el informe cuadrienal del Grupo. Las revisiones propuestas a la Resolución</w:t>
      </w:r>
      <w:r>
        <w:rPr>
          <w:lang w:val="es-ES"/>
        </w:rPr>
        <w:t> </w:t>
      </w:r>
      <w:r w:rsidRPr="00E379FD">
        <w:rPr>
          <w:lang w:val="es-ES"/>
        </w:rPr>
        <w:t>154 (Rev.</w:t>
      </w:r>
      <w:r>
        <w:rPr>
          <w:lang w:val="es-ES"/>
        </w:rPr>
        <w:t> </w:t>
      </w:r>
      <w:r w:rsidRPr="00E379FD">
        <w:rPr>
          <w:lang w:val="es-ES"/>
        </w:rPr>
        <w:t>Bucarest, 2022) de la Conferencia de Plenipotenciarios y a la Resolución</w:t>
      </w:r>
      <w:r>
        <w:rPr>
          <w:lang w:val="es-ES"/>
        </w:rPr>
        <w:t> </w:t>
      </w:r>
      <w:r w:rsidRPr="00E379FD">
        <w:rPr>
          <w:lang w:val="es-ES"/>
        </w:rPr>
        <w:t>1386 (C17, modificada por última vez en C25) del Consejo, ambas anexas al Documento</w:t>
      </w:r>
      <w:r>
        <w:rPr>
          <w:lang w:val="es-ES"/>
        </w:rPr>
        <w:t> </w:t>
      </w:r>
      <w:r w:rsidRPr="00E379FD">
        <w:rPr>
          <w:lang w:val="es-ES"/>
        </w:rPr>
        <w:t xml:space="preserve">C26/12, </w:t>
      </w:r>
      <w:r>
        <w:rPr>
          <w:lang w:val="es-ES"/>
        </w:rPr>
        <w:t>tienen</w:t>
      </w:r>
      <w:r w:rsidRPr="00E379FD">
        <w:rPr>
          <w:lang w:val="es-ES"/>
        </w:rPr>
        <w:t xml:space="preserve"> por objeto racionalizar las disposiciones relativas a los idiomas en todas las resoluciones conexas de los Sectores, sin establecer nuevas obligaciones, crear requisitos de traducción adicionales u ocasionar repercusiones presupuestarias adicionales. El GTC-Idiomas ha acordado que la participación en sus trabajos deb</w:t>
      </w:r>
      <w:r>
        <w:rPr>
          <w:lang w:val="es-ES"/>
        </w:rPr>
        <w:t>e</w:t>
      </w:r>
      <w:r w:rsidRPr="00E379FD">
        <w:rPr>
          <w:lang w:val="es-ES"/>
        </w:rPr>
        <w:t xml:space="preserve"> estar abierta a todos los miembros de la</w:t>
      </w:r>
      <w:r>
        <w:rPr>
          <w:lang w:val="es-ES"/>
        </w:rPr>
        <w:t> </w:t>
      </w:r>
      <w:r w:rsidRPr="00E379FD">
        <w:rPr>
          <w:lang w:val="es-ES"/>
        </w:rPr>
        <w:t>UIT, incluidos los Miembros de Sector, las organizaciones regionales de telecomunicaciones (ORT) y las Instituciones Académicas, y ha plasmado dicho acuerdo en una de las revisiones propuestas a la Resolución</w:t>
      </w:r>
      <w:r>
        <w:rPr>
          <w:lang w:val="es-ES"/>
        </w:rPr>
        <w:t> </w:t>
      </w:r>
      <w:r w:rsidRPr="00E379FD">
        <w:rPr>
          <w:lang w:val="es-ES"/>
        </w:rPr>
        <w:t>1372 (C15, modificada por última vez C24) del Consejo, según se indica en el Anexo al Documento</w:t>
      </w:r>
      <w:r>
        <w:rPr>
          <w:lang w:val="es-ES"/>
        </w:rPr>
        <w:t> </w:t>
      </w:r>
      <w:r w:rsidRPr="00E379FD">
        <w:rPr>
          <w:lang w:val="es-ES"/>
        </w:rPr>
        <w:t>C26/12.</w:t>
      </w:r>
    </w:p>
    <w:p w14:paraId="78FE96C8" w14:textId="77777777" w:rsidR="007646D4" w:rsidRPr="002524BC" w:rsidRDefault="007646D4" w:rsidP="00D74B06">
      <w:pPr>
        <w:jc w:val="both"/>
        <w:rPr>
          <w:spacing w:val="-2"/>
          <w:lang w:val="es-ES"/>
        </w:rPr>
      </w:pPr>
      <w:r w:rsidRPr="002524BC">
        <w:rPr>
          <w:spacing w:val="-2"/>
          <w:lang w:val="es-ES"/>
        </w:rPr>
        <w:t>6.2</w:t>
      </w:r>
      <w:r w:rsidRPr="002524BC">
        <w:rPr>
          <w:spacing w:val="-2"/>
          <w:lang w:val="es-ES"/>
        </w:rPr>
        <w:tab/>
        <w:t xml:space="preserve">Tras haber recibido el apoyo de un consejero, el observador de la Federación de Rusia presenta el Documento C26/87 y su Addéndum 1, en los que se expone una propuesta de revisión de la Resolución 1386 (C17, modificada por última vez en C25) que, en esencia, es idéntica a la que figura en el Documento C26/12, salvo por un cambio terminológico en el </w:t>
      </w:r>
      <w:r w:rsidRPr="002524BC">
        <w:rPr>
          <w:i/>
          <w:iCs/>
          <w:spacing w:val="-2"/>
          <w:lang w:val="es-ES"/>
        </w:rPr>
        <w:t>resuelve</w:t>
      </w:r>
      <w:r w:rsidRPr="002524BC">
        <w:rPr>
          <w:spacing w:val="-2"/>
          <w:lang w:val="es-ES"/>
        </w:rPr>
        <w:t> 1, que refleja los debates mantenidos posteriormente en el Comité de Coordinación de la Terminología y en el Grupo de Coordinación Intersectorial sobre cuestiones de interés mutuo.</w:t>
      </w:r>
    </w:p>
    <w:p w14:paraId="59EB7F19" w14:textId="77777777" w:rsidR="007646D4" w:rsidRPr="00E379FD" w:rsidRDefault="007646D4" w:rsidP="00D74B06">
      <w:pPr>
        <w:jc w:val="both"/>
        <w:rPr>
          <w:lang w:val="es-ES"/>
        </w:rPr>
      </w:pPr>
      <w:r w:rsidRPr="00E379FD">
        <w:rPr>
          <w:lang w:val="es-ES"/>
        </w:rPr>
        <w:t>6.3</w:t>
      </w:r>
      <w:r w:rsidRPr="00E379FD">
        <w:rPr>
          <w:lang w:val="es-ES"/>
        </w:rPr>
        <w:tab/>
        <w:t>Los consejeros y un observador encomia</w:t>
      </w:r>
      <w:r>
        <w:rPr>
          <w:lang w:val="es-ES"/>
        </w:rPr>
        <w:t>n</w:t>
      </w:r>
      <w:r w:rsidRPr="00E379FD">
        <w:rPr>
          <w:lang w:val="es-ES"/>
        </w:rPr>
        <w:t xml:space="preserve"> la labor del GTC-Idiomas y de su Presidenta y su Vicepresidentes, y rind</w:t>
      </w:r>
      <w:r>
        <w:rPr>
          <w:lang w:val="es-ES"/>
        </w:rPr>
        <w:t>en</w:t>
      </w:r>
      <w:r w:rsidRPr="00E379FD">
        <w:rPr>
          <w:lang w:val="es-ES"/>
        </w:rPr>
        <w:t xml:space="preserve"> especial homenaje a la Sra.</w:t>
      </w:r>
      <w:r>
        <w:rPr>
          <w:lang w:val="es-ES"/>
        </w:rPr>
        <w:t> </w:t>
      </w:r>
      <w:r w:rsidRPr="00E379FD">
        <w:rPr>
          <w:lang w:val="es-ES"/>
        </w:rPr>
        <w:t>Blanca González, que pronto se jubilar</w:t>
      </w:r>
      <w:r>
        <w:rPr>
          <w:lang w:val="es-ES"/>
        </w:rPr>
        <w:t>á</w:t>
      </w:r>
      <w:r w:rsidRPr="00E379FD">
        <w:rPr>
          <w:lang w:val="es-ES"/>
        </w:rPr>
        <w:t xml:space="preserve"> tras muchos años de dedicación al servicio de la familia de la</w:t>
      </w:r>
      <w:r>
        <w:rPr>
          <w:lang w:val="es-ES"/>
        </w:rPr>
        <w:t> </w:t>
      </w:r>
      <w:r w:rsidRPr="00E379FD">
        <w:rPr>
          <w:lang w:val="es-ES"/>
        </w:rPr>
        <w:t>UIT. El multilingüismo y la utilización de los seis idiomas oficiales de la Unión en pie de igualdad constitu</w:t>
      </w:r>
      <w:r>
        <w:rPr>
          <w:lang w:val="es-ES"/>
        </w:rPr>
        <w:t>yen</w:t>
      </w:r>
      <w:r w:rsidRPr="00E379FD">
        <w:rPr>
          <w:lang w:val="es-ES"/>
        </w:rPr>
        <w:t xml:space="preserve"> piedras angulares de la inclusión que caracteriza sus trabajos. Si bien se acog</w:t>
      </w:r>
      <w:r>
        <w:rPr>
          <w:lang w:val="es-ES"/>
        </w:rPr>
        <w:t>e</w:t>
      </w:r>
      <w:r w:rsidRPr="00E379FD">
        <w:rPr>
          <w:lang w:val="es-ES"/>
        </w:rPr>
        <w:t xml:space="preserve"> con satisfacción el uso de tecnologías innovadoras para aumentar la productividad y reducir costes en el marco de los servicios lingüísticos, ello no deb</w:t>
      </w:r>
      <w:r>
        <w:rPr>
          <w:lang w:val="es-ES"/>
        </w:rPr>
        <w:t>e</w:t>
      </w:r>
      <w:r w:rsidRPr="00E379FD">
        <w:rPr>
          <w:lang w:val="es-ES"/>
        </w:rPr>
        <w:t xml:space="preserve"> ir en detrimento de la calidad o la fiabilidad; dichas tecnologías deb</w:t>
      </w:r>
      <w:r>
        <w:rPr>
          <w:lang w:val="es-ES"/>
        </w:rPr>
        <w:t>en</w:t>
      </w:r>
      <w:r w:rsidRPr="00E379FD">
        <w:rPr>
          <w:lang w:val="es-ES"/>
        </w:rPr>
        <w:t xml:space="preserve"> complementar la experiencia humana, no sustituirla. En particular, varios consejeros opina</w:t>
      </w:r>
      <w:r>
        <w:rPr>
          <w:lang w:val="es-ES"/>
        </w:rPr>
        <w:t>n</w:t>
      </w:r>
      <w:r w:rsidRPr="00E379FD">
        <w:rPr>
          <w:lang w:val="es-ES"/>
        </w:rPr>
        <w:t xml:space="preserve"> que la interpretación basada en inteligencia artificial (IA), aunque resulta útil, no ha alcanzado el grado de madurez necesario para su aplicación en reuniones formales o conferencias destinadas a la elaboración de tratados. No obstante, se anim</w:t>
      </w:r>
      <w:r>
        <w:rPr>
          <w:lang w:val="es-ES"/>
        </w:rPr>
        <w:t>a</w:t>
      </w:r>
      <w:r w:rsidRPr="00E379FD">
        <w:rPr>
          <w:lang w:val="es-ES"/>
        </w:rPr>
        <w:t xml:space="preserve"> a la Secretaría a seguir buscando una mayor eficiencia probando y explorando esa y otras opciones, como la interpretación simultánea a distancia y la contratación de intérpretes locales y regionales cualificados para las reuniones celebradas fuera de la Sede. Una mayor participación de las</w:t>
      </w:r>
      <w:r>
        <w:rPr>
          <w:lang w:val="es-ES"/>
        </w:rPr>
        <w:t> </w:t>
      </w:r>
      <w:r w:rsidRPr="00E379FD">
        <w:rPr>
          <w:lang w:val="es-ES"/>
        </w:rPr>
        <w:t>ORT en los trabajos del GTC</w:t>
      </w:r>
      <w:r>
        <w:rPr>
          <w:lang w:val="es-ES"/>
        </w:rPr>
        <w:noBreakHyphen/>
      </w:r>
      <w:r w:rsidRPr="00E379FD">
        <w:rPr>
          <w:lang w:val="es-ES"/>
        </w:rPr>
        <w:t xml:space="preserve">Idiomas podría resultar de utilidad a tal efecto. Un consejero </w:t>
      </w:r>
      <w:r>
        <w:rPr>
          <w:lang w:val="es-ES"/>
        </w:rPr>
        <w:t>alienta</w:t>
      </w:r>
      <w:r w:rsidRPr="00E379FD">
        <w:rPr>
          <w:lang w:val="es-ES"/>
        </w:rPr>
        <w:t xml:space="preserve"> a la secretaría a atenerse rigurosamente a los principios establecidos en la Resolución</w:t>
      </w:r>
      <w:r>
        <w:rPr>
          <w:lang w:val="es-ES"/>
        </w:rPr>
        <w:t> </w:t>
      </w:r>
      <w:r w:rsidRPr="00E379FD">
        <w:rPr>
          <w:lang w:val="es-ES"/>
        </w:rPr>
        <w:t>154 (Rev.</w:t>
      </w:r>
      <w:r>
        <w:rPr>
          <w:lang w:val="es-ES"/>
        </w:rPr>
        <w:t> </w:t>
      </w:r>
      <w:r w:rsidRPr="00E379FD">
        <w:rPr>
          <w:lang w:val="es-ES"/>
        </w:rPr>
        <w:t xml:space="preserve">Bucarest, 2022); a aplicar las mismas normas a todos los debates </w:t>
      </w:r>
      <w:r w:rsidRPr="00E379FD">
        <w:rPr>
          <w:lang w:val="es-ES"/>
        </w:rPr>
        <w:lastRenderedPageBreak/>
        <w:t>relativos a puntos de órdenes del día oficiales; y a tomar con antelación las disposiciones necesarias en materia de interpretación para las sesiones oficiales y cualquier sesión adicional. Otro consejero pregunt</w:t>
      </w:r>
      <w:r>
        <w:rPr>
          <w:lang w:val="es-ES"/>
        </w:rPr>
        <w:t>a</w:t>
      </w:r>
      <w:r w:rsidRPr="00E379FD">
        <w:rPr>
          <w:lang w:val="es-ES"/>
        </w:rPr>
        <w:t xml:space="preserve"> por los límites de tiempo establecidos para el trabajo de los intérpretes de conferencias. Un tercero destac</w:t>
      </w:r>
      <w:r>
        <w:rPr>
          <w:lang w:val="es-ES"/>
        </w:rPr>
        <w:t>a</w:t>
      </w:r>
      <w:r w:rsidRPr="00E379FD">
        <w:rPr>
          <w:lang w:val="es-ES"/>
        </w:rPr>
        <w:t xml:space="preserve"> la importancia de brindar un acceso multilingüe completo a los contenidos de la</w:t>
      </w:r>
      <w:r>
        <w:rPr>
          <w:lang w:val="es-ES"/>
        </w:rPr>
        <w:t> </w:t>
      </w:r>
      <w:r w:rsidRPr="00E379FD">
        <w:rPr>
          <w:lang w:val="es-ES"/>
        </w:rPr>
        <w:t>UIT, incluido el sitio web de la Unión; a ese respecto, se acog</w:t>
      </w:r>
      <w:r>
        <w:rPr>
          <w:lang w:val="es-ES"/>
        </w:rPr>
        <w:t>e</w:t>
      </w:r>
      <w:r w:rsidRPr="00E379FD">
        <w:rPr>
          <w:lang w:val="es-ES"/>
        </w:rPr>
        <w:t xml:space="preserve"> con satisfacción general el uso de herramientas de traducción automática para aumentar el número de páginas web disponibles en varios idiomas.</w:t>
      </w:r>
    </w:p>
    <w:p w14:paraId="3A77D972" w14:textId="77777777" w:rsidR="007646D4" w:rsidRPr="00E379FD" w:rsidRDefault="007646D4" w:rsidP="00D74B06">
      <w:pPr>
        <w:jc w:val="both"/>
        <w:rPr>
          <w:lang w:val="es-ES"/>
        </w:rPr>
      </w:pPr>
      <w:r w:rsidRPr="00E379FD">
        <w:rPr>
          <w:lang w:val="es-ES"/>
        </w:rPr>
        <w:t>6.4</w:t>
      </w:r>
      <w:r w:rsidRPr="00E379FD">
        <w:rPr>
          <w:lang w:val="es-ES"/>
        </w:rPr>
        <w:tab/>
        <w:t>Los consejeros expresa</w:t>
      </w:r>
      <w:r>
        <w:rPr>
          <w:lang w:val="es-ES"/>
        </w:rPr>
        <w:t>n</w:t>
      </w:r>
      <w:r w:rsidRPr="00E379FD">
        <w:rPr>
          <w:lang w:val="es-ES"/>
        </w:rPr>
        <w:t xml:space="preserve"> un amplio apoyo a las propuestas de revisión de las Resoluciones de la Conferencia de Plenipotenciarios y del Consejo. Uno de ellos, en nombre de una ORT que carec</w:t>
      </w:r>
      <w:r>
        <w:rPr>
          <w:lang w:val="es-ES"/>
        </w:rPr>
        <w:t>e</w:t>
      </w:r>
      <w:r w:rsidRPr="00E379FD">
        <w:rPr>
          <w:lang w:val="es-ES"/>
        </w:rPr>
        <w:t xml:space="preserve"> de órgano ejecutivo permanente, </w:t>
      </w:r>
      <w:r>
        <w:rPr>
          <w:lang w:val="es-ES"/>
        </w:rPr>
        <w:t>propone</w:t>
      </w:r>
      <w:r w:rsidRPr="00E379FD">
        <w:rPr>
          <w:lang w:val="es-ES"/>
        </w:rPr>
        <w:t xml:space="preserve"> que, en la Resolución</w:t>
      </w:r>
      <w:r>
        <w:rPr>
          <w:lang w:val="es-ES"/>
        </w:rPr>
        <w:t> </w:t>
      </w:r>
      <w:r w:rsidRPr="00E379FD">
        <w:rPr>
          <w:lang w:val="es-ES"/>
        </w:rPr>
        <w:t xml:space="preserve">1372 (C15, modificada </w:t>
      </w:r>
      <w:bookmarkStart w:id="2" w:name="_Hlk169266562"/>
      <w:r w:rsidRPr="00E379FD">
        <w:rPr>
          <w:lang w:val="es-ES"/>
        </w:rPr>
        <w:t>por última vez</w:t>
      </w:r>
      <w:bookmarkEnd w:id="2"/>
      <w:r w:rsidRPr="00E379FD">
        <w:rPr>
          <w:lang w:val="es-ES"/>
        </w:rPr>
        <w:t xml:space="preserve"> C24), se modifi</w:t>
      </w:r>
      <w:r>
        <w:rPr>
          <w:lang w:val="es-ES"/>
        </w:rPr>
        <w:t>que</w:t>
      </w:r>
      <w:r w:rsidRPr="00E379FD">
        <w:rPr>
          <w:lang w:val="es-ES"/>
        </w:rPr>
        <w:t xml:space="preserve"> el </w:t>
      </w:r>
      <w:r w:rsidRPr="00E379FD">
        <w:rPr>
          <w:i/>
          <w:iCs/>
          <w:lang w:val="es-ES"/>
        </w:rPr>
        <w:t>resuelve</w:t>
      </w:r>
      <w:r>
        <w:rPr>
          <w:lang w:val="es-ES"/>
        </w:rPr>
        <w:t> </w:t>
      </w:r>
      <w:r w:rsidRPr="00E379FD">
        <w:rPr>
          <w:lang w:val="es-ES"/>
        </w:rPr>
        <w:t>1 a fin de indicar simplemente que el GTC-Idiomas est</w:t>
      </w:r>
      <w:r>
        <w:rPr>
          <w:lang w:val="es-ES"/>
        </w:rPr>
        <w:t>á</w:t>
      </w:r>
      <w:r w:rsidRPr="00E379FD">
        <w:rPr>
          <w:lang w:val="es-ES"/>
        </w:rPr>
        <w:t xml:space="preserve"> </w:t>
      </w:r>
      <w:r>
        <w:rPr>
          <w:lang w:val="es-ES"/>
        </w:rPr>
        <w:t>"</w:t>
      </w:r>
      <w:r w:rsidRPr="00E379FD">
        <w:rPr>
          <w:lang w:val="es-ES"/>
        </w:rPr>
        <w:t>abierto a todos los Miembros de la Unión</w:t>
      </w:r>
      <w:r>
        <w:rPr>
          <w:lang w:val="es-ES"/>
        </w:rPr>
        <w:t>"</w:t>
      </w:r>
      <w:r w:rsidRPr="00E379FD">
        <w:rPr>
          <w:lang w:val="es-ES"/>
        </w:rPr>
        <w:t>, lo que permitir</w:t>
      </w:r>
      <w:r>
        <w:rPr>
          <w:lang w:val="es-ES"/>
        </w:rPr>
        <w:t>á</w:t>
      </w:r>
      <w:r w:rsidRPr="00E379FD">
        <w:rPr>
          <w:lang w:val="es-ES"/>
        </w:rPr>
        <w:t xml:space="preserve"> a cualquier ORT designar a un representante para participar en los trabajos del Grupo.</w:t>
      </w:r>
    </w:p>
    <w:p w14:paraId="22DDAB74" w14:textId="77777777" w:rsidR="007646D4" w:rsidRPr="00E379FD" w:rsidRDefault="007646D4" w:rsidP="00D74B06">
      <w:pPr>
        <w:jc w:val="both"/>
        <w:rPr>
          <w:lang w:val="es-ES"/>
        </w:rPr>
      </w:pPr>
      <w:r w:rsidRPr="00E379FD">
        <w:rPr>
          <w:lang w:val="es-ES"/>
        </w:rPr>
        <w:t>6.5</w:t>
      </w:r>
      <w:r w:rsidRPr="00E379FD">
        <w:rPr>
          <w:lang w:val="es-ES"/>
        </w:rPr>
        <w:tab/>
        <w:t>Varios consejeros expresa</w:t>
      </w:r>
      <w:r>
        <w:rPr>
          <w:lang w:val="es-ES"/>
        </w:rPr>
        <w:t>n</w:t>
      </w:r>
      <w:r w:rsidRPr="00E379FD">
        <w:rPr>
          <w:lang w:val="es-ES"/>
        </w:rPr>
        <w:t xml:space="preserve"> su apoyo a la propuesta de revisión de la Resolución</w:t>
      </w:r>
      <w:r>
        <w:rPr>
          <w:lang w:val="es-ES"/>
        </w:rPr>
        <w:t> </w:t>
      </w:r>
      <w:r w:rsidRPr="00E379FD">
        <w:rPr>
          <w:lang w:val="es-ES"/>
        </w:rPr>
        <w:t>1386 (C17, modificada por última vez en C25) que figura en el Documento</w:t>
      </w:r>
      <w:r>
        <w:rPr>
          <w:lang w:val="es-ES"/>
        </w:rPr>
        <w:t> </w:t>
      </w:r>
      <w:r w:rsidRPr="00E379FD">
        <w:rPr>
          <w:lang w:val="es-ES"/>
        </w:rPr>
        <w:t>C26/87.</w:t>
      </w:r>
    </w:p>
    <w:p w14:paraId="2D074E18" w14:textId="77777777" w:rsidR="007646D4" w:rsidRPr="00E379FD" w:rsidRDefault="007646D4" w:rsidP="00D74B06">
      <w:pPr>
        <w:jc w:val="both"/>
        <w:rPr>
          <w:lang w:val="es-ES"/>
        </w:rPr>
      </w:pPr>
      <w:r w:rsidRPr="00E379FD">
        <w:rPr>
          <w:lang w:val="es-ES"/>
        </w:rPr>
        <w:t>6.6</w:t>
      </w:r>
      <w:r w:rsidRPr="00E379FD">
        <w:rPr>
          <w:lang w:val="es-ES"/>
        </w:rPr>
        <w:tab/>
        <w:t xml:space="preserve">El Consejo </w:t>
      </w:r>
      <w:r w:rsidRPr="00E379FD">
        <w:rPr>
          <w:b/>
          <w:bCs/>
          <w:lang w:val="es-ES"/>
        </w:rPr>
        <w:t>tom</w:t>
      </w:r>
      <w:r>
        <w:rPr>
          <w:b/>
          <w:bCs/>
          <w:lang w:val="es-ES"/>
        </w:rPr>
        <w:t>a</w:t>
      </w:r>
      <w:r w:rsidRPr="00E379FD">
        <w:rPr>
          <w:b/>
          <w:bCs/>
          <w:lang w:val="es-ES"/>
        </w:rPr>
        <w:t xml:space="preserve"> nota </w:t>
      </w:r>
      <w:r w:rsidRPr="00E379FD">
        <w:rPr>
          <w:lang w:val="es-ES"/>
        </w:rPr>
        <w:t>del Documento</w:t>
      </w:r>
      <w:r>
        <w:rPr>
          <w:lang w:val="es-ES"/>
        </w:rPr>
        <w:t> </w:t>
      </w:r>
      <w:r w:rsidRPr="00E379FD">
        <w:rPr>
          <w:lang w:val="es-ES"/>
        </w:rPr>
        <w:t xml:space="preserve">C26/12; </w:t>
      </w:r>
      <w:r w:rsidRPr="00E379FD">
        <w:rPr>
          <w:b/>
          <w:bCs/>
          <w:lang w:val="es-ES"/>
        </w:rPr>
        <w:t>apr</w:t>
      </w:r>
      <w:r>
        <w:rPr>
          <w:b/>
          <w:bCs/>
          <w:lang w:val="es-ES"/>
        </w:rPr>
        <w:t>ueba</w:t>
      </w:r>
      <w:r w:rsidRPr="00E379FD">
        <w:rPr>
          <w:b/>
          <w:bCs/>
          <w:lang w:val="es-ES"/>
        </w:rPr>
        <w:t xml:space="preserve"> </w:t>
      </w:r>
      <w:r w:rsidRPr="00E379FD">
        <w:rPr>
          <w:lang w:val="es-ES"/>
        </w:rPr>
        <w:t>el proyecto de revisión de la Resolución</w:t>
      </w:r>
      <w:r>
        <w:rPr>
          <w:lang w:val="es-ES"/>
        </w:rPr>
        <w:t> </w:t>
      </w:r>
      <w:r w:rsidRPr="00E379FD">
        <w:rPr>
          <w:lang w:val="es-ES"/>
        </w:rPr>
        <w:t>1386 (C17, modificada por última vez en C25) que figura en el Documento</w:t>
      </w:r>
      <w:r>
        <w:rPr>
          <w:lang w:val="es-ES"/>
        </w:rPr>
        <w:t> </w:t>
      </w:r>
      <w:r w:rsidRPr="00E379FD">
        <w:rPr>
          <w:lang w:val="es-ES"/>
        </w:rPr>
        <w:t>C2</w:t>
      </w:r>
      <w:r>
        <w:rPr>
          <w:lang w:val="es-ES"/>
        </w:rPr>
        <w:t>6</w:t>
      </w:r>
      <w:r w:rsidRPr="00E379FD">
        <w:rPr>
          <w:lang w:val="es-ES"/>
        </w:rPr>
        <w:t xml:space="preserve">/87; </w:t>
      </w:r>
      <w:r w:rsidRPr="00E379FD">
        <w:rPr>
          <w:b/>
          <w:bCs/>
          <w:lang w:val="es-ES"/>
        </w:rPr>
        <w:t>apr</w:t>
      </w:r>
      <w:r>
        <w:rPr>
          <w:b/>
          <w:bCs/>
          <w:lang w:val="es-ES"/>
        </w:rPr>
        <w:t>ueba</w:t>
      </w:r>
      <w:r w:rsidRPr="00E379FD">
        <w:rPr>
          <w:b/>
          <w:bCs/>
          <w:lang w:val="es-ES"/>
        </w:rPr>
        <w:t xml:space="preserve"> </w:t>
      </w:r>
      <w:r w:rsidRPr="00E379FD">
        <w:rPr>
          <w:lang w:val="es-ES"/>
        </w:rPr>
        <w:t>la propuesta de revisión de la Resolución</w:t>
      </w:r>
      <w:r>
        <w:rPr>
          <w:lang w:val="es-ES"/>
        </w:rPr>
        <w:t> </w:t>
      </w:r>
      <w:r w:rsidRPr="00E379FD">
        <w:rPr>
          <w:lang w:val="es-ES"/>
        </w:rPr>
        <w:t>1372 (C15, modificada por última vez C24) que figura en el Anexo</w:t>
      </w:r>
      <w:r>
        <w:rPr>
          <w:lang w:val="es-ES"/>
        </w:rPr>
        <w:t> </w:t>
      </w:r>
      <w:r w:rsidRPr="00E379FD">
        <w:rPr>
          <w:lang w:val="es-ES"/>
        </w:rPr>
        <w:t>C al Documento</w:t>
      </w:r>
      <w:r>
        <w:rPr>
          <w:lang w:val="es-ES"/>
        </w:rPr>
        <w:t> </w:t>
      </w:r>
      <w:r w:rsidRPr="00E379FD">
        <w:rPr>
          <w:lang w:val="es-ES"/>
        </w:rPr>
        <w:t xml:space="preserve">C26/12, con la enmienda adicional propuesta al </w:t>
      </w:r>
      <w:r w:rsidRPr="00E379FD">
        <w:rPr>
          <w:i/>
          <w:iCs/>
          <w:lang w:val="es-ES"/>
        </w:rPr>
        <w:t>resuelve</w:t>
      </w:r>
      <w:r>
        <w:rPr>
          <w:lang w:val="es-ES"/>
        </w:rPr>
        <w:t> </w:t>
      </w:r>
      <w:r w:rsidRPr="00E379FD">
        <w:rPr>
          <w:lang w:val="es-ES"/>
        </w:rPr>
        <w:t xml:space="preserve">1; </w:t>
      </w:r>
      <w:r w:rsidRPr="00E379FD">
        <w:rPr>
          <w:b/>
          <w:bCs/>
          <w:lang w:val="es-ES"/>
        </w:rPr>
        <w:t>invit</w:t>
      </w:r>
      <w:r>
        <w:rPr>
          <w:b/>
          <w:bCs/>
          <w:lang w:val="es-ES"/>
        </w:rPr>
        <w:t>a</w:t>
      </w:r>
      <w:r w:rsidRPr="00E379FD">
        <w:rPr>
          <w:lang w:val="es-ES"/>
        </w:rPr>
        <w:t xml:space="preserve"> a</w:t>
      </w:r>
      <w:r w:rsidRPr="00E379FD">
        <w:rPr>
          <w:b/>
          <w:bCs/>
          <w:lang w:val="es-ES"/>
        </w:rPr>
        <w:t xml:space="preserve"> </w:t>
      </w:r>
      <w:r w:rsidRPr="00E379FD">
        <w:rPr>
          <w:lang w:val="es-ES"/>
        </w:rPr>
        <w:t>las delegaciones a examinar las enmiendas propuestas a la Resolución</w:t>
      </w:r>
      <w:r>
        <w:rPr>
          <w:lang w:val="es-ES"/>
        </w:rPr>
        <w:t> </w:t>
      </w:r>
      <w:r w:rsidRPr="00E379FD">
        <w:rPr>
          <w:lang w:val="es-ES"/>
        </w:rPr>
        <w:t>154 (Rev.</w:t>
      </w:r>
      <w:r>
        <w:rPr>
          <w:lang w:val="es-ES"/>
        </w:rPr>
        <w:t> </w:t>
      </w:r>
      <w:r w:rsidRPr="00E379FD">
        <w:rPr>
          <w:lang w:val="es-ES"/>
        </w:rPr>
        <w:t>Bucarest, 2022) al preparar contribuciones a la</w:t>
      </w:r>
      <w:r>
        <w:rPr>
          <w:lang w:val="es-ES"/>
        </w:rPr>
        <w:t> </w:t>
      </w:r>
      <w:r w:rsidRPr="00E379FD">
        <w:rPr>
          <w:lang w:val="es-ES"/>
        </w:rPr>
        <w:t>PP-26; y</w:t>
      </w:r>
      <w:r w:rsidRPr="00E379FD">
        <w:rPr>
          <w:b/>
          <w:bCs/>
          <w:lang w:val="es-ES"/>
        </w:rPr>
        <w:t xml:space="preserve"> ac</w:t>
      </w:r>
      <w:r>
        <w:rPr>
          <w:b/>
          <w:bCs/>
          <w:lang w:val="es-ES"/>
        </w:rPr>
        <w:t>uerda</w:t>
      </w:r>
      <w:r w:rsidRPr="00E379FD">
        <w:rPr>
          <w:b/>
          <w:bCs/>
          <w:lang w:val="es-ES"/>
        </w:rPr>
        <w:t xml:space="preserve"> </w:t>
      </w:r>
      <w:r w:rsidRPr="00E379FD">
        <w:rPr>
          <w:lang w:val="es-ES"/>
        </w:rPr>
        <w:t>remitir el Documento</w:t>
      </w:r>
      <w:r>
        <w:rPr>
          <w:lang w:val="es-ES"/>
        </w:rPr>
        <w:t> </w:t>
      </w:r>
      <w:r w:rsidRPr="00E379FD">
        <w:rPr>
          <w:lang w:val="es-ES"/>
        </w:rPr>
        <w:t>C26/13 a la</w:t>
      </w:r>
      <w:r>
        <w:rPr>
          <w:lang w:val="es-ES"/>
        </w:rPr>
        <w:t> </w:t>
      </w:r>
      <w:r w:rsidRPr="00E379FD">
        <w:rPr>
          <w:lang w:val="es-ES"/>
        </w:rPr>
        <w:t>PP-26, junto con las observaciones formuladas durante los debates del Consejo.</w:t>
      </w:r>
    </w:p>
    <w:p w14:paraId="0C4BB71A" w14:textId="77777777" w:rsidR="007646D4" w:rsidRPr="00E379FD" w:rsidRDefault="007646D4" w:rsidP="007646D4">
      <w:pPr>
        <w:pStyle w:val="Heading1"/>
        <w:rPr>
          <w:lang w:val="es-ES"/>
        </w:rPr>
      </w:pPr>
      <w:r w:rsidRPr="00E379FD">
        <w:rPr>
          <w:lang w:val="es-ES"/>
        </w:rPr>
        <w:t>7</w:t>
      </w:r>
      <w:r w:rsidRPr="00E379FD">
        <w:rPr>
          <w:lang w:val="es-ES"/>
        </w:rPr>
        <w:tab/>
        <w:t>Actividades de la</w:t>
      </w:r>
      <w:r>
        <w:rPr>
          <w:lang w:val="es-ES"/>
        </w:rPr>
        <w:t> </w:t>
      </w:r>
      <w:r w:rsidRPr="00E379FD">
        <w:rPr>
          <w:lang w:val="es-ES"/>
        </w:rPr>
        <w:t>UIT en el ámbito de Internet: Resoluciones</w:t>
      </w:r>
      <w:r>
        <w:rPr>
          <w:lang w:val="es-ES"/>
        </w:rPr>
        <w:t> </w:t>
      </w:r>
      <w:r w:rsidRPr="00E379FD">
        <w:rPr>
          <w:lang w:val="es-ES"/>
        </w:rPr>
        <w:t>101, 102, 133, 180 y 206 de la Conferencia de Plenipotenciarios (</w:t>
      </w:r>
      <w:r w:rsidRPr="00E379FD">
        <w:rPr>
          <w:i/>
          <w:iCs/>
          <w:lang w:val="es-ES"/>
        </w:rPr>
        <w:t>continuación</w:t>
      </w:r>
      <w:r w:rsidRPr="00E379FD">
        <w:rPr>
          <w:lang w:val="es-ES"/>
        </w:rPr>
        <w:t xml:space="preserve">) </w:t>
      </w:r>
      <w:r w:rsidRPr="00E379FD">
        <w:rPr>
          <w:lang w:val="es-ES"/>
        </w:rPr>
        <w:br/>
        <w:t>(Documentos</w:t>
      </w:r>
      <w:r>
        <w:rPr>
          <w:lang w:val="es-ES"/>
        </w:rPr>
        <w:t> </w:t>
      </w:r>
      <w:proofErr w:type="spellStart"/>
      <w:r>
        <w:fldChar w:fldCharType="begin"/>
      </w:r>
      <w:r w:rsidRPr="00431773">
        <w:rPr>
          <w:lang w:val="es-ES"/>
        </w:rPr>
        <w:instrText>HYPERLINK "https://www.itu.int/md/S26-CL-C-0033/es" \h</w:instrText>
      </w:r>
      <w:r>
        <w:fldChar w:fldCharType="separate"/>
      </w:r>
      <w:r w:rsidRPr="00E379FD">
        <w:rPr>
          <w:rStyle w:val="Hyperlink"/>
          <w:rFonts w:eastAsia="Times New Roman" w:cs="Times New Roman"/>
          <w:szCs w:val="20"/>
          <w:lang w:val="es-ES"/>
        </w:rPr>
        <w:t>C26</w:t>
      </w:r>
      <w:proofErr w:type="spellEnd"/>
      <w:r w:rsidRPr="00E379FD">
        <w:rPr>
          <w:rStyle w:val="Hyperlink"/>
          <w:rFonts w:eastAsia="Times New Roman" w:cs="Times New Roman"/>
          <w:szCs w:val="20"/>
          <w:lang w:val="es-ES"/>
        </w:rPr>
        <w:t>/33</w:t>
      </w:r>
      <w:r>
        <w:fldChar w:fldCharType="end"/>
      </w:r>
      <w:r w:rsidRPr="00E379FD">
        <w:rPr>
          <w:lang w:val="es-ES"/>
        </w:rPr>
        <w:t xml:space="preserve"> y </w:t>
      </w:r>
      <w:hyperlink r:id="rId20">
        <w:proofErr w:type="spellStart"/>
        <w:r w:rsidRPr="00E379FD">
          <w:rPr>
            <w:rStyle w:val="Hyperlink"/>
            <w:rFonts w:eastAsia="Times New Roman" w:cs="Times New Roman"/>
            <w:szCs w:val="20"/>
            <w:lang w:val="es-ES"/>
          </w:rPr>
          <w:t>C26</w:t>
        </w:r>
        <w:proofErr w:type="spellEnd"/>
        <w:r w:rsidRPr="00E379FD">
          <w:rPr>
            <w:rStyle w:val="Hyperlink"/>
            <w:rFonts w:eastAsia="Times New Roman" w:cs="Times New Roman"/>
            <w:szCs w:val="20"/>
            <w:lang w:val="es-ES"/>
          </w:rPr>
          <w:t>/DT/4</w:t>
        </w:r>
      </w:hyperlink>
      <w:r w:rsidRPr="00E379FD">
        <w:rPr>
          <w:lang w:val="es-ES"/>
        </w:rPr>
        <w:t>)</w:t>
      </w:r>
    </w:p>
    <w:p w14:paraId="4FBC25C1" w14:textId="77777777" w:rsidR="007646D4" w:rsidRPr="00E379FD" w:rsidRDefault="007646D4" w:rsidP="00D74B06">
      <w:pPr>
        <w:jc w:val="both"/>
        <w:rPr>
          <w:lang w:val="es-ES"/>
        </w:rPr>
      </w:pPr>
      <w:r w:rsidRPr="00E379FD">
        <w:rPr>
          <w:lang w:val="es-ES"/>
        </w:rPr>
        <w:t>7.1</w:t>
      </w:r>
      <w:r w:rsidRPr="00E379FD">
        <w:rPr>
          <w:lang w:val="es-ES"/>
        </w:rPr>
        <w:tab/>
        <w:t>El Presidente señal</w:t>
      </w:r>
      <w:r>
        <w:rPr>
          <w:lang w:val="es-ES"/>
        </w:rPr>
        <w:t>a</w:t>
      </w:r>
      <w:r w:rsidRPr="00E379FD">
        <w:rPr>
          <w:lang w:val="es-ES"/>
        </w:rPr>
        <w:t xml:space="preserve"> que el Documento</w:t>
      </w:r>
      <w:r>
        <w:rPr>
          <w:lang w:val="es-ES"/>
        </w:rPr>
        <w:t> </w:t>
      </w:r>
      <w:r w:rsidRPr="00E379FD">
        <w:rPr>
          <w:lang w:val="es-ES"/>
        </w:rPr>
        <w:t xml:space="preserve">C26/DT/4 </w:t>
      </w:r>
      <w:r>
        <w:rPr>
          <w:lang w:val="es-ES"/>
        </w:rPr>
        <w:t>contiene</w:t>
      </w:r>
      <w:r w:rsidRPr="00E379FD">
        <w:rPr>
          <w:lang w:val="es-ES"/>
        </w:rPr>
        <w:t xml:space="preserve"> un conjunto de documentos relativos a las actividades emprendidas por la</w:t>
      </w:r>
      <w:r>
        <w:rPr>
          <w:lang w:val="es-ES"/>
        </w:rPr>
        <w:t> </w:t>
      </w:r>
      <w:r w:rsidRPr="00E379FD">
        <w:rPr>
          <w:lang w:val="es-ES"/>
        </w:rPr>
        <w:t>UIT en el ámbito de Internet con arreglo a las Resoluciones</w:t>
      </w:r>
      <w:r>
        <w:rPr>
          <w:lang w:val="es-ES"/>
        </w:rPr>
        <w:t> </w:t>
      </w:r>
      <w:r w:rsidRPr="00E379FD">
        <w:rPr>
          <w:lang w:val="es-ES"/>
        </w:rPr>
        <w:t>101, 102, 133, 180 y 206 de la Conferencia de Plenipotenciarios, para su transmisión al Secretario General de las Naciones Unidas. El conjunto de documentos comprend</w:t>
      </w:r>
      <w:r>
        <w:rPr>
          <w:lang w:val="es-ES"/>
        </w:rPr>
        <w:t>e</w:t>
      </w:r>
      <w:r w:rsidRPr="00E379FD">
        <w:rPr>
          <w:lang w:val="es-ES"/>
        </w:rPr>
        <w:t xml:space="preserve"> un informe de la Secretaria General de la</w:t>
      </w:r>
      <w:r>
        <w:rPr>
          <w:lang w:val="es-ES"/>
        </w:rPr>
        <w:t> </w:t>
      </w:r>
      <w:r w:rsidRPr="00E379FD">
        <w:rPr>
          <w:lang w:val="es-ES"/>
        </w:rPr>
        <w:t>UIT a la reunión de</w:t>
      </w:r>
      <w:r>
        <w:rPr>
          <w:lang w:val="es-ES"/>
        </w:rPr>
        <w:t> </w:t>
      </w:r>
      <w:r w:rsidRPr="00E379FD">
        <w:rPr>
          <w:lang w:val="es-ES"/>
        </w:rPr>
        <w:t>2026 del Consejo sobre las actividades llevadas a cabo por la Unión en virtud de sus resoluciones relativas a Internet (véase el Documento</w:t>
      </w:r>
      <w:r>
        <w:rPr>
          <w:lang w:val="es-ES"/>
        </w:rPr>
        <w:t> </w:t>
      </w:r>
      <w:r w:rsidRPr="00E379FD">
        <w:rPr>
          <w:lang w:val="es-ES"/>
        </w:rPr>
        <w:t>C26/33), las opiniones presentadas por escrito por los Estados Miembros del Consejo y un extracto del resumen de los debates en la materia de la cuarta sesión plenaria de la reunión de 2026 del Consejo, acompañado por una carta explicativa.</w:t>
      </w:r>
    </w:p>
    <w:p w14:paraId="000137A2" w14:textId="77777777" w:rsidR="007646D4" w:rsidRPr="002524BC" w:rsidRDefault="007646D4" w:rsidP="00D74B06">
      <w:pPr>
        <w:jc w:val="both"/>
        <w:rPr>
          <w:spacing w:val="-3"/>
          <w:lang w:val="es-ES"/>
        </w:rPr>
      </w:pPr>
      <w:r w:rsidRPr="002524BC">
        <w:rPr>
          <w:spacing w:val="-3"/>
          <w:lang w:val="es-ES"/>
        </w:rPr>
        <w:t>7.2</w:t>
      </w:r>
      <w:r w:rsidRPr="002524BC">
        <w:rPr>
          <w:spacing w:val="-3"/>
          <w:lang w:val="es-ES"/>
        </w:rPr>
        <w:tab/>
        <w:t xml:space="preserve">El Consejo </w:t>
      </w:r>
      <w:r w:rsidRPr="002524BC">
        <w:rPr>
          <w:b/>
          <w:bCs/>
          <w:spacing w:val="-3"/>
          <w:lang w:val="es-ES"/>
        </w:rPr>
        <w:t xml:space="preserve">toma nota </w:t>
      </w:r>
      <w:r w:rsidRPr="002524BC">
        <w:rPr>
          <w:spacing w:val="-3"/>
          <w:lang w:val="es-ES"/>
        </w:rPr>
        <w:t xml:space="preserve">del Documento C26/DT/4 y </w:t>
      </w:r>
      <w:r w:rsidRPr="002524BC">
        <w:rPr>
          <w:b/>
          <w:bCs/>
          <w:spacing w:val="-3"/>
          <w:lang w:val="es-ES"/>
        </w:rPr>
        <w:t xml:space="preserve">aprueba </w:t>
      </w:r>
      <w:r w:rsidRPr="002524BC">
        <w:rPr>
          <w:spacing w:val="-3"/>
          <w:lang w:val="es-ES"/>
        </w:rPr>
        <w:t>la transmisión del conjunto de documentos que figura en el Documento C26/DT/4 al Secretario General de las Naciones Unidas.</w:t>
      </w:r>
    </w:p>
    <w:p w14:paraId="49BFDF26" w14:textId="77777777" w:rsidR="007646D4" w:rsidRPr="00E379FD" w:rsidRDefault="007646D4" w:rsidP="007646D4">
      <w:pPr>
        <w:pStyle w:val="Heading1"/>
        <w:rPr>
          <w:lang w:val="es-ES"/>
        </w:rPr>
      </w:pPr>
      <w:r w:rsidRPr="00E379FD">
        <w:rPr>
          <w:lang w:val="es-ES"/>
        </w:rPr>
        <w:lastRenderedPageBreak/>
        <w:t>8</w:t>
      </w:r>
      <w:r w:rsidRPr="00E379FD">
        <w:rPr>
          <w:lang w:val="es-ES"/>
        </w:rPr>
        <w:tab/>
        <w:t>Aplicación de la Resolución</w:t>
      </w:r>
      <w:r>
        <w:rPr>
          <w:lang w:val="es-ES"/>
        </w:rPr>
        <w:t> </w:t>
      </w:r>
      <w:r w:rsidRPr="00E379FD">
        <w:rPr>
          <w:lang w:val="es-ES"/>
        </w:rPr>
        <w:t>30 (Rev.</w:t>
      </w:r>
      <w:r>
        <w:rPr>
          <w:lang w:val="es-ES"/>
        </w:rPr>
        <w:t> </w:t>
      </w:r>
      <w:r w:rsidRPr="00E379FD">
        <w:rPr>
          <w:lang w:val="es-ES"/>
        </w:rPr>
        <w:t>Bucarest, 2022) de la Conferencia de Plenipotenciarios, sobre medidas especiales en favor de los países menos adelantados, los pequeños Estados insulares en desarrollo, los países en desarrollo sin litoral y los países con economías en transición (Documento</w:t>
      </w:r>
      <w:r>
        <w:rPr>
          <w:lang w:val="es-ES"/>
        </w:rPr>
        <w:t> </w:t>
      </w:r>
      <w:proofErr w:type="spellStart"/>
      <w:r>
        <w:fldChar w:fldCharType="begin"/>
      </w:r>
      <w:r w:rsidRPr="00431773">
        <w:rPr>
          <w:lang w:val="es-ES"/>
        </w:rPr>
        <w:instrText>HYPERLINK "https://www.itu.int/md/S26-CL-C-0074/es"</w:instrText>
      </w:r>
      <w:r>
        <w:fldChar w:fldCharType="separate"/>
      </w:r>
      <w:r w:rsidRPr="00E379FD">
        <w:rPr>
          <w:rStyle w:val="Hyperlink"/>
          <w:rFonts w:eastAsia="Times New Roman" w:cs="Times New Roman"/>
          <w:szCs w:val="20"/>
          <w:lang w:val="es-ES"/>
        </w:rPr>
        <w:t>C26</w:t>
      </w:r>
      <w:proofErr w:type="spellEnd"/>
      <w:r w:rsidRPr="00E379FD">
        <w:rPr>
          <w:rStyle w:val="Hyperlink"/>
          <w:rFonts w:eastAsia="Times New Roman" w:cs="Times New Roman"/>
          <w:szCs w:val="20"/>
          <w:lang w:val="es-ES"/>
        </w:rPr>
        <w:t>/74</w:t>
      </w:r>
      <w:r>
        <w:fldChar w:fldCharType="end"/>
      </w:r>
      <w:r w:rsidRPr="00E379FD">
        <w:rPr>
          <w:lang w:val="es-ES"/>
        </w:rPr>
        <w:t>)</w:t>
      </w:r>
    </w:p>
    <w:p w14:paraId="60E08F78" w14:textId="77777777" w:rsidR="007646D4" w:rsidRPr="002524BC" w:rsidRDefault="007646D4" w:rsidP="00D74B06">
      <w:pPr>
        <w:jc w:val="both"/>
        <w:rPr>
          <w:spacing w:val="-2"/>
          <w:lang w:val="es-ES"/>
        </w:rPr>
      </w:pPr>
      <w:r w:rsidRPr="002524BC">
        <w:rPr>
          <w:spacing w:val="-2"/>
          <w:lang w:val="es-ES"/>
        </w:rPr>
        <w:t>8.1</w:t>
      </w:r>
      <w:r w:rsidRPr="002524BC">
        <w:rPr>
          <w:spacing w:val="-2"/>
          <w:lang w:val="es-ES"/>
        </w:rPr>
        <w:tab/>
        <w:t>Un representante de la Oficina de Desarrollo de las Telecomunicaciones (BDT) presenta el Documento C26/74, en el que se describen los avances logrados en la aplicación de la Resolución 30 (Rev. Bucarest, 2022) de la Conferencia de Plenipotenciarios durante el periodo comprendido entre 2022 y 2025. Aunque se han observado progresos constantes, siguen existiendo importantes brechas digitales; en concreto, los datos desglosados disponibles revelan brechas rurales, urbanas y de género, y obstáculos tales como los elevados costes de conectividad. La puesta en práctica seguirá guiándose por los marcos internacionales e institucionales pertinentes, entre ellos la Declaración y el Plan de Acción de Bakú; la Resolución 16 (Rev. Bakú, 2025) de la Conferencia Mundial de Desarrollo de las Telecomunicaciones; y las agendas de desarrollo mundiales, incluidos el Programa de Acción de Doha en favor de los países menos adelantados (PMA) para el decenio 2022-2031, el Programa de Acción de Avaza en favor de los países en desarrollo sin litoral (PDSL) para el decenio 2024-2034 y la Agenda de Antigua y Barbuda para los pequeños Estados insulares en desarrollo (PEID).</w:t>
      </w:r>
    </w:p>
    <w:p w14:paraId="21ECCE0E" w14:textId="77777777" w:rsidR="007646D4" w:rsidRPr="00E379FD" w:rsidRDefault="007646D4" w:rsidP="00D74B06">
      <w:pPr>
        <w:jc w:val="both"/>
        <w:rPr>
          <w:lang w:val="es-ES"/>
        </w:rPr>
      </w:pPr>
      <w:r w:rsidRPr="00E379FD">
        <w:rPr>
          <w:lang w:val="es-ES"/>
        </w:rPr>
        <w:t>8.2</w:t>
      </w:r>
      <w:r w:rsidRPr="00E379FD">
        <w:rPr>
          <w:lang w:val="es-ES"/>
        </w:rPr>
        <w:tab/>
        <w:t>Los consejeros manif</w:t>
      </w:r>
      <w:r>
        <w:rPr>
          <w:lang w:val="es-ES"/>
        </w:rPr>
        <w:t>i</w:t>
      </w:r>
      <w:r w:rsidRPr="00E379FD">
        <w:rPr>
          <w:lang w:val="es-ES"/>
        </w:rPr>
        <w:t>esta</w:t>
      </w:r>
      <w:r>
        <w:rPr>
          <w:lang w:val="es-ES"/>
        </w:rPr>
        <w:t>n</w:t>
      </w:r>
      <w:r w:rsidRPr="00E379FD">
        <w:rPr>
          <w:lang w:val="es-ES"/>
        </w:rPr>
        <w:t xml:space="preserve"> su apoyo a las iniciativas llevadas a cabo por la Unión y, en especial, por el Sector de Desarrollo de las Telecomunicaciones de la</w:t>
      </w:r>
      <w:r>
        <w:rPr>
          <w:lang w:val="es-ES"/>
        </w:rPr>
        <w:t> </w:t>
      </w:r>
      <w:r w:rsidRPr="00E379FD">
        <w:rPr>
          <w:lang w:val="es-ES"/>
        </w:rPr>
        <w:t>UIT (UIT-D) y la</w:t>
      </w:r>
      <w:r>
        <w:rPr>
          <w:lang w:val="es-ES"/>
        </w:rPr>
        <w:t> </w:t>
      </w:r>
      <w:r w:rsidRPr="00E379FD">
        <w:rPr>
          <w:lang w:val="es-ES"/>
        </w:rPr>
        <w:t>BDT, con miras a fomentar el desarrollo digital de los</w:t>
      </w:r>
      <w:r>
        <w:rPr>
          <w:lang w:val="es-ES"/>
        </w:rPr>
        <w:t> </w:t>
      </w:r>
      <w:r w:rsidRPr="00E379FD">
        <w:rPr>
          <w:lang w:val="es-ES"/>
        </w:rPr>
        <w:t>PMA, los</w:t>
      </w:r>
      <w:r>
        <w:rPr>
          <w:lang w:val="es-ES"/>
        </w:rPr>
        <w:t> </w:t>
      </w:r>
      <w:r w:rsidRPr="00E379FD">
        <w:rPr>
          <w:lang w:val="es-ES"/>
        </w:rPr>
        <w:t>PEID, los</w:t>
      </w:r>
      <w:r>
        <w:rPr>
          <w:lang w:val="es-ES"/>
        </w:rPr>
        <w:t> </w:t>
      </w:r>
      <w:r w:rsidRPr="00E379FD">
        <w:rPr>
          <w:lang w:val="es-ES"/>
        </w:rPr>
        <w:t>PDSL y los países con economías en transición, mediante la prestación de asistencia técnica específica y adaptada a sus necesidades, así como la adopción de medidas que facilit</w:t>
      </w:r>
      <w:r>
        <w:rPr>
          <w:lang w:val="es-ES"/>
        </w:rPr>
        <w:t>en</w:t>
      </w:r>
      <w:r w:rsidRPr="00E379FD">
        <w:rPr>
          <w:lang w:val="es-ES"/>
        </w:rPr>
        <w:t xml:space="preserve"> su participación efectiva en las reuniones de la</w:t>
      </w:r>
      <w:r>
        <w:rPr>
          <w:lang w:val="es-ES"/>
        </w:rPr>
        <w:t> </w:t>
      </w:r>
      <w:r w:rsidRPr="00E379FD">
        <w:rPr>
          <w:lang w:val="es-ES"/>
        </w:rPr>
        <w:t>UIT. Un consejero destac</w:t>
      </w:r>
      <w:r>
        <w:rPr>
          <w:lang w:val="es-ES"/>
        </w:rPr>
        <w:t>a</w:t>
      </w:r>
      <w:r w:rsidRPr="00E379FD">
        <w:rPr>
          <w:lang w:val="es-ES"/>
        </w:rPr>
        <w:t xml:space="preserve"> las repercusiones de la iniciativa Islas Inteligentes y Aldeas Inteligentes en su región y en otras zonas; otro h</w:t>
      </w:r>
      <w:r>
        <w:rPr>
          <w:lang w:val="es-ES"/>
        </w:rPr>
        <w:t>ace</w:t>
      </w:r>
      <w:r w:rsidRPr="00E379FD">
        <w:rPr>
          <w:lang w:val="es-ES"/>
        </w:rPr>
        <w:t xml:space="preserve"> hincapié en los retos concretos a los que se enfrenta</w:t>
      </w:r>
      <w:r>
        <w:rPr>
          <w:lang w:val="es-ES"/>
        </w:rPr>
        <w:t>n</w:t>
      </w:r>
      <w:r w:rsidRPr="00E379FD">
        <w:rPr>
          <w:lang w:val="es-ES"/>
        </w:rPr>
        <w:t xml:space="preserve"> los</w:t>
      </w:r>
      <w:r>
        <w:rPr>
          <w:lang w:val="es-ES"/>
        </w:rPr>
        <w:t> </w:t>
      </w:r>
      <w:r w:rsidRPr="00E379FD">
        <w:rPr>
          <w:lang w:val="es-ES"/>
        </w:rPr>
        <w:t>PEID, en los que el desarrollo digital se ve condicionado por la geografía, la vulnerabilidad climática, la resiliencia de las infraestructuras, la limitada capacidad institucional y la dependencia del apoyo externo, y celebr</w:t>
      </w:r>
      <w:r>
        <w:rPr>
          <w:lang w:val="es-ES"/>
        </w:rPr>
        <w:t>a</w:t>
      </w:r>
      <w:r w:rsidRPr="00E379FD">
        <w:rPr>
          <w:lang w:val="es-ES"/>
        </w:rPr>
        <w:t xml:space="preserve"> los esfuerzos por pasar de las promesas a la acción. Varios consejeros destaca</w:t>
      </w:r>
      <w:r>
        <w:rPr>
          <w:lang w:val="es-ES"/>
        </w:rPr>
        <w:t>n</w:t>
      </w:r>
      <w:r w:rsidRPr="00E379FD">
        <w:rPr>
          <w:lang w:val="es-ES"/>
        </w:rPr>
        <w:t xml:space="preserve"> la importancia de crear capacidades y abordar obstáculos tales como los vinculados a la asequibilidad, la escasez de infraestructuras, la falta de competencias digitales y las desigualdades en el acceso a una conectividad significativa. Las iniciativas de apoyo a los</w:t>
      </w:r>
      <w:r>
        <w:rPr>
          <w:lang w:val="es-ES"/>
        </w:rPr>
        <w:t> </w:t>
      </w:r>
      <w:r w:rsidRPr="00E379FD">
        <w:rPr>
          <w:lang w:val="es-ES"/>
        </w:rPr>
        <w:t>PMA, los</w:t>
      </w:r>
      <w:r>
        <w:rPr>
          <w:lang w:val="es-ES"/>
        </w:rPr>
        <w:t> </w:t>
      </w:r>
      <w:r w:rsidRPr="00E379FD">
        <w:rPr>
          <w:lang w:val="es-ES"/>
        </w:rPr>
        <w:t>PEID, los</w:t>
      </w:r>
      <w:r>
        <w:rPr>
          <w:lang w:val="es-ES"/>
        </w:rPr>
        <w:t> </w:t>
      </w:r>
      <w:r w:rsidRPr="00E379FD">
        <w:rPr>
          <w:lang w:val="es-ES"/>
        </w:rPr>
        <w:t>PDSL y los países con economías en transición deb</w:t>
      </w:r>
      <w:r>
        <w:rPr>
          <w:lang w:val="es-ES"/>
        </w:rPr>
        <w:t>en</w:t>
      </w:r>
      <w:r w:rsidRPr="00E379FD">
        <w:rPr>
          <w:lang w:val="es-ES"/>
        </w:rPr>
        <w:t xml:space="preserve"> proseguir, con un mayor énfasis en las infraestructuras resilientes, la conectividad asequible y significativa, las telecomunicaciones de emergencia, las tecnologías incipientes, la formulación de políticas basadas en datos empíricos y la inclusión digital.</w:t>
      </w:r>
    </w:p>
    <w:p w14:paraId="14A9B24D" w14:textId="77777777" w:rsidR="007646D4" w:rsidRPr="00E379FD" w:rsidRDefault="007646D4" w:rsidP="00D74B06">
      <w:pPr>
        <w:jc w:val="both"/>
        <w:rPr>
          <w:lang w:val="es-ES"/>
        </w:rPr>
      </w:pPr>
      <w:r w:rsidRPr="00E379FD">
        <w:rPr>
          <w:lang w:val="es-ES"/>
        </w:rPr>
        <w:t>8.3</w:t>
      </w:r>
      <w:r w:rsidRPr="00E379FD">
        <w:rPr>
          <w:lang w:val="es-ES"/>
        </w:rPr>
        <w:tab/>
        <w:t xml:space="preserve">Un consejero </w:t>
      </w:r>
      <w:r>
        <w:rPr>
          <w:lang w:val="es-ES"/>
        </w:rPr>
        <w:t>alienta</w:t>
      </w:r>
      <w:r w:rsidRPr="00E379FD">
        <w:rPr>
          <w:lang w:val="es-ES"/>
        </w:rPr>
        <w:t xml:space="preserve"> a la Secretaría a que, en futuros informes elaborados en virtud de la Resolución</w:t>
      </w:r>
      <w:r>
        <w:rPr>
          <w:lang w:val="es-ES"/>
        </w:rPr>
        <w:t> </w:t>
      </w:r>
      <w:r w:rsidRPr="00E379FD">
        <w:rPr>
          <w:lang w:val="es-ES"/>
        </w:rPr>
        <w:t>30 (Rev.</w:t>
      </w:r>
      <w:r>
        <w:rPr>
          <w:lang w:val="es-ES"/>
        </w:rPr>
        <w:t> </w:t>
      </w:r>
      <w:r w:rsidRPr="00E379FD">
        <w:rPr>
          <w:lang w:val="es-ES"/>
        </w:rPr>
        <w:t xml:space="preserve">Bucarest, 2022), </w:t>
      </w:r>
      <w:r>
        <w:rPr>
          <w:lang w:val="es-ES"/>
        </w:rPr>
        <w:t>refuerce</w:t>
      </w:r>
      <w:r w:rsidRPr="00E379FD">
        <w:rPr>
          <w:lang w:val="es-ES"/>
        </w:rPr>
        <w:t xml:space="preserve"> la transparencia, el desglose de datos y el análisis de repercusiones, con objeto de facilitar al Consejo información más clara sobre los resultados obtenidos, las lagunas en la aplicación y la forma en que se asigna</w:t>
      </w:r>
      <w:r>
        <w:rPr>
          <w:lang w:val="es-ES"/>
        </w:rPr>
        <w:t>n</w:t>
      </w:r>
      <w:r w:rsidRPr="00E379FD">
        <w:rPr>
          <w:lang w:val="es-ES"/>
        </w:rPr>
        <w:t xml:space="preserve"> los recursos, incluida la financiación inicial y el apoyo de los socios. La aplicación de la Resolución</w:t>
      </w:r>
      <w:r>
        <w:rPr>
          <w:lang w:val="es-ES"/>
        </w:rPr>
        <w:t> </w:t>
      </w:r>
      <w:r w:rsidRPr="00E379FD">
        <w:rPr>
          <w:lang w:val="es-ES"/>
        </w:rPr>
        <w:t>30 (Rev.</w:t>
      </w:r>
      <w:r>
        <w:rPr>
          <w:lang w:val="es-ES"/>
        </w:rPr>
        <w:t> </w:t>
      </w:r>
      <w:r w:rsidRPr="00E379FD">
        <w:rPr>
          <w:lang w:val="es-ES"/>
        </w:rPr>
        <w:t>Bucarest, 2022) deb</w:t>
      </w:r>
      <w:r>
        <w:rPr>
          <w:lang w:val="es-ES"/>
        </w:rPr>
        <w:t>e</w:t>
      </w:r>
      <w:r w:rsidRPr="00E379FD">
        <w:rPr>
          <w:lang w:val="es-ES"/>
        </w:rPr>
        <w:t xml:space="preserve"> estar estrechamente vinculada a una mayor presencia regional de la</w:t>
      </w:r>
      <w:r>
        <w:rPr>
          <w:lang w:val="es-ES"/>
        </w:rPr>
        <w:t> </w:t>
      </w:r>
      <w:r w:rsidRPr="00E379FD">
        <w:rPr>
          <w:lang w:val="es-ES"/>
        </w:rPr>
        <w:t>UIT, respaldada por la coordinación entre los tres Sectores, la colaboración con las</w:t>
      </w:r>
      <w:r>
        <w:rPr>
          <w:lang w:val="es-ES"/>
        </w:rPr>
        <w:t> </w:t>
      </w:r>
      <w:r w:rsidRPr="00E379FD">
        <w:rPr>
          <w:lang w:val="es-ES"/>
        </w:rPr>
        <w:t>ORT y la cooperación con el sistema de las Naciones Unidas en su conjunto. Otro consejero señal</w:t>
      </w:r>
      <w:r>
        <w:rPr>
          <w:lang w:val="es-ES"/>
        </w:rPr>
        <w:t>a</w:t>
      </w:r>
      <w:r w:rsidRPr="00E379FD">
        <w:rPr>
          <w:lang w:val="es-ES"/>
        </w:rPr>
        <w:t xml:space="preserve"> que la Unión deb</w:t>
      </w:r>
      <w:r>
        <w:rPr>
          <w:lang w:val="es-ES"/>
        </w:rPr>
        <w:t>e</w:t>
      </w:r>
      <w:r w:rsidRPr="00E379FD">
        <w:rPr>
          <w:lang w:val="es-ES"/>
        </w:rPr>
        <w:t xml:space="preserve"> reforzar sus actividades en curso con estructuras específicas que respond</w:t>
      </w:r>
      <w:r>
        <w:rPr>
          <w:lang w:val="es-ES"/>
        </w:rPr>
        <w:t>an</w:t>
      </w:r>
      <w:r w:rsidRPr="00E379FD">
        <w:rPr>
          <w:lang w:val="es-ES"/>
        </w:rPr>
        <w:t xml:space="preserve"> a las necesidades de los</w:t>
      </w:r>
      <w:r>
        <w:rPr>
          <w:lang w:val="es-ES"/>
        </w:rPr>
        <w:t> </w:t>
      </w:r>
      <w:r w:rsidRPr="00E379FD">
        <w:rPr>
          <w:lang w:val="es-ES"/>
        </w:rPr>
        <w:t>PDSL y los</w:t>
      </w:r>
      <w:r>
        <w:rPr>
          <w:lang w:val="es-ES"/>
        </w:rPr>
        <w:t> </w:t>
      </w:r>
      <w:r w:rsidRPr="00E379FD">
        <w:rPr>
          <w:lang w:val="es-ES"/>
        </w:rPr>
        <w:t>PEID.</w:t>
      </w:r>
    </w:p>
    <w:p w14:paraId="4D29E4D3" w14:textId="77777777" w:rsidR="007646D4" w:rsidRPr="00E379FD" w:rsidRDefault="007646D4" w:rsidP="00D74B06">
      <w:pPr>
        <w:jc w:val="both"/>
        <w:rPr>
          <w:lang w:val="es-ES"/>
        </w:rPr>
      </w:pPr>
      <w:r w:rsidRPr="00E379FD">
        <w:rPr>
          <w:lang w:val="es-ES"/>
        </w:rPr>
        <w:lastRenderedPageBreak/>
        <w:t>8.4</w:t>
      </w:r>
      <w:r w:rsidRPr="00E379FD">
        <w:rPr>
          <w:lang w:val="es-ES"/>
        </w:rPr>
        <w:tab/>
        <w:t>El Director de la</w:t>
      </w:r>
      <w:r>
        <w:rPr>
          <w:lang w:val="es-ES"/>
        </w:rPr>
        <w:t> </w:t>
      </w:r>
      <w:r w:rsidRPr="00E379FD">
        <w:rPr>
          <w:lang w:val="es-ES"/>
        </w:rPr>
        <w:t>BDT, en respuesta a las cuestiones y los comentarios formulados, señal</w:t>
      </w:r>
      <w:r>
        <w:rPr>
          <w:lang w:val="es-ES"/>
        </w:rPr>
        <w:t>a</w:t>
      </w:r>
      <w:r w:rsidRPr="00E379FD">
        <w:rPr>
          <w:lang w:val="es-ES"/>
        </w:rPr>
        <w:t xml:space="preserve"> que cuatro PMA ha</w:t>
      </w:r>
      <w:r>
        <w:rPr>
          <w:lang w:val="es-ES"/>
        </w:rPr>
        <w:t>n</w:t>
      </w:r>
      <w:r w:rsidRPr="00E379FD">
        <w:rPr>
          <w:lang w:val="es-ES"/>
        </w:rPr>
        <w:t xml:space="preserve"> adquirido la categoría de país en desarrollo en los últimos años; de los</w:t>
      </w:r>
      <w:r>
        <w:rPr>
          <w:lang w:val="es-ES"/>
        </w:rPr>
        <w:t> </w:t>
      </w:r>
      <w:r w:rsidRPr="00E379FD">
        <w:rPr>
          <w:lang w:val="es-ES"/>
        </w:rPr>
        <w:t>44</w:t>
      </w:r>
      <w:r>
        <w:rPr>
          <w:lang w:val="es-ES"/>
        </w:rPr>
        <w:t> </w:t>
      </w:r>
      <w:r w:rsidRPr="00E379FD">
        <w:rPr>
          <w:lang w:val="es-ES"/>
        </w:rPr>
        <w:t>restantes, se espera que seis se gradú</w:t>
      </w:r>
      <w:r>
        <w:rPr>
          <w:lang w:val="es-ES"/>
        </w:rPr>
        <w:t>en</w:t>
      </w:r>
      <w:r w:rsidRPr="00E379FD">
        <w:rPr>
          <w:lang w:val="es-ES"/>
        </w:rPr>
        <w:t>, es decir, dej</w:t>
      </w:r>
      <w:r>
        <w:rPr>
          <w:lang w:val="es-ES"/>
        </w:rPr>
        <w:t>en</w:t>
      </w:r>
      <w:r w:rsidRPr="00E379FD">
        <w:rPr>
          <w:lang w:val="es-ES"/>
        </w:rPr>
        <w:t xml:space="preserve"> de ser considerados PMA</w:t>
      </w:r>
      <w:r>
        <w:rPr>
          <w:lang w:val="es-ES"/>
        </w:rPr>
        <w:t>,</w:t>
      </w:r>
      <w:r w:rsidRPr="00E379FD">
        <w:rPr>
          <w:lang w:val="es-ES"/>
        </w:rPr>
        <w:t xml:space="preserve"> de aquí a</w:t>
      </w:r>
      <w:r>
        <w:rPr>
          <w:lang w:val="es-ES"/>
        </w:rPr>
        <w:t> </w:t>
      </w:r>
      <w:r w:rsidRPr="00E379FD">
        <w:rPr>
          <w:lang w:val="es-ES"/>
        </w:rPr>
        <w:t>2029. Tras su graduación, los</w:t>
      </w:r>
      <w:r>
        <w:rPr>
          <w:lang w:val="es-ES"/>
        </w:rPr>
        <w:t> </w:t>
      </w:r>
      <w:r w:rsidRPr="00E379FD">
        <w:rPr>
          <w:lang w:val="es-ES"/>
        </w:rPr>
        <w:t>PMA recib</w:t>
      </w:r>
      <w:r>
        <w:rPr>
          <w:lang w:val="es-ES"/>
        </w:rPr>
        <w:t>en</w:t>
      </w:r>
      <w:r w:rsidRPr="00E379FD">
        <w:rPr>
          <w:lang w:val="es-ES"/>
        </w:rPr>
        <w:t xml:space="preserve"> asistencia y apoyo continuados durante un per</w:t>
      </w:r>
      <w:r>
        <w:rPr>
          <w:lang w:val="es-ES"/>
        </w:rPr>
        <w:t>i</w:t>
      </w:r>
      <w:r w:rsidRPr="00E379FD">
        <w:rPr>
          <w:lang w:val="es-ES"/>
        </w:rPr>
        <w:t>odo de dos a tres años, con miras a garantizar una transición fluida. Exist</w:t>
      </w:r>
      <w:r>
        <w:rPr>
          <w:lang w:val="es-ES"/>
        </w:rPr>
        <w:t>e</w:t>
      </w:r>
      <w:r w:rsidRPr="00E379FD">
        <w:rPr>
          <w:lang w:val="es-ES"/>
        </w:rPr>
        <w:t xml:space="preserve"> una sólida correlación entre la graduación de los</w:t>
      </w:r>
      <w:r>
        <w:rPr>
          <w:lang w:val="es-ES"/>
        </w:rPr>
        <w:t> </w:t>
      </w:r>
      <w:r w:rsidRPr="00E379FD">
        <w:rPr>
          <w:lang w:val="es-ES"/>
        </w:rPr>
        <w:t>PMA y la conectividad a Internet. La división especializada en este campo de la Unión coopera estrechamente con otras entidades de las Naciones Unidas, participando en diversas conferencias internacionales pertinentes, así como con la Organización Mundial del Comercio. Los</w:t>
      </w:r>
      <w:r>
        <w:rPr>
          <w:lang w:val="es-ES"/>
        </w:rPr>
        <w:t> </w:t>
      </w:r>
      <w:r w:rsidRPr="00E379FD">
        <w:rPr>
          <w:lang w:val="es-ES"/>
        </w:rPr>
        <w:t xml:space="preserve">PMA, en particular, </w:t>
      </w:r>
      <w:r>
        <w:rPr>
          <w:lang w:val="es-ES"/>
        </w:rPr>
        <w:t>son</w:t>
      </w:r>
      <w:r w:rsidRPr="00E379FD">
        <w:rPr>
          <w:lang w:val="es-ES"/>
        </w:rPr>
        <w:t xml:space="preserve"> vulnerables tanto a las crisis económicas externas, como a las catástrofes naturales. El</w:t>
      </w:r>
      <w:r>
        <w:rPr>
          <w:lang w:val="es-ES"/>
        </w:rPr>
        <w:t> </w:t>
      </w:r>
      <w:r w:rsidRPr="00E379FD">
        <w:rPr>
          <w:lang w:val="es-ES"/>
        </w:rPr>
        <w:t>UIT</w:t>
      </w:r>
      <w:r>
        <w:rPr>
          <w:lang w:val="es-ES"/>
        </w:rPr>
        <w:noBreakHyphen/>
      </w:r>
      <w:r w:rsidRPr="00E379FD">
        <w:rPr>
          <w:lang w:val="es-ES"/>
        </w:rPr>
        <w:t>D ha emprendido otras iniciativas con el objetivo de ayudar a los</w:t>
      </w:r>
      <w:r>
        <w:rPr>
          <w:lang w:val="es-ES"/>
        </w:rPr>
        <w:t> </w:t>
      </w:r>
      <w:r w:rsidRPr="00E379FD">
        <w:rPr>
          <w:lang w:val="es-ES"/>
        </w:rPr>
        <w:t>PMA, los</w:t>
      </w:r>
      <w:r>
        <w:rPr>
          <w:lang w:val="es-ES"/>
        </w:rPr>
        <w:t> </w:t>
      </w:r>
      <w:r w:rsidRPr="00E379FD">
        <w:rPr>
          <w:lang w:val="es-ES"/>
        </w:rPr>
        <w:t>PEID, los</w:t>
      </w:r>
      <w:r>
        <w:rPr>
          <w:lang w:val="es-ES"/>
        </w:rPr>
        <w:t> </w:t>
      </w:r>
      <w:r w:rsidRPr="00E379FD">
        <w:rPr>
          <w:lang w:val="es-ES"/>
        </w:rPr>
        <w:t>PDSL y los países con economías en transición, incluida la edición de publicaciones para proporcionar información sobre la conectividad, las limitaciones y los retos existentes, así como la organización de sesiones de establecimiento de contactos en el marco de la Coalición Digital Partner2Connect para reunir a donantes y Estados Miembros a escala regional e internacional, lo que ha dado lugar a la ejecución de numerosos proyectos en beneficio de países afectados. El orador destac</w:t>
      </w:r>
      <w:r>
        <w:rPr>
          <w:lang w:val="es-ES"/>
        </w:rPr>
        <w:t>a</w:t>
      </w:r>
      <w:r w:rsidRPr="00E379FD">
        <w:rPr>
          <w:lang w:val="es-ES"/>
        </w:rPr>
        <w:t xml:space="preserve"> en particular el valor que </w:t>
      </w:r>
      <w:r>
        <w:rPr>
          <w:lang w:val="es-ES"/>
        </w:rPr>
        <w:t>revisten</w:t>
      </w:r>
      <w:r w:rsidRPr="00E379FD">
        <w:rPr>
          <w:lang w:val="es-ES"/>
        </w:rPr>
        <w:t xml:space="preserve"> la cooperación Sur-Sur y el intercambio de conocimientos especializados, información y prácticas idóneas.</w:t>
      </w:r>
    </w:p>
    <w:p w14:paraId="5B3C5CF9" w14:textId="77777777" w:rsidR="007646D4" w:rsidRPr="00E379FD" w:rsidRDefault="007646D4" w:rsidP="007646D4">
      <w:pPr>
        <w:rPr>
          <w:lang w:val="es-ES"/>
        </w:rPr>
      </w:pPr>
      <w:r w:rsidRPr="00E379FD">
        <w:rPr>
          <w:lang w:val="es-ES"/>
        </w:rPr>
        <w:t>8.5</w:t>
      </w:r>
      <w:r w:rsidRPr="00E379FD">
        <w:rPr>
          <w:lang w:val="es-ES"/>
        </w:rPr>
        <w:tab/>
        <w:t xml:space="preserve">Se </w:t>
      </w:r>
      <w:r w:rsidRPr="00E379FD">
        <w:rPr>
          <w:b/>
          <w:bCs/>
          <w:lang w:val="es-ES"/>
        </w:rPr>
        <w:t>tom</w:t>
      </w:r>
      <w:r>
        <w:rPr>
          <w:b/>
          <w:bCs/>
          <w:lang w:val="es-ES"/>
        </w:rPr>
        <w:t>a</w:t>
      </w:r>
      <w:r w:rsidRPr="00E379FD">
        <w:rPr>
          <w:lang w:val="es-ES"/>
        </w:rPr>
        <w:t xml:space="preserve"> </w:t>
      </w:r>
      <w:r w:rsidRPr="00E379FD">
        <w:rPr>
          <w:b/>
          <w:bCs/>
          <w:lang w:val="es-ES"/>
        </w:rPr>
        <w:t xml:space="preserve">nota </w:t>
      </w:r>
      <w:r w:rsidRPr="00E379FD">
        <w:rPr>
          <w:lang w:val="es-ES"/>
        </w:rPr>
        <w:t>del</w:t>
      </w:r>
      <w:r w:rsidRPr="00E379FD">
        <w:rPr>
          <w:b/>
          <w:bCs/>
          <w:lang w:val="es-ES"/>
        </w:rPr>
        <w:t xml:space="preserve"> </w:t>
      </w:r>
      <w:r w:rsidRPr="00E379FD">
        <w:rPr>
          <w:lang w:val="es-ES"/>
        </w:rPr>
        <w:t>Documento</w:t>
      </w:r>
      <w:r>
        <w:rPr>
          <w:lang w:val="es-ES"/>
        </w:rPr>
        <w:t> </w:t>
      </w:r>
      <w:r w:rsidRPr="00E379FD">
        <w:rPr>
          <w:lang w:val="es-ES"/>
        </w:rPr>
        <w:t>C26/74.</w:t>
      </w:r>
    </w:p>
    <w:p w14:paraId="35C7B2FF" w14:textId="77777777" w:rsidR="007646D4" w:rsidRPr="00E379FD" w:rsidRDefault="007646D4" w:rsidP="007646D4">
      <w:pPr>
        <w:pStyle w:val="Heading1"/>
        <w:rPr>
          <w:lang w:val="es-ES"/>
        </w:rPr>
      </w:pPr>
      <w:r w:rsidRPr="00E379FD">
        <w:rPr>
          <w:lang w:val="es-ES"/>
        </w:rPr>
        <w:t>9</w:t>
      </w:r>
      <w:r w:rsidRPr="00E379FD">
        <w:rPr>
          <w:lang w:val="es-ES"/>
        </w:rPr>
        <w:tab/>
        <w:t>Declaraciones de consejeros y observadores</w:t>
      </w:r>
    </w:p>
    <w:p w14:paraId="492AA1C0" w14:textId="77777777" w:rsidR="007646D4" w:rsidRPr="00E379FD" w:rsidRDefault="007646D4" w:rsidP="00D74B06">
      <w:pPr>
        <w:jc w:val="both"/>
        <w:rPr>
          <w:lang w:val="es-ES"/>
        </w:rPr>
      </w:pPr>
      <w:r w:rsidRPr="00E379FD">
        <w:rPr>
          <w:lang w:val="es-ES"/>
        </w:rPr>
        <w:t>9.1</w:t>
      </w:r>
      <w:r w:rsidRPr="00E379FD">
        <w:rPr>
          <w:lang w:val="es-ES"/>
        </w:rPr>
        <w:tab/>
        <w:t>El consejero de Mauricio anunci</w:t>
      </w:r>
      <w:r>
        <w:rPr>
          <w:lang w:val="es-ES"/>
        </w:rPr>
        <w:t>a</w:t>
      </w:r>
      <w:r w:rsidRPr="00E379FD">
        <w:rPr>
          <w:lang w:val="es-ES"/>
        </w:rPr>
        <w:t xml:space="preserve"> la candidatura de su país para la reelección al Consejo.</w:t>
      </w:r>
    </w:p>
    <w:p w14:paraId="038C16AC" w14:textId="77777777" w:rsidR="007646D4" w:rsidRPr="00E379FD" w:rsidRDefault="007646D4" w:rsidP="00D74B06">
      <w:pPr>
        <w:jc w:val="both"/>
        <w:rPr>
          <w:lang w:val="es-ES"/>
        </w:rPr>
      </w:pPr>
      <w:r w:rsidRPr="00E379FD">
        <w:rPr>
          <w:lang w:val="es-ES"/>
        </w:rPr>
        <w:t>9.2</w:t>
      </w:r>
      <w:r w:rsidRPr="00E379FD">
        <w:rPr>
          <w:lang w:val="es-ES"/>
        </w:rPr>
        <w:tab/>
        <w:t>Los observadores de Kazajstán, Libia y Uzbekistán anuncia</w:t>
      </w:r>
      <w:r>
        <w:rPr>
          <w:lang w:val="es-ES"/>
        </w:rPr>
        <w:t>n</w:t>
      </w:r>
      <w:r w:rsidRPr="00E379FD">
        <w:rPr>
          <w:lang w:val="es-ES"/>
        </w:rPr>
        <w:t xml:space="preserve"> las candidaturas de sus países para la elección al Consejo.</w:t>
      </w:r>
    </w:p>
    <w:p w14:paraId="304E88BF" w14:textId="77777777" w:rsidR="007646D4" w:rsidRPr="00E379FD" w:rsidRDefault="007646D4" w:rsidP="00D74B06">
      <w:pPr>
        <w:jc w:val="both"/>
        <w:rPr>
          <w:lang w:val="es-ES"/>
        </w:rPr>
      </w:pPr>
      <w:r w:rsidRPr="00E379FD">
        <w:rPr>
          <w:lang w:val="es-ES"/>
        </w:rPr>
        <w:t>9.3</w:t>
      </w:r>
      <w:r w:rsidRPr="00E379FD">
        <w:rPr>
          <w:lang w:val="es-ES"/>
        </w:rPr>
        <w:tab/>
        <w:t>El observador de Uzbekistán anunci</w:t>
      </w:r>
      <w:r>
        <w:rPr>
          <w:lang w:val="es-ES"/>
        </w:rPr>
        <w:t>a</w:t>
      </w:r>
      <w:r w:rsidRPr="00E379FD">
        <w:rPr>
          <w:lang w:val="es-ES"/>
        </w:rPr>
        <w:t xml:space="preserve"> además la candidatura del Sr.</w:t>
      </w:r>
      <w:r>
        <w:rPr>
          <w:lang w:val="es-ES"/>
        </w:rPr>
        <w:t> </w:t>
      </w:r>
      <w:r w:rsidRPr="00E379FD">
        <w:rPr>
          <w:lang w:val="es-ES"/>
        </w:rPr>
        <w:t>Sirojiddin Usmanov para su elección como miembro de la Junta del Reglamento de Radiocomunicaciones.</w:t>
      </w:r>
    </w:p>
    <w:p w14:paraId="4FE0CD12" w14:textId="77777777" w:rsidR="007646D4" w:rsidRPr="00431773" w:rsidRDefault="007646D4" w:rsidP="007646D4">
      <w:pPr>
        <w:tabs>
          <w:tab w:val="clear" w:pos="2268"/>
          <w:tab w:val="clear" w:pos="2835"/>
          <w:tab w:val="left" w:pos="6237"/>
        </w:tabs>
        <w:spacing w:before="840"/>
        <w:rPr>
          <w:lang w:val="es-ES"/>
        </w:rPr>
      </w:pPr>
      <w:r w:rsidRPr="000147ED">
        <w:rPr>
          <w:lang w:val="es-ES"/>
        </w:rPr>
        <w:t>La Secretaria General:</w:t>
      </w:r>
      <w:r w:rsidRPr="000147ED">
        <w:rPr>
          <w:lang w:val="es-ES"/>
        </w:rPr>
        <w:tab/>
        <w:t>El Presidente:</w:t>
      </w:r>
      <w:r>
        <w:rPr>
          <w:lang w:val="es-ES"/>
        </w:rPr>
        <w:br/>
      </w:r>
      <w:r w:rsidRPr="00431773">
        <w:rPr>
          <w:lang w:val="es-ES"/>
        </w:rPr>
        <w:t>D. BOGDAN-MARTIN</w:t>
      </w:r>
      <w:r w:rsidRPr="00431773">
        <w:rPr>
          <w:lang w:val="es-ES"/>
        </w:rPr>
        <w:tab/>
        <w:t>B. TIJANI</w:t>
      </w:r>
    </w:p>
    <w:p w14:paraId="1EEF6FFD" w14:textId="7E280287" w:rsidR="001559F5" w:rsidRPr="00E379FD" w:rsidRDefault="001559F5" w:rsidP="000147ED">
      <w:pPr>
        <w:rPr>
          <w:lang w:val="es-ES"/>
        </w:rPr>
      </w:pPr>
    </w:p>
    <w:sectPr w:rsidR="001559F5" w:rsidRPr="00E379FD" w:rsidSect="00C538FC">
      <w:footerReference w:type="default" r:id="rId21"/>
      <w:headerReference w:type="first" r:id="rId22"/>
      <w:footerReference w:type="first" r:id="rId23"/>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04C67" w14:textId="77777777" w:rsidR="00912E86" w:rsidRDefault="00912E86">
      <w:r>
        <w:separator/>
      </w:r>
    </w:p>
  </w:endnote>
  <w:endnote w:type="continuationSeparator" w:id="0">
    <w:p w14:paraId="6F0D3995" w14:textId="77777777" w:rsidR="00912E86" w:rsidRDefault="00912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20555E03" w14:textId="77777777" w:rsidTr="00E31DCE">
      <w:trPr>
        <w:jc w:val="center"/>
      </w:trPr>
      <w:tc>
        <w:tcPr>
          <w:tcW w:w="1803" w:type="dxa"/>
          <w:vAlign w:val="center"/>
        </w:tcPr>
        <w:p w14:paraId="0F678F2F" w14:textId="5CDA2484" w:rsidR="003273A4" w:rsidRDefault="00832703" w:rsidP="003273A4">
          <w:pPr>
            <w:pStyle w:val="Header"/>
            <w:jc w:val="left"/>
            <w:rPr>
              <w:noProof/>
            </w:rPr>
          </w:pPr>
          <w:r>
            <w:rPr>
              <w:noProof/>
            </w:rPr>
            <w:t>26013</w:t>
          </w:r>
          <w:r w:rsidR="007777C1">
            <w:rPr>
              <w:noProof/>
            </w:rPr>
            <w:t>4</w:t>
          </w:r>
          <w:r w:rsidR="00E379FD">
            <w:rPr>
              <w:noProof/>
            </w:rPr>
            <w:t>5</w:t>
          </w:r>
        </w:p>
      </w:tc>
      <w:tc>
        <w:tcPr>
          <w:tcW w:w="8261" w:type="dxa"/>
        </w:tcPr>
        <w:p w14:paraId="12ECC52F" w14:textId="08259058" w:rsidR="003273A4" w:rsidRPr="00E06FD5" w:rsidRDefault="003273A4" w:rsidP="00B060DF">
          <w:pPr>
            <w:pStyle w:val="Header"/>
            <w:tabs>
              <w:tab w:val="left" w:pos="6731"/>
              <w:tab w:val="right" w:pos="8505"/>
              <w:tab w:val="right" w:pos="9639"/>
            </w:tabs>
            <w:jc w:val="left"/>
            <w:rPr>
              <w:rFonts w:ascii="Arial" w:hAnsi="Arial" w:cs="Arial"/>
              <w:b/>
              <w:bCs/>
              <w:szCs w:val="18"/>
            </w:rPr>
          </w:pPr>
          <w:r>
            <w:rPr>
              <w:bCs/>
            </w:rPr>
            <w:tab/>
          </w:r>
          <w:proofErr w:type="spellStart"/>
          <w:r w:rsidRPr="00623AE3">
            <w:rPr>
              <w:bCs/>
            </w:rPr>
            <w:t>C</w:t>
          </w:r>
          <w:r>
            <w:rPr>
              <w:bCs/>
            </w:rPr>
            <w:t>2</w:t>
          </w:r>
          <w:r w:rsidR="00F85E5C">
            <w:rPr>
              <w:bCs/>
            </w:rPr>
            <w:t>6</w:t>
          </w:r>
          <w:proofErr w:type="spellEnd"/>
          <w:r w:rsidRPr="00623AE3">
            <w:rPr>
              <w:bCs/>
            </w:rPr>
            <w:t>/</w:t>
          </w:r>
          <w:r w:rsidR="00832703">
            <w:rPr>
              <w:bCs/>
            </w:rPr>
            <w:t>1</w:t>
          </w:r>
          <w:r w:rsidR="00016F53">
            <w:rPr>
              <w:bCs/>
            </w:rPr>
            <w:t>2</w:t>
          </w:r>
          <w:r w:rsidR="00E379FD">
            <w:rPr>
              <w:bCs/>
            </w:rPr>
            <w:t>5</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06046CF0" w14:textId="77777777" w:rsidR="00760F1C" w:rsidRPr="003273A4" w:rsidRDefault="00760F1C" w:rsidP="003273A4">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4A19E555" w14:textId="77777777" w:rsidTr="00E31DCE">
      <w:trPr>
        <w:jc w:val="center"/>
      </w:trPr>
      <w:tc>
        <w:tcPr>
          <w:tcW w:w="1803" w:type="dxa"/>
          <w:vAlign w:val="center"/>
        </w:tcPr>
        <w:p w14:paraId="66B3775A" w14:textId="63063E21" w:rsidR="00F24B71" w:rsidRPr="002946E2" w:rsidRDefault="00F85E5C" w:rsidP="00F24B71">
          <w:pPr>
            <w:pStyle w:val="Header"/>
            <w:jc w:val="left"/>
            <w:rPr>
              <w:noProof/>
            </w:rPr>
          </w:pPr>
          <w:hyperlink r:id="rId1" w:anchor="/es" w:history="1">
            <w:r>
              <w:rPr>
                <w:rStyle w:val="Hyperlink"/>
                <w:noProof/>
              </w:rPr>
              <w:t>council.itu.int/2026</w:t>
            </w:r>
          </w:hyperlink>
        </w:p>
      </w:tc>
      <w:tc>
        <w:tcPr>
          <w:tcW w:w="8261" w:type="dxa"/>
        </w:tcPr>
        <w:p w14:paraId="0DF6A4B8" w14:textId="239FE203" w:rsidR="00F24B71" w:rsidRPr="00E06FD5" w:rsidRDefault="00F24B71" w:rsidP="00B060DF">
          <w:pPr>
            <w:pStyle w:val="Header"/>
            <w:tabs>
              <w:tab w:val="left" w:pos="6731"/>
              <w:tab w:val="right" w:pos="8505"/>
              <w:tab w:val="right" w:pos="9639"/>
            </w:tabs>
            <w:jc w:val="left"/>
            <w:rPr>
              <w:rFonts w:ascii="Arial" w:hAnsi="Arial" w:cs="Arial"/>
              <w:b/>
              <w:bCs/>
              <w:szCs w:val="18"/>
            </w:rPr>
          </w:pPr>
          <w:r>
            <w:rPr>
              <w:bCs/>
            </w:rPr>
            <w:tab/>
          </w:r>
          <w:proofErr w:type="spellStart"/>
          <w:r w:rsidRPr="00623AE3">
            <w:rPr>
              <w:bCs/>
            </w:rPr>
            <w:t>C</w:t>
          </w:r>
          <w:r>
            <w:rPr>
              <w:bCs/>
            </w:rPr>
            <w:t>2</w:t>
          </w:r>
          <w:r w:rsidR="00F85E5C">
            <w:rPr>
              <w:bCs/>
            </w:rPr>
            <w:t>6</w:t>
          </w:r>
          <w:proofErr w:type="spellEnd"/>
          <w:r w:rsidRPr="00623AE3">
            <w:rPr>
              <w:bCs/>
            </w:rPr>
            <w:t>/</w:t>
          </w:r>
          <w:r w:rsidR="00016F53">
            <w:rPr>
              <w:bCs/>
            </w:rPr>
            <w:t>12</w:t>
          </w:r>
          <w:r w:rsidR="00E379FD">
            <w:rPr>
              <w:bCs/>
            </w:rPr>
            <w:t>5</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5E7FDA73"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E5DCF" w14:textId="77777777" w:rsidR="00912E86" w:rsidRDefault="00912E86">
      <w:r>
        <w:t>____________________</w:t>
      </w:r>
    </w:p>
  </w:footnote>
  <w:footnote w:type="continuationSeparator" w:id="0">
    <w:p w14:paraId="37E1710B" w14:textId="77777777" w:rsidR="00912E86" w:rsidRDefault="00912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687D" w14:textId="77777777" w:rsidR="001559F5" w:rsidRPr="00B1560D" w:rsidRDefault="00B1560D" w:rsidP="00B1560D">
    <w:pPr>
      <w:pStyle w:val="Header"/>
    </w:pPr>
    <w:r>
      <w:rPr>
        <w:noProof/>
      </w:rPr>
      <w:drawing>
        <wp:inline distT="0" distB="0" distL="0" distR="0" wp14:anchorId="77E234E2" wp14:editId="3C13B62B">
          <wp:extent cx="5760085" cy="840740"/>
          <wp:effectExtent l="0" t="0" r="0" b="0"/>
          <wp:docPr id="397875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75340" name="Picture 397875340"/>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8F30EAD"/>
    <w:multiLevelType w:val="hybridMultilevel"/>
    <w:tmpl w:val="64849130"/>
    <w:lvl w:ilvl="0" w:tplc="657A4E06">
      <w:start w:val="1"/>
      <w:numFmt w:val="bullet"/>
      <w:lvlText w:val=""/>
      <w:lvlJc w:val="left"/>
      <w:pPr>
        <w:tabs>
          <w:tab w:val="num" w:pos="900"/>
        </w:tabs>
        <w:ind w:left="540" w:hanging="360"/>
      </w:pPr>
      <w:rPr>
        <w:rFonts w:ascii="Symbol" w:hAnsi="Symbol" w:hint="default"/>
      </w:rPr>
    </w:lvl>
    <w:lvl w:ilvl="1" w:tplc="C7A80208">
      <w:start w:val="1"/>
      <w:numFmt w:val="bullet"/>
      <w:lvlText w:val="o"/>
      <w:lvlJc w:val="left"/>
      <w:pPr>
        <w:tabs>
          <w:tab w:val="num" w:pos="1440"/>
        </w:tabs>
        <w:ind w:left="1080" w:hanging="360"/>
      </w:pPr>
      <w:rPr>
        <w:rFonts w:ascii="Courier New" w:hAnsi="Courier New" w:cs="Courier New" w:hint="default"/>
      </w:rPr>
    </w:lvl>
    <w:lvl w:ilvl="2" w:tplc="39EC6FDA">
      <w:numFmt w:val="decimal"/>
      <w:lvlText w:val=""/>
      <w:lvlJc w:val="left"/>
      <w:pPr>
        <w:ind w:left="0" w:firstLine="0"/>
      </w:pPr>
    </w:lvl>
    <w:lvl w:ilvl="3" w:tplc="9EFE0D30">
      <w:numFmt w:val="decimal"/>
      <w:lvlText w:val=""/>
      <w:lvlJc w:val="left"/>
      <w:pPr>
        <w:ind w:left="0" w:firstLine="0"/>
      </w:pPr>
    </w:lvl>
    <w:lvl w:ilvl="4" w:tplc="4D007842">
      <w:numFmt w:val="decimal"/>
      <w:lvlText w:val=""/>
      <w:lvlJc w:val="left"/>
      <w:pPr>
        <w:ind w:left="0" w:firstLine="0"/>
      </w:pPr>
    </w:lvl>
    <w:lvl w:ilvl="5" w:tplc="17F0C000">
      <w:numFmt w:val="decimal"/>
      <w:lvlText w:val=""/>
      <w:lvlJc w:val="left"/>
      <w:pPr>
        <w:ind w:left="0" w:firstLine="0"/>
      </w:pPr>
    </w:lvl>
    <w:lvl w:ilvl="6" w:tplc="6F825F2A">
      <w:numFmt w:val="decimal"/>
      <w:lvlText w:val=""/>
      <w:lvlJc w:val="left"/>
      <w:pPr>
        <w:ind w:left="0" w:firstLine="0"/>
      </w:pPr>
    </w:lvl>
    <w:lvl w:ilvl="7" w:tplc="58EA73E6">
      <w:numFmt w:val="decimal"/>
      <w:lvlText w:val=""/>
      <w:lvlJc w:val="left"/>
      <w:pPr>
        <w:ind w:left="0" w:firstLine="0"/>
      </w:pPr>
    </w:lvl>
    <w:lvl w:ilvl="8" w:tplc="D2DAB6CC">
      <w:numFmt w:val="decimal"/>
      <w:lvlText w:val=""/>
      <w:lvlJc w:val="left"/>
      <w:pPr>
        <w:ind w:left="0" w:firstLine="0"/>
      </w:pPr>
    </w:lvl>
  </w:abstractNum>
  <w:num w:numId="1" w16cid:durableId="547423696">
    <w:abstractNumId w:val="0"/>
  </w:num>
  <w:num w:numId="2" w16cid:durableId="986982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70"/>
    <w:rsid w:val="000007D1"/>
    <w:rsid w:val="000147ED"/>
    <w:rsid w:val="00016F53"/>
    <w:rsid w:val="0006007D"/>
    <w:rsid w:val="00091B52"/>
    <w:rsid w:val="00093EEB"/>
    <w:rsid w:val="000B0D00"/>
    <w:rsid w:val="000B7C15"/>
    <w:rsid w:val="000D1D0F"/>
    <w:rsid w:val="000E3F07"/>
    <w:rsid w:val="000E403F"/>
    <w:rsid w:val="000F5290"/>
    <w:rsid w:val="000F5A95"/>
    <w:rsid w:val="0010165C"/>
    <w:rsid w:val="00137BDC"/>
    <w:rsid w:val="00142B8F"/>
    <w:rsid w:val="00146BFB"/>
    <w:rsid w:val="00155333"/>
    <w:rsid w:val="001559F5"/>
    <w:rsid w:val="00157AC4"/>
    <w:rsid w:val="0016169C"/>
    <w:rsid w:val="0016289A"/>
    <w:rsid w:val="001958F5"/>
    <w:rsid w:val="001B6E2B"/>
    <w:rsid w:val="001D6BE0"/>
    <w:rsid w:val="001F14A2"/>
    <w:rsid w:val="0020641D"/>
    <w:rsid w:val="00217E0D"/>
    <w:rsid w:val="00245C14"/>
    <w:rsid w:val="002524BC"/>
    <w:rsid w:val="00275633"/>
    <w:rsid w:val="00277DEA"/>
    <w:rsid w:val="002801AA"/>
    <w:rsid w:val="002946E2"/>
    <w:rsid w:val="002973D1"/>
    <w:rsid w:val="002C3F32"/>
    <w:rsid w:val="002C4676"/>
    <w:rsid w:val="002C70B0"/>
    <w:rsid w:val="002D2835"/>
    <w:rsid w:val="002F3CC4"/>
    <w:rsid w:val="003032E2"/>
    <w:rsid w:val="0031300A"/>
    <w:rsid w:val="003273A4"/>
    <w:rsid w:val="00327F54"/>
    <w:rsid w:val="003302E8"/>
    <w:rsid w:val="0034399D"/>
    <w:rsid w:val="0034796E"/>
    <w:rsid w:val="003C3B9A"/>
    <w:rsid w:val="00411A60"/>
    <w:rsid w:val="00421B05"/>
    <w:rsid w:val="00431773"/>
    <w:rsid w:val="00435DB4"/>
    <w:rsid w:val="004571B0"/>
    <w:rsid w:val="00465C35"/>
    <w:rsid w:val="00473962"/>
    <w:rsid w:val="004B4E21"/>
    <w:rsid w:val="004B5D49"/>
    <w:rsid w:val="004D1528"/>
    <w:rsid w:val="004D3A3C"/>
    <w:rsid w:val="00513630"/>
    <w:rsid w:val="00523B73"/>
    <w:rsid w:val="00531E4A"/>
    <w:rsid w:val="00542882"/>
    <w:rsid w:val="00544175"/>
    <w:rsid w:val="00560125"/>
    <w:rsid w:val="00585553"/>
    <w:rsid w:val="00595019"/>
    <w:rsid w:val="005966B6"/>
    <w:rsid w:val="005B34D9"/>
    <w:rsid w:val="005D0CCF"/>
    <w:rsid w:val="005E3F36"/>
    <w:rsid w:val="005E64CB"/>
    <w:rsid w:val="005F0915"/>
    <w:rsid w:val="005F3BCB"/>
    <w:rsid w:val="005F410F"/>
    <w:rsid w:val="005F424B"/>
    <w:rsid w:val="0060149A"/>
    <w:rsid w:val="00601924"/>
    <w:rsid w:val="00606A78"/>
    <w:rsid w:val="006447EA"/>
    <w:rsid w:val="0064481D"/>
    <w:rsid w:val="0064731F"/>
    <w:rsid w:val="00664572"/>
    <w:rsid w:val="00666D09"/>
    <w:rsid w:val="00670579"/>
    <w:rsid w:val="006710F6"/>
    <w:rsid w:val="00677A97"/>
    <w:rsid w:val="006C1B56"/>
    <w:rsid w:val="006D4761"/>
    <w:rsid w:val="006F6F0A"/>
    <w:rsid w:val="00726872"/>
    <w:rsid w:val="00760F1C"/>
    <w:rsid w:val="007623CC"/>
    <w:rsid w:val="007646D4"/>
    <w:rsid w:val="007657F0"/>
    <w:rsid w:val="00770770"/>
    <w:rsid w:val="0077110E"/>
    <w:rsid w:val="0077252D"/>
    <w:rsid w:val="007777C1"/>
    <w:rsid w:val="007955DA"/>
    <w:rsid w:val="007C35C4"/>
    <w:rsid w:val="007E5DD3"/>
    <w:rsid w:val="007F350B"/>
    <w:rsid w:val="00820BE4"/>
    <w:rsid w:val="00825E63"/>
    <w:rsid w:val="0083106B"/>
    <w:rsid w:val="00832703"/>
    <w:rsid w:val="008451E8"/>
    <w:rsid w:val="0084546D"/>
    <w:rsid w:val="0088434F"/>
    <w:rsid w:val="008A5340"/>
    <w:rsid w:val="008F616C"/>
    <w:rsid w:val="008F6ABC"/>
    <w:rsid w:val="009119DD"/>
    <w:rsid w:val="00912E86"/>
    <w:rsid w:val="00913B9C"/>
    <w:rsid w:val="00927F93"/>
    <w:rsid w:val="009526ED"/>
    <w:rsid w:val="00956E77"/>
    <w:rsid w:val="00977F6A"/>
    <w:rsid w:val="009A338E"/>
    <w:rsid w:val="009A57D1"/>
    <w:rsid w:val="009A76A8"/>
    <w:rsid w:val="009F4811"/>
    <w:rsid w:val="00A01F4F"/>
    <w:rsid w:val="00A04080"/>
    <w:rsid w:val="00A109AF"/>
    <w:rsid w:val="00A62625"/>
    <w:rsid w:val="00A81082"/>
    <w:rsid w:val="00A94438"/>
    <w:rsid w:val="00AA390C"/>
    <w:rsid w:val="00AD5A4D"/>
    <w:rsid w:val="00AD5E8F"/>
    <w:rsid w:val="00AF0EAC"/>
    <w:rsid w:val="00AF3F0B"/>
    <w:rsid w:val="00B0200A"/>
    <w:rsid w:val="00B060DF"/>
    <w:rsid w:val="00B1560D"/>
    <w:rsid w:val="00B375C6"/>
    <w:rsid w:val="00B5058D"/>
    <w:rsid w:val="00B54E4B"/>
    <w:rsid w:val="00B574DB"/>
    <w:rsid w:val="00B6061E"/>
    <w:rsid w:val="00B826C2"/>
    <w:rsid w:val="00B8298E"/>
    <w:rsid w:val="00BB1531"/>
    <w:rsid w:val="00BB6FD8"/>
    <w:rsid w:val="00BD0723"/>
    <w:rsid w:val="00BD2518"/>
    <w:rsid w:val="00BD28F7"/>
    <w:rsid w:val="00BD4654"/>
    <w:rsid w:val="00BF1D1C"/>
    <w:rsid w:val="00C05529"/>
    <w:rsid w:val="00C20C59"/>
    <w:rsid w:val="00C2727F"/>
    <w:rsid w:val="00C4421B"/>
    <w:rsid w:val="00C538FC"/>
    <w:rsid w:val="00C55B1F"/>
    <w:rsid w:val="00C74BEC"/>
    <w:rsid w:val="00CC1FAF"/>
    <w:rsid w:val="00CF1913"/>
    <w:rsid w:val="00CF1A67"/>
    <w:rsid w:val="00CF5005"/>
    <w:rsid w:val="00D2750E"/>
    <w:rsid w:val="00D31931"/>
    <w:rsid w:val="00D375E0"/>
    <w:rsid w:val="00D50A36"/>
    <w:rsid w:val="00D62446"/>
    <w:rsid w:val="00D74B06"/>
    <w:rsid w:val="00D960D5"/>
    <w:rsid w:val="00DA4086"/>
    <w:rsid w:val="00DA4EA2"/>
    <w:rsid w:val="00DC3D3E"/>
    <w:rsid w:val="00DD5049"/>
    <w:rsid w:val="00DE2C90"/>
    <w:rsid w:val="00DE3B24"/>
    <w:rsid w:val="00DE46F6"/>
    <w:rsid w:val="00DE5A7A"/>
    <w:rsid w:val="00DE7376"/>
    <w:rsid w:val="00DF4325"/>
    <w:rsid w:val="00E06947"/>
    <w:rsid w:val="00E11319"/>
    <w:rsid w:val="00E20A52"/>
    <w:rsid w:val="00E21444"/>
    <w:rsid w:val="00E2790A"/>
    <w:rsid w:val="00E31592"/>
    <w:rsid w:val="00E34072"/>
    <w:rsid w:val="00E3592D"/>
    <w:rsid w:val="00E379FD"/>
    <w:rsid w:val="00E40140"/>
    <w:rsid w:val="00E50D76"/>
    <w:rsid w:val="00E74DB8"/>
    <w:rsid w:val="00E8018B"/>
    <w:rsid w:val="00E92DE8"/>
    <w:rsid w:val="00EA2EDC"/>
    <w:rsid w:val="00EB1212"/>
    <w:rsid w:val="00EB535A"/>
    <w:rsid w:val="00ED65AB"/>
    <w:rsid w:val="00F04C47"/>
    <w:rsid w:val="00F12850"/>
    <w:rsid w:val="00F24B71"/>
    <w:rsid w:val="00F33BF4"/>
    <w:rsid w:val="00F374DB"/>
    <w:rsid w:val="00F54246"/>
    <w:rsid w:val="00F7105E"/>
    <w:rsid w:val="00F75F57"/>
    <w:rsid w:val="00F82FEE"/>
    <w:rsid w:val="00F85E5C"/>
    <w:rsid w:val="00F92BED"/>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18FB3"/>
  <w15:docId w15:val="{1F5B70C9-BADA-4E08-A3C6-F8237D44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link w:val="Heading1Char"/>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link w:val="Heading3Char"/>
    <w:uiPriority w:val="9"/>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uiPriority w:val="99"/>
    <w:rsid w:val="00431773"/>
    <w:rPr>
      <w:rFonts w:eastAsiaTheme="minorHAnsi" w:cstheme="minorBidi"/>
      <w:color w:val="4F81BD" w:themeColor="accent1"/>
      <w:szCs w:val="22"/>
      <w:u w:val="single"/>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paragraph" w:styleId="Revision">
    <w:name w:val="Revision"/>
    <w:hidden/>
    <w:uiPriority w:val="99"/>
    <w:semiHidden/>
    <w:rsid w:val="005E3F36"/>
    <w:rPr>
      <w:rFonts w:ascii="Calibri" w:hAnsi="Calibri"/>
      <w:sz w:val="24"/>
      <w:lang w:val="fr-FR" w:eastAsia="en-US"/>
    </w:rPr>
  </w:style>
  <w:style w:type="character" w:customStyle="1" w:styleId="normaltextrun">
    <w:name w:val="normaltextrun"/>
    <w:basedOn w:val="DefaultParagraphFont"/>
    <w:rsid w:val="00523B73"/>
  </w:style>
  <w:style w:type="character" w:styleId="CommentReference">
    <w:name w:val="annotation reference"/>
    <w:basedOn w:val="DefaultParagraphFont"/>
    <w:uiPriority w:val="99"/>
    <w:semiHidden/>
    <w:unhideWhenUsed/>
    <w:qFormat/>
    <w:rsid w:val="00523B73"/>
    <w:rPr>
      <w:sz w:val="16"/>
      <w:szCs w:val="16"/>
    </w:rPr>
  </w:style>
  <w:style w:type="paragraph" w:styleId="CommentText">
    <w:name w:val="annotation text"/>
    <w:basedOn w:val="Normal"/>
    <w:link w:val="CommentTextChar"/>
    <w:uiPriority w:val="99"/>
    <w:unhideWhenUsed/>
    <w:rsid w:val="00523B73"/>
    <w:pPr>
      <w:tabs>
        <w:tab w:val="clear" w:pos="567"/>
        <w:tab w:val="clear" w:pos="1134"/>
        <w:tab w:val="clear" w:pos="1701"/>
        <w:tab w:val="clear" w:pos="2268"/>
        <w:tab w:val="clear" w:pos="2835"/>
      </w:tabs>
      <w:overflowPunct/>
      <w:autoSpaceDE/>
      <w:autoSpaceDN/>
      <w:adjustRightInd/>
      <w:spacing w:before="0" w:after="160"/>
      <w:jc w:val="both"/>
      <w:textAlignment w:val="auto"/>
    </w:pPr>
    <w:rPr>
      <w:rFonts w:asciiTheme="minorHAnsi" w:eastAsiaTheme="minorHAnsi" w:hAnsiTheme="minorHAnsi" w:cstheme="minorBidi"/>
      <w:kern w:val="2"/>
      <w:sz w:val="20"/>
      <w:lang w:val="en-GB"/>
      <w14:ligatures w14:val="standardContextual"/>
    </w:rPr>
  </w:style>
  <w:style w:type="character" w:customStyle="1" w:styleId="CommentTextChar">
    <w:name w:val="Comment Text Char"/>
    <w:basedOn w:val="DefaultParagraphFont"/>
    <w:link w:val="CommentText"/>
    <w:uiPriority w:val="99"/>
    <w:rsid w:val="00523B73"/>
    <w:rPr>
      <w:rFonts w:asciiTheme="minorHAnsi" w:eastAsiaTheme="minorHAnsi" w:hAnsiTheme="minorHAnsi" w:cstheme="minorBidi"/>
      <w:kern w:val="2"/>
      <w:lang w:val="en-GB" w:eastAsia="en-US"/>
      <w14:ligatures w14:val="standardContextual"/>
    </w:rPr>
  </w:style>
  <w:style w:type="paragraph" w:customStyle="1" w:styleId="paragraph">
    <w:name w:val="paragraph"/>
    <w:basedOn w:val="Normal"/>
    <w:rsid w:val="00523B73"/>
    <w:pPr>
      <w:tabs>
        <w:tab w:val="clear" w:pos="567"/>
        <w:tab w:val="clear" w:pos="1134"/>
        <w:tab w:val="clear" w:pos="1701"/>
        <w:tab w:val="clear" w:pos="2268"/>
        <w:tab w:val="clear" w:pos="2835"/>
      </w:tabs>
      <w:overflowPunct/>
      <w:autoSpaceDE/>
      <w:autoSpaceDN/>
      <w:adjustRightInd/>
      <w:spacing w:before="100" w:beforeAutospacing="1" w:after="100" w:afterAutospacing="1"/>
      <w:jc w:val="both"/>
      <w:textAlignment w:val="auto"/>
    </w:pPr>
    <w:rPr>
      <w:rFonts w:ascii="Times New Roman" w:hAnsi="Times New Roman"/>
      <w:szCs w:val="24"/>
      <w:lang w:val="en-GB" w:eastAsia="en-GB"/>
    </w:rPr>
  </w:style>
  <w:style w:type="character" w:customStyle="1" w:styleId="eop">
    <w:name w:val="eop"/>
    <w:basedOn w:val="DefaultParagraphFont"/>
    <w:rsid w:val="00523B73"/>
  </w:style>
  <w:style w:type="character" w:customStyle="1" w:styleId="tabchar">
    <w:name w:val="tabchar"/>
    <w:basedOn w:val="DefaultParagraphFont"/>
    <w:rsid w:val="00523B73"/>
  </w:style>
  <w:style w:type="character" w:customStyle="1" w:styleId="Heading1Char">
    <w:name w:val="Heading 1 Char"/>
    <w:basedOn w:val="DefaultParagraphFont"/>
    <w:link w:val="Heading1"/>
    <w:rsid w:val="00523B73"/>
    <w:rPr>
      <w:rFonts w:ascii="Calibri" w:hAnsi="Calibri"/>
      <w:b/>
      <w:sz w:val="28"/>
      <w:lang w:val="fr-FR" w:eastAsia="en-US"/>
    </w:rPr>
  </w:style>
  <w:style w:type="character" w:customStyle="1" w:styleId="Heading3Char">
    <w:name w:val="Heading 3 Char"/>
    <w:basedOn w:val="DefaultParagraphFont"/>
    <w:link w:val="Heading3"/>
    <w:uiPriority w:val="9"/>
    <w:rsid w:val="00523B73"/>
    <w:rPr>
      <w:rFonts w:ascii="Calibri" w:hAnsi="Calibri"/>
      <w:b/>
      <w:sz w:val="24"/>
      <w:lang w:val="fr-FR" w:eastAsia="en-US"/>
    </w:rPr>
  </w:style>
  <w:style w:type="paragraph" w:styleId="CommentSubject">
    <w:name w:val="annotation subject"/>
    <w:basedOn w:val="CommentText"/>
    <w:next w:val="CommentText"/>
    <w:link w:val="CommentSubjectChar"/>
    <w:uiPriority w:val="99"/>
    <w:semiHidden/>
    <w:unhideWhenUsed/>
    <w:rsid w:val="00523B73"/>
    <w:pPr>
      <w:spacing w:after="0"/>
    </w:pPr>
    <w:rPr>
      <w:b/>
      <w:bCs/>
    </w:rPr>
  </w:style>
  <w:style w:type="character" w:customStyle="1" w:styleId="CommentSubjectChar">
    <w:name w:val="Comment Subject Char"/>
    <w:basedOn w:val="CommentTextChar"/>
    <w:link w:val="CommentSubject"/>
    <w:uiPriority w:val="99"/>
    <w:semiHidden/>
    <w:rsid w:val="00523B73"/>
    <w:rPr>
      <w:rFonts w:asciiTheme="minorHAnsi" w:eastAsiaTheme="minorHAnsi" w:hAnsiTheme="minorHAnsi" w:cstheme="minorBidi"/>
      <w:b/>
      <w:bCs/>
      <w:kern w:val="2"/>
      <w:lang w:val="en-GB" w:eastAsia="en-US"/>
      <w14:ligatures w14:val="standardContextual"/>
    </w:rPr>
  </w:style>
  <w:style w:type="paragraph" w:customStyle="1" w:styleId="Summary-Record">
    <w:name w:val="Summary-Record"/>
    <w:basedOn w:val="Source"/>
    <w:rsid w:val="00523B73"/>
    <w:pPr>
      <w:framePr w:hSpace="181" w:wrap="around" w:vAnchor="page" w:hAnchor="page" w:x="1589" w:y="2314"/>
      <w:spacing w:before="240" w:after="120"/>
    </w:pPr>
    <w:rPr>
      <w:sz w:val="34"/>
      <w:szCs w:val="34"/>
      <w:lang w:val="en-GB"/>
    </w:rPr>
  </w:style>
  <w:style w:type="character" w:styleId="Mention">
    <w:name w:val="Mention"/>
    <w:basedOn w:val="DefaultParagraphFont"/>
    <w:uiPriority w:val="99"/>
    <w:unhideWhenUsed/>
    <w:rsid w:val="00523B7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02/es" TargetMode="External"/><Relationship Id="rId13" Type="http://schemas.openxmlformats.org/officeDocument/2006/relationships/hyperlink" Target="https://www.itu.int/md/S26-CL-C-0012/es" TargetMode="External"/><Relationship Id="rId18" Type="http://schemas.openxmlformats.org/officeDocument/2006/relationships/hyperlink" Target="https://www.itu.int/md/S26-CL-C-0074/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tu.int/md/S26-CL-C-0077/es" TargetMode="External"/><Relationship Id="rId17" Type="http://schemas.openxmlformats.org/officeDocument/2006/relationships/hyperlink" Target="https://www.itu.int/md/S26-CL-260428-TD-0004/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tu.int/md/S26-CL-C-0033/es" TargetMode="External"/><Relationship Id="rId20" Type="http://schemas.openxmlformats.org/officeDocument/2006/relationships/hyperlink" Target="https://www.itu.int/md/S26-CL-260428-TD-0004/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97/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tu.int/md/S26-CL-C-0087/es" TargetMode="External"/><Relationship Id="rId23" Type="http://schemas.openxmlformats.org/officeDocument/2006/relationships/footer" Target="footer2.xml"/><Relationship Id="rId10" Type="http://schemas.openxmlformats.org/officeDocument/2006/relationships/hyperlink" Target="https://www.itu.int/md/S26-CL-C-0078/es" TargetMode="External"/><Relationship Id="rId19" Type="http://schemas.openxmlformats.org/officeDocument/2006/relationships/hyperlink" Target="https://www.itu.int/md/S26-CL-C-0013/es" TargetMode="External"/><Relationship Id="rId4" Type="http://schemas.openxmlformats.org/officeDocument/2006/relationships/settings" Target="settings.xml"/><Relationship Id="rId9" Type="http://schemas.openxmlformats.org/officeDocument/2006/relationships/hyperlink" Target="https://www.itu.int/md/S26-CL-C-0037/es" TargetMode="External"/><Relationship Id="rId14" Type="http://schemas.openxmlformats.org/officeDocument/2006/relationships/hyperlink" Target="https://www.itu.int/md/S26-CL-C-0013/en"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TEMPLATE\ITUOffice2007\POOL\POOL%20S%20-%20ITU\GS\PS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3B289-2409-48B1-88FF-B82D6C16F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PS_Council26.dotx</Template>
  <TotalTime>2</TotalTime>
  <Pages>11</Pages>
  <Words>5233</Words>
  <Characters>27578</Characters>
  <Application>Microsoft Office Word</Application>
  <DocSecurity>0</DocSecurity>
  <Lines>459</Lines>
  <Paragraphs>112</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
    </vt:vector>
  </TitlesOfParts>
  <Manager>Secretaría General - Pool</Manager>
  <Company>International Telecommunication Union</Company>
  <LinksUpToDate>false</LinksUpToDate>
  <CharactersWithSpaces>32699</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de los debates de la octava Sesión Plenaria</dc:title>
  <dc:subject>Consejo 2026 de la UIT</dc:subject>
  <cp:keywords>C26; C2026; Council 2026; PP26</cp:keywords>
  <dc:description/>
  <cp:lastPrinted>2006-03-24T09:51:00Z</cp:lastPrinted>
  <dcterms:created xsi:type="dcterms:W3CDTF">2026-08-07T13:38:00Z</dcterms:created>
  <dcterms:modified xsi:type="dcterms:W3CDTF">2026-08-07T13:39:00Z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