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Overlap w:val="never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96BD3" w:rsidRPr="008467BA" w14:paraId="1F7C5970" w14:textId="77777777" w:rsidTr="00D17718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2A132117" w14:textId="228758A2" w:rsidR="00796BD3" w:rsidRPr="008467BA" w:rsidRDefault="00796BD3" w:rsidP="00D17718">
            <w:pPr>
              <w:tabs>
                <w:tab w:val="clear" w:pos="1588"/>
                <w:tab w:val="clear" w:pos="1985"/>
                <w:tab w:val="left" w:pos="851"/>
                <w:tab w:val="center" w:pos="1930"/>
              </w:tabs>
              <w:spacing w:before="0" w:line="240" w:lineRule="atLeast"/>
              <w:rPr>
                <w:b/>
                <w:lang w:val="ru-RU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</w:p>
        </w:tc>
        <w:tc>
          <w:tcPr>
            <w:tcW w:w="5245" w:type="dxa"/>
          </w:tcPr>
          <w:p w14:paraId="3AE933FE" w14:textId="158B1155" w:rsidR="00796BD3" w:rsidRPr="008467BA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8467BA">
              <w:rPr>
                <w:b/>
                <w:lang w:val="ru-RU"/>
              </w:rPr>
              <w:t xml:space="preserve">Документ </w:t>
            </w:r>
            <w:r w:rsidR="00E92CC0" w:rsidRPr="008467BA">
              <w:rPr>
                <w:b/>
                <w:lang w:val="ru-RU"/>
              </w:rPr>
              <w:t>C26/1</w:t>
            </w:r>
            <w:r w:rsidR="00D106ED" w:rsidRPr="008467BA">
              <w:rPr>
                <w:b/>
                <w:lang w:val="ru-RU"/>
              </w:rPr>
              <w:t>25</w:t>
            </w:r>
            <w:r w:rsidR="00796BD3" w:rsidRPr="008467BA">
              <w:rPr>
                <w:b/>
                <w:lang w:val="ru-RU"/>
              </w:rPr>
              <w:t>-R</w:t>
            </w:r>
          </w:p>
        </w:tc>
      </w:tr>
      <w:tr w:rsidR="00796BD3" w:rsidRPr="008467BA" w14:paraId="30AE1918" w14:textId="77777777" w:rsidTr="00D17718">
        <w:trPr>
          <w:cantSplit/>
        </w:trPr>
        <w:tc>
          <w:tcPr>
            <w:tcW w:w="3969" w:type="dxa"/>
            <w:vMerge/>
          </w:tcPr>
          <w:p w14:paraId="007FE014" w14:textId="77777777" w:rsidR="00796BD3" w:rsidRPr="008467BA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44C41032" w14:textId="200BE042" w:rsidR="00796BD3" w:rsidRPr="008467BA" w:rsidRDefault="00464BC4" w:rsidP="00D17718">
            <w:pPr>
              <w:tabs>
                <w:tab w:val="left" w:pos="851"/>
              </w:tabs>
              <w:spacing w:before="0"/>
              <w:jc w:val="right"/>
              <w:rPr>
                <w:b/>
                <w:lang w:val="ru-RU"/>
              </w:rPr>
            </w:pPr>
            <w:r w:rsidRPr="008467BA">
              <w:rPr>
                <w:b/>
                <w:bCs/>
                <w:color w:val="000000"/>
                <w:lang w:val="ru-RU"/>
              </w:rPr>
              <w:t>3</w:t>
            </w:r>
            <w:r w:rsidR="00E92CC0" w:rsidRPr="008467BA">
              <w:rPr>
                <w:b/>
                <w:bCs/>
                <w:color w:val="000000"/>
                <w:lang w:val="ru-RU"/>
              </w:rPr>
              <w:t xml:space="preserve"> </w:t>
            </w:r>
            <w:r w:rsidRPr="008467BA">
              <w:rPr>
                <w:b/>
                <w:bCs/>
                <w:color w:val="000000"/>
                <w:lang w:val="ru-RU"/>
              </w:rPr>
              <w:t>августа</w:t>
            </w:r>
            <w:r w:rsidR="00E92CC0" w:rsidRPr="008467BA">
              <w:rPr>
                <w:b/>
                <w:bCs/>
                <w:color w:val="000000"/>
                <w:lang w:val="ru-RU"/>
              </w:rPr>
              <w:t xml:space="preserve"> 2026 года</w:t>
            </w:r>
          </w:p>
        </w:tc>
      </w:tr>
      <w:tr w:rsidR="00796BD3" w:rsidRPr="008467BA" w14:paraId="356ABC8B" w14:textId="77777777" w:rsidTr="00D17718">
        <w:trPr>
          <w:cantSplit/>
          <w:trHeight w:val="23"/>
        </w:trPr>
        <w:tc>
          <w:tcPr>
            <w:tcW w:w="3969" w:type="dxa"/>
            <w:vMerge/>
          </w:tcPr>
          <w:p w14:paraId="2205853D" w14:textId="77777777" w:rsidR="00796BD3" w:rsidRPr="008467BA" w:rsidRDefault="00796BD3" w:rsidP="00D17718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48D52EA1" w14:textId="77777777" w:rsidR="00796BD3" w:rsidRPr="008467BA" w:rsidRDefault="0033025A" w:rsidP="00D17718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8467BA">
              <w:rPr>
                <w:b/>
                <w:lang w:val="ru-RU"/>
              </w:rPr>
              <w:t>Оригинал: английский</w:t>
            </w:r>
          </w:p>
        </w:tc>
      </w:tr>
      <w:tr w:rsidR="00796BD3" w:rsidRPr="008467BA" w14:paraId="19D75E4B" w14:textId="77777777" w:rsidTr="00D17718">
        <w:trPr>
          <w:cantSplit/>
          <w:trHeight w:val="23"/>
        </w:trPr>
        <w:tc>
          <w:tcPr>
            <w:tcW w:w="3969" w:type="dxa"/>
          </w:tcPr>
          <w:p w14:paraId="5ACFE31B" w14:textId="77777777" w:rsidR="00796BD3" w:rsidRPr="008467BA" w:rsidRDefault="00796BD3" w:rsidP="00974D72">
            <w:pPr>
              <w:tabs>
                <w:tab w:val="left" w:pos="851"/>
              </w:tabs>
              <w:spacing w:before="0" w:line="240" w:lineRule="atLeast"/>
              <w:rPr>
                <w:b/>
                <w:lang w:val="ru-RU"/>
              </w:rPr>
            </w:pPr>
          </w:p>
        </w:tc>
        <w:tc>
          <w:tcPr>
            <w:tcW w:w="5245" w:type="dxa"/>
          </w:tcPr>
          <w:p w14:paraId="74486F01" w14:textId="77777777" w:rsidR="00796BD3" w:rsidRPr="008467BA" w:rsidRDefault="00796BD3" w:rsidP="00974D72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</w:p>
        </w:tc>
      </w:tr>
      <w:tr w:rsidR="00796BD3" w:rsidRPr="008467BA" w14:paraId="70D65C63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7649307F" w14:textId="35070155" w:rsidR="00796BD3" w:rsidRPr="008467BA" w:rsidRDefault="00D106ED" w:rsidP="00974D72">
            <w:pPr>
              <w:pStyle w:val="Source"/>
              <w:framePr w:hSpace="0" w:wrap="auto" w:vAnchor="margin" w:hAnchor="text" w:xAlign="left" w:yAlign="inline"/>
              <w:suppressOverlap w:val="0"/>
              <w:jc w:val="center"/>
              <w:rPr>
                <w:caps/>
              </w:rPr>
            </w:pPr>
            <w:bookmarkStart w:id="5" w:name="dsource" w:colFirst="0" w:colLast="0"/>
            <w:bookmarkEnd w:id="4"/>
            <w:r w:rsidRPr="008467BA">
              <w:rPr>
                <w:caps/>
              </w:rPr>
              <w:t xml:space="preserve">Краткий отчет </w:t>
            </w:r>
            <w:r w:rsidR="00974D72" w:rsidRPr="008467BA">
              <w:rPr>
                <w:caps/>
              </w:rPr>
              <w:br/>
            </w:r>
            <w:r w:rsidR="00974D72" w:rsidRPr="008467BA">
              <w:rPr>
                <w:caps/>
              </w:rPr>
              <w:br/>
            </w:r>
            <w:r w:rsidRPr="008467BA">
              <w:rPr>
                <w:caps/>
              </w:rPr>
              <w:t>о восьмом пленарном заседании</w:t>
            </w:r>
          </w:p>
        </w:tc>
      </w:tr>
      <w:tr w:rsidR="00796BD3" w:rsidRPr="008467BA" w14:paraId="1467BAC9" w14:textId="77777777" w:rsidTr="00D17718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00EDFCF7" w14:textId="3E66425B" w:rsidR="00D106ED" w:rsidRPr="008467BA" w:rsidRDefault="00D106ED" w:rsidP="00974D72">
            <w:pPr>
              <w:spacing w:after="240"/>
              <w:jc w:val="center"/>
              <w:rPr>
                <w:szCs w:val="18"/>
                <w:lang w:val="ru-RU"/>
              </w:rPr>
            </w:pPr>
            <w:bookmarkStart w:id="6" w:name="dtitle1" w:colFirst="0" w:colLast="0"/>
            <w:bookmarkEnd w:id="5"/>
            <w:r w:rsidRPr="008467BA">
              <w:rPr>
                <w:rFonts w:cs="Calibri"/>
                <w:szCs w:val="22"/>
                <w:lang w:val="ru-RU" w:eastAsia="en-GB"/>
              </w:rPr>
              <w:t>Пятница, 8 мая 2026 года, 09 час. 15 мин. – 12 час. 05 мин.</w:t>
            </w:r>
          </w:p>
          <w:p w14:paraId="6AA343AA" w14:textId="450E2EC0" w:rsidR="00796BD3" w:rsidRPr="008467BA" w:rsidRDefault="00D106ED" w:rsidP="00974D72">
            <w:pPr>
              <w:pStyle w:val="Subtitle"/>
              <w:framePr w:hSpace="0" w:wrap="auto" w:xAlign="left" w:yAlign="inline"/>
              <w:suppressOverlap w:val="0"/>
              <w:jc w:val="center"/>
              <w:rPr>
                <w:sz w:val="32"/>
              </w:rPr>
            </w:pPr>
            <w:r w:rsidRPr="008467BA">
              <w:rPr>
                <w:b/>
                <w:bCs/>
                <w:sz w:val="22"/>
                <w:szCs w:val="18"/>
              </w:rPr>
              <w:t>Председатель</w:t>
            </w:r>
            <w:r w:rsidRPr="008467BA">
              <w:rPr>
                <w:sz w:val="22"/>
                <w:szCs w:val="18"/>
              </w:rPr>
              <w:t>: г-н Б. Тиджани (Нигерия)</w:t>
            </w:r>
          </w:p>
        </w:tc>
      </w:tr>
      <w:bookmarkEnd w:id="2"/>
      <w:bookmarkEnd w:id="6"/>
    </w:tbl>
    <w:p w14:paraId="6C0100B8" w14:textId="77777777" w:rsidR="00796BD3" w:rsidRPr="008467BA" w:rsidRDefault="00796BD3" w:rsidP="00796BD3">
      <w:pPr>
        <w:rPr>
          <w:lang w:val="ru-RU"/>
        </w:rPr>
      </w:pPr>
    </w:p>
    <w:tbl>
      <w:tblPr>
        <w:tblW w:w="92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5"/>
        <w:gridCol w:w="6476"/>
        <w:gridCol w:w="2313"/>
      </w:tblGrid>
      <w:tr w:rsidR="00D106ED" w:rsidRPr="008467BA" w14:paraId="4E0A0B13" w14:textId="77777777" w:rsidTr="00D106ED">
        <w:tc>
          <w:tcPr>
            <w:tcW w:w="425" w:type="dxa"/>
          </w:tcPr>
          <w:p w14:paraId="31C8B533" w14:textId="77777777" w:rsidR="00D106ED" w:rsidRPr="008467BA" w:rsidRDefault="00D106ED" w:rsidP="00974D72">
            <w:pPr>
              <w:spacing w:before="360"/>
              <w:rPr>
                <w:b/>
                <w:bCs/>
                <w:szCs w:val="24"/>
                <w:lang w:val="ru-RU"/>
              </w:rPr>
            </w:pPr>
            <w:r w:rsidRPr="008467BA">
              <w:rPr>
                <w:b/>
                <w:bCs/>
                <w:szCs w:val="24"/>
                <w:lang w:val="ru-RU"/>
              </w:rPr>
              <w:br w:type="page"/>
            </w:r>
            <w:r w:rsidRPr="008467BA">
              <w:rPr>
                <w:b/>
                <w:bCs/>
                <w:szCs w:val="24"/>
                <w:lang w:val="ru-RU"/>
              </w:rPr>
              <w:br w:type="page"/>
            </w:r>
          </w:p>
        </w:tc>
        <w:tc>
          <w:tcPr>
            <w:tcW w:w="6476" w:type="dxa"/>
            <w:hideMark/>
          </w:tcPr>
          <w:p w14:paraId="7BDC30C1" w14:textId="77777777" w:rsidR="00D106ED" w:rsidRPr="008467BA" w:rsidRDefault="00D106ED" w:rsidP="00974D72">
            <w:pPr>
              <w:spacing w:before="360" w:after="120"/>
              <w:rPr>
                <w:b/>
                <w:bCs/>
                <w:szCs w:val="24"/>
                <w:lang w:val="ru-RU"/>
              </w:rPr>
            </w:pPr>
            <w:r w:rsidRPr="008467BA">
              <w:rPr>
                <w:b/>
                <w:bCs/>
                <w:szCs w:val="24"/>
                <w:lang w:val="ru-RU"/>
              </w:rPr>
              <w:t>Обсуждаемые вопросы</w:t>
            </w:r>
          </w:p>
        </w:tc>
        <w:tc>
          <w:tcPr>
            <w:tcW w:w="2313" w:type="dxa"/>
            <w:hideMark/>
          </w:tcPr>
          <w:p w14:paraId="4947440A" w14:textId="77777777" w:rsidR="00D106ED" w:rsidRPr="008467BA" w:rsidRDefault="00D106ED" w:rsidP="00974D72">
            <w:pPr>
              <w:spacing w:before="360"/>
              <w:jc w:val="center"/>
              <w:rPr>
                <w:b/>
                <w:bCs/>
                <w:szCs w:val="24"/>
                <w:lang w:val="ru-RU"/>
              </w:rPr>
            </w:pPr>
            <w:r w:rsidRPr="008467BA">
              <w:rPr>
                <w:b/>
                <w:bCs/>
                <w:szCs w:val="24"/>
                <w:lang w:val="ru-RU"/>
              </w:rPr>
              <w:t>Документы</w:t>
            </w:r>
          </w:p>
        </w:tc>
      </w:tr>
      <w:tr w:rsidR="00D106ED" w:rsidRPr="008467BA" w14:paraId="517CF18C" w14:textId="77777777" w:rsidTr="00D106ED">
        <w:trPr>
          <w:cantSplit/>
          <w:trHeight w:val="20"/>
        </w:trPr>
        <w:tc>
          <w:tcPr>
            <w:tcW w:w="425" w:type="dxa"/>
            <w:hideMark/>
          </w:tcPr>
          <w:p w14:paraId="7257B0C4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1</w:t>
            </w:r>
          </w:p>
        </w:tc>
        <w:tc>
          <w:tcPr>
            <w:tcW w:w="6476" w:type="dxa"/>
          </w:tcPr>
          <w:p w14:paraId="29253961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 w:eastAsia="en-GB"/>
              </w:rPr>
              <w:t>Предлагаемый график проведения сессий Совета в 2027, 2028 и 2029 годах и блоков собраний рабочих групп Совета и групп экспертов в тот же период</w:t>
            </w:r>
          </w:p>
        </w:tc>
        <w:tc>
          <w:tcPr>
            <w:tcW w:w="2313" w:type="dxa"/>
          </w:tcPr>
          <w:p w14:paraId="1417008E" w14:textId="77777777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7" w:history="1">
              <w:r w:rsidRPr="008467BA">
                <w:rPr>
                  <w:rStyle w:val="Hyperlink"/>
                  <w:lang w:val="ru-RU"/>
                </w:rPr>
                <w:t>C26/2</w:t>
              </w:r>
            </w:hyperlink>
          </w:p>
        </w:tc>
      </w:tr>
      <w:tr w:rsidR="00D106ED" w:rsidRPr="008467BA" w14:paraId="1095DEE7" w14:textId="77777777" w:rsidTr="00D106ED">
        <w:trPr>
          <w:cantSplit/>
          <w:trHeight w:val="20"/>
        </w:trPr>
        <w:tc>
          <w:tcPr>
            <w:tcW w:w="425" w:type="dxa"/>
          </w:tcPr>
          <w:p w14:paraId="414B56E9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2</w:t>
            </w:r>
          </w:p>
        </w:tc>
        <w:tc>
          <w:tcPr>
            <w:tcW w:w="6476" w:type="dxa"/>
          </w:tcPr>
          <w:p w14:paraId="0251F454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 w:eastAsia="en-GB"/>
              </w:rPr>
              <w:t>Расписание будущих конференций, ассамблей и собраний Союза: 2026−2029 годы</w:t>
            </w:r>
          </w:p>
        </w:tc>
        <w:tc>
          <w:tcPr>
            <w:tcW w:w="2313" w:type="dxa"/>
          </w:tcPr>
          <w:p w14:paraId="1D16D92A" w14:textId="612203B0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8" w:history="1">
              <w:r w:rsidRPr="008467BA">
                <w:rPr>
                  <w:rStyle w:val="Hyperlink"/>
                  <w:lang w:val="ru-RU"/>
                </w:rPr>
                <w:t>C26/37(Rev.1)</w:t>
              </w:r>
            </w:hyperlink>
          </w:p>
        </w:tc>
      </w:tr>
      <w:tr w:rsidR="00D106ED" w:rsidRPr="008467BA" w14:paraId="3878576A" w14:textId="77777777" w:rsidTr="00D106ED">
        <w:trPr>
          <w:cantSplit/>
          <w:trHeight w:val="20"/>
        </w:trPr>
        <w:tc>
          <w:tcPr>
            <w:tcW w:w="425" w:type="dxa"/>
          </w:tcPr>
          <w:p w14:paraId="609508B3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3</w:t>
            </w:r>
          </w:p>
        </w:tc>
        <w:tc>
          <w:tcPr>
            <w:tcW w:w="6476" w:type="dxa"/>
          </w:tcPr>
          <w:p w14:paraId="507BB17D" w14:textId="356BE15F" w:rsidR="00D106ED" w:rsidRPr="008467BA" w:rsidRDefault="00D106ED" w:rsidP="007C3415">
            <w:pPr>
              <w:spacing w:before="80" w:after="80"/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/>
              </w:rPr>
              <w:t>Предложение о проведении Полномочной конференции 2030 года в Индии</w:t>
            </w:r>
          </w:p>
        </w:tc>
        <w:tc>
          <w:tcPr>
            <w:tcW w:w="2313" w:type="dxa"/>
          </w:tcPr>
          <w:p w14:paraId="3454E8EB" w14:textId="77777777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9" w:history="1">
              <w:r w:rsidRPr="008467BA">
                <w:rPr>
                  <w:rStyle w:val="Hyperlink"/>
                  <w:lang w:val="ru-RU"/>
                </w:rPr>
                <w:t>C26/78</w:t>
              </w:r>
            </w:hyperlink>
          </w:p>
        </w:tc>
      </w:tr>
      <w:tr w:rsidR="00D106ED" w:rsidRPr="008467BA" w14:paraId="59288CCC" w14:textId="77777777" w:rsidTr="00D106ED">
        <w:trPr>
          <w:cantSplit/>
          <w:trHeight w:val="20"/>
        </w:trPr>
        <w:tc>
          <w:tcPr>
            <w:tcW w:w="425" w:type="dxa"/>
          </w:tcPr>
          <w:p w14:paraId="7BBE4164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4</w:t>
            </w:r>
          </w:p>
        </w:tc>
        <w:tc>
          <w:tcPr>
            <w:tcW w:w="6476" w:type="dxa"/>
          </w:tcPr>
          <w:p w14:paraId="4CDF88E5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/>
              </w:rPr>
              <w:t>Четкий, последовательный и уважительный подход к распределению времени на конференциях и ассамблеях МСЭ</w:t>
            </w:r>
          </w:p>
        </w:tc>
        <w:tc>
          <w:tcPr>
            <w:tcW w:w="2313" w:type="dxa"/>
          </w:tcPr>
          <w:p w14:paraId="3693A4DD" w14:textId="77777777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0" w:history="1">
              <w:r w:rsidRPr="008467BA">
                <w:rPr>
                  <w:rStyle w:val="Hyperlink"/>
                  <w:lang w:val="ru-RU"/>
                </w:rPr>
                <w:t>C26/97</w:t>
              </w:r>
            </w:hyperlink>
          </w:p>
        </w:tc>
      </w:tr>
      <w:tr w:rsidR="00D106ED" w:rsidRPr="008467BA" w14:paraId="0A772726" w14:textId="77777777" w:rsidTr="00D106ED">
        <w:trPr>
          <w:cantSplit/>
          <w:trHeight w:val="20"/>
        </w:trPr>
        <w:tc>
          <w:tcPr>
            <w:tcW w:w="425" w:type="dxa"/>
          </w:tcPr>
          <w:p w14:paraId="03AE5823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5</w:t>
            </w:r>
          </w:p>
        </w:tc>
        <w:tc>
          <w:tcPr>
            <w:tcW w:w="6476" w:type="dxa"/>
          </w:tcPr>
          <w:p w14:paraId="5277EB04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/>
              </w:rPr>
              <w:t>О систематических проблемах с получением въездной швейцарской визы для российских делегатов</w:t>
            </w:r>
          </w:p>
        </w:tc>
        <w:tc>
          <w:tcPr>
            <w:tcW w:w="2313" w:type="dxa"/>
          </w:tcPr>
          <w:p w14:paraId="5D7FCA0C" w14:textId="77777777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1" w:history="1">
              <w:r w:rsidRPr="008467BA">
                <w:rPr>
                  <w:rStyle w:val="Hyperlink"/>
                  <w:lang w:val="ru-RU"/>
                </w:rPr>
                <w:t>C26/77</w:t>
              </w:r>
            </w:hyperlink>
          </w:p>
        </w:tc>
      </w:tr>
      <w:tr w:rsidR="00D106ED" w:rsidRPr="008467BA" w14:paraId="2929F8CE" w14:textId="77777777" w:rsidTr="00D106ED">
        <w:trPr>
          <w:cantSplit/>
          <w:trHeight w:val="20"/>
        </w:trPr>
        <w:tc>
          <w:tcPr>
            <w:tcW w:w="425" w:type="dxa"/>
          </w:tcPr>
          <w:p w14:paraId="182588CA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6</w:t>
            </w:r>
          </w:p>
        </w:tc>
        <w:tc>
          <w:tcPr>
            <w:tcW w:w="6476" w:type="dxa"/>
          </w:tcPr>
          <w:p w14:paraId="72FD78C2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 w:eastAsia="en-GB"/>
              </w:rPr>
              <w:t>Отчет председателя Рабочей группы Совета по языкам (РГС-Яз) и четырехгодичный отчет (РГС-Яз)</w:t>
            </w:r>
          </w:p>
        </w:tc>
        <w:tc>
          <w:tcPr>
            <w:tcW w:w="2313" w:type="dxa"/>
          </w:tcPr>
          <w:p w14:paraId="010EA058" w14:textId="70F45FFC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2" w:history="1">
              <w:r w:rsidRPr="008467BA">
                <w:rPr>
                  <w:rStyle w:val="Hyperlink"/>
                  <w:lang w:val="ru-RU"/>
                </w:rPr>
                <w:t>C26/12</w:t>
              </w:r>
            </w:hyperlink>
            <w:r w:rsidRPr="008467BA">
              <w:rPr>
                <w:szCs w:val="22"/>
                <w:lang w:val="ru-RU"/>
              </w:rPr>
              <w:t xml:space="preserve">, </w:t>
            </w:r>
            <w:hyperlink r:id="rId13" w:history="1">
              <w:r w:rsidRPr="008467BA">
                <w:rPr>
                  <w:rStyle w:val="Hyperlink"/>
                  <w:lang w:val="ru-RU"/>
                </w:rPr>
                <w:t>C26/13</w:t>
              </w:r>
            </w:hyperlink>
          </w:p>
        </w:tc>
      </w:tr>
      <w:tr w:rsidR="00D106ED" w:rsidRPr="008467BA" w14:paraId="6C467485" w14:textId="77777777" w:rsidTr="00D106ED">
        <w:trPr>
          <w:cantSplit/>
          <w:trHeight w:val="20"/>
        </w:trPr>
        <w:tc>
          <w:tcPr>
            <w:tcW w:w="425" w:type="dxa"/>
          </w:tcPr>
          <w:p w14:paraId="4A3AD073" w14:textId="77777777" w:rsidR="00D106ED" w:rsidRPr="008467BA" w:rsidRDefault="00D106ED" w:rsidP="007C3415">
            <w:pPr>
              <w:spacing w:before="80" w:after="80"/>
              <w:rPr>
                <w:szCs w:val="22"/>
                <w:lang w:val="ru-RU"/>
              </w:rPr>
            </w:pPr>
          </w:p>
        </w:tc>
        <w:tc>
          <w:tcPr>
            <w:tcW w:w="6476" w:type="dxa"/>
          </w:tcPr>
          <w:p w14:paraId="4D5BBA69" w14:textId="77777777" w:rsidR="00D106ED" w:rsidRPr="008467BA" w:rsidRDefault="00D106ED" w:rsidP="007C3415">
            <w:pPr>
              <w:spacing w:before="80" w:after="80"/>
              <w:ind w:right="-113"/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/>
              </w:rPr>
              <w:t>Проект пересмотра Резолюции 1386 (C17, последнее изменение C25) Совета о Координационном комитете МСЭ по терминологии и проект пересмотра Резолюции 154 (Пересм. Бухарест, 2022 г.) Полномочной конференции</w:t>
            </w:r>
          </w:p>
        </w:tc>
        <w:tc>
          <w:tcPr>
            <w:tcW w:w="2313" w:type="dxa"/>
          </w:tcPr>
          <w:p w14:paraId="530B1C38" w14:textId="7E99DBFF" w:rsidR="00D106ED" w:rsidRPr="008467BA" w:rsidRDefault="00D106ED" w:rsidP="007C3415">
            <w:pPr>
              <w:spacing w:before="80" w:after="80"/>
              <w:jc w:val="center"/>
              <w:rPr>
                <w:szCs w:val="22"/>
                <w:lang w:val="ru-RU"/>
              </w:rPr>
            </w:pPr>
            <w:hyperlink r:id="rId14" w:history="1">
              <w:r w:rsidRPr="008467BA">
                <w:rPr>
                  <w:rStyle w:val="Hyperlink"/>
                  <w:lang w:val="ru-RU"/>
                </w:rPr>
                <w:t>C26/87</w:t>
              </w:r>
              <w:r w:rsidR="00974D72" w:rsidRPr="008467BA">
                <w:rPr>
                  <w:rStyle w:val="Hyperlink"/>
                  <w:lang w:val="ru-RU"/>
                </w:rPr>
                <w:t xml:space="preserve"> </w:t>
              </w:r>
              <w:r w:rsidRPr="008467BA">
                <w:rPr>
                  <w:rStyle w:val="Hyperlink"/>
                  <w:lang w:val="ru-RU"/>
                </w:rPr>
                <w:t>+</w:t>
              </w:r>
              <w:r w:rsidR="00974D72" w:rsidRPr="008467BA">
                <w:rPr>
                  <w:rStyle w:val="Hyperlink"/>
                  <w:lang w:val="ru-RU"/>
                </w:rPr>
                <w:t xml:space="preserve"> </w:t>
              </w:r>
              <w:r w:rsidRPr="008467BA">
                <w:rPr>
                  <w:rStyle w:val="Hyperlink"/>
                  <w:lang w:val="ru-RU"/>
                </w:rPr>
                <w:t>Add.1</w:t>
              </w:r>
            </w:hyperlink>
          </w:p>
        </w:tc>
      </w:tr>
      <w:tr w:rsidR="00D106ED" w:rsidRPr="008467BA" w14:paraId="329E0124" w14:textId="77777777" w:rsidTr="00D106ED">
        <w:trPr>
          <w:cantSplit/>
          <w:trHeight w:val="20"/>
        </w:trPr>
        <w:tc>
          <w:tcPr>
            <w:tcW w:w="425" w:type="dxa"/>
          </w:tcPr>
          <w:p w14:paraId="65F10CE6" w14:textId="77777777" w:rsidR="00D106ED" w:rsidRPr="008467BA" w:rsidRDefault="00D106ED" w:rsidP="007C3415">
            <w:pPr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7</w:t>
            </w:r>
          </w:p>
        </w:tc>
        <w:tc>
          <w:tcPr>
            <w:tcW w:w="6476" w:type="dxa"/>
          </w:tcPr>
          <w:p w14:paraId="6B88B3AF" w14:textId="77777777" w:rsidR="00D106ED" w:rsidRPr="008467BA" w:rsidRDefault="00D106ED" w:rsidP="007C3415">
            <w:pPr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 w:eastAsia="en-GB"/>
              </w:rPr>
              <w:t>Деятельность МСЭ в области интернета: Резолюции 101, 102, 133, 180 и 206 Полномочной конференции (</w:t>
            </w:r>
            <w:r w:rsidRPr="008467BA">
              <w:rPr>
                <w:i/>
                <w:iCs/>
                <w:szCs w:val="22"/>
                <w:lang w:val="ru-RU" w:eastAsia="en-GB"/>
              </w:rPr>
              <w:t>продолжение</w:t>
            </w:r>
            <w:r w:rsidRPr="008467BA">
              <w:rPr>
                <w:szCs w:val="22"/>
                <w:lang w:val="ru-RU" w:eastAsia="en-GB"/>
              </w:rPr>
              <w:t>)</w:t>
            </w:r>
          </w:p>
        </w:tc>
        <w:tc>
          <w:tcPr>
            <w:tcW w:w="2313" w:type="dxa"/>
          </w:tcPr>
          <w:p w14:paraId="7662427F" w14:textId="77777777" w:rsidR="00D106ED" w:rsidRPr="008467BA" w:rsidRDefault="00D106ED" w:rsidP="007C3415">
            <w:pPr>
              <w:jc w:val="center"/>
              <w:rPr>
                <w:szCs w:val="22"/>
                <w:lang w:val="ru-RU"/>
              </w:rPr>
            </w:pPr>
            <w:hyperlink r:id="rId15" w:history="1">
              <w:r w:rsidRPr="008467BA">
                <w:rPr>
                  <w:rStyle w:val="Hyperlink"/>
                  <w:lang w:val="ru-RU"/>
                </w:rPr>
                <w:t>C26/33</w:t>
              </w:r>
            </w:hyperlink>
            <w:r w:rsidRPr="008467BA">
              <w:rPr>
                <w:szCs w:val="22"/>
                <w:lang w:val="ru-RU"/>
              </w:rPr>
              <w:t xml:space="preserve">, </w:t>
            </w:r>
            <w:hyperlink r:id="rId16" w:history="1">
              <w:r w:rsidRPr="008467BA">
                <w:rPr>
                  <w:rStyle w:val="Hyperlink"/>
                  <w:lang w:val="ru-RU"/>
                </w:rPr>
                <w:t>C26/DT/4</w:t>
              </w:r>
            </w:hyperlink>
          </w:p>
        </w:tc>
      </w:tr>
      <w:tr w:rsidR="00D106ED" w:rsidRPr="008467BA" w14:paraId="3DE9D2C4" w14:textId="77777777" w:rsidTr="00D106ED">
        <w:trPr>
          <w:cantSplit/>
          <w:trHeight w:val="20"/>
        </w:trPr>
        <w:tc>
          <w:tcPr>
            <w:tcW w:w="425" w:type="dxa"/>
          </w:tcPr>
          <w:p w14:paraId="729E976B" w14:textId="77777777" w:rsidR="00D106ED" w:rsidRPr="008467BA" w:rsidRDefault="00D106ED" w:rsidP="007C3415">
            <w:pPr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8</w:t>
            </w:r>
          </w:p>
        </w:tc>
        <w:tc>
          <w:tcPr>
            <w:tcW w:w="6476" w:type="dxa"/>
          </w:tcPr>
          <w:p w14:paraId="4923DFCD" w14:textId="77777777" w:rsidR="00D106ED" w:rsidRPr="008467BA" w:rsidRDefault="00D106ED" w:rsidP="007C3415">
            <w:pPr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 w:eastAsia="en-GB"/>
              </w:rPr>
              <w:t>Выполнение Резолюции 30 (Пересм. Бухарест, 2022 г.) Полномочной конференции о специальных мерах для наименее развитых стран, малых островных развивающихся государств, развивающихся стран, не имеющих выхода к морю, и стран с переходной экономикой</w:t>
            </w:r>
          </w:p>
        </w:tc>
        <w:tc>
          <w:tcPr>
            <w:tcW w:w="2313" w:type="dxa"/>
          </w:tcPr>
          <w:p w14:paraId="004DA61A" w14:textId="77777777" w:rsidR="00D106ED" w:rsidRPr="008467BA" w:rsidRDefault="00D106ED" w:rsidP="007C3415">
            <w:pPr>
              <w:jc w:val="center"/>
              <w:rPr>
                <w:szCs w:val="22"/>
                <w:lang w:val="ru-RU"/>
              </w:rPr>
            </w:pPr>
            <w:hyperlink r:id="rId17" w:history="1">
              <w:r w:rsidRPr="008467BA">
                <w:rPr>
                  <w:rStyle w:val="Hyperlink"/>
                  <w:lang w:val="ru-RU"/>
                </w:rPr>
                <w:t>C26/74</w:t>
              </w:r>
            </w:hyperlink>
          </w:p>
        </w:tc>
      </w:tr>
      <w:tr w:rsidR="00D106ED" w:rsidRPr="008467BA" w14:paraId="797FE61D" w14:textId="77777777" w:rsidTr="00D106ED">
        <w:trPr>
          <w:cantSplit/>
          <w:trHeight w:val="20"/>
        </w:trPr>
        <w:tc>
          <w:tcPr>
            <w:tcW w:w="425" w:type="dxa"/>
          </w:tcPr>
          <w:p w14:paraId="4E478032" w14:textId="77777777" w:rsidR="00D106ED" w:rsidRPr="008467BA" w:rsidRDefault="00D106ED" w:rsidP="007C3415">
            <w:pPr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9</w:t>
            </w:r>
          </w:p>
        </w:tc>
        <w:tc>
          <w:tcPr>
            <w:tcW w:w="6476" w:type="dxa"/>
          </w:tcPr>
          <w:p w14:paraId="280DE1F8" w14:textId="77777777" w:rsidR="00D106ED" w:rsidRPr="008467BA" w:rsidRDefault="00D106ED" w:rsidP="007C3415">
            <w:pPr>
              <w:rPr>
                <w:szCs w:val="22"/>
                <w:lang w:val="ru-RU" w:eastAsia="en-GB"/>
              </w:rPr>
            </w:pPr>
            <w:r w:rsidRPr="008467BA">
              <w:rPr>
                <w:szCs w:val="22"/>
                <w:lang w:val="ru-RU" w:eastAsia="en-GB"/>
              </w:rPr>
              <w:t>Заявления Советников и наблюдателей</w:t>
            </w:r>
          </w:p>
        </w:tc>
        <w:tc>
          <w:tcPr>
            <w:tcW w:w="2313" w:type="dxa"/>
          </w:tcPr>
          <w:p w14:paraId="37A2BED6" w14:textId="77777777" w:rsidR="00D106ED" w:rsidRPr="008467BA" w:rsidRDefault="00D106ED" w:rsidP="007C3415">
            <w:pPr>
              <w:jc w:val="center"/>
              <w:rPr>
                <w:szCs w:val="22"/>
                <w:lang w:val="ru-RU"/>
              </w:rPr>
            </w:pPr>
            <w:r w:rsidRPr="008467BA">
              <w:rPr>
                <w:szCs w:val="22"/>
                <w:lang w:val="ru-RU"/>
              </w:rPr>
              <w:t>–</w:t>
            </w:r>
          </w:p>
        </w:tc>
      </w:tr>
    </w:tbl>
    <w:p w14:paraId="2681EA8C" w14:textId="77777777" w:rsidR="00974D72" w:rsidRPr="008467BA" w:rsidRDefault="00974D7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 w:rsidRPr="008467BA">
        <w:rPr>
          <w:lang w:val="ru-RU"/>
        </w:rPr>
        <w:br w:type="page"/>
      </w:r>
    </w:p>
    <w:p w14:paraId="26AD1AAA" w14:textId="248B9FC4" w:rsidR="00D106ED" w:rsidRPr="008467BA" w:rsidRDefault="00D106ED" w:rsidP="00974D72">
      <w:pPr>
        <w:pStyle w:val="Heading1"/>
        <w:rPr>
          <w:lang w:val="ru-RU"/>
        </w:rPr>
      </w:pPr>
      <w:r w:rsidRPr="008467BA">
        <w:rPr>
          <w:lang w:val="ru-RU"/>
        </w:rPr>
        <w:lastRenderedPageBreak/>
        <w:t>1</w:t>
      </w:r>
      <w:r w:rsidRPr="008467BA">
        <w:rPr>
          <w:lang w:val="ru-RU"/>
        </w:rPr>
        <w:tab/>
        <w:t>Предлагаемый график проведения сессий Совета в 2027, 2028 и 2029</w:t>
      </w:r>
      <w:r w:rsidR="00D144FA" w:rsidRPr="008467BA">
        <w:rPr>
          <w:lang w:val="ru-RU"/>
        </w:rPr>
        <w:t> </w:t>
      </w:r>
      <w:r w:rsidRPr="008467BA">
        <w:rPr>
          <w:lang w:val="ru-RU"/>
        </w:rPr>
        <w:t>годах и блоков собраний рабочих групп Совета и групп экспертов в</w:t>
      </w:r>
      <w:r w:rsidR="00D144FA" w:rsidRPr="008467BA">
        <w:rPr>
          <w:lang w:val="ru-RU"/>
        </w:rPr>
        <w:t> </w:t>
      </w:r>
      <w:r w:rsidRPr="008467BA">
        <w:rPr>
          <w:lang w:val="ru-RU"/>
        </w:rPr>
        <w:t>тот же период (Документ </w:t>
      </w:r>
      <w:hyperlink r:id="rId18" w:history="1">
        <w:r w:rsidRPr="008467BA">
          <w:rPr>
            <w:rStyle w:val="Hyperlink"/>
            <w:lang w:val="ru-RU"/>
          </w:rPr>
          <w:t>C26/2</w:t>
        </w:r>
      </w:hyperlink>
      <w:r w:rsidRPr="008467BA">
        <w:rPr>
          <w:lang w:val="ru-RU"/>
        </w:rPr>
        <w:t>)</w:t>
      </w:r>
    </w:p>
    <w:p w14:paraId="59E4A5E7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1.1</w:t>
      </w:r>
      <w:r w:rsidRPr="008467BA">
        <w:rPr>
          <w:lang w:val="ru-RU"/>
        </w:rPr>
        <w:tab/>
        <w:t>Секретарь пленарного заседания представляет Документ C26/2, в котором содержится предлагаемый график проведения сессий Совета в 2027, 2028 и 2029 годах, а также блоков собраний рабочих групп Совета (РГС) и групп экспертов (ГЭ) в тот же период. Секретариат предлагает перейти к проведению одного блока собраний РГС/ГЭ каждый год, чтобы сократить затраты и рационализировать ресурсы, – подход, который регулярно применяется в год после полномочной конференции. Государствам-Членам предлагается рассмотреть вопрос о том, проводить ли сессию Совета 2029 года (Совет-29) в штаб-квартире МСЭ или Всемирной организации здравоохранения в июне 2029 года или в штаб-квартире в октябре 2029 года, когда помехи в связи со строительными работами по сносу здания прекратятся.</w:t>
      </w:r>
    </w:p>
    <w:p w14:paraId="33BD66F6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1.2</w:t>
      </w:r>
      <w:r w:rsidRPr="008467BA">
        <w:rPr>
          <w:lang w:val="ru-RU"/>
        </w:rPr>
        <w:tab/>
        <w:t>Ряд Советников возражают против возможности проведения только одного блока собраний РГС/ГЭ в годы, кроме тех, которые проводятся после полномочной конференции. РГС открыты для участия всех Государств-Членов и, таким образом, предоставляют им уникальную возможность участвовать в работе МСЭ и процессе принятия решений на равной основе. Неясно, каковы будут в полной мере последствия наличия только одного блока собраний РГС/ГЭ, равно как и затраты на каждый блок, если большинство затрат связано с уже работающим персоналом. Некоторые РГС и ГЭ, такие как РГС по защите ребенка в онлайновой среде (РГС-COP), занимаются вопросами, которые целесообразно обсуждать на регулярной основе. Также признается важным, чтобы РГС по финансовым и людским ресурсам (РГС-ФЛР) проводила собрания в январе или феврале для подготовки вкладов по проектам отчетов до сессии Совета. Кроме того, различные пункты повестки дня, по которым на этой сессии не были приняты решения, подлежат дальнейшему обсуждению, в частности, в РГС-ФЛР и РГС по вопросам международной государственной политики, касающимся интернета (РГС-Интернет).</w:t>
      </w:r>
    </w:p>
    <w:p w14:paraId="0423AF42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1.3</w:t>
      </w:r>
      <w:r w:rsidRPr="008467BA">
        <w:rPr>
          <w:lang w:val="ru-RU"/>
        </w:rPr>
        <w:tab/>
        <w:t>Вместе с тем несколько Советников высказываются в поддержку единственного блока собраний РГС/ГЭ, отмечая, что это позволит сократить затраты и оптимизировать использование ресурсов и рабочего времени. Представляется разумным проявить гибкость в ожидании возможного воздействия запланированных строительных работ в штаб-квартире. Дается высокая оценка возможности проведения дополнительных онлайновых собраний вместо второго блока собраний. Притом что несколько Советников подчеркивают затраты времени и сопутствующие расходы на поездки в Женеву для участия в работе сессий и тематических блоков Совета, отмечается, что проведение промежуточных виртуальных собраний позволит большему числу Государств-Членов участвовать в них. Один из Советников говорит, что Совету следует принять решение по этому вопросу только после того, как Полномочная конференция (Доха, 2026 г.) (ПК-26) примет решение о том, работу каких РГС/ГЭ следует продолжить.</w:t>
      </w:r>
    </w:p>
    <w:p w14:paraId="680719D1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1.4</w:t>
      </w:r>
      <w:r w:rsidRPr="008467BA">
        <w:rPr>
          <w:lang w:val="ru-RU"/>
        </w:rPr>
        <w:tab/>
        <w:t>Отмечая предложение о проведении Совета-29 вне помещений МСЭ, один из Советников напоминает, что была запрошена юридическая консультация по поводу проведения сессии Совета вне штаб-квартиры.</w:t>
      </w:r>
    </w:p>
    <w:p w14:paraId="73765285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1.5</w:t>
      </w:r>
      <w:r w:rsidRPr="008467BA">
        <w:rPr>
          <w:lang w:val="ru-RU"/>
        </w:rPr>
        <w:tab/>
        <w:t>Что касается сроков проведения Совета-29, один из Советников выражает поддержку проведению сессии в июне 2029 года; вполне возможно, что строительные работы не будут завершены вовремя для организации Совета-29 в штаб-квартире, а проведение сессии позже в этом году ограничит время, имеющееся у секретариата для выполнения решений до сессии Совета и Полномочной конференции в 2030 году.</w:t>
      </w:r>
    </w:p>
    <w:p w14:paraId="1D48B23A" w14:textId="77777777" w:rsidR="00D106ED" w:rsidRPr="006E246B" w:rsidRDefault="00D106ED" w:rsidP="006E246B">
      <w:pPr>
        <w:jc w:val="both"/>
        <w:rPr>
          <w:spacing w:val="-2"/>
          <w:lang w:val="ru-RU"/>
        </w:rPr>
      </w:pPr>
      <w:r w:rsidRPr="006E246B">
        <w:rPr>
          <w:spacing w:val="-2"/>
          <w:lang w:val="ru-RU"/>
        </w:rPr>
        <w:t>1.6</w:t>
      </w:r>
      <w:r w:rsidRPr="006E246B">
        <w:rPr>
          <w:spacing w:val="-2"/>
          <w:lang w:val="ru-RU"/>
        </w:rPr>
        <w:tab/>
        <w:t xml:space="preserve">Совет в принципе </w:t>
      </w:r>
      <w:r w:rsidRPr="006E246B">
        <w:rPr>
          <w:b/>
          <w:bCs/>
          <w:spacing w:val="-2"/>
          <w:lang w:val="ru-RU"/>
        </w:rPr>
        <w:t>решает</w:t>
      </w:r>
      <w:r w:rsidRPr="006E246B">
        <w:rPr>
          <w:spacing w:val="-2"/>
          <w:lang w:val="ru-RU"/>
        </w:rPr>
        <w:t xml:space="preserve"> провести один блок собраний РГС/ГЭ осенью 2027 года, учитывая короткий период времени между Полномочной конференцией и единственно возможные сроки, как это было сделано в 2023 году после Полномочной конференции (Бухарест, 2022 г.); и </w:t>
      </w:r>
      <w:r w:rsidRPr="006E246B">
        <w:rPr>
          <w:b/>
          <w:bCs/>
          <w:spacing w:val="-2"/>
          <w:lang w:val="ru-RU"/>
        </w:rPr>
        <w:t>поручает</w:t>
      </w:r>
      <w:r w:rsidRPr="006E246B">
        <w:rPr>
          <w:spacing w:val="-2"/>
          <w:lang w:val="ru-RU"/>
        </w:rPr>
        <w:t xml:space="preserve"> Генеральному секретарю предложить на внеочередном собрании сессии </w:t>
      </w:r>
      <w:r w:rsidRPr="006E246B">
        <w:rPr>
          <w:spacing w:val="-2"/>
          <w:lang w:val="ru-RU"/>
        </w:rPr>
        <w:lastRenderedPageBreak/>
        <w:t>Совета 2027 года в Дохе новый проект Резолюции с новыми сроками с учетом обновленной информации о непрерывности деятельности и решений ПК-26 в отношении РГС/ГЭ.</w:t>
      </w:r>
    </w:p>
    <w:p w14:paraId="08EA22EE" w14:textId="77777777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2</w:t>
      </w:r>
      <w:r w:rsidRPr="008467BA">
        <w:rPr>
          <w:lang w:val="ru-RU"/>
        </w:rPr>
        <w:tab/>
        <w:t xml:space="preserve">Расписание будущих конференций, ассамблей и собраний Союза: 2026−2029 годы (Документ </w:t>
      </w:r>
      <w:hyperlink r:id="rId19" w:history="1">
        <w:r w:rsidRPr="008467BA">
          <w:rPr>
            <w:rStyle w:val="Hyperlink"/>
            <w:lang w:val="ru-RU"/>
          </w:rPr>
          <w:t>C26/37(Rev.1)</w:t>
        </w:r>
      </w:hyperlink>
      <w:r w:rsidRPr="008467BA">
        <w:rPr>
          <w:lang w:val="ru-RU"/>
        </w:rPr>
        <w:t>)</w:t>
      </w:r>
    </w:p>
    <w:p w14:paraId="194ABF5B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2.1</w:t>
      </w:r>
      <w:r w:rsidRPr="008467BA">
        <w:rPr>
          <w:lang w:val="ru-RU"/>
        </w:rPr>
        <w:tab/>
        <w:t>Представитель Генерального секретариата представляет Документ C26/37(Rev.1), в котором перечислены ассамблеи, конференции и собрания, запланированные на период 2026–2029 годов.</w:t>
      </w:r>
    </w:p>
    <w:p w14:paraId="639BD70E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2.2</w:t>
      </w:r>
      <w:r w:rsidRPr="008467BA">
        <w:rPr>
          <w:lang w:val="ru-RU"/>
        </w:rPr>
        <w:tab/>
        <w:t>Советники приветствуют предлагаемое расписание. Вместе с тем один из Советников отмечает, что сроки проведения второй сессии Подготовительного собрания к конференции для Всемирной конференции радиосвязи 2027 года (ВКР-27) в апреле 2027 года совпадут со сроками проведения крупной международной выставки в Женеве, что приведет к увеличению финансового бремени для Государств-Членов в связи с более высоким спросом и затратами на размещение. Было бы желательно пересмотреть эти даты.</w:t>
      </w:r>
    </w:p>
    <w:p w14:paraId="6C961B7C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2.3</w:t>
      </w:r>
      <w:r w:rsidRPr="008467BA">
        <w:rPr>
          <w:lang w:val="ru-RU"/>
        </w:rPr>
        <w:tab/>
        <w:t>Советник от Китая подчеркивает, что предлагаемые даты проведения собрания Консультативной группы по стандартизации электросвязи (КГСЭ) в феврале 2027 года совпадут с празднованием Нового года по лунному календарю – одного из самых важных праздников в его стране, и просит предложить альтернативные даты.</w:t>
      </w:r>
    </w:p>
    <w:p w14:paraId="55A9575C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2.4</w:t>
      </w:r>
      <w:r w:rsidRPr="008467BA">
        <w:rPr>
          <w:lang w:val="ru-RU"/>
        </w:rPr>
        <w:tab/>
        <w:t>Заместитель Директора Бюро стандартизации электросвязи, отвечая на обеспокоенность, высказанную Советником от Китая, говорит, что секретариат изучит возможность пересмотра предлагаемого графика проведения собрания КГСЭ.</w:t>
      </w:r>
    </w:p>
    <w:p w14:paraId="5C89533D" w14:textId="6DC32346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2.5</w:t>
      </w:r>
      <w:r w:rsidRPr="008467BA">
        <w:rPr>
          <w:lang w:val="ru-RU"/>
        </w:rPr>
        <w:tab/>
        <w:t xml:space="preserve">Наблюдатель от Узбекистана говорит, что он имеет честь передать от имени правительства своей страны официальное приглашение провести Всемирную ассамблею по стандартизации электросвязи 2028 года (ВАСЭ-28) в Самарканде. Узбекистан обеспечит современную платформу для сотрудничества, инноваций и формирования консенсуса по основным вопросам в области цифровых технологий электросвязи/информационно-коммуникационных технологий (ИКТ) с участием как Государств − Членов МСЭ, так и частного сектора. Официальное пригласительное письмо содержится в Документе </w:t>
      </w:r>
      <w:hyperlink r:id="rId20" w:history="1">
        <w:r w:rsidR="00464BC4" w:rsidRPr="008467BA">
          <w:rPr>
            <w:rStyle w:val="Hyperlink"/>
            <w:lang w:val="ru-RU"/>
          </w:rPr>
          <w:t>C26/INF/30(Rev.1)</w:t>
        </w:r>
      </w:hyperlink>
      <w:r w:rsidRPr="008467BA">
        <w:rPr>
          <w:lang w:val="ru-RU"/>
        </w:rPr>
        <w:t>.</w:t>
      </w:r>
    </w:p>
    <w:p w14:paraId="1B4B3DCE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2.6</w:t>
      </w:r>
      <w:r w:rsidRPr="008467BA">
        <w:rPr>
          <w:lang w:val="ru-RU"/>
        </w:rPr>
        <w:tab/>
        <w:t xml:space="preserve">Совет </w:t>
      </w:r>
      <w:r w:rsidRPr="008467BA">
        <w:rPr>
          <w:b/>
          <w:bCs/>
          <w:lang w:val="ru-RU"/>
        </w:rPr>
        <w:t>принимает к сведению</w:t>
      </w:r>
      <w:r w:rsidRPr="008467BA">
        <w:rPr>
          <w:lang w:val="ru-RU"/>
        </w:rPr>
        <w:t xml:space="preserve"> Документ C26/37(Rev.1) и предложение правительства Узбекистана провести ВАСЭ-28 и </w:t>
      </w:r>
      <w:r w:rsidRPr="008467BA">
        <w:rPr>
          <w:b/>
          <w:bCs/>
          <w:lang w:val="ru-RU"/>
        </w:rPr>
        <w:t>предлагает</w:t>
      </w:r>
      <w:r w:rsidRPr="008467BA">
        <w:rPr>
          <w:lang w:val="ru-RU"/>
        </w:rPr>
        <w:t xml:space="preserve"> Администрации Узбекистана представить это приглашение ПК-26.</w:t>
      </w:r>
    </w:p>
    <w:p w14:paraId="308EB7DE" w14:textId="59613005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3</w:t>
      </w:r>
      <w:r w:rsidRPr="008467BA">
        <w:rPr>
          <w:lang w:val="ru-RU"/>
        </w:rPr>
        <w:tab/>
        <w:t>Предложение о проведении Полномочной конференции 2030 года в</w:t>
      </w:r>
      <w:r w:rsidR="00D144FA" w:rsidRPr="008467BA">
        <w:rPr>
          <w:lang w:val="ru-RU"/>
        </w:rPr>
        <w:t> </w:t>
      </w:r>
      <w:r w:rsidRPr="008467BA">
        <w:rPr>
          <w:lang w:val="ru-RU"/>
        </w:rPr>
        <w:t xml:space="preserve">Индии (Документ </w:t>
      </w:r>
      <w:hyperlink r:id="rId21" w:history="1">
        <w:r w:rsidRPr="008467BA">
          <w:rPr>
            <w:rStyle w:val="Hyperlink"/>
            <w:lang w:val="ru-RU"/>
          </w:rPr>
          <w:t>C26/78</w:t>
        </w:r>
      </w:hyperlink>
      <w:r w:rsidRPr="008467BA">
        <w:rPr>
          <w:lang w:val="ru-RU"/>
        </w:rPr>
        <w:t>)</w:t>
      </w:r>
    </w:p>
    <w:p w14:paraId="6E3083AE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3.1</w:t>
      </w:r>
      <w:r w:rsidRPr="008467BA">
        <w:rPr>
          <w:lang w:val="ru-RU"/>
        </w:rPr>
        <w:tab/>
        <w:t xml:space="preserve">Советник от Индии представляет вклад, содержащийся в Документе C26/78, в котором администрация Индии вновь подтверждает свое предложение принять у себя Полномочную конференцию 2030 года (ПК-30). Он напоминает о давнем членстве Индии в МСЭ и ее приверженности этому вопросу и говорит, что Индия обладает значительным опытом проведения международных собраний самого высокого уровня. Администрация Индии рассматривает ПК-30 как знаковое мероприятие, способствующее всеохватному диалогу, стратегическому прогнозированию и прочному многостороннему сотрудничеству, поддерживаемому инфраструктурой мирового класса, бесперебойной связью и исключительным гостеприимством. </w:t>
      </w:r>
    </w:p>
    <w:p w14:paraId="5638A7B7" w14:textId="33B8EA9D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3.2</w:t>
      </w:r>
      <w:r w:rsidRPr="008467BA">
        <w:rPr>
          <w:lang w:val="ru-RU"/>
        </w:rPr>
        <w:tab/>
        <w:t xml:space="preserve">В ходе последовавшего обсуждения Советники, признавая опыт и знания Индии в проведении международных собраний, выражают свою поддержку предложению администрации Индии о проведении у себя ПК-30. Они высоко оценивают приверженность Индии общим ценностям МСЭ и выражают уверенность в том, что у Индии есть ресурсы и </w:t>
      </w:r>
      <w:r w:rsidRPr="008467BA">
        <w:rPr>
          <w:lang w:val="ru-RU"/>
        </w:rPr>
        <w:lastRenderedPageBreak/>
        <w:t>возможности для успешного проведения Полномочной конференции. Некоторые Советники, полностью поддерживая предложение Индии, говорят, что оно должно быть представлено ПК</w:t>
      </w:r>
      <w:r w:rsidR="00D144FA" w:rsidRPr="008467BA">
        <w:rPr>
          <w:lang w:val="ru-RU"/>
        </w:rPr>
        <w:noBreakHyphen/>
      </w:r>
      <w:r w:rsidRPr="008467BA">
        <w:rPr>
          <w:lang w:val="ru-RU"/>
        </w:rPr>
        <w:t>26 для утверждения, в соответствии со сложившейся практикой.</w:t>
      </w:r>
    </w:p>
    <w:p w14:paraId="5686FAE9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3.3</w:t>
      </w:r>
      <w:r w:rsidRPr="008467BA">
        <w:rPr>
          <w:lang w:val="ru-RU"/>
        </w:rPr>
        <w:tab/>
        <w:t>Советник от Индии благодарит все Государства-Члены и Советников за их выражение доверия и поддержки и подтверждает готовность его администрации обеспечить успешное проведение Полномочной конференции.</w:t>
      </w:r>
    </w:p>
    <w:p w14:paraId="135497E9" w14:textId="200E2E6D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3.4</w:t>
      </w:r>
      <w:r w:rsidRPr="008467BA">
        <w:rPr>
          <w:lang w:val="ru-RU"/>
        </w:rPr>
        <w:tab/>
        <w:t>Отвечая на вопрос одного из Советников, представитель Генерального секретариата говорит, что реализация процесса отбора стран, принимающих конференции и ассамблеи МСЭ (Документ </w:t>
      </w:r>
      <w:hyperlink r:id="rId22" w:history="1">
        <w:r w:rsidR="00464BC4" w:rsidRPr="008467BA">
          <w:rPr>
            <w:rStyle w:val="Hyperlink"/>
            <w:lang w:val="ru-RU"/>
          </w:rPr>
          <w:t>C26/70</w:t>
        </w:r>
      </w:hyperlink>
      <w:r w:rsidRPr="008467BA">
        <w:rPr>
          <w:lang w:val="ru-RU"/>
        </w:rPr>
        <w:t>), начнется с мероприятий в 2031 году.</w:t>
      </w:r>
    </w:p>
    <w:p w14:paraId="2F548243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3.5</w:t>
      </w:r>
      <w:r w:rsidRPr="008467BA">
        <w:rPr>
          <w:lang w:val="ru-RU"/>
        </w:rPr>
        <w:tab/>
        <w:t xml:space="preserve">Совет </w:t>
      </w:r>
      <w:r w:rsidRPr="008467BA">
        <w:rPr>
          <w:b/>
          <w:bCs/>
          <w:lang w:val="ru-RU"/>
        </w:rPr>
        <w:t>утверждает</w:t>
      </w:r>
      <w:r w:rsidRPr="008467BA">
        <w:rPr>
          <w:lang w:val="ru-RU"/>
        </w:rPr>
        <w:t xml:space="preserve"> приглашение Индии провести у себя ПК-30 и </w:t>
      </w:r>
      <w:r w:rsidRPr="008467BA">
        <w:rPr>
          <w:b/>
          <w:bCs/>
          <w:lang w:val="ru-RU"/>
        </w:rPr>
        <w:t>принимает решение</w:t>
      </w:r>
      <w:r w:rsidRPr="008467BA">
        <w:rPr>
          <w:lang w:val="ru-RU"/>
        </w:rPr>
        <w:t xml:space="preserve"> передать это приглашение ПК-26 для официального принятия и включения в пересмотр Резолюции 77 (Пересм. Бухарест, 2022 г.).</w:t>
      </w:r>
    </w:p>
    <w:p w14:paraId="58161C28" w14:textId="77777777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4</w:t>
      </w:r>
      <w:r w:rsidRPr="008467BA">
        <w:rPr>
          <w:lang w:val="ru-RU"/>
        </w:rPr>
        <w:tab/>
        <w:t>Четкий, последовательный и уважительный подход к распределению времени на конференциях и ассамблеях МСЭ (Документ </w:t>
      </w:r>
      <w:hyperlink r:id="rId23" w:history="1">
        <w:r w:rsidRPr="008467BA">
          <w:rPr>
            <w:rStyle w:val="Hyperlink"/>
            <w:lang w:val="ru-RU"/>
          </w:rPr>
          <w:t>C26/97</w:t>
        </w:r>
      </w:hyperlink>
      <w:r w:rsidRPr="008467BA">
        <w:rPr>
          <w:lang w:val="ru-RU"/>
        </w:rPr>
        <w:t>)</w:t>
      </w:r>
    </w:p>
    <w:p w14:paraId="6342FFDF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4.1</w:t>
      </w:r>
      <w:r w:rsidRPr="008467BA">
        <w:rPr>
          <w:lang w:val="ru-RU"/>
        </w:rPr>
        <w:tab/>
        <w:t>Советник от Соединенных Штатов представляет вклад, содержащийся в Документе C26/97, в котором содержится проект Резолюции Совета о четком, последовательном и уважительном распределении времени на конференциях и ассамблеях МСЭ. Она поясняет, что в отсутствие официальных правил, регулирующих распределение времени, организация работы конференций и ассамблей МСЭ определяется принимающей страной и секретариатом в каждом конкретном случае, в то время как отсутствие общих руководящих указаний затрудняет применение четких и последовательных методов распределения времени при возникновении проблем. При том понимании, что Резолюции Совета не имеют обязательной силы для порядка проведения ассамблей и конференций МСЭ, в проекте Резолюции систематизируется передовой опыт, и она призвана обеспечить согласованное руководство для руководящих комитетов.</w:t>
      </w:r>
    </w:p>
    <w:p w14:paraId="1C5F09F2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4.2</w:t>
      </w:r>
      <w:r w:rsidRPr="008467BA">
        <w:rPr>
          <w:lang w:val="ru-RU"/>
        </w:rPr>
        <w:tab/>
        <w:t xml:space="preserve">В ходе последовавшего обсуждения несколько Советников решительно поддерживают это предложение, подчеркивая, что руководящие указания обеспечат предсказуемые часы работы, упорядоченный график работы и обоснованное принятие решений. Долгие часы работы не обязательно приводят к лучшим результатам. Руководящие указания помогли бы сформировать культуру уважения, способствовали бы продуктивным переговорам и обеспечению открытости для всех, позволяя всем делегациям, независимо от их размера и возможностей, принимать равное, всестороннее и значимое участие в работе. Некоторые Советники отмечают проблемы безопасности и дополнительные расходы, связанные с возвращением в места проживания после поздних вечерних заседаний. </w:t>
      </w:r>
    </w:p>
    <w:p w14:paraId="050D4D07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4.3</w:t>
      </w:r>
      <w:r w:rsidRPr="008467BA">
        <w:rPr>
          <w:lang w:val="ru-RU"/>
        </w:rPr>
        <w:tab/>
        <w:t xml:space="preserve">Некоторые Советники отмечают другие аспекты рационального использования времени, подчеркивая необходимость своевременного распространения повесток дня конференций; они настоятельно рекомендуют делегациям ограничивать продолжительность своих выступлений и призывают избегать параллельных заседаний. Один из Советников предлагает включить вопросы, поднятые в разделе </w:t>
      </w:r>
      <w:r w:rsidRPr="008467BA">
        <w:rPr>
          <w:i/>
          <w:iCs/>
          <w:lang w:val="ru-RU"/>
        </w:rPr>
        <w:t>решает</w:t>
      </w:r>
      <w:r w:rsidRPr="008467BA">
        <w:rPr>
          <w:lang w:val="ru-RU"/>
        </w:rPr>
        <w:t xml:space="preserve"> проекта Резолюции, в программу подготовки председателей конференций и собраний.</w:t>
      </w:r>
    </w:p>
    <w:p w14:paraId="6A50BD4A" w14:textId="15717EB9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4.4</w:t>
      </w:r>
      <w:r w:rsidRPr="008467BA">
        <w:rPr>
          <w:lang w:val="ru-RU"/>
        </w:rPr>
        <w:tab/>
        <w:t xml:space="preserve">Другие Советники, приветствуя это предложение и связанные с ним преимущества в принципе, подчеркивают необходимость гибкости и практичности, отмечая, что на конференциях по разработке договоров иногда необходимы продолжительные обсуждения поздно вечером; не следует ограничивать возможности делегаций представлять свои правительства. В настоящее время преждевременно рассматривать вопрос о принятии этой Резолюции. Необходимо продолжить обсуждение проекта Резолюции, в идеале в рамках </w:t>
      </w:r>
      <w:r w:rsidRPr="008467BA">
        <w:rPr>
          <w:lang w:val="ru-RU"/>
        </w:rPr>
        <w:lastRenderedPageBreak/>
        <w:t>РГС</w:t>
      </w:r>
      <w:r w:rsidR="00D144FA" w:rsidRPr="008467BA">
        <w:rPr>
          <w:lang w:val="ru-RU"/>
        </w:rPr>
        <w:noBreakHyphen/>
      </w:r>
      <w:r w:rsidRPr="008467BA">
        <w:rPr>
          <w:lang w:val="ru-RU"/>
        </w:rPr>
        <w:t xml:space="preserve">ФЛР. Один из Советников отмечает, что формулировки, использованные в проекте Резолюции, уже обеспечивают гибкость при реализации. </w:t>
      </w:r>
    </w:p>
    <w:p w14:paraId="367A9F1E" w14:textId="77777777" w:rsidR="00D106ED" w:rsidRPr="006E246B" w:rsidRDefault="00D106ED" w:rsidP="006E246B">
      <w:pPr>
        <w:jc w:val="both"/>
        <w:rPr>
          <w:spacing w:val="-3"/>
          <w:lang w:val="ru-RU"/>
        </w:rPr>
      </w:pPr>
      <w:r w:rsidRPr="006E246B">
        <w:rPr>
          <w:spacing w:val="-3"/>
          <w:lang w:val="ru-RU"/>
        </w:rPr>
        <w:t>4.5</w:t>
      </w:r>
      <w:r w:rsidRPr="006E246B">
        <w:rPr>
          <w:spacing w:val="-3"/>
          <w:lang w:val="ru-RU"/>
        </w:rPr>
        <w:tab/>
        <w:t>Отвечая на вопрос, представитель Подразделения по правовым вопросам объясняет, что Совет может принимать Резолюции, в которых он поощряет последовательную практику распределения времени в рамках своей роли по поддержке эффективного функционирования и координации ассамблей и конференций МСЭ. Однако он не может принимать Резолюции, которые служат для внесения поправок в Общий регламент конференций, ассамблей и собраний Союза.</w:t>
      </w:r>
    </w:p>
    <w:p w14:paraId="19371692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4.6</w:t>
      </w:r>
      <w:r w:rsidRPr="008467BA">
        <w:rPr>
          <w:lang w:val="ru-RU"/>
        </w:rPr>
        <w:tab/>
        <w:t>Председатель предлагает заинтересованным Государствам-Членам провести неофициальные консультации с целью выработки пересмотренного проекта Резолюции, принимая во внимание замечания Советников.</w:t>
      </w:r>
    </w:p>
    <w:p w14:paraId="71699C41" w14:textId="77777777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5</w:t>
      </w:r>
      <w:r w:rsidRPr="008467BA">
        <w:rPr>
          <w:lang w:val="ru-RU"/>
        </w:rPr>
        <w:tab/>
        <w:t>О систематических проблемах с получением въездной швейцарской визы для российских делегатов (Документ </w:t>
      </w:r>
      <w:hyperlink r:id="rId24" w:history="1">
        <w:r w:rsidRPr="008467BA">
          <w:rPr>
            <w:rStyle w:val="Hyperlink"/>
            <w:lang w:val="ru-RU"/>
          </w:rPr>
          <w:t>C26/77</w:t>
        </w:r>
      </w:hyperlink>
      <w:r w:rsidRPr="008467BA">
        <w:rPr>
          <w:lang w:val="ru-RU"/>
        </w:rPr>
        <w:t>)</w:t>
      </w:r>
    </w:p>
    <w:p w14:paraId="7B9C52CF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5.1</w:t>
      </w:r>
      <w:r w:rsidRPr="008467BA">
        <w:rPr>
          <w:lang w:val="ru-RU"/>
        </w:rPr>
        <w:tab/>
        <w:t>Наблюдатель от Российской Федерации, получив поддержку одного из Советников, представляет вклад, содержащийся в Документе C26/77; в нем обращается внимание на проблемы, с которыми постоянно сталкиваются делегаты от Российской Федерации при получении въездных виз Швейцарии для участия в собраниях МСЭ, проводимых в Женеве. Необходимы практические решения со стороны принимающей страны и Генерального секретариата, с тем чтобы делегаты от Российской Федерации могли в полной мере, на равноправной основе и беспрепятственно участвовать в работе Союза.</w:t>
      </w:r>
    </w:p>
    <w:p w14:paraId="3721D04D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5.2</w:t>
      </w:r>
      <w:r w:rsidRPr="008467BA">
        <w:rPr>
          <w:lang w:val="ru-RU"/>
        </w:rPr>
        <w:tab/>
        <w:t>Один из Советников говорит, что в соответствии с положениями Устава и Конвенции МСЭ все Государства-Члены имеют равное право участвовать в собраниях, конференциях и ассамблеях МСЭ без какой-либо дискриминации. Исходя из этого принципа, запрещаются любые меры, которые препятствуют участию делегатов по политическим или иным причинам.</w:t>
      </w:r>
    </w:p>
    <w:p w14:paraId="2740F29D" w14:textId="59CDF76F" w:rsidR="00D106ED" w:rsidRPr="006E246B" w:rsidRDefault="00D106ED" w:rsidP="006E246B">
      <w:pPr>
        <w:jc w:val="both"/>
        <w:rPr>
          <w:spacing w:val="-3"/>
          <w:lang w:val="ru-RU"/>
        </w:rPr>
      </w:pPr>
      <w:r w:rsidRPr="006E246B">
        <w:rPr>
          <w:spacing w:val="-3"/>
          <w:lang w:val="ru-RU"/>
        </w:rPr>
        <w:t>5.3</w:t>
      </w:r>
      <w:r w:rsidRPr="006E246B">
        <w:rPr>
          <w:spacing w:val="-3"/>
          <w:lang w:val="ru-RU"/>
        </w:rPr>
        <w:tab/>
        <w:t>Советник от Швейцарии говорит, что его страна очень серьезно относится к своим обязательствам в качестве принимающей МСЭ страны и прилагает все усилия для содействия въезду в Швейцарию делегаций, направляющихся в Женеву для участия в многосторонних дискуссиях и дипломатической деятельности. Вместе с тем после приостановления в 2022</w:t>
      </w:r>
      <w:r w:rsidR="008467BA" w:rsidRPr="006E246B">
        <w:rPr>
          <w:spacing w:val="-3"/>
          <w:lang w:val="en-US"/>
        </w:rPr>
        <w:t> </w:t>
      </w:r>
      <w:r w:rsidRPr="006E246B">
        <w:rPr>
          <w:spacing w:val="-3"/>
          <w:lang w:val="ru-RU"/>
        </w:rPr>
        <w:t>году действия двустороннего соглашения об упрощении визового режима между Швейцарией и Российской Федерацией владельцы дипломатических паспортов Российской Федерации, совершающие служебные поездки в Швейцарию, в том числе для участия в международных собраниях и конференциях, а также переговорах по вопросам мира и безопасности или трудоустройства в международных организациях или дипломатических миссиях, теперь должны получать въездную визу. Эти визы выдаются в соответствии с Шенгенской нормативно-правовой базой и ограничиваются мероприятиями, подпадающими под международные обязательства принимающей страны. Федеральный департамент иностранных дел при необходимости разрешает пребывание в Швейцарии гражданам России, находящимся в служебной командировке. В соответствии с требованиями шенгенского законодательства для обработки заявлений на визу необходимо не менее восьми рабочих дней. Визы для путешественников из многих стран, включая Российскую Федерацию, оформляются внешним поставщиком; тем не менее, делегаты, участвующие в официальных собраниях и конференциях, могут подавать заявления на получение визы непосредственно в посольство или консульство Швейцарии без предварительной записи, при условии, что к их запросу на визу прилагается вербальная нота министерства иностранных дел или приглашение от международной организации. Постоянное представительство Швейцарии при Отделении Организации Объединенных Наций и других международных организациях в Женеве готово оказывать помощь Государствам-Членам, по мере возможности.</w:t>
      </w:r>
    </w:p>
    <w:p w14:paraId="01A8464F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5.4</w:t>
      </w:r>
      <w:r w:rsidRPr="008467BA">
        <w:rPr>
          <w:lang w:val="ru-RU"/>
        </w:rPr>
        <w:tab/>
        <w:t xml:space="preserve">Заместитель Генерального секретаря говорит, что Генеральный секретариат работает в тесном сотрудничестве с принимающей страной, которая оказывает поддержку и помощь, а </w:t>
      </w:r>
      <w:r w:rsidRPr="008467BA">
        <w:rPr>
          <w:lang w:val="ru-RU"/>
        </w:rPr>
        <w:lastRenderedPageBreak/>
        <w:t>также оперативно реагирует на отдельные вопросы о визах, доведенные до его сведения. После получения вклада от Российской Федерации он связался напрямую с Постоянным представительством Швейцарии и получил заверения в том, что оно будет продолжать предпринимать усилия по упрощению выдачи виз делегатам, участвующим в собраниях, ассамблеях и конференциях МСЭ.</w:t>
      </w:r>
    </w:p>
    <w:p w14:paraId="2F9DECF0" w14:textId="77777777" w:rsidR="00D106ED" w:rsidRPr="008467BA" w:rsidRDefault="00D106ED" w:rsidP="00D106ED">
      <w:pPr>
        <w:rPr>
          <w:lang w:val="ru-RU"/>
        </w:rPr>
      </w:pPr>
      <w:r w:rsidRPr="008467BA">
        <w:rPr>
          <w:lang w:val="ru-RU"/>
        </w:rPr>
        <w:t>5.5</w:t>
      </w:r>
      <w:r w:rsidRPr="008467BA">
        <w:rPr>
          <w:lang w:val="ru-RU"/>
        </w:rPr>
        <w:tab/>
        <w:t xml:space="preserve">Совет </w:t>
      </w:r>
      <w:r w:rsidRPr="008467BA">
        <w:rPr>
          <w:b/>
          <w:bCs/>
          <w:lang w:val="ru-RU"/>
        </w:rPr>
        <w:t>принимает к сведению</w:t>
      </w:r>
      <w:r w:rsidRPr="008467BA">
        <w:rPr>
          <w:lang w:val="ru-RU"/>
        </w:rPr>
        <w:t xml:space="preserve"> информацию, содержащуюся в Документе C26/77.</w:t>
      </w:r>
    </w:p>
    <w:p w14:paraId="58977B6B" w14:textId="18349DA9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6</w:t>
      </w:r>
      <w:r w:rsidRPr="008467BA">
        <w:rPr>
          <w:lang w:val="ru-RU"/>
        </w:rPr>
        <w:tab/>
        <w:t>Отчет Председателя Рабочей группы Совета по языкам (РГС-Яз) и</w:t>
      </w:r>
      <w:r w:rsidR="008467BA">
        <w:rPr>
          <w:lang w:val="en-US"/>
        </w:rPr>
        <w:t> </w:t>
      </w:r>
      <w:r w:rsidRPr="008467BA">
        <w:rPr>
          <w:lang w:val="ru-RU"/>
        </w:rPr>
        <w:t xml:space="preserve">четырехгодичный отчет РГС-Яз (Документы </w:t>
      </w:r>
      <w:hyperlink r:id="rId25" w:history="1">
        <w:r w:rsidRPr="008467BA">
          <w:rPr>
            <w:rStyle w:val="Hyperlink"/>
            <w:lang w:val="ru-RU"/>
          </w:rPr>
          <w:t>C26/12</w:t>
        </w:r>
      </w:hyperlink>
      <w:r w:rsidRPr="008467BA">
        <w:rPr>
          <w:lang w:val="ru-RU"/>
        </w:rPr>
        <w:t xml:space="preserve"> и </w:t>
      </w:r>
      <w:hyperlink r:id="rId26" w:history="1">
        <w:r w:rsidRPr="008467BA">
          <w:rPr>
            <w:rStyle w:val="Hyperlink"/>
            <w:lang w:val="ru-RU"/>
          </w:rPr>
          <w:t>C26/13</w:t>
        </w:r>
      </w:hyperlink>
      <w:r w:rsidRPr="008467BA">
        <w:rPr>
          <w:lang w:val="ru-RU"/>
        </w:rPr>
        <w:t>)</w:t>
      </w:r>
    </w:p>
    <w:p w14:paraId="4666A11C" w14:textId="33B2B05B" w:rsidR="00D106ED" w:rsidRPr="008467BA" w:rsidRDefault="00D106ED" w:rsidP="00D144FA">
      <w:pPr>
        <w:pStyle w:val="Heading1"/>
        <w:spacing w:before="240"/>
        <w:rPr>
          <w:lang w:val="ru-RU"/>
        </w:rPr>
      </w:pPr>
      <w:r w:rsidRPr="008467BA">
        <w:rPr>
          <w:lang w:val="ru-RU"/>
        </w:rPr>
        <w:tab/>
        <w:t xml:space="preserve">Проект пересмотра Резолюции 1386 (C17, последнее изменение C25) Совета о Координационном комитете МСЭ по терминологии и проект пересмотра Резолюции 154 (Пересм. Бухарест, 2022 г.) Полномочной конференции (Документ </w:t>
      </w:r>
      <w:hyperlink r:id="rId27" w:history="1">
        <w:r w:rsidRPr="008467BA">
          <w:rPr>
            <w:rStyle w:val="Hyperlink"/>
            <w:lang w:val="ru-RU"/>
          </w:rPr>
          <w:t>C26/87</w:t>
        </w:r>
        <w:r w:rsidR="008467BA">
          <w:rPr>
            <w:rStyle w:val="Hyperlink"/>
            <w:lang w:val="en-US"/>
          </w:rPr>
          <w:t xml:space="preserve"> </w:t>
        </w:r>
        <w:r w:rsidRPr="008467BA">
          <w:rPr>
            <w:rStyle w:val="Hyperlink"/>
            <w:lang w:val="ru-RU"/>
          </w:rPr>
          <w:t>+</w:t>
        </w:r>
        <w:r w:rsidR="008467BA">
          <w:rPr>
            <w:rStyle w:val="Hyperlink"/>
            <w:lang w:val="en-US"/>
          </w:rPr>
          <w:t xml:space="preserve"> </w:t>
        </w:r>
        <w:r w:rsidRPr="008467BA">
          <w:rPr>
            <w:rStyle w:val="Hyperlink"/>
            <w:lang w:val="ru-RU"/>
          </w:rPr>
          <w:t>Add.1</w:t>
        </w:r>
      </w:hyperlink>
      <w:r w:rsidRPr="008467BA">
        <w:rPr>
          <w:lang w:val="ru-RU"/>
        </w:rPr>
        <w:t>)</w:t>
      </w:r>
    </w:p>
    <w:p w14:paraId="6A3F7A3F" w14:textId="361EFD78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6.1</w:t>
      </w:r>
      <w:r w:rsidRPr="008467BA">
        <w:rPr>
          <w:lang w:val="ru-RU"/>
        </w:rPr>
        <w:tab/>
        <w:t>Председатель Рабочей группы Совета по языкам (РГС-Яз) представляет Документ C26/12, в котором кратко изложены итоги 17-го собрания РГС-Яз, и Документ C26/13, содержащий четырехгодичный отчет Группы. Предлагаемые изменения к Резолюции</w:t>
      </w:r>
      <w:r w:rsidR="008467BA">
        <w:rPr>
          <w:lang w:val="en-US"/>
        </w:rPr>
        <w:t> </w:t>
      </w:r>
      <w:r w:rsidRPr="008467BA">
        <w:rPr>
          <w:lang w:val="ru-RU"/>
        </w:rPr>
        <w:t>154 (Пересм. Бухарест, 2022 г.) Полномочной конференции и Резолюции 1386 (C17, последнее изменение C25) Совета, прилагаемые к Документу C26/12, направлены на упорядочение связанных с языками положений соответствующих Резолюций Секторов, но не устанавливают новых обязательств, не создают дополнительных потребностей в письменном переводе и не имеют каких-либо дополнительных бюджетных последствий. РГС-Яз решила, что участие в ее работе должно быть открыто для всех членов МСЭ, включая региональные организации электросвязи (РОЭ), Членов Секторов и Академические организации, путем предлагаемого пересмотра Резолюции 1372 Совета (C15, последнее изменение C24), содержащегося в приложении к Документу C26/12.</w:t>
      </w:r>
    </w:p>
    <w:p w14:paraId="2041C33E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6.2</w:t>
      </w:r>
      <w:r w:rsidRPr="008467BA">
        <w:rPr>
          <w:lang w:val="ru-RU"/>
        </w:rPr>
        <w:tab/>
        <w:t xml:space="preserve">Получив поддержку одного из Советников, наблюдатель от Российской Федерации представляет Документ C26/87 и Дополнительный документ 1 к нему, в котором излагается предлагаемый пересмотр Резолюции 1386 (C17, последнее изменение C25); этот пересмотр по существу совпадает с пересмотром, содержащимся в Документе C26/12, за исключением одного терминологического изменения в пункте 1 раздела </w:t>
      </w:r>
      <w:r w:rsidRPr="008467BA">
        <w:rPr>
          <w:i/>
          <w:iCs/>
          <w:lang w:val="ru-RU"/>
        </w:rPr>
        <w:t>решает</w:t>
      </w:r>
      <w:r w:rsidRPr="008467BA">
        <w:rPr>
          <w:lang w:val="ru-RU"/>
        </w:rPr>
        <w:t>, которое отражает дальнейшие обсуждения вопросов, представляющих взаимный интерес, в рамках Координационного комитета по терминологии и Межсекторальной координационной группы по вопросам, представляющим взаимный интерес.</w:t>
      </w:r>
    </w:p>
    <w:p w14:paraId="15EBDAC6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6.3</w:t>
      </w:r>
      <w:r w:rsidRPr="008467BA">
        <w:rPr>
          <w:lang w:val="ru-RU"/>
        </w:rPr>
        <w:tab/>
        <w:t xml:space="preserve">Советники и один из наблюдателей приветствуют работу РГС-Яз, а также ее председателя и заместителей председателя, воздавая должное г-же Бланке Гонсалес, которая вскоре выйдет на пенсию после многих лет самоотверженной работы в сообществе МСЭ. Многоязычие и использование шести официальных языков Союза на равной основе являются краеугольным камнем инклюзивности в работе Союза. Использование инновационных технологий для повышения производительности и сокращения затрат в языковых службах приветствуется, но не должно осуществляться в ущерб качеству или надежности; такие технологии должны дополнять человеческий опыт, а не заменять его. В частности, несколько Советников выражают мнение о том, что устный перевод на основе искусственного интеллекта (ИИ) хоть и полезен, но еще недостаточно развит, чтобы подходить для официальных собраний или конференций по разработке договоров. Тем не менее, секретариату настоятельно рекомендуется продолжать добиваться эффективности путем дальнейшего тестирования и изучения этого и других вариантов, таких как дистанционный синхронный перевод и использование квалифицированных местных и региональных устных переводчиков для собраний, проводимых вне штаб-квартиры. В этом отношении полезным могло бы быть более </w:t>
      </w:r>
      <w:r w:rsidRPr="008467BA">
        <w:rPr>
          <w:lang w:val="ru-RU"/>
        </w:rPr>
        <w:lastRenderedPageBreak/>
        <w:t>широкое участие РОЭ в работе РГС-Яз. Один из Советников призывает секретариат строго придерживаться принципов, изложенных в Резолюции 154 (Пересм. Бухарест, 2022 г.); применять одни и те же стандарты ко всем обсуждениям по пунктам официальной повестки дня; и заблаговременно принимать необходимые меры по обеспечению устного перевода для официальных собраний и любых дополнительных сессий. Еще один Советник интересуется по поводу временных ограничений, установленных для работы устных переводчиков конференций. Еще один Советник подчеркивает важность полного многоязычного доступа к контенту МСЭ, включая веб-сайт Союза. В связи с этим в целом приветствуется использование машинного перевода для увеличения числа веб-страниц, доступных на нескольких языках.</w:t>
      </w:r>
    </w:p>
    <w:p w14:paraId="143488B7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6.4</w:t>
      </w:r>
      <w:r w:rsidRPr="008467BA">
        <w:rPr>
          <w:lang w:val="ru-RU"/>
        </w:rPr>
        <w:tab/>
        <w:t xml:space="preserve">Советники выражают широкую поддержку предлагаемому пересмотру резолюций Полномочной конференции и Совета. Один из них, выступая от имени РОЭ, не имеющей постоянного исполнительного органа, предлагает изменить пункт 1 раздела </w:t>
      </w:r>
      <w:r w:rsidRPr="008467BA">
        <w:rPr>
          <w:i/>
          <w:iCs/>
          <w:lang w:val="ru-RU"/>
        </w:rPr>
        <w:t>решает</w:t>
      </w:r>
      <w:r w:rsidRPr="008467BA">
        <w:rPr>
          <w:lang w:val="ru-RU"/>
        </w:rPr>
        <w:t xml:space="preserve"> Резолюции 1372 (C15, последнее изменение C24), чтобы просто указать, что РГС-Яз "открыта для всех членов Союза", что позволило бы любой РОЭ назначить представителя для участия в работе группы.</w:t>
      </w:r>
    </w:p>
    <w:p w14:paraId="3E6DA375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6.5</w:t>
      </w:r>
      <w:r w:rsidRPr="008467BA">
        <w:rPr>
          <w:lang w:val="ru-RU"/>
        </w:rPr>
        <w:tab/>
        <w:t>Несколько Советников выражают поддержку предлагаемому пересмотру Резолюции 1386 (C17, последнее изменение C25), изложенному в Документе C26/87.</w:t>
      </w:r>
    </w:p>
    <w:p w14:paraId="0F248437" w14:textId="76C922F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6.6</w:t>
      </w:r>
      <w:r w:rsidRPr="008467BA">
        <w:rPr>
          <w:lang w:val="ru-RU"/>
        </w:rPr>
        <w:tab/>
        <w:t xml:space="preserve">Совет </w:t>
      </w:r>
      <w:r w:rsidRPr="008467BA">
        <w:rPr>
          <w:b/>
          <w:bCs/>
          <w:lang w:val="ru-RU"/>
        </w:rPr>
        <w:t>принимает к сведению</w:t>
      </w:r>
      <w:r w:rsidRPr="008467BA">
        <w:rPr>
          <w:lang w:val="ru-RU"/>
        </w:rPr>
        <w:t xml:space="preserve"> Документ C26/12; </w:t>
      </w:r>
      <w:r w:rsidRPr="008467BA">
        <w:rPr>
          <w:b/>
          <w:bCs/>
          <w:lang w:val="ru-RU"/>
        </w:rPr>
        <w:t>утверждает</w:t>
      </w:r>
      <w:r w:rsidRPr="008467BA">
        <w:rPr>
          <w:lang w:val="ru-RU"/>
        </w:rPr>
        <w:t xml:space="preserve"> проект пересмотра Резолюции 1386 (C17, последнее изменение C25), содержащийся в Документе C2</w:t>
      </w:r>
      <w:r w:rsidR="00464BC4" w:rsidRPr="008467BA">
        <w:rPr>
          <w:lang w:val="ru-RU"/>
        </w:rPr>
        <w:t>6</w:t>
      </w:r>
      <w:r w:rsidRPr="008467BA">
        <w:rPr>
          <w:lang w:val="ru-RU"/>
        </w:rPr>
        <w:t xml:space="preserve">/87; </w:t>
      </w:r>
      <w:r w:rsidRPr="008467BA">
        <w:rPr>
          <w:b/>
          <w:bCs/>
          <w:lang w:val="ru-RU"/>
        </w:rPr>
        <w:t>утверждает</w:t>
      </w:r>
      <w:r w:rsidRPr="008467BA">
        <w:rPr>
          <w:lang w:val="ru-RU"/>
        </w:rPr>
        <w:t xml:space="preserve"> предлагаемый пересмотр Резолюции 1372 (C15, последнее изменение C24), содержащийся в Приложении C к Документу C26/12, с дополнительной поправкой, предложенной к пункту 1 раздела </w:t>
      </w:r>
      <w:r w:rsidRPr="008467BA">
        <w:rPr>
          <w:i/>
          <w:iCs/>
          <w:lang w:val="ru-RU"/>
        </w:rPr>
        <w:t>решает</w:t>
      </w:r>
      <w:r w:rsidRPr="008467BA">
        <w:rPr>
          <w:lang w:val="ru-RU"/>
        </w:rPr>
        <w:t xml:space="preserve">; </w:t>
      </w:r>
      <w:r w:rsidRPr="008467BA">
        <w:rPr>
          <w:b/>
          <w:bCs/>
          <w:lang w:val="ru-RU"/>
        </w:rPr>
        <w:t>предлагает</w:t>
      </w:r>
      <w:r w:rsidRPr="008467BA">
        <w:rPr>
          <w:lang w:val="ru-RU"/>
        </w:rPr>
        <w:t xml:space="preserve"> делегациям учитывать предлагаемые поправки к Резолюции 154 (Пересм. Бухарест, 2022 г.) при подготовке вкладов для представления ПК-26; и </w:t>
      </w:r>
      <w:r w:rsidRPr="008467BA">
        <w:rPr>
          <w:b/>
          <w:bCs/>
          <w:lang w:val="ru-RU"/>
        </w:rPr>
        <w:t>принимает решение</w:t>
      </w:r>
      <w:r w:rsidRPr="008467BA">
        <w:rPr>
          <w:lang w:val="ru-RU"/>
        </w:rPr>
        <w:t xml:space="preserve"> передать Документ C26/13 ПК-26 вместе с замечаниями, высказанными в ходе обсуждения в Совете.</w:t>
      </w:r>
    </w:p>
    <w:p w14:paraId="06F0FB1D" w14:textId="516004E3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7</w:t>
      </w:r>
      <w:r w:rsidRPr="008467BA">
        <w:rPr>
          <w:lang w:val="ru-RU"/>
        </w:rPr>
        <w:tab/>
        <w:t>Деятельность МСЭ в области интернета: Резолюции 101, 102, 133, 180 и</w:t>
      </w:r>
      <w:r w:rsidR="008467BA">
        <w:rPr>
          <w:lang w:val="en-US"/>
        </w:rPr>
        <w:t> </w:t>
      </w:r>
      <w:r w:rsidRPr="008467BA">
        <w:rPr>
          <w:lang w:val="ru-RU"/>
        </w:rPr>
        <w:t>206 Полномочной конференции (</w:t>
      </w:r>
      <w:r w:rsidRPr="008467BA">
        <w:rPr>
          <w:i/>
          <w:iCs/>
          <w:lang w:val="ru-RU"/>
        </w:rPr>
        <w:t>продолжение</w:t>
      </w:r>
      <w:r w:rsidRPr="008467BA">
        <w:rPr>
          <w:lang w:val="ru-RU"/>
        </w:rPr>
        <w:t xml:space="preserve">) </w:t>
      </w:r>
      <w:r w:rsidR="006E246B">
        <w:rPr>
          <w:lang w:val="es-ES"/>
        </w:rPr>
        <w:br/>
      </w:r>
      <w:r w:rsidRPr="008467BA">
        <w:rPr>
          <w:lang w:val="ru-RU"/>
        </w:rPr>
        <w:t>(Документы</w:t>
      </w:r>
      <w:r w:rsidR="008467BA">
        <w:rPr>
          <w:lang w:val="en-US"/>
        </w:rPr>
        <w:t> </w:t>
      </w:r>
      <w:hyperlink r:id="rId28">
        <w:r w:rsidRPr="008467BA">
          <w:rPr>
            <w:rStyle w:val="Hyperlink"/>
            <w:lang w:val="ru-RU"/>
          </w:rPr>
          <w:t>C26/33</w:t>
        </w:r>
      </w:hyperlink>
      <w:r w:rsidRPr="008467BA">
        <w:rPr>
          <w:lang w:val="ru-RU"/>
        </w:rPr>
        <w:t xml:space="preserve"> и</w:t>
      </w:r>
      <w:r w:rsidR="008467BA">
        <w:rPr>
          <w:lang w:val="en-US"/>
        </w:rPr>
        <w:t> </w:t>
      </w:r>
      <w:hyperlink r:id="rId29">
        <w:r w:rsidRPr="008467BA">
          <w:rPr>
            <w:rStyle w:val="Hyperlink"/>
            <w:lang w:val="ru-RU"/>
          </w:rPr>
          <w:t>C26/DT/4</w:t>
        </w:r>
      </w:hyperlink>
      <w:r w:rsidRPr="008467BA">
        <w:rPr>
          <w:lang w:val="ru-RU"/>
        </w:rPr>
        <w:t>)</w:t>
      </w:r>
    </w:p>
    <w:p w14:paraId="65DE45CC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7.1</w:t>
      </w:r>
      <w:r w:rsidRPr="008467BA">
        <w:rPr>
          <w:lang w:val="ru-RU"/>
        </w:rPr>
        <w:tab/>
        <w:t>Председатель сообщает, что в Документе C26/DT/4 содержится пакет документов, касающихся деятельности МСЭ в области интернета согласно Резолюциям 101, 102, 133, 180 и 206 Полномочной конференции, которые будут переданы Генеральному секретарю Организации Объединенных Наций. Пакет включает отчет Генерального секретаря МСЭ сессии Совета 2026 года (Совет-26), который содержится в Документе C26/33, о деятельности Союза в соответствии с его резолюциями, касающимися интернета; письменные мнения Государств-Членов Совета; и выдержку из официального Краткого отчета о втором пленарном заседании Совета-26 по данному вопросу вместе с разъяснительным сопроводительным письмом.</w:t>
      </w:r>
    </w:p>
    <w:p w14:paraId="1B28A124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7.2</w:t>
      </w:r>
      <w:r w:rsidRPr="008467BA">
        <w:rPr>
          <w:lang w:val="ru-RU"/>
        </w:rPr>
        <w:tab/>
        <w:t xml:space="preserve">Совет </w:t>
      </w:r>
      <w:r w:rsidRPr="008467BA">
        <w:rPr>
          <w:b/>
          <w:bCs/>
          <w:lang w:val="ru-RU"/>
        </w:rPr>
        <w:t>принимает к сведению</w:t>
      </w:r>
      <w:r w:rsidRPr="008467BA">
        <w:rPr>
          <w:lang w:val="ru-RU"/>
        </w:rPr>
        <w:t xml:space="preserve"> Документ C26/DT/4 и </w:t>
      </w:r>
      <w:r w:rsidRPr="008467BA">
        <w:rPr>
          <w:b/>
          <w:bCs/>
          <w:lang w:val="ru-RU"/>
        </w:rPr>
        <w:t>утверждает</w:t>
      </w:r>
      <w:r w:rsidRPr="008467BA">
        <w:rPr>
          <w:lang w:val="ru-RU"/>
        </w:rPr>
        <w:t xml:space="preserve"> передачу пакета документов, содержащегося в Документе C26/DT/4, Генеральному секретарю Организации Объединенных Наций.</w:t>
      </w:r>
    </w:p>
    <w:p w14:paraId="00BAA97D" w14:textId="1FDED228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8</w:t>
      </w:r>
      <w:r w:rsidRPr="008467BA">
        <w:rPr>
          <w:lang w:val="ru-RU"/>
        </w:rPr>
        <w:tab/>
        <w:t>Выполнение Резолюции 30 (Пересм. Бухарест, 2022 г.) Полномочной конференции о специальных мерах для наименее развитых стран, малых островных развивающихся государств, развивающихся стран, не</w:t>
      </w:r>
      <w:r w:rsidR="008467BA">
        <w:rPr>
          <w:lang w:val="en-US"/>
        </w:rPr>
        <w:t> </w:t>
      </w:r>
      <w:r w:rsidRPr="008467BA">
        <w:rPr>
          <w:lang w:val="ru-RU"/>
        </w:rPr>
        <w:t>имеющих выхода к морю, и стран с переходной экономикой (Документ</w:t>
      </w:r>
      <w:r w:rsidR="008467BA">
        <w:rPr>
          <w:lang w:val="en-US"/>
        </w:rPr>
        <w:t> </w:t>
      </w:r>
      <w:hyperlink r:id="rId30" w:history="1">
        <w:r w:rsidRPr="008467BA">
          <w:rPr>
            <w:rStyle w:val="Hyperlink"/>
            <w:lang w:val="ru-RU"/>
          </w:rPr>
          <w:t>C26/74</w:t>
        </w:r>
      </w:hyperlink>
      <w:r w:rsidRPr="008467BA">
        <w:rPr>
          <w:lang w:val="ru-RU"/>
        </w:rPr>
        <w:t>)</w:t>
      </w:r>
    </w:p>
    <w:p w14:paraId="1404D7DC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8.1</w:t>
      </w:r>
      <w:r w:rsidRPr="008467BA">
        <w:rPr>
          <w:lang w:val="ru-RU"/>
        </w:rPr>
        <w:tab/>
        <w:t xml:space="preserve">Представитель Бюро развития электросвязи (БРЭ) представляет Документ C26/74, в котором изложен прогресс, достигнутый в выполнении Резолюции 30 (Пересм. Бухарест, 2022 г.) </w:t>
      </w:r>
      <w:r w:rsidRPr="008467BA">
        <w:rPr>
          <w:lang w:val="ru-RU"/>
        </w:rPr>
        <w:lastRenderedPageBreak/>
        <w:t>Полномочной конференции в период 2022−2025 годов. Наблюдается устойчивый прогресс, однако сохраняются значительные цифровые разрывы, причем дезагрегированные данные свидетельствуют о разрывах и препятствиях, связанных с сельскими и городскими районами, а также гендерными аспектами, включая высокую стоимость установления соединений. Выполнение Резолюции будет и далее определяться соответствующими международными и институциональными рамками, включая Бакинскую декларацию и План действий; Резолюцию 16 (Пересм. Баку, 2025 г.) Всемирной конференции по развитию электросвязи; и глобальные повестки дня в области развития, такие как Дохинская программа действий для НРС на десятилетие 2022–2031 годов, Авазинская программа действий для ЛЛДС на 2024–2034 годы и Повестка дня Антигуа и Барбуды для СИДС.</w:t>
      </w:r>
    </w:p>
    <w:p w14:paraId="18D9D649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8.2</w:t>
      </w:r>
      <w:r w:rsidRPr="008467BA">
        <w:rPr>
          <w:lang w:val="ru-RU"/>
        </w:rPr>
        <w:tab/>
        <w:t>Советники выражают поддержку работе Союза, в частности Сектора развития электросвязи МСЭ (МСЭ-D) и БРЭ, оказывающего содействие цифровому развитию наименее развитых стран (НРС), малых островных развивающихся государств (СИДС), развивающихся стран, не имеющих выхода к морю (ЛЛДС), и стран с переходной экономикой путем предоставления адресной и адресной технической помощи и принятия мер для содействия их конструктивному участию в собраниях МСЭ. Одна из Советников подчеркивает воздействие инициативы "«Умные» острова и «умные» деревни" в ее регионе и за его пределами; другой подчеркивает особые проблемы, с которыми сталкиваются СИДС, где цифровое развитие определяется географическим положением, уязвимостью к изменению климата, устойчивостью инфраструктуры, ограниченным институциональным потенциалом и зависимостью от внешней поддержки, и высоко оценивает усилия по переходу от обещаний к реализации. Несколько Советников подчеркивают важность создания потенциала и устранения таких препятствующих этому проблем, как неприемлемость в ценовом отношении, ограниченность инфраструктуры, отсутствие цифровых навыков и неравный доступ к реальной возможности установления соединений. Следует продолжать оказывать поддержку НРС, СИДС, ЛЛДС и стран с переходной экономикой, уделяя больше внимания устойчивой инфраструктуре, обеспечению реальной возможности установления приемлемых в ценовом отношении соединений, обеспечению электросвязи в чрезвычайных ситуациях, появляющимся технологиям, разработке политики на основе фактических данных и расширению охвата цифровыми технологиями.</w:t>
      </w:r>
    </w:p>
    <w:p w14:paraId="77FE78CF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8.3</w:t>
      </w:r>
      <w:r w:rsidRPr="008467BA">
        <w:rPr>
          <w:lang w:val="ru-RU"/>
        </w:rPr>
        <w:tab/>
        <w:t>Один из Советников настоятельно рекомендует секретариату в его будущих отчетах в соответствии с Резолюцией 30 (Пересм. Бухарест, 2022 г.) улучшить прозрачность, дезагрегирование данных и анализ воздействия, чтобы предоставлять Совету более четкую информацию о том, какие результаты достигаются, где остаются пробелы в реализации и как распределяются ресурсы, включая начальное финансирование и поддержку партнеров. Выполнение Резолюции 30 (Пересм. Бухарест, 2022 г.) должно быть тесно связано с укреплением регионального присутствия МСЭ, поддерживаемого координацией между тремя Секторами, сотрудничеством с РОЭ и сотрудничеством с более широкой системой Организации Объединенных Наций. Другой Советник говорит, что Союзу следует подкрепить свою существующую деятельность конкретными структурами для удовлетворения потребностей ЛЛДС и СИДС.</w:t>
      </w:r>
    </w:p>
    <w:p w14:paraId="786D8DED" w14:textId="3A693547" w:rsidR="00D106ED" w:rsidRPr="006E246B" w:rsidRDefault="00D106ED" w:rsidP="006E246B">
      <w:pPr>
        <w:jc w:val="both"/>
        <w:rPr>
          <w:spacing w:val="-3"/>
          <w:lang w:val="ru-RU"/>
        </w:rPr>
      </w:pPr>
      <w:r w:rsidRPr="006E246B">
        <w:rPr>
          <w:spacing w:val="-3"/>
          <w:lang w:val="ru-RU"/>
        </w:rPr>
        <w:t>8.4</w:t>
      </w:r>
      <w:r w:rsidRPr="006E246B">
        <w:rPr>
          <w:spacing w:val="-3"/>
          <w:lang w:val="ru-RU"/>
        </w:rPr>
        <w:tab/>
        <w:t>Директор БРЭ, отвечая на замечания и вопросы, говорит, что за последние годы четыре НРС были переведены в категорию развивающихся стран; ожидается, что из 44</w:t>
      </w:r>
      <w:r w:rsidR="006778EA" w:rsidRPr="006E246B">
        <w:rPr>
          <w:spacing w:val="-3"/>
          <w:lang w:val="ru-RU"/>
        </w:rPr>
        <w:t> </w:t>
      </w:r>
      <w:r w:rsidRPr="006E246B">
        <w:rPr>
          <w:spacing w:val="-3"/>
          <w:lang w:val="ru-RU"/>
        </w:rPr>
        <w:t xml:space="preserve">оставшихся шесть перейдут в эту категорию к 2029 году. После выхода из категории НРС этим странам в течение двух-трех лет предоставляется непрерывная помощь и поддержка, с тем чтобы обеспечить плавный переход. Существует тесная взаимосвязь между выходом из категории НРС и подключением к интернету. Специализированный отдел Союза тесно сотрудничает с другими учреждениями системы Организации Объединенных Наций, участвующими в различных соответствующих международных конференциях, а также со Всемирной торговой организацией. НРС, в частности, уязвимы перед внешними экономическими потрясениями, а также перед стихийными бедствиями. Другие виды деятельности МСЭ-D по поддержке НРС, СИДС, ЛЛДС и стран с переходной </w:t>
      </w:r>
      <w:r w:rsidRPr="006E246B">
        <w:rPr>
          <w:spacing w:val="-3"/>
          <w:lang w:val="ru-RU"/>
        </w:rPr>
        <w:lastRenderedPageBreak/>
        <w:t>экономикой включают выпуск публикаций для предоставления информации о возможности установления соединений, ограничениях и проблемах, а также организацию сессий по поиску партнеров в рамках Цифровой коалиции "Партнерства для подключения" для объединения доноров и Государств-Членов на региональном и международном уровнях, а также реализацию многих проектов на благо соответствующих стран. Директор БРЭ, в частности, подчеркивает ценность сотрудничества Юг-Юг и обмена опытом, информацией и передовым опытом.</w:t>
      </w:r>
    </w:p>
    <w:p w14:paraId="1DEAB4E9" w14:textId="77777777" w:rsidR="00D106ED" w:rsidRPr="008467BA" w:rsidRDefault="00D106ED" w:rsidP="00D106ED">
      <w:pPr>
        <w:rPr>
          <w:lang w:val="ru-RU"/>
        </w:rPr>
      </w:pPr>
      <w:r w:rsidRPr="008467BA">
        <w:rPr>
          <w:lang w:val="ru-RU"/>
        </w:rPr>
        <w:t>8.5</w:t>
      </w:r>
      <w:r w:rsidRPr="008467BA">
        <w:rPr>
          <w:lang w:val="ru-RU"/>
        </w:rPr>
        <w:tab/>
        <w:t xml:space="preserve">Документ C26/74 </w:t>
      </w:r>
      <w:r w:rsidRPr="008467BA">
        <w:rPr>
          <w:b/>
          <w:bCs/>
          <w:lang w:val="ru-RU"/>
        </w:rPr>
        <w:t>принимается к сведению</w:t>
      </w:r>
      <w:r w:rsidRPr="008467BA">
        <w:rPr>
          <w:lang w:val="ru-RU"/>
        </w:rPr>
        <w:t>.</w:t>
      </w:r>
    </w:p>
    <w:p w14:paraId="502B1334" w14:textId="77777777" w:rsidR="00D106ED" w:rsidRPr="008467BA" w:rsidRDefault="00D106ED" w:rsidP="00D106ED">
      <w:pPr>
        <w:pStyle w:val="Heading1"/>
        <w:rPr>
          <w:lang w:val="ru-RU"/>
        </w:rPr>
      </w:pPr>
      <w:r w:rsidRPr="008467BA">
        <w:rPr>
          <w:lang w:val="ru-RU"/>
        </w:rPr>
        <w:t>9</w:t>
      </w:r>
      <w:r w:rsidRPr="008467BA">
        <w:rPr>
          <w:lang w:val="ru-RU"/>
        </w:rPr>
        <w:tab/>
        <w:t>Заявления Советников и наблюдателей</w:t>
      </w:r>
    </w:p>
    <w:p w14:paraId="1F8C9373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9.1</w:t>
      </w:r>
      <w:r w:rsidRPr="008467BA">
        <w:rPr>
          <w:lang w:val="ru-RU"/>
        </w:rPr>
        <w:tab/>
        <w:t>Советник от Маврикия объявляет о выдвижении кандидатуры своей страны для переизбрания в Совет.</w:t>
      </w:r>
    </w:p>
    <w:p w14:paraId="6F016948" w14:textId="77777777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9.2</w:t>
      </w:r>
      <w:r w:rsidRPr="008467BA">
        <w:rPr>
          <w:lang w:val="ru-RU"/>
        </w:rPr>
        <w:tab/>
        <w:t>Советники от Казахстана, Ливии и Узбекистана предлагают кандидатуры своих стран для переизбрания в Совет.</w:t>
      </w:r>
    </w:p>
    <w:p w14:paraId="2430EC70" w14:textId="641B02A0" w:rsidR="00D106ED" w:rsidRPr="008467BA" w:rsidRDefault="00D106ED" w:rsidP="006E246B">
      <w:pPr>
        <w:jc w:val="both"/>
        <w:rPr>
          <w:lang w:val="ru-RU"/>
        </w:rPr>
      </w:pPr>
      <w:r w:rsidRPr="008467BA">
        <w:rPr>
          <w:lang w:val="ru-RU"/>
        </w:rPr>
        <w:t>9.3</w:t>
      </w:r>
      <w:r w:rsidRPr="008467BA">
        <w:rPr>
          <w:lang w:val="ru-RU"/>
        </w:rPr>
        <w:tab/>
        <w:t>Наблюдатель от Узбекистана далее объявляет о выдвижении кандидатуры г</w:t>
      </w:r>
      <w:r w:rsidR="006778EA" w:rsidRPr="008467BA">
        <w:rPr>
          <w:lang w:val="ru-RU"/>
        </w:rPr>
        <w:noBreakHyphen/>
      </w:r>
      <w:r w:rsidRPr="008467BA">
        <w:rPr>
          <w:lang w:val="ru-RU"/>
        </w:rPr>
        <w:t>на</w:t>
      </w:r>
      <w:r w:rsidR="006778EA" w:rsidRPr="008467BA">
        <w:rPr>
          <w:lang w:val="ru-RU"/>
        </w:rPr>
        <w:t> </w:t>
      </w:r>
      <w:r w:rsidRPr="008467BA">
        <w:rPr>
          <w:lang w:val="ru-RU"/>
        </w:rPr>
        <w:t>Сирожиддина Усманова на пост члена Радиорегламентарного комитета.</w:t>
      </w:r>
    </w:p>
    <w:p w14:paraId="0581667A" w14:textId="528C754E" w:rsidR="00165D06" w:rsidRPr="008467BA" w:rsidRDefault="00D106ED" w:rsidP="006E246B">
      <w:pPr>
        <w:tabs>
          <w:tab w:val="clear" w:pos="794"/>
          <w:tab w:val="clear" w:pos="1191"/>
          <w:tab w:val="clear" w:pos="1588"/>
          <w:tab w:val="clear" w:pos="1985"/>
          <w:tab w:val="left" w:pos="6237"/>
        </w:tabs>
        <w:spacing w:before="1080"/>
        <w:jc w:val="both"/>
        <w:rPr>
          <w:szCs w:val="22"/>
          <w:lang w:val="ru-RU"/>
        </w:rPr>
      </w:pPr>
      <w:r w:rsidRPr="008467BA">
        <w:rPr>
          <w:szCs w:val="22"/>
          <w:lang w:val="ru-RU"/>
        </w:rPr>
        <w:t>Генеральный секретарь:</w:t>
      </w:r>
      <w:r w:rsidRPr="008467BA">
        <w:rPr>
          <w:szCs w:val="22"/>
          <w:lang w:val="ru-RU"/>
        </w:rPr>
        <w:tab/>
        <w:t>Председатель:</w:t>
      </w:r>
      <w:r w:rsidR="00974D72" w:rsidRPr="008467BA">
        <w:rPr>
          <w:szCs w:val="22"/>
          <w:lang w:val="ru-RU"/>
        </w:rPr>
        <w:br/>
      </w:r>
      <w:r w:rsidRPr="008467BA">
        <w:rPr>
          <w:szCs w:val="22"/>
          <w:lang w:val="ru-RU"/>
        </w:rPr>
        <w:t>Д. БОГДАН-МАРТИН</w:t>
      </w:r>
      <w:r w:rsidRPr="008467BA">
        <w:rPr>
          <w:szCs w:val="22"/>
          <w:lang w:val="ru-RU"/>
        </w:rPr>
        <w:tab/>
        <w:t>Б. ТИДЖАНИ</w:t>
      </w:r>
    </w:p>
    <w:sectPr w:rsidR="00165D06" w:rsidRPr="008467BA" w:rsidSect="00796BD3">
      <w:footerReference w:type="default" r:id="rId31"/>
      <w:headerReference w:type="first" r:id="rId32"/>
      <w:footerReference w:type="first" r:id="rId33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2D84" w14:textId="77777777" w:rsidR="004E3DCF" w:rsidRDefault="004E3DCF">
      <w:r>
        <w:separator/>
      </w:r>
    </w:p>
  </w:endnote>
  <w:endnote w:type="continuationSeparator" w:id="0">
    <w:p w14:paraId="20B2040A" w14:textId="77777777" w:rsidR="004E3DCF" w:rsidRDefault="004E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69972E3C" w14:textId="77777777" w:rsidTr="00E31DCE">
      <w:trPr>
        <w:jc w:val="center"/>
      </w:trPr>
      <w:tc>
        <w:tcPr>
          <w:tcW w:w="1803" w:type="dxa"/>
          <w:vAlign w:val="center"/>
        </w:tcPr>
        <w:p w14:paraId="5F324563" w14:textId="5E204121" w:rsidR="00672F8A" w:rsidRPr="005A347E" w:rsidRDefault="00D106ED" w:rsidP="00672F8A">
          <w:pPr>
            <w:pStyle w:val="Header"/>
            <w:jc w:val="left"/>
            <w:rPr>
              <w:noProof/>
              <w:lang w:val="en-GB"/>
            </w:rPr>
          </w:pPr>
          <w:r>
            <w:rPr>
              <w:noProof/>
              <w:lang w:val="ru-RU"/>
            </w:rPr>
            <w:t>2601345</w:t>
          </w:r>
        </w:p>
      </w:tc>
      <w:tc>
        <w:tcPr>
          <w:tcW w:w="8261" w:type="dxa"/>
        </w:tcPr>
        <w:p w14:paraId="269CD4A9" w14:textId="296E07F1" w:rsidR="00672F8A" w:rsidRPr="00E06FD5" w:rsidRDefault="00672F8A" w:rsidP="00C462C5">
          <w:pPr>
            <w:pStyle w:val="Header"/>
            <w:tabs>
              <w:tab w:val="left" w:pos="644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Pr="00623AE3">
            <w:rPr>
              <w:bCs/>
            </w:rPr>
            <w:t>/</w:t>
          </w:r>
          <w:r w:rsidR="00AC1D8C">
            <w:rPr>
              <w:bCs/>
              <w:lang w:val="ru-RU"/>
            </w:rPr>
            <w:t>1</w:t>
          </w:r>
          <w:r w:rsidR="00D106ED">
            <w:rPr>
              <w:bCs/>
              <w:lang w:val="ru-RU"/>
            </w:rPr>
            <w:t>25</w:t>
          </w:r>
          <w:r w:rsidRPr="00623AE3">
            <w:rPr>
              <w:bCs/>
            </w:rPr>
            <w:t>-</w:t>
          </w:r>
          <w:r w:rsidR="00165D06"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67D5A1A4" w14:textId="77777777" w:rsidR="000E568E" w:rsidRPr="00672F8A" w:rsidRDefault="000E568E" w:rsidP="00672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2B15B668" w14:textId="77777777" w:rsidTr="00E31DCE">
      <w:trPr>
        <w:jc w:val="center"/>
      </w:trPr>
      <w:tc>
        <w:tcPr>
          <w:tcW w:w="1803" w:type="dxa"/>
          <w:vAlign w:val="center"/>
        </w:tcPr>
        <w:p w14:paraId="094A254C" w14:textId="77777777" w:rsidR="00672F8A" w:rsidRDefault="00D631AA" w:rsidP="00672F8A">
          <w:pPr>
            <w:pStyle w:val="Header"/>
            <w:jc w:val="left"/>
            <w:rPr>
              <w:noProof/>
            </w:rPr>
          </w:pPr>
          <w:hyperlink r:id="rId1" w:anchor="/ru" w:history="1">
            <w:r w:rsidRPr="00BE00DD">
              <w:rPr>
                <w:rStyle w:val="Hyperlink"/>
                <w:szCs w:val="14"/>
              </w:rPr>
              <w:t>council.itu.int/202</w:t>
            </w:r>
            <w:r w:rsidR="00BE00DD" w:rsidRPr="00BE00DD">
              <w:rPr>
                <w:rStyle w:val="Hyperlink"/>
                <w:szCs w:val="14"/>
              </w:rPr>
              <w:t>6</w:t>
            </w:r>
          </w:hyperlink>
          <w:r w:rsidR="00BE00DD">
            <w:rPr>
              <w:color w:val="0563C1"/>
              <w:szCs w:val="14"/>
            </w:rPr>
            <w:t xml:space="preserve"> </w:t>
          </w:r>
        </w:p>
      </w:tc>
      <w:tc>
        <w:tcPr>
          <w:tcW w:w="8261" w:type="dxa"/>
        </w:tcPr>
        <w:p w14:paraId="7C8590EC" w14:textId="758E03DF" w:rsidR="00672F8A" w:rsidRPr="00E06FD5" w:rsidRDefault="00672F8A" w:rsidP="00C462C5">
          <w:pPr>
            <w:pStyle w:val="Header"/>
            <w:tabs>
              <w:tab w:val="left" w:pos="644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BE00DD">
            <w:rPr>
              <w:bCs/>
            </w:rPr>
            <w:t>6</w:t>
          </w:r>
          <w:r w:rsidRPr="00623AE3">
            <w:rPr>
              <w:bCs/>
            </w:rPr>
            <w:t>/</w:t>
          </w:r>
          <w:r w:rsidR="00AC1D8C">
            <w:rPr>
              <w:bCs/>
              <w:lang w:val="ru-RU"/>
            </w:rPr>
            <w:t>1</w:t>
          </w:r>
          <w:r w:rsidR="00D106ED">
            <w:rPr>
              <w:bCs/>
              <w:lang w:val="ru-RU"/>
            </w:rPr>
            <w:t>25</w:t>
          </w:r>
          <w:r w:rsidRPr="00623AE3">
            <w:rPr>
              <w:bCs/>
            </w:rPr>
            <w:t>-</w:t>
          </w:r>
          <w:r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B03733E" w14:textId="77777777" w:rsidR="000E568E" w:rsidRPr="00672F8A" w:rsidRDefault="000E568E" w:rsidP="0067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A8D66" w14:textId="77777777" w:rsidR="004E3DCF" w:rsidRDefault="004E3DCF">
      <w:r>
        <w:t>____________________</w:t>
      </w:r>
    </w:p>
  </w:footnote>
  <w:footnote w:type="continuationSeparator" w:id="0">
    <w:p w14:paraId="38BA64BF" w14:textId="77777777" w:rsidR="004E3DCF" w:rsidRDefault="004E3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89A9" w14:textId="77777777" w:rsidR="0014229E" w:rsidRPr="007E5FC4" w:rsidRDefault="00244C39" w:rsidP="00A74304">
    <w:pPr>
      <w:pStyle w:val="Header"/>
      <w:spacing w:before="60"/>
      <w:ind w:left="113"/>
      <w:jc w:val="left"/>
    </w:pPr>
    <w:r>
      <w:rPr>
        <w:noProof/>
      </w:rPr>
      <w:drawing>
        <wp:inline distT="0" distB="0" distL="0" distR="0" wp14:anchorId="733FC1F1" wp14:editId="3404D13B">
          <wp:extent cx="3992140" cy="720000"/>
          <wp:effectExtent l="0" t="0" r="0" b="0"/>
          <wp:docPr id="5012727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72706" name="Picture 501272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214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469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C0"/>
    <w:rsid w:val="00005BE0"/>
    <w:rsid w:val="0002183E"/>
    <w:rsid w:val="000569B4"/>
    <w:rsid w:val="0006007D"/>
    <w:rsid w:val="00080E82"/>
    <w:rsid w:val="000934DD"/>
    <w:rsid w:val="000A10CA"/>
    <w:rsid w:val="000B2DE7"/>
    <w:rsid w:val="000B4E93"/>
    <w:rsid w:val="000E568E"/>
    <w:rsid w:val="001335A3"/>
    <w:rsid w:val="0014229E"/>
    <w:rsid w:val="0014734F"/>
    <w:rsid w:val="00156890"/>
    <w:rsid w:val="0015710D"/>
    <w:rsid w:val="00163A32"/>
    <w:rsid w:val="00165D06"/>
    <w:rsid w:val="00192B41"/>
    <w:rsid w:val="001B7B09"/>
    <w:rsid w:val="001E6719"/>
    <w:rsid w:val="001E7F50"/>
    <w:rsid w:val="00225368"/>
    <w:rsid w:val="00227FF0"/>
    <w:rsid w:val="00244C39"/>
    <w:rsid w:val="00276F05"/>
    <w:rsid w:val="00277DEA"/>
    <w:rsid w:val="00291EB6"/>
    <w:rsid w:val="002C3F32"/>
    <w:rsid w:val="002D2F57"/>
    <w:rsid w:val="002D48C5"/>
    <w:rsid w:val="002F22D7"/>
    <w:rsid w:val="002F71AD"/>
    <w:rsid w:val="0033025A"/>
    <w:rsid w:val="00345D2A"/>
    <w:rsid w:val="003777B0"/>
    <w:rsid w:val="00381936"/>
    <w:rsid w:val="003935CB"/>
    <w:rsid w:val="003B276A"/>
    <w:rsid w:val="003E5665"/>
    <w:rsid w:val="003F099E"/>
    <w:rsid w:val="003F235E"/>
    <w:rsid w:val="00401FD7"/>
    <w:rsid w:val="004023E0"/>
    <w:rsid w:val="00403DD8"/>
    <w:rsid w:val="004070A0"/>
    <w:rsid w:val="00425CA7"/>
    <w:rsid w:val="00442515"/>
    <w:rsid w:val="00455020"/>
    <w:rsid w:val="0045686C"/>
    <w:rsid w:val="00464BC4"/>
    <w:rsid w:val="00465C35"/>
    <w:rsid w:val="00467762"/>
    <w:rsid w:val="004918C4"/>
    <w:rsid w:val="00497703"/>
    <w:rsid w:val="004A0374"/>
    <w:rsid w:val="004A45B5"/>
    <w:rsid w:val="004D0129"/>
    <w:rsid w:val="004E3DCF"/>
    <w:rsid w:val="00515795"/>
    <w:rsid w:val="00555114"/>
    <w:rsid w:val="005A3320"/>
    <w:rsid w:val="005A347E"/>
    <w:rsid w:val="005A64D5"/>
    <w:rsid w:val="005B3DEC"/>
    <w:rsid w:val="00601994"/>
    <w:rsid w:val="00636A69"/>
    <w:rsid w:val="00660449"/>
    <w:rsid w:val="00672F8A"/>
    <w:rsid w:val="006778EA"/>
    <w:rsid w:val="006E246B"/>
    <w:rsid w:val="006E2D42"/>
    <w:rsid w:val="00703676"/>
    <w:rsid w:val="00707304"/>
    <w:rsid w:val="00732269"/>
    <w:rsid w:val="00762555"/>
    <w:rsid w:val="0077110E"/>
    <w:rsid w:val="00784980"/>
    <w:rsid w:val="00785ABD"/>
    <w:rsid w:val="00796BD3"/>
    <w:rsid w:val="007A2DD4"/>
    <w:rsid w:val="007D38B5"/>
    <w:rsid w:val="007E5FC4"/>
    <w:rsid w:val="007E7EA0"/>
    <w:rsid w:val="00807255"/>
    <w:rsid w:val="0081023E"/>
    <w:rsid w:val="008173AA"/>
    <w:rsid w:val="00840A14"/>
    <w:rsid w:val="0084546D"/>
    <w:rsid w:val="008467BA"/>
    <w:rsid w:val="008B62B4"/>
    <w:rsid w:val="008D2D7B"/>
    <w:rsid w:val="008E0737"/>
    <w:rsid w:val="008F1F27"/>
    <w:rsid w:val="008F7958"/>
    <w:rsid w:val="008F7C2C"/>
    <w:rsid w:val="0093575F"/>
    <w:rsid w:val="00940E96"/>
    <w:rsid w:val="00950A82"/>
    <w:rsid w:val="00952CD9"/>
    <w:rsid w:val="00974D72"/>
    <w:rsid w:val="009A76A8"/>
    <w:rsid w:val="009B0BAE"/>
    <w:rsid w:val="009B6A8D"/>
    <w:rsid w:val="009C1C89"/>
    <w:rsid w:val="009F3448"/>
    <w:rsid w:val="00A01CF9"/>
    <w:rsid w:val="00A01F4F"/>
    <w:rsid w:val="00A109AF"/>
    <w:rsid w:val="00A20B63"/>
    <w:rsid w:val="00A3481C"/>
    <w:rsid w:val="00A405F9"/>
    <w:rsid w:val="00A71773"/>
    <w:rsid w:val="00A74304"/>
    <w:rsid w:val="00A816D1"/>
    <w:rsid w:val="00AC1D8C"/>
    <w:rsid w:val="00AE1E7D"/>
    <w:rsid w:val="00AE2C85"/>
    <w:rsid w:val="00B0107F"/>
    <w:rsid w:val="00B12A37"/>
    <w:rsid w:val="00B41837"/>
    <w:rsid w:val="00B63EF2"/>
    <w:rsid w:val="00BA7D89"/>
    <w:rsid w:val="00BC0D39"/>
    <w:rsid w:val="00BC6BE0"/>
    <w:rsid w:val="00BC7BC0"/>
    <w:rsid w:val="00BD57B7"/>
    <w:rsid w:val="00BE00DD"/>
    <w:rsid w:val="00BE63E2"/>
    <w:rsid w:val="00C462C5"/>
    <w:rsid w:val="00C85F57"/>
    <w:rsid w:val="00CD2009"/>
    <w:rsid w:val="00CF629C"/>
    <w:rsid w:val="00D106ED"/>
    <w:rsid w:val="00D144FA"/>
    <w:rsid w:val="00D14C58"/>
    <w:rsid w:val="00D17718"/>
    <w:rsid w:val="00D24F80"/>
    <w:rsid w:val="00D631AA"/>
    <w:rsid w:val="00D92EEA"/>
    <w:rsid w:val="00DA5D4E"/>
    <w:rsid w:val="00DA770A"/>
    <w:rsid w:val="00E05752"/>
    <w:rsid w:val="00E176BA"/>
    <w:rsid w:val="00E423EC"/>
    <w:rsid w:val="00E55121"/>
    <w:rsid w:val="00E92CC0"/>
    <w:rsid w:val="00EB4FCB"/>
    <w:rsid w:val="00EC6BC5"/>
    <w:rsid w:val="00F348D0"/>
    <w:rsid w:val="00F35898"/>
    <w:rsid w:val="00F503A8"/>
    <w:rsid w:val="00F5225B"/>
    <w:rsid w:val="00FA6ACF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A9867"/>
  <w15:docId w15:val="{8C6242CF-97F2-4301-9E34-D17CE311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7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144FA"/>
    <w:pPr>
      <w:keepNext/>
      <w:keepLines/>
      <w:spacing w:before="36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227FF0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762555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227FF0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227FF0"/>
    <w:pPr>
      <w:outlineLvl w:val="4"/>
    </w:pPr>
  </w:style>
  <w:style w:type="paragraph" w:styleId="Heading6">
    <w:name w:val="heading 6"/>
    <w:basedOn w:val="Heading4"/>
    <w:next w:val="Normal"/>
    <w:qFormat/>
    <w:rsid w:val="00227FF0"/>
    <w:pPr>
      <w:outlineLvl w:val="5"/>
    </w:pPr>
  </w:style>
  <w:style w:type="paragraph" w:styleId="Heading7">
    <w:name w:val="heading 7"/>
    <w:basedOn w:val="Heading6"/>
    <w:next w:val="Normal"/>
    <w:qFormat/>
    <w:rsid w:val="00227FF0"/>
    <w:pPr>
      <w:outlineLvl w:val="6"/>
    </w:pPr>
  </w:style>
  <w:style w:type="paragraph" w:styleId="Heading8">
    <w:name w:val="heading 8"/>
    <w:basedOn w:val="Heading6"/>
    <w:next w:val="Normal"/>
    <w:qFormat/>
    <w:rsid w:val="00227FF0"/>
    <w:pPr>
      <w:outlineLvl w:val="7"/>
    </w:pPr>
  </w:style>
  <w:style w:type="paragraph" w:styleId="Heading9">
    <w:name w:val="heading 9"/>
    <w:basedOn w:val="Heading6"/>
    <w:next w:val="Normal"/>
    <w:qFormat/>
    <w:rsid w:val="00227FF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A405F9"/>
  </w:style>
  <w:style w:type="paragraph" w:styleId="TOC4">
    <w:name w:val="toc 4"/>
    <w:basedOn w:val="TOC1"/>
    <w:next w:val="Normal"/>
    <w:rsid w:val="00A405F9"/>
  </w:style>
  <w:style w:type="paragraph" w:styleId="TOC3">
    <w:name w:val="toc 3"/>
    <w:basedOn w:val="TOC1"/>
    <w:next w:val="Normal"/>
    <w:rsid w:val="00A405F9"/>
  </w:style>
  <w:style w:type="paragraph" w:styleId="TOC2">
    <w:name w:val="toc 2"/>
    <w:basedOn w:val="TOC1"/>
    <w:next w:val="Normal"/>
    <w:rsid w:val="00A405F9"/>
    <w:pPr>
      <w:spacing w:before="160"/>
    </w:pPr>
  </w:style>
  <w:style w:type="paragraph" w:styleId="TOC1">
    <w:name w:val="toc 1"/>
    <w:basedOn w:val="Normal"/>
    <w:rsid w:val="00A405F9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A405F9"/>
  </w:style>
  <w:style w:type="paragraph" w:styleId="TOC6">
    <w:name w:val="toc 6"/>
    <w:basedOn w:val="TOC5"/>
    <w:next w:val="Normal"/>
    <w:rsid w:val="00A405F9"/>
  </w:style>
  <w:style w:type="paragraph" w:styleId="TOC5">
    <w:name w:val="toc 5"/>
    <w:basedOn w:val="TOC4"/>
    <w:next w:val="Normal"/>
    <w:rsid w:val="00A405F9"/>
    <w:rPr>
      <w:lang w:val="fr-CH"/>
    </w:rPr>
  </w:style>
  <w:style w:type="paragraph" w:styleId="Index7">
    <w:name w:val="index 7"/>
    <w:basedOn w:val="Normal"/>
    <w:next w:val="Normal"/>
    <w:rsid w:val="00227FF0"/>
    <w:pPr>
      <w:ind w:left="1698"/>
    </w:pPr>
  </w:style>
  <w:style w:type="paragraph" w:styleId="Index6">
    <w:name w:val="index 6"/>
    <w:basedOn w:val="Normal"/>
    <w:next w:val="Normal"/>
    <w:rsid w:val="00227FF0"/>
    <w:pPr>
      <w:ind w:left="1415"/>
    </w:pPr>
  </w:style>
  <w:style w:type="paragraph" w:styleId="Index5">
    <w:name w:val="index 5"/>
    <w:basedOn w:val="Normal"/>
    <w:next w:val="Normal"/>
    <w:rsid w:val="00227FF0"/>
    <w:pPr>
      <w:ind w:left="1132"/>
    </w:pPr>
  </w:style>
  <w:style w:type="paragraph" w:styleId="Index4">
    <w:name w:val="index 4"/>
    <w:basedOn w:val="Normal"/>
    <w:next w:val="Normal"/>
    <w:rsid w:val="00227FF0"/>
    <w:pPr>
      <w:ind w:left="849"/>
    </w:pPr>
  </w:style>
  <w:style w:type="paragraph" w:styleId="Index3">
    <w:name w:val="index 3"/>
    <w:basedOn w:val="Normal"/>
    <w:next w:val="Normal"/>
    <w:rsid w:val="00227FF0"/>
    <w:pPr>
      <w:ind w:left="566"/>
    </w:pPr>
  </w:style>
  <w:style w:type="paragraph" w:styleId="Index2">
    <w:name w:val="index 2"/>
    <w:basedOn w:val="Normal"/>
    <w:next w:val="Normal"/>
    <w:rsid w:val="00227FF0"/>
    <w:pPr>
      <w:ind w:left="283"/>
    </w:pPr>
  </w:style>
  <w:style w:type="paragraph" w:styleId="Index1">
    <w:name w:val="index 1"/>
    <w:basedOn w:val="Normal"/>
    <w:next w:val="Normal"/>
    <w:rsid w:val="00227FF0"/>
  </w:style>
  <w:style w:type="character" w:styleId="LineNumber">
    <w:name w:val="line number"/>
    <w:basedOn w:val="DefaultParagraphFont"/>
    <w:rsid w:val="00227FF0"/>
  </w:style>
  <w:style w:type="paragraph" w:styleId="IndexHeading">
    <w:name w:val="index heading"/>
    <w:basedOn w:val="Normal"/>
    <w:next w:val="Index1"/>
    <w:rsid w:val="00227FF0"/>
  </w:style>
  <w:style w:type="paragraph" w:styleId="Footer">
    <w:name w:val="footer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227FF0"/>
    <w:rPr>
      <w:position w:val="6"/>
      <w:sz w:val="16"/>
    </w:rPr>
  </w:style>
  <w:style w:type="paragraph" w:styleId="FootnoteText">
    <w:name w:val="footnote text"/>
    <w:basedOn w:val="Normal"/>
    <w:rsid w:val="0015710D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styleId="NormalIndent">
    <w:name w:val="Normal Indent"/>
    <w:basedOn w:val="Normal"/>
    <w:rsid w:val="00227FF0"/>
    <w:pPr>
      <w:ind w:left="794"/>
    </w:pPr>
  </w:style>
  <w:style w:type="paragraph" w:customStyle="1" w:styleId="enumlev1">
    <w:name w:val="enumlev1"/>
    <w:basedOn w:val="Normal"/>
    <w:qFormat/>
    <w:rsid w:val="00227FF0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227FF0"/>
    <w:pPr>
      <w:ind w:left="1191" w:hanging="397"/>
    </w:pPr>
  </w:style>
  <w:style w:type="paragraph" w:customStyle="1" w:styleId="enumlev3">
    <w:name w:val="enumlev3"/>
    <w:basedOn w:val="enumlev2"/>
    <w:rsid w:val="00227FF0"/>
    <w:pPr>
      <w:ind w:left="1588"/>
    </w:pPr>
  </w:style>
  <w:style w:type="paragraph" w:customStyle="1" w:styleId="Normalaftertitle">
    <w:name w:val="Normal after title"/>
    <w:basedOn w:val="Normal"/>
    <w:next w:val="Normal"/>
    <w:rsid w:val="00227FF0"/>
    <w:pPr>
      <w:spacing w:before="320"/>
    </w:pPr>
  </w:style>
  <w:style w:type="paragraph" w:customStyle="1" w:styleId="Equation">
    <w:name w:val="Equation"/>
    <w:basedOn w:val="Normal"/>
    <w:rsid w:val="00227FF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227FF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A405F9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styleId="List">
    <w:name w:val="Lis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docnoted">
    <w:name w:val="docnoted"/>
    <w:basedOn w:val="Normal"/>
    <w:next w:val="Head"/>
    <w:rsid w:val="00227FF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Source">
    <w:name w:val="Source"/>
    <w:basedOn w:val="Normal"/>
    <w:next w:val="Normal"/>
    <w:rsid w:val="00A405F9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meeting">
    <w:name w:val="meeting"/>
    <w:basedOn w:val="Head"/>
    <w:next w:val="Head"/>
    <w:rsid w:val="00227FF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227FF0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227FF0"/>
  </w:style>
  <w:style w:type="paragraph" w:customStyle="1" w:styleId="Data">
    <w:name w:val="Data"/>
    <w:basedOn w:val="Subject"/>
    <w:next w:val="Subject"/>
    <w:rsid w:val="00227FF0"/>
  </w:style>
  <w:style w:type="paragraph" w:customStyle="1" w:styleId="Reasons">
    <w:name w:val="Reasons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aliases w:val="超级链接,Style 58,超?级链,超????,하이퍼링크2,하이퍼링크21,超链接1,CEO_Hyperlink,超??级链Ú,fL????,fL?级,超??级链"/>
    <w:basedOn w:val="DefaultParagraphFont"/>
    <w:qFormat/>
    <w:rsid w:val="00BE00DD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227FF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Headingb">
    <w:name w:val="Heading_b"/>
    <w:basedOn w:val="Heading3"/>
    <w:next w:val="Normal"/>
    <w:rsid w:val="0076255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character" w:styleId="FollowedHyperlink">
    <w:name w:val="FollowedHyperlink"/>
    <w:basedOn w:val="DefaultParagraphFont"/>
    <w:rsid w:val="00227FF0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27FF0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227FF0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227FF0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227FF0"/>
    <w:pPr>
      <w:framePr w:wrap="around"/>
    </w:pPr>
    <w:rPr>
      <w:b/>
    </w:rPr>
  </w:style>
  <w:style w:type="paragraph" w:customStyle="1" w:styleId="dnum">
    <w:name w:val="dnum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227FF0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Annexref"/>
    <w:rsid w:val="001E6719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rsid w:val="00227FF0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227FF0"/>
  </w:style>
  <w:style w:type="paragraph" w:customStyle="1" w:styleId="Appendixtitle">
    <w:name w:val="Appendix_title"/>
    <w:basedOn w:val="Annextitle"/>
    <w:next w:val="Appendixref"/>
    <w:rsid w:val="00227FF0"/>
  </w:style>
  <w:style w:type="paragraph" w:customStyle="1" w:styleId="Appendixref">
    <w:name w:val="Appendix_ref"/>
    <w:basedOn w:val="Annexref"/>
    <w:next w:val="Normalaftertitle"/>
    <w:rsid w:val="00227FF0"/>
  </w:style>
  <w:style w:type="paragraph" w:customStyle="1" w:styleId="Call">
    <w:name w:val="Call"/>
    <w:basedOn w:val="Normal"/>
    <w:next w:val="Normal"/>
    <w:rsid w:val="00227FF0"/>
    <w:pPr>
      <w:keepNext/>
      <w:keepLines/>
      <w:spacing w:before="160"/>
      <w:ind w:left="794"/>
    </w:pPr>
    <w:rPr>
      <w:i/>
    </w:rPr>
  </w:style>
  <w:style w:type="character" w:styleId="EndnoteReference">
    <w:name w:val="endnote reference"/>
    <w:basedOn w:val="DefaultParagraphFont"/>
    <w:rsid w:val="00227FF0"/>
    <w:rPr>
      <w:vertAlign w:val="superscript"/>
    </w:rPr>
  </w:style>
  <w:style w:type="paragraph" w:customStyle="1" w:styleId="Equationlegend">
    <w:name w:val="Equation_legend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Figuretitle"/>
    <w:rsid w:val="00A405F9"/>
    <w:pPr>
      <w:spacing w:after="240"/>
      <w:jc w:val="center"/>
    </w:pPr>
  </w:style>
  <w:style w:type="paragraph" w:customStyle="1" w:styleId="Figuretitle">
    <w:name w:val="Figure_title"/>
    <w:basedOn w:val="Tabletitle"/>
    <w:next w:val="Figure"/>
    <w:rsid w:val="00A405F9"/>
    <w:pPr>
      <w:spacing w:before="120"/>
    </w:pPr>
  </w:style>
  <w:style w:type="paragraph" w:customStyle="1" w:styleId="Tabletitle">
    <w:name w:val="Table_title"/>
    <w:basedOn w:val="TableNo"/>
    <w:next w:val="Tabletext"/>
    <w:rsid w:val="00A405F9"/>
    <w:pPr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405F9"/>
    <w:pPr>
      <w:keepNext/>
      <w:keepLines/>
      <w:spacing w:before="480" w:after="120"/>
      <w:jc w:val="center"/>
    </w:pPr>
    <w:rPr>
      <w:caps/>
    </w:rPr>
  </w:style>
  <w:style w:type="paragraph" w:customStyle="1" w:styleId="Tabletext">
    <w:name w:val="Table_text"/>
    <w:basedOn w:val="Normal"/>
    <w:rsid w:val="00A405F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legend">
    <w:name w:val="Figure_legend"/>
    <w:basedOn w:val="Normal"/>
    <w:next w:val="Normal"/>
    <w:rsid w:val="00A405F9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No">
    <w:name w:val="Figure_No"/>
    <w:basedOn w:val="TableNo"/>
    <w:next w:val="Figuretitle"/>
    <w:rsid w:val="00A405F9"/>
    <w:rPr>
      <w:caps w:val="0"/>
    </w:rPr>
  </w:style>
  <w:style w:type="paragraph" w:customStyle="1" w:styleId="Figurewithouttitle">
    <w:name w:val="Figure_without_title"/>
    <w:basedOn w:val="Figure"/>
    <w:next w:val="Normal"/>
    <w:rsid w:val="00A405F9"/>
  </w:style>
  <w:style w:type="paragraph" w:customStyle="1" w:styleId="Headingi">
    <w:name w:val="Heading_i"/>
    <w:basedOn w:val="Heading3"/>
    <w:next w:val="Normal"/>
    <w:rsid w:val="00762555"/>
    <w:pPr>
      <w:spacing w:before="160"/>
    </w:pPr>
    <w:rPr>
      <w:b w:val="0"/>
      <w:i/>
    </w:rPr>
  </w:style>
  <w:style w:type="character" w:styleId="PageNumber">
    <w:name w:val="page number"/>
    <w:basedOn w:val="DefaultParagraphFont"/>
    <w:rsid w:val="001E6719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227FF0"/>
  </w:style>
  <w:style w:type="paragraph" w:customStyle="1" w:styleId="Parttitle">
    <w:name w:val="Part_title"/>
    <w:basedOn w:val="Annextitle"/>
    <w:next w:val="Partref"/>
    <w:rsid w:val="00227FF0"/>
  </w:style>
  <w:style w:type="paragraph" w:customStyle="1" w:styleId="Partref">
    <w:name w:val="Part_ref"/>
    <w:basedOn w:val="Annexref"/>
    <w:next w:val="Normalaftertitle"/>
    <w:rsid w:val="00227FF0"/>
  </w:style>
  <w:style w:type="paragraph" w:customStyle="1" w:styleId="RecNo">
    <w:name w:val="Rec_No"/>
    <w:basedOn w:val="Normal"/>
    <w:next w:val="Rectitle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1E6719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227FF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27FF0"/>
  </w:style>
  <w:style w:type="paragraph" w:customStyle="1" w:styleId="QuestionNo">
    <w:name w:val="Question_No"/>
    <w:basedOn w:val="RecNo"/>
    <w:next w:val="Questiontitle"/>
    <w:rsid w:val="00227FF0"/>
  </w:style>
  <w:style w:type="paragraph" w:customStyle="1" w:styleId="Questionref">
    <w:name w:val="Question_ref"/>
    <w:basedOn w:val="Recref"/>
    <w:next w:val="Questiondate"/>
    <w:rsid w:val="00227FF0"/>
  </w:style>
  <w:style w:type="paragraph" w:customStyle="1" w:styleId="Questiontitle">
    <w:name w:val="Question_title"/>
    <w:basedOn w:val="Rectitle"/>
    <w:next w:val="Questionref"/>
    <w:rsid w:val="001E6719"/>
  </w:style>
  <w:style w:type="paragraph" w:customStyle="1" w:styleId="Reftext">
    <w:name w:val="Ref_text"/>
    <w:basedOn w:val="Normal"/>
    <w:rsid w:val="00227FF0"/>
    <w:pPr>
      <w:ind w:left="794" w:hanging="794"/>
    </w:pPr>
  </w:style>
  <w:style w:type="paragraph" w:customStyle="1" w:styleId="Reftitle">
    <w:name w:val="Ref_title"/>
    <w:basedOn w:val="Normal"/>
    <w:next w:val="Reftext"/>
    <w:rsid w:val="00227FF0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27FF0"/>
  </w:style>
  <w:style w:type="paragraph" w:customStyle="1" w:styleId="RepNo">
    <w:name w:val="Rep_No"/>
    <w:basedOn w:val="RecNo"/>
    <w:next w:val="Reptitle"/>
    <w:rsid w:val="00227FF0"/>
  </w:style>
  <w:style w:type="paragraph" w:customStyle="1" w:styleId="Reptitle">
    <w:name w:val="Rep_title"/>
    <w:basedOn w:val="Rectitle"/>
    <w:next w:val="Repref"/>
    <w:rsid w:val="00227FF0"/>
  </w:style>
  <w:style w:type="paragraph" w:customStyle="1" w:styleId="Repref">
    <w:name w:val="Rep_ref"/>
    <w:basedOn w:val="Recref"/>
    <w:next w:val="Repdate"/>
    <w:rsid w:val="00227FF0"/>
  </w:style>
  <w:style w:type="paragraph" w:customStyle="1" w:styleId="Resdate">
    <w:name w:val="Res_date"/>
    <w:basedOn w:val="Recdate"/>
    <w:next w:val="Normalaftertitle"/>
    <w:rsid w:val="00227FF0"/>
  </w:style>
  <w:style w:type="paragraph" w:customStyle="1" w:styleId="ResNo">
    <w:name w:val="Res_No"/>
    <w:basedOn w:val="RecNo"/>
    <w:next w:val="Restitle"/>
    <w:rsid w:val="00227FF0"/>
  </w:style>
  <w:style w:type="paragraph" w:customStyle="1" w:styleId="Restitle">
    <w:name w:val="Res_title"/>
    <w:basedOn w:val="Rectitle"/>
    <w:next w:val="Resref"/>
    <w:rsid w:val="00227FF0"/>
  </w:style>
  <w:style w:type="paragraph" w:customStyle="1" w:styleId="Resref">
    <w:name w:val="Res_ref"/>
    <w:basedOn w:val="Recref"/>
    <w:next w:val="Resdate"/>
    <w:rsid w:val="00227FF0"/>
  </w:style>
  <w:style w:type="paragraph" w:customStyle="1" w:styleId="SectionNo">
    <w:name w:val="Section_No"/>
    <w:basedOn w:val="AnnexNo"/>
    <w:next w:val="Sectiontitle"/>
    <w:rsid w:val="00227FF0"/>
  </w:style>
  <w:style w:type="paragraph" w:customStyle="1" w:styleId="Sectiontitle">
    <w:name w:val="Section_title"/>
    <w:basedOn w:val="Normal"/>
    <w:next w:val="Normalaftertitle"/>
    <w:rsid w:val="00227FF0"/>
    <w:rPr>
      <w:sz w:val="26"/>
    </w:rPr>
  </w:style>
  <w:style w:type="paragraph" w:customStyle="1" w:styleId="SpecialFooter">
    <w:name w:val="Special Footer"/>
    <w:basedOn w:val="Footer"/>
    <w:rsid w:val="00227FF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227F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A405F9"/>
    <w:rPr>
      <w:sz w:val="18"/>
    </w:rPr>
  </w:style>
  <w:style w:type="paragraph" w:customStyle="1" w:styleId="Tableref">
    <w:name w:val="Table_ref"/>
    <w:basedOn w:val="Normal"/>
    <w:next w:val="Tabletitle"/>
    <w:rsid w:val="00A405F9"/>
    <w:pPr>
      <w:keepNext/>
      <w:keepLines/>
      <w:jc w:val="center"/>
    </w:pPr>
  </w:style>
  <w:style w:type="paragraph" w:customStyle="1" w:styleId="Artheading">
    <w:name w:val="Art_heading"/>
    <w:basedOn w:val="Normal"/>
    <w:next w:val="Normalaftertitle"/>
    <w:rsid w:val="00227FF0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227FF0"/>
    <w:pPr>
      <w:keepNext/>
      <w:keepLines/>
      <w:spacing w:before="240"/>
      <w:jc w:val="center"/>
    </w:pPr>
    <w:rPr>
      <w:b/>
      <w:sz w:val="26"/>
    </w:rPr>
  </w:style>
  <w:style w:type="paragraph" w:customStyle="1" w:styleId="ChapNo">
    <w:name w:val="Chap_No"/>
    <w:basedOn w:val="ArtNo"/>
    <w:next w:val="Chaptitle"/>
    <w:rsid w:val="001E6719"/>
    <w:rPr>
      <w:b/>
    </w:rPr>
  </w:style>
  <w:style w:type="paragraph" w:customStyle="1" w:styleId="Chaptitle">
    <w:name w:val="Chap_title"/>
    <w:basedOn w:val="Arttitle"/>
    <w:next w:val="Normalaftertitle"/>
    <w:rsid w:val="00227FF0"/>
  </w:style>
  <w:style w:type="character" w:customStyle="1" w:styleId="HeaderChar">
    <w:name w:val="Header Char"/>
    <w:basedOn w:val="DefaultParagraphFont"/>
    <w:link w:val="Header"/>
    <w:uiPriority w:val="99"/>
    <w:rsid w:val="00796BD3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796BD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_title"/>
    <w:basedOn w:val="Title1"/>
    <w:qFormat/>
    <w:rsid w:val="00796BD3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character" w:styleId="PlaceholderText">
    <w:name w:val="Placeholder Text"/>
    <w:basedOn w:val="DefaultParagraphFont"/>
    <w:uiPriority w:val="99"/>
    <w:semiHidden/>
    <w:rsid w:val="00D631A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BE00DD"/>
    <w:rPr>
      <w:color w:val="605E5C"/>
      <w:shd w:val="clear" w:color="auto" w:fill="E1DFDD"/>
    </w:rPr>
  </w:style>
  <w:style w:type="paragraph" w:customStyle="1" w:styleId="Summary-Record">
    <w:name w:val="Summary-Record"/>
    <w:basedOn w:val="Source"/>
    <w:rsid w:val="00D106ED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120"/>
      <w:suppressOverlap w:val="0"/>
      <w:jc w:val="center"/>
    </w:pPr>
    <w:rPr>
      <w:rFonts w:cs="Times New Roman"/>
      <w:sz w:val="34"/>
      <w:szCs w:val="3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S26-CL-C-0013/en" TargetMode="External"/><Relationship Id="rId18" Type="http://schemas.openxmlformats.org/officeDocument/2006/relationships/hyperlink" Target="https://www.itu.int/md/S26-CL-C-0002/en" TargetMode="External"/><Relationship Id="rId26" Type="http://schemas.openxmlformats.org/officeDocument/2006/relationships/hyperlink" Target="https://www.itu.int/md/S26-CL-C-0013/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tu.int/md/S26-CL-C-0078/en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itu.int/md/S26-CL-C-0002/en" TargetMode="External"/><Relationship Id="rId12" Type="http://schemas.openxmlformats.org/officeDocument/2006/relationships/hyperlink" Target="https://www.itu.int/md/S26-CL-C-0012/en" TargetMode="External"/><Relationship Id="rId17" Type="http://schemas.openxmlformats.org/officeDocument/2006/relationships/hyperlink" Target="https://www.itu.int/md/S26-CL-C-0074/en" TargetMode="External"/><Relationship Id="rId25" Type="http://schemas.openxmlformats.org/officeDocument/2006/relationships/hyperlink" Target="https://www.itu.int/md/S26-CL-C-0012/en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itu.int/md/S26-CL-260428-TD-0004/en" TargetMode="External"/><Relationship Id="rId20" Type="http://schemas.openxmlformats.org/officeDocument/2006/relationships/hyperlink" Target="https://www.itu.int/md/S26-CL-INF-0030/en" TargetMode="External"/><Relationship Id="rId29" Type="http://schemas.openxmlformats.org/officeDocument/2006/relationships/hyperlink" Target="https://www.itu.int/md/S26-CL-260428-TD-0004/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tu.int/md/S26-CL-C-0077/en" TargetMode="External"/><Relationship Id="rId24" Type="http://schemas.openxmlformats.org/officeDocument/2006/relationships/hyperlink" Target="https://www.itu.int/md/S26-CL-C-0077/en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itu.int/md/S26-CL-C-0033/en" TargetMode="External"/><Relationship Id="rId23" Type="http://schemas.openxmlformats.org/officeDocument/2006/relationships/hyperlink" Target="https://www.itu.int/md/S26-CL-C-0097/en" TargetMode="External"/><Relationship Id="rId28" Type="http://schemas.openxmlformats.org/officeDocument/2006/relationships/hyperlink" Target="https://www.itu.int/md/S26-CL-C-0033/en" TargetMode="External"/><Relationship Id="rId10" Type="http://schemas.openxmlformats.org/officeDocument/2006/relationships/hyperlink" Target="https://www.itu.int/md/S26-CL-C-0097/en" TargetMode="External"/><Relationship Id="rId19" Type="http://schemas.openxmlformats.org/officeDocument/2006/relationships/hyperlink" Target="https://www.itu.int/md/S26-CL-C-0037/en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tu.int/md/S26-CL-C-0078/en" TargetMode="External"/><Relationship Id="rId14" Type="http://schemas.openxmlformats.org/officeDocument/2006/relationships/hyperlink" Target="https://www.itu.int/md/S26-CL-C-0087/en" TargetMode="External"/><Relationship Id="rId22" Type="http://schemas.openxmlformats.org/officeDocument/2006/relationships/hyperlink" Target="https://www.itu.int/md/S26-CL-C-0070/en" TargetMode="External"/><Relationship Id="rId27" Type="http://schemas.openxmlformats.org/officeDocument/2006/relationships/hyperlink" Target="https://www.itu.int/md/S26-CL-C-0087/en" TargetMode="External"/><Relationship Id="rId30" Type="http://schemas.openxmlformats.org/officeDocument/2006/relationships/hyperlink" Target="https://www.itu.int/md/S26-CL-C-0074/en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itu.int/md/S26-CL-C-0037/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GS\PR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PR_Council26.dotx</Template>
  <TotalTime>2</TotalTime>
  <Pages>9</Pages>
  <Words>3905</Words>
  <Characters>25619</Characters>
  <Application>Microsoft Office Word</Application>
  <DocSecurity>0</DocSecurity>
  <Lines>4269</Lines>
  <Paragraphs>1640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record of the eighth Plenary meeting</vt:lpstr>
    </vt:vector>
  </TitlesOfParts>
  <Manager>General Secretariat - Pool</Manager>
  <Company>International Telecommunication Union (ITU)</Company>
  <LinksUpToDate>false</LinksUpToDate>
  <CharactersWithSpaces>27884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record of the eighth Plenary meeting</dc:title>
  <dc:subject>ITU Council 2026</dc:subject>
  <cp:keywords>C26; C2026; Council 2026; PP26</cp:keywords>
  <dc:description/>
  <cp:lastPrinted>2006-03-28T16:12:00Z</cp:lastPrinted>
  <dcterms:created xsi:type="dcterms:W3CDTF">2026-08-06T14:38:00Z</dcterms:created>
  <dcterms:modified xsi:type="dcterms:W3CDTF">2026-08-06T15:18:00Z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Документ C05/xx-R</vt:lpwstr>
  </property>
  <property fmtid="{D5CDD505-2E9C-101B-9397-08002B2CF9AE}" pid="3" name="Docdate">
    <vt:lpwstr>Дата</vt:lpwstr>
  </property>
  <property fmtid="{D5CDD505-2E9C-101B-9397-08002B2CF9AE}" pid="4" name="Docorlang">
    <vt:lpwstr>Оригинал: английский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Отчет [Записка] Генерального секретаря</vt:lpwstr>
  </property>
  <property fmtid="{D5CDD505-2E9C-101B-9397-08002B2CF9AE}" pid="8" name="GrammarlyDocumentId">
    <vt:lpwstr>9788a1e2cff90a8b0a0b89c964e56f6e6a612f9769bc84c067c7d1a91603ee22</vt:lpwstr>
  </property>
</Properties>
</file>