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D72F49" w:rsidRPr="00F558B8" w14:paraId="76CF79BC" w14:textId="77777777" w:rsidTr="00796BDB">
        <w:trPr>
          <w:cantSplit/>
          <w:trHeight w:val="23"/>
        </w:trPr>
        <w:tc>
          <w:tcPr>
            <w:tcW w:w="3969" w:type="dxa"/>
            <w:vMerge w:val="restart"/>
            <w:tcMar>
              <w:left w:w="0" w:type="dxa"/>
            </w:tcMar>
          </w:tcPr>
          <w:p w14:paraId="0459E143" w14:textId="4420CC79" w:rsidR="00D72F49" w:rsidRPr="00F558B8" w:rsidRDefault="00D72F49" w:rsidP="00796BDB">
            <w:pPr>
              <w:tabs>
                <w:tab w:val="left" w:pos="851"/>
              </w:tabs>
              <w:spacing w:before="0" w:line="240" w:lineRule="atLeast"/>
              <w:rPr>
                <w:b/>
              </w:rPr>
            </w:pPr>
          </w:p>
        </w:tc>
        <w:tc>
          <w:tcPr>
            <w:tcW w:w="5245" w:type="dxa"/>
          </w:tcPr>
          <w:p w14:paraId="0723786C" w14:textId="4A7B8309" w:rsidR="00D72F49" w:rsidRPr="00F558B8" w:rsidRDefault="00D72F49" w:rsidP="00796BDB">
            <w:pPr>
              <w:tabs>
                <w:tab w:val="left" w:pos="851"/>
              </w:tabs>
              <w:spacing w:before="0" w:line="240" w:lineRule="atLeast"/>
              <w:jc w:val="right"/>
              <w:rPr>
                <w:b/>
              </w:rPr>
            </w:pPr>
            <w:r w:rsidRPr="00F558B8">
              <w:rPr>
                <w:b/>
              </w:rPr>
              <w:t>Document C2</w:t>
            </w:r>
            <w:r w:rsidR="00E4448E" w:rsidRPr="00F558B8">
              <w:rPr>
                <w:b/>
              </w:rPr>
              <w:t>6</w:t>
            </w:r>
            <w:r w:rsidRPr="00F558B8">
              <w:rPr>
                <w:b/>
              </w:rPr>
              <w:t>/</w:t>
            </w:r>
            <w:r w:rsidR="00856D20" w:rsidRPr="00F558B8">
              <w:rPr>
                <w:b/>
              </w:rPr>
              <w:t>125</w:t>
            </w:r>
            <w:r w:rsidRPr="00F558B8">
              <w:rPr>
                <w:b/>
              </w:rPr>
              <w:t>-F</w:t>
            </w:r>
          </w:p>
        </w:tc>
      </w:tr>
      <w:tr w:rsidR="00D72F49" w:rsidRPr="00F558B8" w14:paraId="413D9E64" w14:textId="77777777" w:rsidTr="00796BDB">
        <w:trPr>
          <w:cantSplit/>
        </w:trPr>
        <w:tc>
          <w:tcPr>
            <w:tcW w:w="3969" w:type="dxa"/>
            <w:vMerge/>
          </w:tcPr>
          <w:p w14:paraId="107E0B79" w14:textId="77777777" w:rsidR="00D72F49" w:rsidRPr="00F558B8" w:rsidRDefault="00D72F49" w:rsidP="00796BDB">
            <w:pPr>
              <w:tabs>
                <w:tab w:val="left" w:pos="851"/>
              </w:tabs>
              <w:spacing w:line="240" w:lineRule="atLeast"/>
              <w:rPr>
                <w:b/>
              </w:rPr>
            </w:pPr>
          </w:p>
        </w:tc>
        <w:tc>
          <w:tcPr>
            <w:tcW w:w="5245" w:type="dxa"/>
          </w:tcPr>
          <w:p w14:paraId="4E8AE345" w14:textId="7D2BB084" w:rsidR="00D72F49" w:rsidRPr="00F558B8" w:rsidRDefault="003D7B5B" w:rsidP="00796BDB">
            <w:pPr>
              <w:tabs>
                <w:tab w:val="left" w:pos="851"/>
              </w:tabs>
              <w:spacing w:before="0"/>
              <w:jc w:val="right"/>
              <w:rPr>
                <w:b/>
              </w:rPr>
            </w:pPr>
            <w:r>
              <w:rPr>
                <w:b/>
              </w:rPr>
              <w:t>3 août</w:t>
            </w:r>
            <w:r w:rsidR="00856D20" w:rsidRPr="00F558B8">
              <w:rPr>
                <w:b/>
              </w:rPr>
              <w:t xml:space="preserve"> 2026</w:t>
            </w:r>
          </w:p>
        </w:tc>
      </w:tr>
      <w:tr w:rsidR="00D72F49" w:rsidRPr="00F558B8" w14:paraId="68EAF987" w14:textId="77777777" w:rsidTr="00796BDB">
        <w:trPr>
          <w:cantSplit/>
          <w:trHeight w:val="23"/>
        </w:trPr>
        <w:tc>
          <w:tcPr>
            <w:tcW w:w="3969" w:type="dxa"/>
            <w:vMerge/>
          </w:tcPr>
          <w:p w14:paraId="73F23160" w14:textId="77777777" w:rsidR="00D72F49" w:rsidRPr="00F558B8" w:rsidRDefault="00D72F49" w:rsidP="00796BDB">
            <w:pPr>
              <w:tabs>
                <w:tab w:val="left" w:pos="851"/>
              </w:tabs>
              <w:spacing w:line="240" w:lineRule="atLeast"/>
              <w:rPr>
                <w:b/>
              </w:rPr>
            </w:pPr>
          </w:p>
        </w:tc>
        <w:tc>
          <w:tcPr>
            <w:tcW w:w="5245" w:type="dxa"/>
          </w:tcPr>
          <w:p w14:paraId="2D5D21EB" w14:textId="77777777" w:rsidR="00D72F49" w:rsidRPr="00F558B8" w:rsidRDefault="00D72F49" w:rsidP="00796BDB">
            <w:pPr>
              <w:tabs>
                <w:tab w:val="left" w:pos="851"/>
              </w:tabs>
              <w:spacing w:before="0" w:line="240" w:lineRule="atLeast"/>
              <w:jc w:val="right"/>
              <w:rPr>
                <w:b/>
              </w:rPr>
            </w:pPr>
            <w:r w:rsidRPr="00F558B8">
              <w:rPr>
                <w:b/>
              </w:rPr>
              <w:t>Original: anglais</w:t>
            </w:r>
          </w:p>
        </w:tc>
      </w:tr>
      <w:tr w:rsidR="00D72F49" w:rsidRPr="00F558B8" w14:paraId="361A3AB1" w14:textId="77777777" w:rsidTr="00796BDB">
        <w:trPr>
          <w:cantSplit/>
          <w:trHeight w:val="23"/>
        </w:trPr>
        <w:tc>
          <w:tcPr>
            <w:tcW w:w="3969" w:type="dxa"/>
          </w:tcPr>
          <w:p w14:paraId="1973A2FC" w14:textId="77777777" w:rsidR="00D72F49" w:rsidRPr="00F558B8" w:rsidRDefault="00D72F49" w:rsidP="00796BDB">
            <w:pPr>
              <w:tabs>
                <w:tab w:val="left" w:pos="851"/>
              </w:tabs>
              <w:spacing w:line="240" w:lineRule="atLeast"/>
              <w:rPr>
                <w:b/>
              </w:rPr>
            </w:pPr>
          </w:p>
        </w:tc>
        <w:tc>
          <w:tcPr>
            <w:tcW w:w="5245" w:type="dxa"/>
          </w:tcPr>
          <w:p w14:paraId="04406974" w14:textId="77777777" w:rsidR="00D72F49" w:rsidRPr="00F558B8" w:rsidRDefault="00D72F49" w:rsidP="00796BDB">
            <w:pPr>
              <w:tabs>
                <w:tab w:val="left" w:pos="851"/>
              </w:tabs>
              <w:spacing w:before="0" w:line="240" w:lineRule="atLeast"/>
              <w:jc w:val="right"/>
              <w:rPr>
                <w:b/>
              </w:rPr>
            </w:pPr>
          </w:p>
        </w:tc>
      </w:tr>
      <w:tr w:rsidR="00D72F49" w:rsidRPr="00F558B8" w14:paraId="6DDBA2D1" w14:textId="77777777" w:rsidTr="00796BDB">
        <w:trPr>
          <w:cantSplit/>
        </w:trPr>
        <w:tc>
          <w:tcPr>
            <w:tcW w:w="9214" w:type="dxa"/>
            <w:gridSpan w:val="2"/>
            <w:tcMar>
              <w:left w:w="0" w:type="dxa"/>
            </w:tcMar>
          </w:tcPr>
          <w:p w14:paraId="274A70F1" w14:textId="073F4F5D" w:rsidR="00D72F49" w:rsidRPr="00F558B8" w:rsidRDefault="00856D20" w:rsidP="00ED442D">
            <w:pPr>
              <w:pStyle w:val="Source"/>
              <w:spacing w:before="600"/>
              <w:rPr>
                <w:sz w:val="34"/>
                <w:szCs w:val="34"/>
              </w:rPr>
            </w:pPr>
            <w:r w:rsidRPr="00F558B8">
              <w:rPr>
                <w:rFonts w:cstheme="minorHAnsi"/>
                <w:color w:val="000000"/>
                <w:sz w:val="34"/>
                <w:szCs w:val="34"/>
              </w:rPr>
              <w:t>COMPTE RENDU</w:t>
            </w:r>
            <w:r w:rsidRPr="00F558B8">
              <w:rPr>
                <w:rFonts w:cstheme="minorHAnsi"/>
                <w:color w:val="000000"/>
                <w:sz w:val="34"/>
                <w:szCs w:val="34"/>
              </w:rPr>
              <w:br/>
            </w:r>
            <w:r w:rsidRPr="00F558B8">
              <w:rPr>
                <w:rFonts w:cstheme="minorHAnsi"/>
                <w:color w:val="000000"/>
                <w:sz w:val="34"/>
                <w:szCs w:val="34"/>
              </w:rPr>
              <w:br/>
              <w:t>DE LA</w:t>
            </w:r>
            <w:r w:rsidRPr="00F558B8">
              <w:rPr>
                <w:rFonts w:cstheme="minorHAnsi"/>
                <w:color w:val="000000"/>
                <w:sz w:val="34"/>
                <w:szCs w:val="34"/>
              </w:rPr>
              <w:br/>
            </w:r>
            <w:r w:rsidRPr="00F558B8">
              <w:rPr>
                <w:rFonts w:cstheme="minorHAnsi"/>
                <w:color w:val="000000"/>
                <w:sz w:val="34"/>
                <w:szCs w:val="34"/>
              </w:rPr>
              <w:br/>
              <w:t>HUITIÈME SÉANCE PLÉNIÈRE</w:t>
            </w:r>
          </w:p>
        </w:tc>
      </w:tr>
      <w:tr w:rsidR="00D72F49" w:rsidRPr="00F558B8" w14:paraId="52B49322" w14:textId="77777777" w:rsidTr="00796BDB">
        <w:trPr>
          <w:cantSplit/>
        </w:trPr>
        <w:tc>
          <w:tcPr>
            <w:tcW w:w="9214" w:type="dxa"/>
            <w:gridSpan w:val="2"/>
            <w:tcMar>
              <w:left w:w="0" w:type="dxa"/>
            </w:tcMar>
          </w:tcPr>
          <w:p w14:paraId="1E0220E4" w14:textId="03E3981E" w:rsidR="00D72F49" w:rsidRPr="00F558B8" w:rsidRDefault="00856D20" w:rsidP="00856D20">
            <w:pPr>
              <w:tabs>
                <w:tab w:val="clear" w:pos="567"/>
                <w:tab w:val="clear" w:pos="1134"/>
                <w:tab w:val="clear" w:pos="1701"/>
                <w:tab w:val="clear" w:pos="2268"/>
                <w:tab w:val="clear" w:pos="2835"/>
              </w:tabs>
              <w:overflowPunct/>
              <w:autoSpaceDE/>
              <w:autoSpaceDN/>
              <w:adjustRightInd/>
              <w:spacing w:after="240"/>
              <w:jc w:val="center"/>
              <w:textAlignment w:val="auto"/>
              <w:rPr>
                <w:szCs w:val="24"/>
              </w:rPr>
            </w:pPr>
            <w:r w:rsidRPr="00F558B8">
              <w:rPr>
                <w:color w:val="000000"/>
                <w:szCs w:val="24"/>
              </w:rPr>
              <w:t>Vendredi 8 mai 2026, de 9 h 15 à 12 h 05</w:t>
            </w:r>
            <w:r w:rsidRPr="00F558B8">
              <w:rPr>
                <w:color w:val="000000"/>
                <w:szCs w:val="24"/>
              </w:rPr>
              <w:br/>
            </w:r>
            <w:r w:rsidRPr="00F558B8">
              <w:rPr>
                <w:color w:val="000000"/>
                <w:szCs w:val="24"/>
              </w:rPr>
              <w:br/>
            </w:r>
            <w:r w:rsidRPr="00F558B8">
              <w:rPr>
                <w:b/>
                <w:bCs/>
                <w:color w:val="000000"/>
                <w:szCs w:val="24"/>
              </w:rPr>
              <w:t>Président</w:t>
            </w:r>
            <w:r w:rsidRPr="00F558B8">
              <w:rPr>
                <w:color w:val="000000"/>
                <w:szCs w:val="24"/>
              </w:rPr>
              <w:t>: M. B. Tijani (Nigéria)</w:t>
            </w:r>
          </w:p>
        </w:tc>
      </w:tr>
    </w:tbl>
    <w:tbl>
      <w:tblPr>
        <w:tblW w:w="9214" w:type="dxa"/>
        <w:tblInd w:w="142" w:type="dxa"/>
        <w:tblLayout w:type="fixed"/>
        <w:tblLook w:val="04A0" w:firstRow="1" w:lastRow="0" w:firstColumn="1" w:lastColumn="0" w:noHBand="0" w:noVBand="1"/>
      </w:tblPr>
      <w:tblGrid>
        <w:gridCol w:w="446"/>
        <w:gridCol w:w="6597"/>
        <w:gridCol w:w="2171"/>
      </w:tblGrid>
      <w:tr w:rsidR="00856D20" w:rsidRPr="00F558B8" w14:paraId="12CF817F" w14:textId="77777777" w:rsidTr="00856D20">
        <w:trPr>
          <w:tblHeader/>
        </w:trPr>
        <w:tc>
          <w:tcPr>
            <w:tcW w:w="446" w:type="dxa"/>
          </w:tcPr>
          <w:p w14:paraId="22DB827D" w14:textId="77777777" w:rsidR="00856D20" w:rsidRPr="00F558B8" w:rsidRDefault="00856D20" w:rsidP="005076D3">
            <w:pPr>
              <w:spacing w:before="480"/>
              <w:rPr>
                <w:b/>
                <w:bCs/>
                <w:szCs w:val="24"/>
              </w:rPr>
            </w:pPr>
            <w:r w:rsidRPr="00F558B8">
              <w:rPr>
                <w:b/>
                <w:bCs/>
                <w:color w:val="000000"/>
                <w:szCs w:val="24"/>
              </w:rPr>
              <w:br w:type="page"/>
            </w:r>
            <w:r w:rsidRPr="00F558B8">
              <w:rPr>
                <w:b/>
                <w:bCs/>
                <w:color w:val="000000"/>
                <w:szCs w:val="24"/>
              </w:rPr>
              <w:br w:type="page"/>
            </w:r>
          </w:p>
        </w:tc>
        <w:tc>
          <w:tcPr>
            <w:tcW w:w="6597" w:type="dxa"/>
            <w:hideMark/>
          </w:tcPr>
          <w:p w14:paraId="5A29C775" w14:textId="77777777" w:rsidR="00856D20" w:rsidRPr="00F558B8" w:rsidRDefault="00856D20" w:rsidP="005076D3">
            <w:pPr>
              <w:spacing w:before="480" w:after="120"/>
              <w:rPr>
                <w:b/>
                <w:bCs/>
                <w:szCs w:val="24"/>
              </w:rPr>
            </w:pPr>
            <w:r w:rsidRPr="00F558B8">
              <w:rPr>
                <w:b/>
                <w:bCs/>
                <w:color w:val="000000"/>
                <w:szCs w:val="24"/>
              </w:rPr>
              <w:t>Sujets traités</w:t>
            </w:r>
          </w:p>
        </w:tc>
        <w:tc>
          <w:tcPr>
            <w:tcW w:w="2171" w:type="dxa"/>
            <w:hideMark/>
          </w:tcPr>
          <w:p w14:paraId="0FD5A960" w14:textId="77777777" w:rsidR="00856D20" w:rsidRPr="00F558B8" w:rsidRDefault="00856D20" w:rsidP="005076D3">
            <w:pPr>
              <w:spacing w:before="480"/>
              <w:jc w:val="center"/>
              <w:rPr>
                <w:b/>
                <w:bCs/>
                <w:szCs w:val="24"/>
              </w:rPr>
            </w:pPr>
            <w:r w:rsidRPr="00F558B8">
              <w:rPr>
                <w:b/>
                <w:bCs/>
                <w:color w:val="000000"/>
                <w:szCs w:val="24"/>
              </w:rPr>
              <w:t>Documents</w:t>
            </w:r>
          </w:p>
        </w:tc>
      </w:tr>
      <w:tr w:rsidR="00856D20" w:rsidRPr="00F558B8" w14:paraId="1E1E356F" w14:textId="77777777" w:rsidTr="00856D20">
        <w:trPr>
          <w:trHeight w:val="20"/>
        </w:trPr>
        <w:tc>
          <w:tcPr>
            <w:tcW w:w="446" w:type="dxa"/>
            <w:hideMark/>
          </w:tcPr>
          <w:p w14:paraId="3DA7B2C3" w14:textId="77777777" w:rsidR="00856D20" w:rsidRPr="00F558B8" w:rsidRDefault="00856D20" w:rsidP="00856D20">
            <w:pPr>
              <w:spacing w:before="80" w:after="80"/>
              <w:rPr>
                <w:sz w:val="22"/>
                <w:szCs w:val="22"/>
              </w:rPr>
            </w:pPr>
            <w:r w:rsidRPr="00F558B8">
              <w:rPr>
                <w:color w:val="000000"/>
                <w:sz w:val="22"/>
                <w:szCs w:val="22"/>
              </w:rPr>
              <w:t>1</w:t>
            </w:r>
          </w:p>
        </w:tc>
        <w:tc>
          <w:tcPr>
            <w:tcW w:w="6597" w:type="dxa"/>
          </w:tcPr>
          <w:p w14:paraId="6581C392" w14:textId="77777777" w:rsidR="00856D20" w:rsidRPr="00F558B8" w:rsidRDefault="00856D20" w:rsidP="00856D20">
            <w:pPr>
              <w:spacing w:before="80" w:after="80"/>
              <w:rPr>
                <w:sz w:val="22"/>
                <w:szCs w:val="22"/>
              </w:rPr>
            </w:pPr>
            <w:r w:rsidRPr="00F558B8">
              <w:rPr>
                <w:color w:val="000000"/>
              </w:rPr>
              <w:t>Proposition de calendrier pour les sessions de 2027, 2028 et 2029 du Conseil et les séries de réunions des Groupes de travail du Conseil et des Groupes d'experts pour la même période</w:t>
            </w:r>
          </w:p>
        </w:tc>
        <w:tc>
          <w:tcPr>
            <w:tcW w:w="2171" w:type="dxa"/>
          </w:tcPr>
          <w:p w14:paraId="3E38A4FC" w14:textId="21CD00F1" w:rsidR="00856D20" w:rsidRPr="00F558B8" w:rsidRDefault="00856D20" w:rsidP="00856D20">
            <w:pPr>
              <w:spacing w:before="80" w:after="80"/>
              <w:jc w:val="center"/>
              <w:rPr>
                <w:szCs w:val="24"/>
              </w:rPr>
            </w:pPr>
            <w:hyperlink r:id="rId7" w:history="1">
              <w:r w:rsidRPr="00F558B8">
                <w:rPr>
                  <w:rStyle w:val="Hyperlink"/>
                  <w:rFonts w:eastAsia="Times New Roman" w:cs="Times New Roman"/>
                  <w:szCs w:val="24"/>
                </w:rPr>
                <w:t>C26/2</w:t>
              </w:r>
            </w:hyperlink>
          </w:p>
        </w:tc>
      </w:tr>
      <w:tr w:rsidR="00856D20" w:rsidRPr="00F558B8" w14:paraId="68A6E372" w14:textId="77777777" w:rsidTr="00856D20">
        <w:trPr>
          <w:trHeight w:val="20"/>
        </w:trPr>
        <w:tc>
          <w:tcPr>
            <w:tcW w:w="446" w:type="dxa"/>
          </w:tcPr>
          <w:p w14:paraId="07F4ADA8" w14:textId="77777777" w:rsidR="00856D20" w:rsidRPr="00F558B8" w:rsidRDefault="00856D20" w:rsidP="00856D20">
            <w:pPr>
              <w:spacing w:before="80" w:after="80"/>
              <w:rPr>
                <w:sz w:val="22"/>
                <w:szCs w:val="22"/>
              </w:rPr>
            </w:pPr>
            <w:r w:rsidRPr="00F558B8">
              <w:rPr>
                <w:color w:val="000000"/>
                <w:sz w:val="22"/>
                <w:szCs w:val="22"/>
              </w:rPr>
              <w:t>2</w:t>
            </w:r>
          </w:p>
        </w:tc>
        <w:tc>
          <w:tcPr>
            <w:tcW w:w="6597" w:type="dxa"/>
          </w:tcPr>
          <w:p w14:paraId="50B6C0B3" w14:textId="77777777" w:rsidR="00856D20" w:rsidRPr="00F558B8" w:rsidRDefault="00856D20" w:rsidP="00856D20">
            <w:pPr>
              <w:spacing w:before="80" w:after="80"/>
            </w:pPr>
            <w:r w:rsidRPr="00F558B8">
              <w:rPr>
                <w:color w:val="000000"/>
              </w:rPr>
              <w:t>Calendrier des conférences, assemblées et réunions futures de l'Union pour la période 2026-2029</w:t>
            </w:r>
          </w:p>
        </w:tc>
        <w:tc>
          <w:tcPr>
            <w:tcW w:w="2171" w:type="dxa"/>
          </w:tcPr>
          <w:p w14:paraId="0E0B757D" w14:textId="3CCD9A2F" w:rsidR="00856D20" w:rsidRPr="00F558B8" w:rsidRDefault="00856D20" w:rsidP="00856D20">
            <w:pPr>
              <w:spacing w:before="80" w:after="80"/>
              <w:jc w:val="center"/>
              <w:rPr>
                <w:szCs w:val="24"/>
              </w:rPr>
            </w:pPr>
            <w:hyperlink r:id="rId8" w:history="1">
              <w:r w:rsidRPr="00F558B8">
                <w:rPr>
                  <w:rStyle w:val="Hyperlink"/>
                  <w:rFonts w:eastAsia="Times New Roman" w:cs="Times New Roman"/>
                  <w:szCs w:val="24"/>
                </w:rPr>
                <w:t>C26/37(R</w:t>
              </w:r>
              <w:r w:rsidR="00D811D2" w:rsidRPr="00F558B8">
                <w:rPr>
                  <w:rStyle w:val="Hyperlink"/>
                  <w:rFonts w:eastAsia="Times New Roman" w:cs="Times New Roman"/>
                  <w:szCs w:val="24"/>
                </w:rPr>
                <w:t>é</w:t>
              </w:r>
              <w:r w:rsidRPr="00F558B8">
                <w:rPr>
                  <w:rStyle w:val="Hyperlink"/>
                  <w:rFonts w:eastAsia="Times New Roman" w:cs="Times New Roman"/>
                  <w:szCs w:val="24"/>
                </w:rPr>
                <w:t>v.1)</w:t>
              </w:r>
            </w:hyperlink>
            <w:r w:rsidRPr="00F558B8">
              <w:rPr>
                <w:szCs w:val="24"/>
              </w:rPr>
              <w:t xml:space="preserve"> </w:t>
            </w:r>
          </w:p>
        </w:tc>
      </w:tr>
      <w:tr w:rsidR="00856D20" w:rsidRPr="00F558B8" w14:paraId="24B6D4C5" w14:textId="77777777" w:rsidTr="00856D20">
        <w:trPr>
          <w:trHeight w:val="20"/>
        </w:trPr>
        <w:tc>
          <w:tcPr>
            <w:tcW w:w="446" w:type="dxa"/>
          </w:tcPr>
          <w:p w14:paraId="65707E9A" w14:textId="77777777" w:rsidR="00856D20" w:rsidRPr="00F558B8" w:rsidRDefault="00856D20" w:rsidP="00856D20">
            <w:pPr>
              <w:spacing w:before="80" w:after="80"/>
              <w:rPr>
                <w:sz w:val="22"/>
                <w:szCs w:val="22"/>
              </w:rPr>
            </w:pPr>
            <w:r w:rsidRPr="00F558B8">
              <w:rPr>
                <w:color w:val="000000"/>
                <w:sz w:val="22"/>
                <w:szCs w:val="22"/>
              </w:rPr>
              <w:t>3</w:t>
            </w:r>
          </w:p>
        </w:tc>
        <w:tc>
          <w:tcPr>
            <w:tcW w:w="6597" w:type="dxa"/>
          </w:tcPr>
          <w:p w14:paraId="27B5D342" w14:textId="77777777" w:rsidR="00856D20" w:rsidRPr="00F558B8" w:rsidRDefault="00856D20" w:rsidP="00856D20">
            <w:pPr>
              <w:spacing w:before="80" w:after="80"/>
            </w:pPr>
            <w:r w:rsidRPr="00F558B8">
              <w:rPr>
                <w:color w:val="000000"/>
              </w:rPr>
              <w:t>Proposition visant à accueillir la Conférence de plénipotentiaires de 2030 en Inde</w:t>
            </w:r>
          </w:p>
        </w:tc>
        <w:tc>
          <w:tcPr>
            <w:tcW w:w="2171" w:type="dxa"/>
          </w:tcPr>
          <w:p w14:paraId="05764161" w14:textId="1D71A0B9" w:rsidR="00856D20" w:rsidRPr="00F558B8" w:rsidRDefault="00856D20" w:rsidP="00856D20">
            <w:pPr>
              <w:spacing w:before="80" w:after="80"/>
              <w:jc w:val="center"/>
            </w:pPr>
            <w:hyperlink r:id="rId9" w:history="1">
              <w:r w:rsidRPr="00F558B8">
                <w:rPr>
                  <w:rStyle w:val="Hyperlink"/>
                  <w:rFonts w:eastAsia="Times New Roman" w:cs="Times New Roman"/>
                  <w:szCs w:val="24"/>
                </w:rPr>
                <w:t>C26/78</w:t>
              </w:r>
            </w:hyperlink>
          </w:p>
        </w:tc>
      </w:tr>
      <w:tr w:rsidR="00856D20" w:rsidRPr="00F558B8" w14:paraId="301D27BF" w14:textId="77777777" w:rsidTr="00856D20">
        <w:trPr>
          <w:trHeight w:val="20"/>
        </w:trPr>
        <w:tc>
          <w:tcPr>
            <w:tcW w:w="446" w:type="dxa"/>
          </w:tcPr>
          <w:p w14:paraId="150D5BB1" w14:textId="77777777" w:rsidR="00856D20" w:rsidRPr="00F558B8" w:rsidRDefault="00856D20" w:rsidP="00856D20">
            <w:pPr>
              <w:spacing w:before="80" w:after="80"/>
              <w:rPr>
                <w:sz w:val="22"/>
                <w:szCs w:val="22"/>
              </w:rPr>
            </w:pPr>
            <w:r w:rsidRPr="00F558B8">
              <w:rPr>
                <w:color w:val="000000"/>
                <w:sz w:val="22"/>
                <w:szCs w:val="22"/>
              </w:rPr>
              <w:t>4</w:t>
            </w:r>
          </w:p>
        </w:tc>
        <w:tc>
          <w:tcPr>
            <w:tcW w:w="6597" w:type="dxa"/>
          </w:tcPr>
          <w:p w14:paraId="3C834BC6" w14:textId="77777777" w:rsidR="00856D20" w:rsidRPr="00F558B8" w:rsidRDefault="00856D20" w:rsidP="00856D20">
            <w:pPr>
              <w:spacing w:before="80" w:after="80"/>
            </w:pPr>
            <w:r w:rsidRPr="00F558B8">
              <w:rPr>
                <w:color w:val="000000"/>
              </w:rPr>
              <w:t>Gestion du temps claire, homogène et respectueuse lors des conférences et assemblées de l'UIT</w:t>
            </w:r>
          </w:p>
        </w:tc>
        <w:tc>
          <w:tcPr>
            <w:tcW w:w="2171" w:type="dxa"/>
          </w:tcPr>
          <w:p w14:paraId="13FEC6CB" w14:textId="6AE91513" w:rsidR="00856D20" w:rsidRPr="00F558B8" w:rsidRDefault="00856D20" w:rsidP="00856D20">
            <w:pPr>
              <w:spacing w:before="80" w:after="80"/>
              <w:jc w:val="center"/>
            </w:pPr>
            <w:hyperlink r:id="rId10" w:history="1">
              <w:r w:rsidRPr="00F558B8">
                <w:rPr>
                  <w:rStyle w:val="Hyperlink"/>
                  <w:rFonts w:eastAsia="Times New Roman" w:cs="Times New Roman"/>
                  <w:szCs w:val="24"/>
                </w:rPr>
                <w:t>C26/97</w:t>
              </w:r>
            </w:hyperlink>
          </w:p>
        </w:tc>
      </w:tr>
      <w:tr w:rsidR="00856D20" w:rsidRPr="00F558B8" w14:paraId="5E67D9DB" w14:textId="77777777" w:rsidTr="00856D20">
        <w:trPr>
          <w:trHeight w:val="20"/>
        </w:trPr>
        <w:tc>
          <w:tcPr>
            <w:tcW w:w="446" w:type="dxa"/>
          </w:tcPr>
          <w:p w14:paraId="698AA798" w14:textId="77777777" w:rsidR="00856D20" w:rsidRPr="00F558B8" w:rsidRDefault="00856D20" w:rsidP="00856D20">
            <w:pPr>
              <w:spacing w:before="80" w:after="80"/>
              <w:rPr>
                <w:sz w:val="22"/>
                <w:szCs w:val="22"/>
              </w:rPr>
            </w:pPr>
            <w:r w:rsidRPr="00F558B8">
              <w:rPr>
                <w:color w:val="000000"/>
                <w:sz w:val="22"/>
                <w:szCs w:val="22"/>
              </w:rPr>
              <w:t>5</w:t>
            </w:r>
          </w:p>
        </w:tc>
        <w:tc>
          <w:tcPr>
            <w:tcW w:w="6597" w:type="dxa"/>
          </w:tcPr>
          <w:p w14:paraId="074C70ED" w14:textId="77777777" w:rsidR="00856D20" w:rsidRPr="00F558B8" w:rsidRDefault="00856D20" w:rsidP="00856D20">
            <w:pPr>
              <w:spacing w:before="80" w:after="80"/>
            </w:pPr>
            <w:r w:rsidRPr="00F558B8">
              <w:rPr>
                <w:color w:val="000000"/>
              </w:rPr>
              <w:t>Problèmes systématiques rencontrés dans le cadre de l'obtention de visas d'entrée en Suisse pour les délégués de la Fédération de Russie</w:t>
            </w:r>
          </w:p>
        </w:tc>
        <w:tc>
          <w:tcPr>
            <w:tcW w:w="2171" w:type="dxa"/>
          </w:tcPr>
          <w:p w14:paraId="1A94ED7F" w14:textId="60A0D43A" w:rsidR="00856D20" w:rsidRPr="00F558B8" w:rsidRDefault="00856D20" w:rsidP="00856D20">
            <w:pPr>
              <w:spacing w:before="80" w:after="80"/>
              <w:jc w:val="center"/>
            </w:pPr>
            <w:hyperlink r:id="rId11" w:history="1">
              <w:r w:rsidRPr="00F558B8">
                <w:rPr>
                  <w:rStyle w:val="Hyperlink"/>
                  <w:rFonts w:eastAsia="Times New Roman" w:cs="Times New Roman"/>
                  <w:szCs w:val="24"/>
                </w:rPr>
                <w:t>C26/77</w:t>
              </w:r>
            </w:hyperlink>
          </w:p>
        </w:tc>
      </w:tr>
      <w:tr w:rsidR="00856D20" w:rsidRPr="00F558B8" w14:paraId="63BEF1DA" w14:textId="77777777" w:rsidTr="00856D20">
        <w:trPr>
          <w:trHeight w:val="20"/>
        </w:trPr>
        <w:tc>
          <w:tcPr>
            <w:tcW w:w="446" w:type="dxa"/>
          </w:tcPr>
          <w:p w14:paraId="511D93A7" w14:textId="77777777" w:rsidR="00856D20" w:rsidRPr="00F558B8" w:rsidRDefault="00856D20" w:rsidP="00856D20">
            <w:pPr>
              <w:spacing w:before="80" w:after="80"/>
              <w:rPr>
                <w:sz w:val="22"/>
                <w:szCs w:val="22"/>
              </w:rPr>
            </w:pPr>
            <w:r w:rsidRPr="00F558B8">
              <w:rPr>
                <w:color w:val="000000"/>
                <w:sz w:val="22"/>
                <w:szCs w:val="22"/>
              </w:rPr>
              <w:t>6</w:t>
            </w:r>
          </w:p>
        </w:tc>
        <w:tc>
          <w:tcPr>
            <w:tcW w:w="6597" w:type="dxa"/>
          </w:tcPr>
          <w:p w14:paraId="76B6597D" w14:textId="77777777" w:rsidR="00856D20" w:rsidRPr="00F558B8" w:rsidRDefault="00856D20" w:rsidP="00856D20">
            <w:pPr>
              <w:spacing w:before="80" w:after="80"/>
            </w:pPr>
            <w:r w:rsidRPr="00F558B8">
              <w:rPr>
                <w:color w:val="000000"/>
              </w:rPr>
              <w:t>Rapport de la Présidente du Groupe de travail du Conseil sur l'utilisation des langues (GTC-LANG) et Rapport quadriennal du GTC-LANG</w:t>
            </w:r>
          </w:p>
        </w:tc>
        <w:tc>
          <w:tcPr>
            <w:tcW w:w="2171" w:type="dxa"/>
          </w:tcPr>
          <w:p w14:paraId="4C93F8DC" w14:textId="581DD3A6" w:rsidR="00856D20" w:rsidRPr="00F558B8" w:rsidRDefault="00856D20" w:rsidP="00856D20">
            <w:pPr>
              <w:spacing w:before="80" w:after="80"/>
              <w:jc w:val="center"/>
              <w:rPr>
                <w:szCs w:val="24"/>
              </w:rPr>
            </w:pPr>
            <w:hyperlink r:id="rId12" w:history="1">
              <w:r w:rsidRPr="00F558B8">
                <w:rPr>
                  <w:rStyle w:val="Hyperlink"/>
                  <w:rFonts w:eastAsia="Times New Roman" w:cs="Times New Roman"/>
                  <w:szCs w:val="24"/>
                </w:rPr>
                <w:t>C26/12</w:t>
              </w:r>
            </w:hyperlink>
            <w:r w:rsidRPr="00F558B8">
              <w:rPr>
                <w:szCs w:val="24"/>
              </w:rPr>
              <w:t xml:space="preserve">, </w:t>
            </w:r>
            <w:hyperlink r:id="rId13" w:history="1">
              <w:r w:rsidRPr="00F558B8">
                <w:rPr>
                  <w:rStyle w:val="Hyperlink"/>
                  <w:rFonts w:eastAsia="Times New Roman" w:cs="Times New Roman"/>
                  <w:szCs w:val="24"/>
                </w:rPr>
                <w:t>C26/13</w:t>
              </w:r>
            </w:hyperlink>
            <w:r w:rsidRPr="00F558B8">
              <w:rPr>
                <w:szCs w:val="24"/>
              </w:rPr>
              <w:t xml:space="preserve"> </w:t>
            </w:r>
          </w:p>
        </w:tc>
      </w:tr>
      <w:tr w:rsidR="00856D20" w:rsidRPr="00F558B8" w14:paraId="0CF977C1" w14:textId="77777777" w:rsidTr="00856D20">
        <w:trPr>
          <w:trHeight w:val="20"/>
        </w:trPr>
        <w:tc>
          <w:tcPr>
            <w:tcW w:w="446" w:type="dxa"/>
          </w:tcPr>
          <w:p w14:paraId="2F51218C" w14:textId="77777777" w:rsidR="00856D20" w:rsidRPr="00F558B8" w:rsidRDefault="00856D20" w:rsidP="00856D20">
            <w:pPr>
              <w:spacing w:before="80" w:after="80"/>
              <w:rPr>
                <w:sz w:val="22"/>
                <w:szCs w:val="22"/>
              </w:rPr>
            </w:pPr>
          </w:p>
        </w:tc>
        <w:tc>
          <w:tcPr>
            <w:tcW w:w="6597" w:type="dxa"/>
          </w:tcPr>
          <w:p w14:paraId="5680BA2B" w14:textId="3C5EA2CC" w:rsidR="00856D20" w:rsidRPr="00F558B8" w:rsidRDefault="00856D20" w:rsidP="00856D20">
            <w:pPr>
              <w:spacing w:before="80" w:after="80"/>
              <w:ind w:right="-113"/>
            </w:pPr>
            <w:r w:rsidRPr="00F558B8">
              <w:rPr>
                <w:color w:val="000000"/>
              </w:rPr>
              <w:t>Projet de révision de la Résolution 1386 du Conseil (C17, dernière</w:t>
            </w:r>
            <w:r w:rsidR="00F558B8" w:rsidRPr="00F558B8">
              <w:rPr>
                <w:color w:val="000000"/>
              </w:rPr>
              <w:t> </w:t>
            </w:r>
            <w:r w:rsidRPr="00F558B8">
              <w:rPr>
                <w:color w:val="000000"/>
              </w:rPr>
              <w:t>mod. C25) relative au Comité de coordination de l'UIT pour la terminologie, et projet de révision de la Résolution 154 (Rév.</w:t>
            </w:r>
            <w:r w:rsidR="00D811D2" w:rsidRPr="00F558B8">
              <w:rPr>
                <w:color w:val="000000"/>
              </w:rPr>
              <w:t> </w:t>
            </w:r>
            <w:r w:rsidRPr="00F558B8">
              <w:rPr>
                <w:color w:val="000000"/>
              </w:rPr>
              <w:t>Bucarest, 2022) de la Conférence de plénipotentiaires</w:t>
            </w:r>
          </w:p>
        </w:tc>
        <w:tc>
          <w:tcPr>
            <w:tcW w:w="2171" w:type="dxa"/>
          </w:tcPr>
          <w:p w14:paraId="2372FA4F" w14:textId="0553C117" w:rsidR="00856D20" w:rsidRPr="00F558B8" w:rsidRDefault="00856D20" w:rsidP="00856D20">
            <w:pPr>
              <w:spacing w:before="80" w:after="80"/>
              <w:jc w:val="center"/>
            </w:pPr>
            <w:hyperlink r:id="rId14" w:history="1">
              <w:r w:rsidRPr="00F558B8">
                <w:rPr>
                  <w:rStyle w:val="Hyperlink"/>
                  <w:rFonts w:eastAsia="Times New Roman" w:cs="Times New Roman"/>
                  <w:szCs w:val="24"/>
                </w:rPr>
                <w:t>C26/87+Add.1</w:t>
              </w:r>
            </w:hyperlink>
          </w:p>
        </w:tc>
      </w:tr>
      <w:tr w:rsidR="00856D20" w:rsidRPr="00F558B8" w14:paraId="67544239" w14:textId="77777777" w:rsidTr="00856D20">
        <w:trPr>
          <w:trHeight w:val="20"/>
        </w:trPr>
        <w:tc>
          <w:tcPr>
            <w:tcW w:w="446" w:type="dxa"/>
          </w:tcPr>
          <w:p w14:paraId="5973CC6D" w14:textId="77777777" w:rsidR="00856D20" w:rsidRPr="00F558B8" w:rsidRDefault="00856D20" w:rsidP="00856D20">
            <w:pPr>
              <w:rPr>
                <w:sz w:val="22"/>
                <w:szCs w:val="22"/>
              </w:rPr>
            </w:pPr>
            <w:r w:rsidRPr="00F558B8">
              <w:rPr>
                <w:color w:val="000000"/>
                <w:sz w:val="22"/>
                <w:szCs w:val="22"/>
              </w:rPr>
              <w:lastRenderedPageBreak/>
              <w:t>7</w:t>
            </w:r>
          </w:p>
        </w:tc>
        <w:tc>
          <w:tcPr>
            <w:tcW w:w="6597" w:type="dxa"/>
          </w:tcPr>
          <w:p w14:paraId="4A765CF8" w14:textId="77777777" w:rsidR="00856D20" w:rsidRPr="00F558B8" w:rsidRDefault="00856D20" w:rsidP="00856D20">
            <w:r w:rsidRPr="00F558B8">
              <w:rPr>
                <w:color w:val="000000"/>
              </w:rPr>
              <w:t>Activités de l'UIT relatives à l'Internet: Résolutions 101, 102, 133, 180 et 206 de la Conférence de plénipotentiaires (</w:t>
            </w:r>
            <w:r w:rsidRPr="00F558B8">
              <w:rPr>
                <w:i/>
                <w:iCs/>
                <w:color w:val="000000"/>
              </w:rPr>
              <w:t>suite</w:t>
            </w:r>
            <w:r w:rsidRPr="00F558B8">
              <w:rPr>
                <w:color w:val="000000"/>
              </w:rPr>
              <w:t>)</w:t>
            </w:r>
          </w:p>
        </w:tc>
        <w:tc>
          <w:tcPr>
            <w:tcW w:w="2171" w:type="dxa"/>
          </w:tcPr>
          <w:p w14:paraId="39D97B19" w14:textId="09A5DEEF" w:rsidR="00856D20" w:rsidRPr="00F558B8" w:rsidRDefault="00856D20" w:rsidP="00856D20">
            <w:pPr>
              <w:jc w:val="center"/>
              <w:rPr>
                <w:szCs w:val="24"/>
              </w:rPr>
            </w:pPr>
            <w:hyperlink r:id="rId15" w:history="1">
              <w:r w:rsidRPr="00F558B8">
                <w:rPr>
                  <w:rStyle w:val="Hyperlink"/>
                  <w:rFonts w:eastAsia="Times New Roman" w:cs="Times New Roman"/>
                  <w:szCs w:val="20"/>
                </w:rPr>
                <w:t>C26/33</w:t>
              </w:r>
            </w:hyperlink>
            <w:r w:rsidRPr="00F558B8">
              <w:rPr>
                <w:szCs w:val="24"/>
              </w:rPr>
              <w:t xml:space="preserve">, </w:t>
            </w:r>
            <w:hyperlink r:id="rId16" w:history="1">
              <w:r w:rsidRPr="00F558B8">
                <w:rPr>
                  <w:rStyle w:val="Hyperlink"/>
                  <w:rFonts w:eastAsia="Times New Roman" w:cs="Times New Roman"/>
                  <w:szCs w:val="20"/>
                </w:rPr>
                <w:t>C26/DT/4</w:t>
              </w:r>
            </w:hyperlink>
          </w:p>
        </w:tc>
      </w:tr>
      <w:tr w:rsidR="00856D20" w:rsidRPr="00F558B8" w14:paraId="61EAB36C" w14:textId="77777777" w:rsidTr="00856D20">
        <w:trPr>
          <w:trHeight w:val="20"/>
        </w:trPr>
        <w:tc>
          <w:tcPr>
            <w:tcW w:w="446" w:type="dxa"/>
          </w:tcPr>
          <w:p w14:paraId="3B3FFD9A" w14:textId="77777777" w:rsidR="00856D20" w:rsidRPr="00F558B8" w:rsidRDefault="00856D20" w:rsidP="00856D20">
            <w:pPr>
              <w:rPr>
                <w:sz w:val="22"/>
                <w:szCs w:val="22"/>
              </w:rPr>
            </w:pPr>
            <w:r w:rsidRPr="00F558B8">
              <w:rPr>
                <w:color w:val="000000"/>
                <w:sz w:val="22"/>
                <w:szCs w:val="22"/>
              </w:rPr>
              <w:t>8</w:t>
            </w:r>
          </w:p>
        </w:tc>
        <w:tc>
          <w:tcPr>
            <w:tcW w:w="6597" w:type="dxa"/>
          </w:tcPr>
          <w:p w14:paraId="20F0C28F" w14:textId="67A33A3D" w:rsidR="00856D20" w:rsidRPr="00F558B8" w:rsidRDefault="00856D20" w:rsidP="00856D20">
            <w:r w:rsidRPr="00F558B8">
              <w:rPr>
                <w:color w:val="000000"/>
              </w:rPr>
              <w:t xml:space="preserve">Mise en </w:t>
            </w:r>
            <w:r w:rsidR="00D811D2" w:rsidRPr="00F558B8">
              <w:rPr>
                <w:color w:val="000000"/>
              </w:rPr>
              <w:t>œ</w:t>
            </w:r>
            <w:r w:rsidRPr="00F558B8">
              <w:rPr>
                <w:color w:val="000000"/>
              </w:rPr>
              <w:t>uvre de la Résolution 30 (Rév. Bucarest 2022) de la Conférence de plénipotentiaires sur les mesures spéciales en faveur des pays les moins avancés, des petits États insulaires en développement, des pays en développement sans littoral et des pays dont l'économie est en transition</w:t>
            </w:r>
          </w:p>
        </w:tc>
        <w:tc>
          <w:tcPr>
            <w:tcW w:w="2171" w:type="dxa"/>
          </w:tcPr>
          <w:p w14:paraId="4F649D13" w14:textId="37C594FA" w:rsidR="00856D20" w:rsidRPr="00F558B8" w:rsidRDefault="00856D20" w:rsidP="00856D20">
            <w:pPr>
              <w:jc w:val="center"/>
              <w:rPr>
                <w:szCs w:val="24"/>
              </w:rPr>
            </w:pPr>
            <w:hyperlink r:id="rId17" w:history="1">
              <w:r w:rsidRPr="00F558B8">
                <w:rPr>
                  <w:rStyle w:val="Hyperlink"/>
                  <w:rFonts w:eastAsia="Times New Roman" w:cs="Times New Roman"/>
                  <w:szCs w:val="24"/>
                </w:rPr>
                <w:t>C26/74</w:t>
              </w:r>
            </w:hyperlink>
          </w:p>
        </w:tc>
      </w:tr>
      <w:tr w:rsidR="00856D20" w:rsidRPr="00F558B8" w14:paraId="4983A4EE" w14:textId="77777777" w:rsidTr="00856D20">
        <w:trPr>
          <w:trHeight w:val="20"/>
        </w:trPr>
        <w:tc>
          <w:tcPr>
            <w:tcW w:w="446" w:type="dxa"/>
          </w:tcPr>
          <w:p w14:paraId="03F2280E" w14:textId="77777777" w:rsidR="00856D20" w:rsidRPr="00F558B8" w:rsidRDefault="00856D20" w:rsidP="005076D3">
            <w:pPr>
              <w:rPr>
                <w:sz w:val="22"/>
                <w:szCs w:val="22"/>
              </w:rPr>
            </w:pPr>
            <w:r w:rsidRPr="00F558B8">
              <w:rPr>
                <w:color w:val="000000"/>
                <w:sz w:val="22"/>
                <w:szCs w:val="22"/>
              </w:rPr>
              <w:t>9</w:t>
            </w:r>
          </w:p>
        </w:tc>
        <w:tc>
          <w:tcPr>
            <w:tcW w:w="6597" w:type="dxa"/>
          </w:tcPr>
          <w:p w14:paraId="7BF75130" w14:textId="77777777" w:rsidR="00856D20" w:rsidRPr="00F558B8" w:rsidRDefault="00856D20" w:rsidP="005076D3">
            <w:r w:rsidRPr="00F558B8">
              <w:rPr>
                <w:color w:val="000000"/>
              </w:rPr>
              <w:t>Déclarations des conseillers et des observateurs</w:t>
            </w:r>
          </w:p>
        </w:tc>
        <w:tc>
          <w:tcPr>
            <w:tcW w:w="2171" w:type="dxa"/>
          </w:tcPr>
          <w:p w14:paraId="59F28FCE" w14:textId="77777777" w:rsidR="00856D20" w:rsidRPr="00F558B8" w:rsidRDefault="00856D20" w:rsidP="005076D3">
            <w:pPr>
              <w:jc w:val="center"/>
              <w:rPr>
                <w:szCs w:val="24"/>
              </w:rPr>
            </w:pPr>
            <w:r w:rsidRPr="00F558B8">
              <w:rPr>
                <w:color w:val="000000"/>
                <w:szCs w:val="24"/>
              </w:rPr>
              <w:t>–</w:t>
            </w:r>
          </w:p>
        </w:tc>
      </w:tr>
    </w:tbl>
    <w:p w14:paraId="577F87EA" w14:textId="7FA32F89" w:rsidR="00A51849" w:rsidRPr="00F558B8" w:rsidRDefault="00A51849" w:rsidP="00CF0534"/>
    <w:p w14:paraId="528E07E7" w14:textId="3E23D4B0" w:rsidR="00A51849" w:rsidRPr="00F558B8" w:rsidRDefault="00A51849">
      <w:pPr>
        <w:tabs>
          <w:tab w:val="clear" w:pos="567"/>
          <w:tab w:val="clear" w:pos="1134"/>
          <w:tab w:val="clear" w:pos="1701"/>
          <w:tab w:val="clear" w:pos="2268"/>
          <w:tab w:val="clear" w:pos="2835"/>
        </w:tabs>
        <w:overflowPunct/>
        <w:autoSpaceDE/>
        <w:autoSpaceDN/>
        <w:adjustRightInd/>
        <w:spacing w:before="0"/>
        <w:textAlignment w:val="auto"/>
      </w:pPr>
      <w:r w:rsidRPr="00F558B8">
        <w:br w:type="page"/>
      </w:r>
    </w:p>
    <w:p w14:paraId="18C8BC3A" w14:textId="0B698139" w:rsidR="00856D20" w:rsidRPr="00F558B8" w:rsidRDefault="00856D20" w:rsidP="00ED0AA3">
      <w:pPr>
        <w:pStyle w:val="Heading1"/>
      </w:pPr>
      <w:r w:rsidRPr="00F558B8">
        <w:rPr>
          <w:bCs/>
        </w:rPr>
        <w:lastRenderedPageBreak/>
        <w:t>1</w:t>
      </w:r>
      <w:r w:rsidRPr="00F558B8">
        <w:tab/>
        <w:t>Proposition de calendrier pour les sessions de 2027, 2028 et 2029 du Conseil et les séries de réunions des Groupes de travail du Conseil et des Groupes d'experts pour la même période (</w:t>
      </w:r>
      <w:r w:rsidR="00ED442D" w:rsidRPr="00ED442D">
        <w:t xml:space="preserve">Document </w:t>
      </w:r>
      <w:hyperlink r:id="rId18" w:history="1">
        <w:proofErr w:type="spellStart"/>
        <w:r w:rsidRPr="00F558B8">
          <w:rPr>
            <w:rStyle w:val="Hyperlink"/>
            <w:rFonts w:eastAsia="Times New Roman" w:cs="Times New Roman"/>
            <w:szCs w:val="20"/>
          </w:rPr>
          <w:t>C26</w:t>
        </w:r>
        <w:proofErr w:type="spellEnd"/>
        <w:r w:rsidRPr="00F558B8">
          <w:rPr>
            <w:rStyle w:val="Hyperlink"/>
            <w:rFonts w:eastAsia="Times New Roman" w:cs="Times New Roman"/>
            <w:szCs w:val="20"/>
          </w:rPr>
          <w:t>/2</w:t>
        </w:r>
      </w:hyperlink>
      <w:r w:rsidRPr="00F558B8">
        <w:t>)</w:t>
      </w:r>
    </w:p>
    <w:p w14:paraId="67E9C6F3" w14:textId="4F74C5C3" w:rsidR="00856D20" w:rsidRPr="00F558B8" w:rsidRDefault="00856D20" w:rsidP="00ED442D">
      <w:pPr>
        <w:jc w:val="both"/>
      </w:pPr>
      <w:r w:rsidRPr="00F558B8">
        <w:t>1.1</w:t>
      </w:r>
      <w:r w:rsidRPr="00F558B8">
        <w:tab/>
        <w:t>La Secrétaire de la plénière présente le Document C26/2, qui contient le projet de calendrier des sessions de 2027, 2028 et 2029 du Conseil et des séries de réunions des Groupes de travail du Conseil (GTC) et des Groupes d'experts (EG) pour la même période. Le secrétariat a proposé de n'avoir chaque année qu'une seule série de réunions des GTC/GE, afin de réduire les coûts et de rationaliser les ressources, approche qui est régulièrement appliquée l'année qui suit une Conférence de plénipotentiaires. Les États Membres sont invités à examiner s'il y a lieu de tenir la session de 2029 du Conseil au siège de l'UIT ou de l'Organisation mondiale de la santé en juin 2029, ou au siège en octobre 2029, date à laquelle les troubles causés par les travaux de démolition auront cessé.</w:t>
      </w:r>
    </w:p>
    <w:p w14:paraId="0E8235DE" w14:textId="6F1F650B" w:rsidR="00856D20" w:rsidRPr="00F558B8" w:rsidRDefault="00856D20" w:rsidP="00ED442D">
      <w:pPr>
        <w:jc w:val="both"/>
      </w:pPr>
      <w:r w:rsidRPr="00F558B8">
        <w:t>1.2</w:t>
      </w:r>
      <w:r w:rsidRPr="00F558B8">
        <w:tab/>
        <w:t xml:space="preserve">Plusieurs conseillers s'opposent à la possibilité de n'avoir qu'une seule série de réunions des GTC/GE durant les années autres que celle qui suit une Conférence de plénipotentiaires. Les GTC sont ouverts à tous les </w:t>
      </w:r>
      <w:r w:rsidR="00D811D2" w:rsidRPr="00F558B8">
        <w:t>États</w:t>
      </w:r>
      <w:r w:rsidRPr="00F558B8">
        <w:t xml:space="preserve"> Membres et leur offrent donc une occasion unique de participer aux travaux de l'UIT et à la prise de décisions sur un pied d'égalité. On ne sait pas exactement quelles seront les conséquences de n'avoir qu'une seule série de réunions des</w:t>
      </w:r>
      <w:r w:rsidR="00D811D2" w:rsidRPr="00F558B8">
        <w:t> </w:t>
      </w:r>
      <w:r w:rsidRPr="00F558B8">
        <w:t>GTC/GE, pas plus que le coût de chaque série, alors que la plupart des coûts sont imputés au personnel déjà en activité. Certains GTC et GE, comme le GTC sur la protection en ligne des enfants (GTC-COP), traitent de sujets qu'il est prudent d'examiner de façon régulière. Il est également été jugé essentiel que le GTC sur les ressources financières et les ressources humaines (GTC-FHR) se réunisse en janvier ou février pour fournir sa contribution sur les projets de rapport avant la session du Conseil. De plus, plusieurs points de l'ordre du jour pour lesquels aucune décision n'a été prise à la session actuelle ont été désignés pour être examinés plus avant, notamment par le GTC-FHR et le GTC sur les questions de politiques publiques internationales relatives à l'Internet (GTC-Internet).</w:t>
      </w:r>
    </w:p>
    <w:p w14:paraId="3459341B" w14:textId="30F56238" w:rsidR="00856D20" w:rsidRPr="00F558B8" w:rsidRDefault="00856D20" w:rsidP="00ED442D">
      <w:pPr>
        <w:jc w:val="both"/>
      </w:pPr>
      <w:r w:rsidRPr="00F558B8">
        <w:t>1.3</w:t>
      </w:r>
      <w:r w:rsidRPr="00F558B8">
        <w:tab/>
        <w:t>Plusieurs conseillers expriment toutefois leur appui en faveur d'une seule série de réunions des GTC/GE, ce qui permettrait de réduire les coûts et d'optimiser l'utilisation des ressources et du temps consacré par le personnel. Il est prudent de faire preuve de souplesse en prévision des incidences attendues des travaux de construction prévus au siège. La possibilité d'organiser des réunions en ligne supplémentaires au lieu d'une deuxième série de réunions est accueillie favorablement. Plusieurs conseillers soulignent le temps consacré et les coûts associés aux déplacements à Genève pour les sessions du Conseil et les séries de réunions des GTC/GE et notent que les réunions virtuelles intérimaires permettraient d'accroître le nombre d'États Membres en mesure de participer. Un conseiller dit que le Conseil ne devrait se prononcer sur la question qu'une fois que la Conférence de plénipotentiaires (Doha, 2026) (PP-26) aura décidé quels GTC/GE devraient être maintenus.</w:t>
      </w:r>
    </w:p>
    <w:p w14:paraId="5D30BAF6" w14:textId="34D54085" w:rsidR="00856D20" w:rsidRPr="00F558B8" w:rsidRDefault="00856D20" w:rsidP="00ED442D">
      <w:pPr>
        <w:jc w:val="both"/>
      </w:pPr>
      <w:r w:rsidRPr="00F558B8">
        <w:t>1.4</w:t>
      </w:r>
      <w:r w:rsidRPr="00F558B8">
        <w:tab/>
        <w:t>Notant la proposition visant à tenir la session de 2029 du Conseil en dehors des locaux du siège de l'UIT, un conseiller rappelle qu'un avis juridique a été demandé sur la tenue d'une session du Conseil en dehors du siège.</w:t>
      </w:r>
    </w:p>
    <w:p w14:paraId="31815053" w14:textId="38E1E58B" w:rsidR="00856D20" w:rsidRPr="00F558B8" w:rsidRDefault="00856D20" w:rsidP="00ED442D">
      <w:pPr>
        <w:jc w:val="both"/>
      </w:pPr>
      <w:r w:rsidRPr="00F558B8">
        <w:t>1.5</w:t>
      </w:r>
      <w:r w:rsidRPr="00F558B8">
        <w:tab/>
        <w:t>S'agissant des dates de la session de 2029 du Conseil, un</w:t>
      </w:r>
      <w:r w:rsidR="00A75049">
        <w:t>e</w:t>
      </w:r>
      <w:r w:rsidRPr="00F558B8">
        <w:t xml:space="preserve"> conseill</w:t>
      </w:r>
      <w:r w:rsidR="00A75049">
        <w:t>è</w:t>
      </w:r>
      <w:r w:rsidRPr="00F558B8">
        <w:t>r</w:t>
      </w:r>
      <w:r w:rsidR="00A75049">
        <w:t>e</w:t>
      </w:r>
      <w:r w:rsidRPr="00F558B8">
        <w:t xml:space="preserve"> se dit favorable à la tenue de la session en juin 2029. Il est possible que les travaux de construction n'aient pas été achevés à temps pour assurer le bon déroulement de la session de 2029 du Conseil au siège, et la tenue de la session plus tard dans l'année limiterait le temps dont dispose le </w:t>
      </w:r>
      <w:r w:rsidRPr="00F558B8">
        <w:lastRenderedPageBreak/>
        <w:t>secrétariat pour mettre en œuvre les décisions avant la session du Conseil et la Conférence de plénipotentiaires de 2030.</w:t>
      </w:r>
    </w:p>
    <w:p w14:paraId="48F35BA4" w14:textId="7BDC7AAA" w:rsidR="00856D20" w:rsidRPr="00F558B8" w:rsidRDefault="00856D20" w:rsidP="00ED442D">
      <w:pPr>
        <w:jc w:val="both"/>
      </w:pPr>
      <w:r w:rsidRPr="00F558B8">
        <w:t>1.6</w:t>
      </w:r>
      <w:r w:rsidRPr="00F558B8">
        <w:tab/>
        <w:t xml:space="preserve">Le Conseil </w:t>
      </w:r>
      <w:r w:rsidRPr="00F558B8">
        <w:rPr>
          <w:b/>
          <w:bCs/>
        </w:rPr>
        <w:t>décide</w:t>
      </w:r>
      <w:r w:rsidRPr="00F558B8">
        <w:t xml:space="preserve"> en principe de tenir une série de réunions des GTC/GE à l'automne</w:t>
      </w:r>
      <w:r w:rsidR="00D811D2" w:rsidRPr="00F558B8">
        <w:t> </w:t>
      </w:r>
      <w:r w:rsidRPr="00F558B8">
        <w:t xml:space="preserve">2027, compte tenu du court laps de temps entre la Conférence de plénipotentiaires et les seules dates possibles, comme cela a été le cas en 2023, après la Conférence de plénipotentiaires (Bucarest, 2022); et </w:t>
      </w:r>
      <w:r w:rsidRPr="00F558B8">
        <w:rPr>
          <w:b/>
          <w:bCs/>
        </w:rPr>
        <w:t xml:space="preserve">prie </w:t>
      </w:r>
      <w:r w:rsidRPr="00F558B8">
        <w:t>la Secrétaire générale de proposer un nouveau projet de résolution avec de nouvelles dates à la réunion extraordinaire de la session de 2027 du Conseil, qui se tiendra à Doha, compte tenu des informations actualisées sur la continuité des activités et des décisions de la PP-26 concernant les GTC/GE.</w:t>
      </w:r>
    </w:p>
    <w:p w14:paraId="3B0F741A" w14:textId="72F76712" w:rsidR="00856D20" w:rsidRPr="00F558B8" w:rsidRDefault="00856D20" w:rsidP="00ED0AA3">
      <w:pPr>
        <w:pStyle w:val="Heading1"/>
      </w:pPr>
      <w:r w:rsidRPr="00F558B8">
        <w:rPr>
          <w:bCs/>
        </w:rPr>
        <w:t>2</w:t>
      </w:r>
      <w:r w:rsidRPr="00F558B8">
        <w:tab/>
        <w:t>Calendrier des conférences, assemblées et réunions futures de l'Union pour la période 2026-2029 (</w:t>
      </w:r>
      <w:r w:rsidR="00ED442D" w:rsidRPr="00ED442D">
        <w:t xml:space="preserve">Document </w:t>
      </w:r>
      <w:hyperlink r:id="rId19" w:history="1">
        <w:proofErr w:type="spellStart"/>
        <w:r w:rsidRPr="00F558B8">
          <w:rPr>
            <w:rStyle w:val="Hyperlink"/>
            <w:rFonts w:eastAsia="Times New Roman" w:cs="Times New Roman"/>
            <w:szCs w:val="20"/>
          </w:rPr>
          <w:t>C26</w:t>
        </w:r>
        <w:proofErr w:type="spellEnd"/>
        <w:r w:rsidRPr="00F558B8">
          <w:rPr>
            <w:rStyle w:val="Hyperlink"/>
            <w:rFonts w:eastAsia="Times New Roman" w:cs="Times New Roman"/>
            <w:szCs w:val="20"/>
          </w:rPr>
          <w:t>/37(</w:t>
        </w:r>
        <w:proofErr w:type="spellStart"/>
        <w:r w:rsidRPr="00F558B8">
          <w:rPr>
            <w:rStyle w:val="Hyperlink"/>
            <w:rFonts w:eastAsia="Times New Roman" w:cs="Times New Roman"/>
            <w:szCs w:val="20"/>
          </w:rPr>
          <w:t>Rév.1</w:t>
        </w:r>
        <w:proofErr w:type="spellEnd"/>
        <w:r w:rsidRPr="00F558B8">
          <w:rPr>
            <w:rStyle w:val="Hyperlink"/>
            <w:rFonts w:eastAsia="Times New Roman" w:cs="Times New Roman"/>
            <w:szCs w:val="20"/>
          </w:rPr>
          <w:t>)</w:t>
        </w:r>
      </w:hyperlink>
      <w:r w:rsidRPr="00F558B8">
        <w:t>)</w:t>
      </w:r>
    </w:p>
    <w:p w14:paraId="5AE5D4E6" w14:textId="6BA78EB5" w:rsidR="00856D20" w:rsidRPr="00F558B8" w:rsidRDefault="00856D20" w:rsidP="00ED442D">
      <w:pPr>
        <w:jc w:val="both"/>
      </w:pPr>
      <w:r w:rsidRPr="00F558B8">
        <w:t>2.1</w:t>
      </w:r>
      <w:r w:rsidRPr="00F558B8">
        <w:tab/>
        <w:t>Un</w:t>
      </w:r>
      <w:r w:rsidR="00A75049">
        <w:t>e</w:t>
      </w:r>
      <w:r w:rsidRPr="00F558B8">
        <w:t xml:space="preserve"> représentant</w:t>
      </w:r>
      <w:r w:rsidR="00A75049">
        <w:t>e</w:t>
      </w:r>
      <w:r w:rsidRPr="00F558B8">
        <w:t xml:space="preserve"> du Secrétariat général présente le Document C26/37(Rév.1), qui dresse la liste des assemblées, conférences et réunions prévues pour la période 2026-2029.</w:t>
      </w:r>
    </w:p>
    <w:p w14:paraId="3E255206" w14:textId="39A9DEEB" w:rsidR="00856D20" w:rsidRPr="00F558B8" w:rsidRDefault="00856D20" w:rsidP="00ED442D">
      <w:pPr>
        <w:jc w:val="both"/>
      </w:pPr>
      <w:r w:rsidRPr="00F558B8">
        <w:t>2.2</w:t>
      </w:r>
      <w:r w:rsidRPr="00F558B8">
        <w:tab/>
        <w:t>Les conseillers se félicitent du calendrier proposé. Toutefois, un</w:t>
      </w:r>
      <w:r w:rsidR="00A75049">
        <w:t>e</w:t>
      </w:r>
      <w:r w:rsidRPr="00F558B8">
        <w:t xml:space="preserve"> conseill</w:t>
      </w:r>
      <w:r w:rsidR="00A75049">
        <w:t>è</w:t>
      </w:r>
      <w:r w:rsidRPr="00F558B8">
        <w:t>r</w:t>
      </w:r>
      <w:r w:rsidR="00A75049">
        <w:t>e</w:t>
      </w:r>
      <w:r w:rsidRPr="00F558B8">
        <w:t xml:space="preserve"> note que les dates de la seconde session de la Réunion de préparation à la Conférence en vue de la Conférence mondiale des radiocommunications de 2027 (CMR-27) en avril 2027 coïncideront avec celles d'une grande exposition internationale à Genève, ce qui entraînera une charge financière accrue pour les États Membres en raison de la hausse de la demande et des coûts de logement. Un réexamen de ces dates est encouragé.</w:t>
      </w:r>
    </w:p>
    <w:p w14:paraId="38C87B2F" w14:textId="47158A75" w:rsidR="00856D20" w:rsidRPr="00F558B8" w:rsidRDefault="00856D20" w:rsidP="00ED442D">
      <w:pPr>
        <w:jc w:val="both"/>
      </w:pPr>
      <w:r w:rsidRPr="00F558B8">
        <w:t>2.3</w:t>
      </w:r>
      <w:r w:rsidRPr="00F558B8">
        <w:tab/>
        <w:t>Le conseiller de la Chine souligne que les dates proposées pour la réunion du Groupe consultatif de la normalisation des télécommunications (GCNT) en février 2027 coïncideront avec la célébration du Nouvel An lunaire, l'une des fêtes les plus importantes dans son pays, et demande que d'autres dates soient proposées.</w:t>
      </w:r>
    </w:p>
    <w:p w14:paraId="7E2A8D17" w14:textId="2601E40E" w:rsidR="00856D20" w:rsidRPr="00F558B8" w:rsidRDefault="00856D20" w:rsidP="00ED442D">
      <w:pPr>
        <w:jc w:val="both"/>
      </w:pPr>
      <w:r w:rsidRPr="00F558B8">
        <w:t>2.4</w:t>
      </w:r>
      <w:r w:rsidRPr="00F558B8">
        <w:tab/>
        <w:t>L'Adjoint au Directeur du Bureau de la normalisation des télécommunications, répondant à la préoccupation exprimée par le conseiller de la Chine, dit que le secrétariat étudiera la possibilité de revoir le calendrier de la réunion proposée du GCNT.</w:t>
      </w:r>
    </w:p>
    <w:p w14:paraId="4173B573" w14:textId="21860868" w:rsidR="00856D20" w:rsidRPr="00F558B8" w:rsidRDefault="00856D20" w:rsidP="00ED442D">
      <w:pPr>
        <w:jc w:val="both"/>
      </w:pPr>
      <w:r w:rsidRPr="00F558B8">
        <w:t>2.5</w:t>
      </w:r>
      <w:r w:rsidRPr="00F558B8">
        <w:tab/>
        <w:t xml:space="preserve">L'observateur de l'Ouzbékistan dit qu'il a l'honneur, au nom de son gouvernement, de présenter une invitation officielle en vue d'accueillir l'Assemblée mondiale de normalisation des télécommunications de 2028 (AMNT-28) à Samarcande. L'Ouzbékistan offrirait un cadre moderne pour la collaboration, l'innovation et la recherche de consensus sur les principales questions relatives aux télécommunications/technologies de l'information et de la communication (TIC) numériques, associant à la fois les </w:t>
      </w:r>
      <w:r w:rsidR="00D811D2" w:rsidRPr="00F558B8">
        <w:t>États</w:t>
      </w:r>
      <w:r w:rsidRPr="00F558B8">
        <w:t xml:space="preserve"> Membres de l'UIT et le secteur privé. La lettre d'invitation officielle figure dans le</w:t>
      </w:r>
      <w:r w:rsidR="00ED442D" w:rsidRPr="00ED442D">
        <w:t xml:space="preserve"> </w:t>
      </w:r>
      <w:r w:rsidR="00ED442D" w:rsidRPr="00ED442D">
        <w:t xml:space="preserve">Document </w:t>
      </w:r>
      <w:hyperlink r:id="rId20" w:history="1">
        <w:proofErr w:type="spellStart"/>
        <w:r w:rsidR="00ED0AA3" w:rsidRPr="00ED0AA3">
          <w:rPr>
            <w:rStyle w:val="Hyperlink"/>
            <w:rFonts w:eastAsia="Times New Roman" w:cs="Times New Roman"/>
            <w:szCs w:val="20"/>
          </w:rPr>
          <w:t>C26</w:t>
        </w:r>
        <w:proofErr w:type="spellEnd"/>
        <w:r w:rsidR="00ED0AA3" w:rsidRPr="00ED0AA3">
          <w:rPr>
            <w:rStyle w:val="Hyperlink"/>
            <w:rFonts w:eastAsia="Times New Roman" w:cs="Times New Roman"/>
            <w:szCs w:val="20"/>
          </w:rPr>
          <w:t>/</w:t>
        </w:r>
        <w:proofErr w:type="spellStart"/>
        <w:r w:rsidR="00ED0AA3" w:rsidRPr="00ED0AA3">
          <w:rPr>
            <w:rStyle w:val="Hyperlink"/>
            <w:rFonts w:eastAsia="Times New Roman" w:cs="Times New Roman"/>
            <w:szCs w:val="20"/>
          </w:rPr>
          <w:t>INF</w:t>
        </w:r>
        <w:proofErr w:type="spellEnd"/>
        <w:r w:rsidR="00ED0AA3" w:rsidRPr="00ED0AA3">
          <w:rPr>
            <w:rStyle w:val="Hyperlink"/>
            <w:rFonts w:eastAsia="Times New Roman" w:cs="Times New Roman"/>
            <w:szCs w:val="20"/>
          </w:rPr>
          <w:t>/30(</w:t>
        </w:r>
        <w:proofErr w:type="spellStart"/>
        <w:r w:rsidR="00ED0AA3" w:rsidRPr="00ED0AA3">
          <w:rPr>
            <w:rStyle w:val="Hyperlink"/>
            <w:rFonts w:eastAsia="Times New Roman" w:cs="Times New Roman"/>
            <w:szCs w:val="20"/>
          </w:rPr>
          <w:t>Rév.1</w:t>
        </w:r>
        <w:proofErr w:type="spellEnd"/>
        <w:r w:rsidR="00ED0AA3" w:rsidRPr="00ED0AA3">
          <w:rPr>
            <w:rStyle w:val="Hyperlink"/>
            <w:rFonts w:eastAsia="Times New Roman" w:cs="Times New Roman"/>
            <w:szCs w:val="20"/>
          </w:rPr>
          <w:t>)</w:t>
        </w:r>
      </w:hyperlink>
      <w:r w:rsidR="003D7B5B" w:rsidRPr="00ED0AA3">
        <w:t>.</w:t>
      </w:r>
    </w:p>
    <w:p w14:paraId="0F04CDA1" w14:textId="5292B9A6" w:rsidR="00856D20" w:rsidRPr="00F558B8" w:rsidRDefault="00856D20" w:rsidP="00ED442D">
      <w:pPr>
        <w:jc w:val="both"/>
      </w:pPr>
      <w:r w:rsidRPr="00F558B8">
        <w:t>2.6</w:t>
      </w:r>
      <w:r w:rsidRPr="00F558B8">
        <w:tab/>
        <w:t>Le Conseil</w:t>
      </w:r>
      <w:r w:rsidRPr="00F558B8">
        <w:rPr>
          <w:b/>
          <w:bCs/>
        </w:rPr>
        <w:t xml:space="preserve"> prend note </w:t>
      </w:r>
      <w:r w:rsidRPr="00F558B8">
        <w:t xml:space="preserve">du Document C26/37(Rév.1) ainsi que de l'invitation du Gouvernement de l'Ouzbékistan en vue d'accueillir l'AMNT-28 et </w:t>
      </w:r>
      <w:r w:rsidRPr="00F558B8">
        <w:rPr>
          <w:b/>
          <w:bCs/>
        </w:rPr>
        <w:t>invite</w:t>
      </w:r>
      <w:r w:rsidRPr="00F558B8">
        <w:t xml:space="preserve"> l'Administration de l'Ouzbékistan à soumettre l'invitation à la PP-26.</w:t>
      </w:r>
    </w:p>
    <w:p w14:paraId="46514C97" w14:textId="6690D48D" w:rsidR="00856D20" w:rsidRPr="00F558B8" w:rsidRDefault="00856D20" w:rsidP="00ED0AA3">
      <w:pPr>
        <w:pStyle w:val="Heading1"/>
      </w:pPr>
      <w:r w:rsidRPr="00F558B8">
        <w:rPr>
          <w:bCs/>
        </w:rPr>
        <w:t>3</w:t>
      </w:r>
      <w:r w:rsidRPr="00F558B8">
        <w:tab/>
        <w:t>Proposition visant à accueillir la Conférence de plénipotentiaires de 2030 en Inde (</w:t>
      </w:r>
      <w:r w:rsidR="00ED442D" w:rsidRPr="00ED442D">
        <w:t xml:space="preserve">Document </w:t>
      </w:r>
      <w:hyperlink r:id="rId21" w:history="1">
        <w:proofErr w:type="spellStart"/>
        <w:r w:rsidRPr="00F558B8">
          <w:rPr>
            <w:rStyle w:val="Hyperlink"/>
            <w:rFonts w:eastAsia="Times New Roman" w:cs="Times New Roman"/>
            <w:szCs w:val="20"/>
          </w:rPr>
          <w:t>C26</w:t>
        </w:r>
        <w:proofErr w:type="spellEnd"/>
        <w:r w:rsidRPr="00F558B8">
          <w:rPr>
            <w:rStyle w:val="Hyperlink"/>
            <w:rFonts w:eastAsia="Times New Roman" w:cs="Times New Roman"/>
            <w:szCs w:val="20"/>
          </w:rPr>
          <w:t>/78</w:t>
        </w:r>
      </w:hyperlink>
      <w:r w:rsidRPr="00F558B8">
        <w:t>)</w:t>
      </w:r>
    </w:p>
    <w:p w14:paraId="37F4120D" w14:textId="4929A199" w:rsidR="00856D20" w:rsidRPr="00F558B8" w:rsidRDefault="00856D20" w:rsidP="00ED442D">
      <w:pPr>
        <w:jc w:val="both"/>
      </w:pPr>
      <w:r w:rsidRPr="00F558B8">
        <w:t>3.1</w:t>
      </w:r>
      <w:r w:rsidRPr="00F558B8">
        <w:tab/>
        <w:t xml:space="preserve">Le Conseiller de l'Inde présente une contribution (Document C26/78), dans laquelle l'Administration indienne réitère sa proposition d'accueillir la Conférence de plénipotentiaires de 2030 (PP-30). Il rappelle que l'Inde est membre de longue date de l'UIT et y est attachée et </w:t>
      </w:r>
      <w:r w:rsidRPr="00F558B8">
        <w:lastRenderedPageBreak/>
        <w:t xml:space="preserve">que ce pays dispose d'une longue expérience dans l'accueil de réunions internationales de haut niveau. L'Administration indienne envisage la PP-30 comme une manifestation marquante favorisant un dialogue inclusif, une vision stratégique et une coopération multilatérale solide, appuyés par une infrastructure de premier ordre, une connectivité sans faille et une hospitalité exceptionnelle. </w:t>
      </w:r>
    </w:p>
    <w:p w14:paraId="2965445B" w14:textId="47BDA543" w:rsidR="00856D20" w:rsidRPr="00F558B8" w:rsidRDefault="00856D20" w:rsidP="00ED442D">
      <w:pPr>
        <w:jc w:val="both"/>
      </w:pPr>
      <w:r w:rsidRPr="00F558B8">
        <w:t>3.2</w:t>
      </w:r>
      <w:r w:rsidRPr="00F558B8">
        <w:tab/>
        <w:t>Au cours du débat qui s'ensuit, les conseillers, saluant l'expérience et les compétences de l'Inde en matière d'accueil de réunions internationales, appuient la proposition de l'Administration indienne d'accueillir la PP-30. Ils saluent l'engagement de l'Inde en faveur des valeurs communes de l'UIT et se disent convaincus que l'Inde a les ressources et la capacité nécessaires pour accueillir une Conférence de plénipotentiaires couronnée de succès. Certains conseillers, tout en appuyant pleinement la proposition de l'Inde, déclarent qu'elle devrait être transmise à la PP-26 pour approbation, conformément à la pratique établie.</w:t>
      </w:r>
    </w:p>
    <w:p w14:paraId="2CFC2369" w14:textId="7AC6FF9D" w:rsidR="00856D20" w:rsidRPr="00F558B8" w:rsidRDefault="00856D20" w:rsidP="00ED442D">
      <w:pPr>
        <w:jc w:val="both"/>
      </w:pPr>
      <w:r w:rsidRPr="00F558B8">
        <w:t>3.3</w:t>
      </w:r>
      <w:r w:rsidRPr="00F558B8">
        <w:tab/>
        <w:t xml:space="preserve">Le Conseiller de l'Inde remercie tous les </w:t>
      </w:r>
      <w:r w:rsidR="00D811D2" w:rsidRPr="00F558B8">
        <w:t>États</w:t>
      </w:r>
      <w:r w:rsidRPr="00F558B8">
        <w:t xml:space="preserve"> Membres et les conseillers pour leurs marques de confiance et de soutien et réaffirme la détermination de son Administration à assurer la réussite de la Conférence de plénipotentiaires.</w:t>
      </w:r>
    </w:p>
    <w:p w14:paraId="5FE75081" w14:textId="1D86D28C" w:rsidR="00856D20" w:rsidRPr="00F558B8" w:rsidRDefault="00856D20" w:rsidP="00ED442D">
      <w:pPr>
        <w:jc w:val="both"/>
      </w:pPr>
      <w:r w:rsidRPr="00F558B8">
        <w:t>3.4</w:t>
      </w:r>
      <w:r w:rsidRPr="00F558B8">
        <w:tab/>
        <w:t>En réponse à une question d'un</w:t>
      </w:r>
      <w:r w:rsidR="00A75049">
        <w:t>e</w:t>
      </w:r>
      <w:r w:rsidRPr="00F558B8">
        <w:t xml:space="preserve"> conseill</w:t>
      </w:r>
      <w:r w:rsidR="00A75049">
        <w:t>è</w:t>
      </w:r>
      <w:r w:rsidRPr="00F558B8">
        <w:t>r</w:t>
      </w:r>
      <w:r w:rsidR="00A75049">
        <w:t>e</w:t>
      </w:r>
      <w:r w:rsidRPr="00F558B8">
        <w:t>, un</w:t>
      </w:r>
      <w:r w:rsidR="00A75049">
        <w:t>e</w:t>
      </w:r>
      <w:r w:rsidRPr="00F558B8">
        <w:t xml:space="preserve"> représentant</w:t>
      </w:r>
      <w:r w:rsidR="00A75049">
        <w:t>e</w:t>
      </w:r>
      <w:r w:rsidRPr="00F558B8">
        <w:t xml:space="preserve"> du Secrétariat général explique que la mise en œuvre du processus de sélection des pays hôtes des conférences et assemblées de l'UIT (</w:t>
      </w:r>
      <w:hyperlink r:id="rId22" w:history="1">
        <w:r w:rsidRPr="00ED0AA3">
          <w:rPr>
            <w:rStyle w:val="Hyperlink"/>
            <w:rFonts w:eastAsia="Times New Roman" w:cs="Times New Roman"/>
            <w:szCs w:val="20"/>
          </w:rPr>
          <w:t xml:space="preserve">Document </w:t>
        </w:r>
        <w:r w:rsidR="003D7B5B" w:rsidRPr="00ED0AA3">
          <w:rPr>
            <w:rStyle w:val="Hyperlink"/>
            <w:rFonts w:eastAsia="Times New Roman" w:cs="Times New Roman"/>
            <w:szCs w:val="20"/>
          </w:rPr>
          <w:t>C26/70</w:t>
        </w:r>
      </w:hyperlink>
      <w:r w:rsidRPr="00F558B8">
        <w:t>) commencera avec des manifestations en 2031.</w:t>
      </w:r>
    </w:p>
    <w:p w14:paraId="48084B24" w14:textId="075CA9E4" w:rsidR="00856D20" w:rsidRPr="00F558B8" w:rsidRDefault="00856D20" w:rsidP="00ED442D">
      <w:pPr>
        <w:jc w:val="both"/>
      </w:pPr>
      <w:r w:rsidRPr="00F558B8">
        <w:t>3.5</w:t>
      </w:r>
      <w:r w:rsidRPr="00F558B8">
        <w:tab/>
        <w:t xml:space="preserve">Le Conseil </w:t>
      </w:r>
      <w:r w:rsidRPr="00F558B8">
        <w:rPr>
          <w:b/>
          <w:bCs/>
        </w:rPr>
        <w:t>approuve</w:t>
      </w:r>
      <w:r w:rsidRPr="00F558B8">
        <w:t xml:space="preserve"> l'invitation de l'Inde en vue d'accueillir la PP-30 et </w:t>
      </w:r>
      <w:r w:rsidRPr="00F558B8">
        <w:rPr>
          <w:b/>
          <w:bCs/>
        </w:rPr>
        <w:t xml:space="preserve">décide </w:t>
      </w:r>
      <w:r w:rsidRPr="00F558B8">
        <w:t>de transmettre l'invitation à la PP-26 pour acceptation officielle et inclusion dans la révision de la Résolution 77 (Rév. Bucarest, 2022).</w:t>
      </w:r>
    </w:p>
    <w:p w14:paraId="01377B99" w14:textId="237EE7FE" w:rsidR="00856D20" w:rsidRPr="00F558B8" w:rsidRDefault="00856D20" w:rsidP="00ED0AA3">
      <w:pPr>
        <w:pStyle w:val="Heading1"/>
      </w:pPr>
      <w:r w:rsidRPr="00F558B8">
        <w:rPr>
          <w:bCs/>
          <w:szCs w:val="24"/>
        </w:rPr>
        <w:t>4</w:t>
      </w:r>
      <w:r w:rsidRPr="00F558B8">
        <w:rPr>
          <w:szCs w:val="24"/>
        </w:rPr>
        <w:tab/>
        <w:t>Gestion du temps claire, homogène et respectueuse lors des conférences et assemblées de l'UIT (</w:t>
      </w:r>
      <w:r w:rsidR="00ED442D" w:rsidRPr="00ED442D">
        <w:rPr>
          <w:szCs w:val="24"/>
        </w:rPr>
        <w:t xml:space="preserve">Document </w:t>
      </w:r>
      <w:hyperlink r:id="rId23" w:history="1">
        <w:proofErr w:type="spellStart"/>
        <w:r w:rsidRPr="00F558B8">
          <w:rPr>
            <w:rStyle w:val="Hyperlink"/>
            <w:rFonts w:eastAsia="Times New Roman" w:cs="Times New Roman"/>
            <w:szCs w:val="24"/>
          </w:rPr>
          <w:t>C26</w:t>
        </w:r>
        <w:proofErr w:type="spellEnd"/>
        <w:r w:rsidRPr="00F558B8">
          <w:rPr>
            <w:rStyle w:val="Hyperlink"/>
            <w:rFonts w:eastAsia="Times New Roman" w:cs="Times New Roman"/>
            <w:szCs w:val="24"/>
          </w:rPr>
          <w:t>/97</w:t>
        </w:r>
      </w:hyperlink>
      <w:r w:rsidRPr="00F558B8">
        <w:rPr>
          <w:szCs w:val="24"/>
        </w:rPr>
        <w:t>)</w:t>
      </w:r>
    </w:p>
    <w:p w14:paraId="488D560D" w14:textId="18EA808E" w:rsidR="00856D20" w:rsidRPr="00F558B8" w:rsidRDefault="00856D20" w:rsidP="00ED442D">
      <w:pPr>
        <w:jc w:val="both"/>
      </w:pPr>
      <w:r w:rsidRPr="00F558B8">
        <w:t>4.1</w:t>
      </w:r>
      <w:r w:rsidRPr="00F558B8">
        <w:tab/>
        <w:t xml:space="preserve">La conseillère des États-Unis présente la contribution figurant dans le Document C26/97, qui contient un projet de Résolution du Conseil sur une gestion claire, cohérente et respectueuse du temps des conférences et assemblées de l'UIT. Elle explique qu'en l'absence de règles officielles régissant la gestion du temps, les modalités de travail des conférences et assemblées de l'UIT sont déterminées au cas par cas par le pays hôte et le secrétariat, tandis qu'en l'absence d'orientations générales, il est difficile d'appliquer des pratiques claires et cohérentes lorsque des problèmes surviennent. </w:t>
      </w:r>
      <w:r w:rsidR="00D811D2" w:rsidRPr="00F558B8">
        <w:t>Étant</w:t>
      </w:r>
      <w:r w:rsidRPr="00F558B8">
        <w:t xml:space="preserve"> entendu que les résolutions du Conseil n'ont pas force obligatoire sur les dispositions des assemblées et conférences de l'UIT, le projet de résolution codifie de bonnes pratiques et vise à fournir des orientations cohérentes aux commissions de direction.</w:t>
      </w:r>
    </w:p>
    <w:p w14:paraId="712B16C6" w14:textId="7700EC2B" w:rsidR="00856D20" w:rsidRPr="00F558B8" w:rsidRDefault="00856D20" w:rsidP="00ED442D">
      <w:pPr>
        <w:jc w:val="both"/>
      </w:pPr>
      <w:r w:rsidRPr="00F558B8">
        <w:t>4.2</w:t>
      </w:r>
      <w:r w:rsidRPr="00F558B8">
        <w:tab/>
        <w:t>Au cours de la discussion qui s'ensuit, plusieurs conseillers se disent résolument favorables à la proposition et soulignent que les lignes directrices permettraient d'assurer des horaires de travail prévisibles, une gestion du temps disciplinée et une prise de décision solide. Les longues heures ne produisent pas nécessairement de meilleurs résultats. Des lignes directrices contribueraient à instaurer une culture du respect, faciliteraient des négociations productives et encourageraient l'inclusion, en permettant à toutes les délégations, quels que soient leur taille et leurs capacités, de participer pleinement et utilement aux débats sur un pied d'égalité. Certain</w:t>
      </w:r>
      <w:r w:rsidR="00A75049">
        <w:t>e</w:t>
      </w:r>
      <w:r w:rsidRPr="00F558B8">
        <w:t>s conseill</w:t>
      </w:r>
      <w:r w:rsidR="00A75049">
        <w:t>è</w:t>
      </w:r>
      <w:r w:rsidRPr="00F558B8">
        <w:t>r</w:t>
      </w:r>
      <w:r w:rsidR="00A75049">
        <w:t>e</w:t>
      </w:r>
      <w:r w:rsidRPr="00F558B8">
        <w:t xml:space="preserve">s soulèvent les problèmes de sécurité et les coûts supplémentaires associés au retour à l'hébergement après des séances nocturnes. </w:t>
      </w:r>
    </w:p>
    <w:p w14:paraId="1D159E5F" w14:textId="77D7A6E7" w:rsidR="00856D20" w:rsidRPr="00F558B8" w:rsidRDefault="00856D20" w:rsidP="00ED442D">
      <w:pPr>
        <w:jc w:val="both"/>
      </w:pPr>
      <w:r w:rsidRPr="00F558B8">
        <w:lastRenderedPageBreak/>
        <w:t>4.3</w:t>
      </w:r>
      <w:r w:rsidRPr="00F558B8">
        <w:tab/>
        <w:t>Certains conseillers mettent en évidence d'autres aspects concernant une bonne gestion du temps, soulignant la nécessité de diffuser à temps les ordres du jour des conférences, d'encourager les délégations à limiter la longueur de leurs déclarations et d'éviter de tenir des séances en parallèle. Un</w:t>
      </w:r>
      <w:r w:rsidR="00A75049">
        <w:t>e</w:t>
      </w:r>
      <w:r w:rsidRPr="00F558B8">
        <w:t xml:space="preserve"> conseill</w:t>
      </w:r>
      <w:r w:rsidR="00A75049">
        <w:t>è</w:t>
      </w:r>
      <w:r w:rsidRPr="00F558B8">
        <w:t>r</w:t>
      </w:r>
      <w:r w:rsidR="00A75049">
        <w:t>e</w:t>
      </w:r>
      <w:r w:rsidRPr="00F558B8">
        <w:t xml:space="preserve"> suggère que les points soulevés dans le </w:t>
      </w:r>
      <w:r w:rsidRPr="00F558B8">
        <w:rPr>
          <w:i/>
          <w:iCs/>
        </w:rPr>
        <w:t xml:space="preserve">décide </w:t>
      </w:r>
      <w:r w:rsidRPr="00F558B8">
        <w:t xml:space="preserve">du projet de résolution soient intégrés dans la formation des présidents de conférences et de réunions. </w:t>
      </w:r>
    </w:p>
    <w:p w14:paraId="6169607A" w14:textId="159A4C20" w:rsidR="00856D20" w:rsidRPr="00F558B8" w:rsidRDefault="00856D20" w:rsidP="00ED442D">
      <w:pPr>
        <w:jc w:val="both"/>
      </w:pPr>
      <w:r w:rsidRPr="00F558B8">
        <w:t>4.4</w:t>
      </w:r>
      <w:r w:rsidRPr="00F558B8">
        <w:tab/>
        <w:t xml:space="preserve">Tout en se félicitant de la proposition et des avantages qui en découlent en principe, d'autres conseillers soulignent la nécessité de faire preuve de souplesse et de pragmatisme, notant que des discussions prolongées et nocturnes sont parfois nécessaires lors de conférences habilitées à conclure des traités. Aucune restriction ne devrait être imposée à la capacité des délégations de représenter leur gouvernement. Il est prématuré d'envisager d'adopter la Résolution à ce stade. De plus amples discussions sur le projet de Résolution sont nécessaires, idéalement dans le cadre du GTC-FHR. Un conseiller fait remarquer que le libellé utilisé dans le projet de résolution prévoit déjà une certaine souplesse dans la mise en </w:t>
      </w:r>
      <w:r w:rsidR="00D811D2" w:rsidRPr="00F558B8">
        <w:t>œ</w:t>
      </w:r>
      <w:r w:rsidRPr="00F558B8">
        <w:t xml:space="preserve">uvre. </w:t>
      </w:r>
    </w:p>
    <w:p w14:paraId="22A70A7A" w14:textId="02BE5EE4" w:rsidR="00856D20" w:rsidRPr="00F558B8" w:rsidRDefault="00856D20" w:rsidP="00ED442D">
      <w:pPr>
        <w:widowControl w:val="0"/>
        <w:jc w:val="both"/>
      </w:pPr>
      <w:r w:rsidRPr="00F558B8">
        <w:t>4.5</w:t>
      </w:r>
      <w:r w:rsidRPr="00F558B8">
        <w:tab/>
        <w:t>En réponse à une question, un représentant de l'Unité des affaires juridiques explique que le Conseil peut adopter des résolutions dans lesquelles il encourage des pratiques cohérentes de gestion du temps dans le cadre de son rôle visant à favoriser le fonctionnement et la coordination efficaces des assemblées et conférences de l'UIT. Il ne peut cependant pas adopter de résolutions qui servent à modifier les Règles générales régissant les conférences, assemblées et réunions de l'Union.</w:t>
      </w:r>
    </w:p>
    <w:p w14:paraId="7D49C235" w14:textId="77777777" w:rsidR="00856D20" w:rsidRPr="00F558B8" w:rsidRDefault="00856D20" w:rsidP="00ED442D">
      <w:pPr>
        <w:jc w:val="both"/>
      </w:pPr>
      <w:r w:rsidRPr="00F558B8">
        <w:t>4.6</w:t>
      </w:r>
      <w:r w:rsidRPr="00F558B8">
        <w:tab/>
        <w:t>Le Président invite les États Membres intéressés à tenir des consultations informelles, en vue de parvenir à un projet de résolution révisé, compte tenu des observations formulées par les conseillers.</w:t>
      </w:r>
    </w:p>
    <w:p w14:paraId="11AC6DEF" w14:textId="2A0423E2" w:rsidR="00856D20" w:rsidRPr="00F558B8" w:rsidRDefault="00856D20" w:rsidP="00ED0AA3">
      <w:pPr>
        <w:pStyle w:val="Heading1"/>
      </w:pPr>
      <w:r w:rsidRPr="00F558B8">
        <w:rPr>
          <w:bCs/>
        </w:rPr>
        <w:t>5</w:t>
      </w:r>
      <w:r w:rsidRPr="00F558B8">
        <w:tab/>
        <w:t>Problèmes systématiques rencontrés dans le cadre de l'obtention de visas d'entrée en Suisse pour les délégués de la Fédération de Russie (</w:t>
      </w:r>
      <w:r w:rsidR="00ED442D" w:rsidRPr="00ED442D">
        <w:t xml:space="preserve">Document </w:t>
      </w:r>
      <w:hyperlink r:id="rId24" w:history="1">
        <w:proofErr w:type="spellStart"/>
        <w:r w:rsidRPr="00F558B8">
          <w:rPr>
            <w:rStyle w:val="Hyperlink"/>
            <w:rFonts w:eastAsia="Times New Roman" w:cs="Times New Roman"/>
            <w:szCs w:val="20"/>
          </w:rPr>
          <w:t>C26</w:t>
        </w:r>
        <w:proofErr w:type="spellEnd"/>
        <w:r w:rsidRPr="00F558B8">
          <w:rPr>
            <w:rStyle w:val="Hyperlink"/>
            <w:rFonts w:eastAsia="Times New Roman" w:cs="Times New Roman"/>
            <w:szCs w:val="20"/>
          </w:rPr>
          <w:t>/77</w:t>
        </w:r>
      </w:hyperlink>
      <w:r w:rsidRPr="00F558B8">
        <w:t>)</w:t>
      </w:r>
    </w:p>
    <w:p w14:paraId="1F0214E9" w14:textId="4C578C08" w:rsidR="00856D20" w:rsidRPr="00F558B8" w:rsidRDefault="00856D20" w:rsidP="00ED442D">
      <w:pPr>
        <w:jc w:val="both"/>
      </w:pPr>
      <w:r w:rsidRPr="00F558B8">
        <w:t>5.1</w:t>
      </w:r>
      <w:r w:rsidRPr="00F558B8">
        <w:tab/>
        <w:t>Après avoir reçu l'appui d'un</w:t>
      </w:r>
      <w:r w:rsidR="00A75049">
        <w:t>e</w:t>
      </w:r>
      <w:r w:rsidRPr="00F558B8">
        <w:t xml:space="preserve"> conseill</w:t>
      </w:r>
      <w:r w:rsidR="00A75049">
        <w:t>è</w:t>
      </w:r>
      <w:r w:rsidRPr="00F558B8">
        <w:t>r</w:t>
      </w:r>
      <w:r w:rsidR="00A75049">
        <w:t>e</w:t>
      </w:r>
      <w:r w:rsidRPr="00F558B8">
        <w:t>, l'observateur de la Fédération de Russie présente la contribution figurant dans le Document C26/77, dans laquelle l'attention est attirée sur les problèmes que rencontrent à plusieurs reprises les délégués de la Fédération de Russie pour obtenir des visas d'entrée en Suisse afin de participer aux réunions de l'UIT qui se tiennent à Genève. Le pays hôte et le Secrétariat général doivent trouver des solutions pratiques pour que les délégués de la Fédération de Russie puissent participer pleinement, sur un pied d'égalité et sans entrave aux travaux de l'Union.</w:t>
      </w:r>
    </w:p>
    <w:p w14:paraId="2DE8F321" w14:textId="0E7A9E2A" w:rsidR="00856D20" w:rsidRPr="00F558B8" w:rsidRDefault="00856D20" w:rsidP="00ED442D">
      <w:pPr>
        <w:jc w:val="both"/>
      </w:pPr>
      <w:r w:rsidRPr="00F558B8">
        <w:t>5.2</w:t>
      </w:r>
      <w:r w:rsidRPr="00F558B8">
        <w:tab/>
      </w:r>
      <w:r w:rsidR="00A75049" w:rsidRPr="00F558B8">
        <w:t>Un</w:t>
      </w:r>
      <w:r w:rsidR="00A75049">
        <w:t>e</w:t>
      </w:r>
      <w:r w:rsidR="00A75049" w:rsidRPr="00F558B8">
        <w:t xml:space="preserve"> conseill</w:t>
      </w:r>
      <w:r w:rsidR="00A75049">
        <w:t>è</w:t>
      </w:r>
      <w:r w:rsidR="00A75049" w:rsidRPr="00F558B8">
        <w:t>r</w:t>
      </w:r>
      <w:r w:rsidR="00A75049">
        <w:t>e</w:t>
      </w:r>
      <w:r w:rsidR="00A75049" w:rsidRPr="00F558B8">
        <w:t xml:space="preserve"> </w:t>
      </w:r>
      <w:r w:rsidRPr="00F558B8">
        <w:t xml:space="preserve">dit que, conformément aux dispositions de la Constitution et de la Convention de l'UIT, tous les </w:t>
      </w:r>
      <w:r w:rsidR="00D811D2" w:rsidRPr="00F558B8">
        <w:t>États</w:t>
      </w:r>
      <w:r w:rsidRPr="00F558B8">
        <w:t xml:space="preserve"> Membres ont le même droit de participer aux réunions, conférences et assemblées de l'UIT, sans discrimination. Sur la base de ce principe, toutes les mesures qui entravent la participation des délégués pour des raisons politiques ou autres sont interdites.</w:t>
      </w:r>
    </w:p>
    <w:p w14:paraId="5CC41393" w14:textId="118B8871" w:rsidR="00856D20" w:rsidRPr="00F558B8" w:rsidRDefault="00856D20" w:rsidP="00ED442D">
      <w:pPr>
        <w:jc w:val="both"/>
      </w:pPr>
      <w:r w:rsidRPr="00F558B8">
        <w:t>5.3</w:t>
      </w:r>
      <w:r w:rsidRPr="00F558B8">
        <w:tab/>
        <w:t xml:space="preserve">Le conseiller de la Suisse dit que son pays prend très au sérieux ses engagements en tant que pays hôte de l'UIT et qu'il ne ménage aucun effort pour faciliter l'entrée en Suisse des délégations se rendant à Genève pour participer à des discussions multilatérales et à la diplomatie. Cependant, à la suite de la suspension, en 2022, de l'accord bilatéral de facilitation des visas entre la Suisse et la Fédération de Russie, les titulaires d'un passeport diplomatique de la Fédération de Russie se rendant officiellement en Suisse – y compris pour assister à des </w:t>
      </w:r>
      <w:r w:rsidRPr="00F558B8">
        <w:lastRenderedPageBreak/>
        <w:t xml:space="preserve">réunions et conférences internationales, participer à des pourparlers de paix et de sécurité ou occuper un emploi dans des organisations internationales ou des missions diplomatiques – sont désormais tenus d'obtenir un visa d'entrée. Ces visas sont délivrés conformément à l'acquis de Schengen et limités aux événements relevant des obligations internationales du pays hôte. Chaque fois que cela est nécessaire, le Département fédéral des affaires étrangères autorise les ressortissants russes en mission officielle à séjourner en Suisse. En raison des exigences de l'acquis de Schengen, il faut au moins huit jours ouvrables pour traiter les demandes de visa. Un fournisseur extérieur traite les demandes de visa des voyageurs en provenance de nombreux pays, dont la Fédération de Russie; toutefois, les délégués participant à titre officiel à des réunions et conférences internationales peuvent déposer leur demande de visa directement auprès de l'ambassade ou du consulat de Suisse, sans rendez-vous, à condition que leur demande de visa soit accompagnée d'une note verbale d'un Ministère des affaires étrangères ou d'une invitation d'une organisation internationale. La Mission permanente de la Suisse auprès de l'Office des Nations Unies et des autres organisations internationales à Genève reste à la disposition des </w:t>
      </w:r>
      <w:r w:rsidR="00D811D2" w:rsidRPr="00F558B8">
        <w:t>États</w:t>
      </w:r>
      <w:r w:rsidRPr="00F558B8">
        <w:t xml:space="preserve"> Membres pour fournir une assistance chaque fois que cela est possible.</w:t>
      </w:r>
    </w:p>
    <w:p w14:paraId="692FDF64" w14:textId="05E25D5A" w:rsidR="00856D20" w:rsidRPr="00F558B8" w:rsidRDefault="00856D20" w:rsidP="00ED442D">
      <w:pPr>
        <w:jc w:val="both"/>
      </w:pPr>
      <w:r w:rsidRPr="00F558B8">
        <w:t>5.4</w:t>
      </w:r>
      <w:r w:rsidRPr="00F558B8">
        <w:tab/>
        <w:t>Le Vice-Secrétaire général indique que le Secrétariat général travaille en étroite collaboration avec le pays hôte, qui fournit un appui et une assistance et répond rapidement aux questions particulières relatives aux visas qui sont portées à son attention. Lorsqu'il a reçu la contribution de la Fédération de Russie, il s'est mis directement en rapport avec la Mission permanente de la Suisse et a reçu l'assurance des efforts constants qu'elle déploie pour faciliter la délivrance de visas aux délégués participant aux réunions, assemblées et conférences de l'UIT.</w:t>
      </w:r>
    </w:p>
    <w:p w14:paraId="6C99FC3B" w14:textId="77777777" w:rsidR="00856D20" w:rsidRPr="00F558B8" w:rsidRDefault="00856D20" w:rsidP="00ED0AA3">
      <w:r w:rsidRPr="00F558B8">
        <w:t>5.5</w:t>
      </w:r>
      <w:r w:rsidRPr="00F558B8">
        <w:tab/>
        <w:t xml:space="preserve">Le Conseil </w:t>
      </w:r>
      <w:r w:rsidRPr="00F558B8">
        <w:rPr>
          <w:b/>
          <w:bCs/>
        </w:rPr>
        <w:t>prend note</w:t>
      </w:r>
      <w:r w:rsidRPr="00F558B8">
        <w:t xml:space="preserve"> du rapport figurant dans le Document C26/77.</w:t>
      </w:r>
    </w:p>
    <w:p w14:paraId="6A6E5BC4" w14:textId="2EB68723" w:rsidR="00856D20" w:rsidRPr="00F558B8" w:rsidRDefault="00856D20" w:rsidP="00ED0AA3">
      <w:pPr>
        <w:pStyle w:val="Heading1"/>
        <w:ind w:right="-1"/>
        <w:rPr>
          <w:rFonts w:cs="Times New Roman Bold"/>
          <w:spacing w:val="-2"/>
        </w:rPr>
      </w:pPr>
      <w:r w:rsidRPr="00F558B8">
        <w:rPr>
          <w:bCs/>
        </w:rPr>
        <w:t>6</w:t>
      </w:r>
      <w:r w:rsidRPr="00F558B8">
        <w:tab/>
        <w:t xml:space="preserve">Rapport de la Présidente du Groupe de travail du Conseil sur l'utilisation des langues (GTC-LANG) et rapport quadriennal du </w:t>
      </w:r>
      <w:proofErr w:type="spellStart"/>
      <w:r w:rsidRPr="00F558B8">
        <w:t>GTC</w:t>
      </w:r>
      <w:proofErr w:type="spellEnd"/>
      <w:r w:rsidRPr="00F558B8">
        <w:t>-LANG (</w:t>
      </w:r>
      <w:r w:rsidR="00ED442D" w:rsidRPr="00ED442D">
        <w:t>Document</w:t>
      </w:r>
      <w:r w:rsidR="00ED442D">
        <w:t>s</w:t>
      </w:r>
      <w:r w:rsidR="00ED442D" w:rsidRPr="00ED442D">
        <w:t xml:space="preserve"> </w:t>
      </w:r>
      <w:hyperlink r:id="rId25" w:history="1">
        <w:proofErr w:type="spellStart"/>
        <w:r w:rsidRPr="00F558B8">
          <w:rPr>
            <w:rStyle w:val="Hyperlink"/>
            <w:rFonts w:eastAsia="Times New Roman" w:cs="Times New Roman"/>
            <w:szCs w:val="20"/>
          </w:rPr>
          <w:t>C26</w:t>
        </w:r>
        <w:proofErr w:type="spellEnd"/>
        <w:r w:rsidRPr="00F558B8">
          <w:rPr>
            <w:rStyle w:val="Hyperlink"/>
            <w:rFonts w:eastAsia="Times New Roman" w:cs="Times New Roman"/>
            <w:szCs w:val="20"/>
          </w:rPr>
          <w:t>/12</w:t>
        </w:r>
      </w:hyperlink>
      <w:r w:rsidRPr="00F558B8">
        <w:t xml:space="preserve"> et </w:t>
      </w:r>
      <w:hyperlink r:id="rId26" w:history="1">
        <w:proofErr w:type="spellStart"/>
        <w:r w:rsidRPr="00F558B8">
          <w:rPr>
            <w:rStyle w:val="Hyperlink"/>
            <w:rFonts w:eastAsia="Times New Roman" w:cs="Times New Roman"/>
            <w:szCs w:val="20"/>
          </w:rPr>
          <w:t>C26</w:t>
        </w:r>
        <w:proofErr w:type="spellEnd"/>
        <w:r w:rsidRPr="00F558B8">
          <w:rPr>
            <w:rStyle w:val="Hyperlink"/>
            <w:rFonts w:eastAsia="Times New Roman" w:cs="Times New Roman"/>
            <w:szCs w:val="20"/>
          </w:rPr>
          <w:t>/13</w:t>
        </w:r>
      </w:hyperlink>
      <w:r w:rsidRPr="00F558B8">
        <w:t>)</w:t>
      </w:r>
      <w:hyperlink r:id="rId27" w:history="1"/>
    </w:p>
    <w:p w14:paraId="26C3639E" w14:textId="48B2CB16" w:rsidR="00856D20" w:rsidRPr="00F558B8" w:rsidRDefault="00856D20" w:rsidP="00ED0AA3">
      <w:pPr>
        <w:pStyle w:val="Heading1"/>
        <w:spacing w:before="120"/>
        <w:ind w:left="561" w:hanging="561"/>
      </w:pPr>
      <w:r w:rsidRPr="00F558B8">
        <w:tab/>
        <w:t>Projet de révision de la Résolution 1386 du Conseil (C17, dernière mod. C25) sur le Comité de coordination de l'UIT pour la terminologie, et projet de révision de la Résolution 154 (Rév. Bucarest, 2022) de la Conférence de plénipotentiaires (</w:t>
      </w:r>
      <w:r w:rsidR="00ED442D" w:rsidRPr="00ED442D">
        <w:t xml:space="preserve">Document </w:t>
      </w:r>
      <w:hyperlink r:id="rId28" w:history="1">
        <w:proofErr w:type="spellStart"/>
        <w:r w:rsidRPr="00F558B8">
          <w:rPr>
            <w:rStyle w:val="Hyperlink"/>
            <w:rFonts w:eastAsia="Times New Roman" w:cs="Times New Roman"/>
            <w:szCs w:val="20"/>
          </w:rPr>
          <w:t>C26</w:t>
        </w:r>
        <w:proofErr w:type="spellEnd"/>
        <w:r w:rsidRPr="00F558B8">
          <w:rPr>
            <w:rStyle w:val="Hyperlink"/>
            <w:rFonts w:eastAsia="Times New Roman" w:cs="Times New Roman"/>
            <w:szCs w:val="20"/>
          </w:rPr>
          <w:t>/</w:t>
        </w:r>
        <w:proofErr w:type="spellStart"/>
        <w:r w:rsidRPr="00F558B8">
          <w:rPr>
            <w:rStyle w:val="Hyperlink"/>
            <w:rFonts w:eastAsia="Times New Roman" w:cs="Times New Roman"/>
            <w:szCs w:val="20"/>
          </w:rPr>
          <w:t>87+Add.1</w:t>
        </w:r>
        <w:proofErr w:type="spellEnd"/>
      </w:hyperlink>
      <w:r w:rsidRPr="00F558B8">
        <w:t>)</w:t>
      </w:r>
    </w:p>
    <w:p w14:paraId="30D17014" w14:textId="30B73AAF" w:rsidR="00856D20" w:rsidRPr="00F558B8" w:rsidRDefault="00856D20" w:rsidP="00ED442D">
      <w:pPr>
        <w:jc w:val="both"/>
      </w:pPr>
      <w:r w:rsidRPr="00F558B8">
        <w:t>6.1</w:t>
      </w:r>
      <w:r w:rsidRPr="00F558B8">
        <w:tab/>
        <w:t>La Présidente du Groupe de travail du Conseil sur l'utilisation des langues (GTC-LANG) présente le Document C26/12, qui contient un résumé des résultats de la 17ème réunion du</w:t>
      </w:r>
      <w:r w:rsidR="00D811D2" w:rsidRPr="00F558B8">
        <w:t> </w:t>
      </w:r>
      <w:r w:rsidRPr="00F558B8">
        <w:t xml:space="preserve">GTC-LANG, et le Document C26/13, qui contient le rapport quadriennal du Groupe. Les propositions de révision de la Résolution 154 (Rév. Bucarest, 2022) de la Conférence de plénipotentiaires et de la Résolution 1386 (C17, dernière mod. C25) du Conseil, toutes deux annexées au Document C26/12, visent à rationaliser les dispositions relatives aux langues entre les Résolutions connexes des Secteurs, mais ne créent pas de nouvelles obligations, ne créent pas de besoins supplémentaires en matière de traduction et n'ont pas d'incidences budgétaires supplémentaires. Le GTC-LANG est convenu que la participation à ses travaux devrait être ouverte à tous les membres de l'UIT, y compris les organisations régionales de télécommunication (RTO), les Membres de Secteur et les établissements universitaires, dans </w:t>
      </w:r>
      <w:r w:rsidRPr="00F558B8">
        <w:lastRenderedPageBreak/>
        <w:t>le cadre d'une proposition de révision de la Résolution 1372 du Conseil (C15, dernière mod.</w:t>
      </w:r>
      <w:r w:rsidR="00D811D2" w:rsidRPr="00F558B8">
        <w:t> </w:t>
      </w:r>
      <w:r w:rsidRPr="00F558B8">
        <w:t>C24), figurant dans l'annexe du Document C26/12.</w:t>
      </w:r>
    </w:p>
    <w:p w14:paraId="6DC57446" w14:textId="57616432" w:rsidR="00856D20" w:rsidRPr="00F558B8" w:rsidRDefault="00856D20" w:rsidP="00ED442D">
      <w:pPr>
        <w:jc w:val="both"/>
      </w:pPr>
      <w:r w:rsidRPr="00F558B8">
        <w:t>6.2</w:t>
      </w:r>
      <w:r w:rsidRPr="00F558B8">
        <w:tab/>
        <w:t xml:space="preserve">Ayant reçu l'appui d'un conseiller, l'observateur de la Fédération de Russie présente le Document C26/87 et son Addendum 1, qui contiennent une proposition de révision de la Résolution 1386 (C17, dernière mod. C25) qui, quant au fond, est identique à celle qui figure dans le Document C26/12, à l'exception d'une modification terminologique au point 1 du </w:t>
      </w:r>
      <w:r w:rsidRPr="00F558B8">
        <w:rPr>
          <w:i/>
          <w:iCs/>
        </w:rPr>
        <w:t>décide</w:t>
      </w:r>
      <w:r w:rsidRPr="00F558B8">
        <w:t>, qui reflète les discussions ultérieures au sein du Comité de coordination pour la terminologie et du Groupe de coordination intersectorielle sur des questions d'intérêt mutuel.</w:t>
      </w:r>
    </w:p>
    <w:p w14:paraId="4B0A866F" w14:textId="08EF0E5F" w:rsidR="00856D20" w:rsidRPr="00F558B8" w:rsidRDefault="00856D20" w:rsidP="00ED442D">
      <w:pPr>
        <w:jc w:val="both"/>
      </w:pPr>
      <w:r w:rsidRPr="00F558B8">
        <w:t>6.3</w:t>
      </w:r>
      <w:r w:rsidRPr="00F558B8">
        <w:tab/>
        <w:t>Des conseillers et un observateur saluent les travaux du GTC-LANG ainsi que sa Présidente et ses Vice-Présidents, rendant en particulier hommage à Mme Blanca González, qui prendra bientôt sa retraite après de nombreuses années de travail dévoué au sein de la famille de l'UIT. Le multilinguisme et l'utilisation des six langues officielles de l'Union sur un pied d'égalité sont la pierre angulaire de l'inclusion dans ses travaux. L'utilisation de technologies innovantes pour accroître la productivité et réduire les coûts des services linguistiques est la bienvenue, mais ne doit pas se faire au détriment de la qualité ou de la fiabilité; Ces technologies devraient compléter l'expertise humaine et non la remplacer. En particulier, plusieurs conseillers ont estimé que l'interprétation fondée sur l'intelligence artificielle (IA), bien qu'utile, n'était pas encore suffisamment avancée pour convenir aux réunions officielles ou aux conférences habilitées à conclure des traités. Le secrétariat a néanmoins été encouragé à continuer de chercher à réaliser des gains d'efficacité en procédant à des essais et en explorant cette option ainsi que d'autres, telles que l'interprétation simultanée à distance et le recours à des interprètes locaux et régionaux qualifiés pour les réunions se tenant en dehors du siège. Une plus grande participation des organisations régionales de télécommunication aux travaux du GTC-LANG pourrait être bénéfique à cet égard. Un conseiller encourage le secrétariat à respecter strictement les principes énoncés dans la Résolution 154 (Rév. Bucarest, 2022) de la PP; à appliquer les mêmes normes à toutes les discussions sur les points officiels de l'ordre du jour; et à prendre les dispositions nécessaires à l'avance pour l'interprétation en vue des réunions officielles et de toute séance supplémentaire. Un</w:t>
      </w:r>
      <w:r w:rsidR="00A75049">
        <w:t>e</w:t>
      </w:r>
      <w:r w:rsidRPr="00F558B8">
        <w:t xml:space="preserve"> autre conseill</w:t>
      </w:r>
      <w:r w:rsidR="00A75049">
        <w:t>è</w:t>
      </w:r>
      <w:r w:rsidRPr="00F558B8">
        <w:t>r</w:t>
      </w:r>
      <w:r w:rsidR="00A75049">
        <w:t>e</w:t>
      </w:r>
      <w:r w:rsidRPr="00F558B8">
        <w:t xml:space="preserve"> s'enquiert des limites de temps applicables au travail des interprètes de conférence. Un troisième conseiller souligne l'importance d'un accès multilingue aux contenus de l'UIT, y compris au site web de l'Union. À cet égard, l'utilisation de la traduction automatique pour accroître le nombre de pages web disponibles en plusieurs langues est généralement bien accueillie.</w:t>
      </w:r>
    </w:p>
    <w:p w14:paraId="6DD42477" w14:textId="5D02657C" w:rsidR="00856D20" w:rsidRPr="00F558B8" w:rsidRDefault="00856D20" w:rsidP="00ED442D">
      <w:pPr>
        <w:jc w:val="both"/>
      </w:pPr>
      <w:r w:rsidRPr="00F558B8">
        <w:t>6.4</w:t>
      </w:r>
      <w:r w:rsidRPr="00F558B8">
        <w:tab/>
        <w:t xml:space="preserve">Les conseillers souscrivent largement aux propositions de révision des Résolutions de la Conférence de plénipotentiaires et du Conseil. L'un d'eux, s'exprimant au nom d'une organisation régionale de télécommunication qui n'a pas d'organe exécutif permanent, suggère que, dans la Résolution 1372 (C15, dernière mod. C24), le point 1 du </w:t>
      </w:r>
      <w:r w:rsidRPr="00F558B8">
        <w:rPr>
          <w:i/>
          <w:iCs/>
        </w:rPr>
        <w:t>décide</w:t>
      </w:r>
      <w:r w:rsidRPr="00F558B8">
        <w:t xml:space="preserve"> soit modifié de manière à indiquer simplement que le GTC-LANG est "ouvert à tous les membres de l'Union", ce qui permettrait à toute organisation régionale de télécommunication de désigner un représentant pour participer aux travaux du groupe.</w:t>
      </w:r>
    </w:p>
    <w:p w14:paraId="7E87E8C1" w14:textId="77777777" w:rsidR="00856D20" w:rsidRPr="00F558B8" w:rsidRDefault="00856D20" w:rsidP="00ED442D">
      <w:pPr>
        <w:jc w:val="both"/>
      </w:pPr>
      <w:r w:rsidRPr="00F558B8">
        <w:t>6.5</w:t>
      </w:r>
      <w:r w:rsidRPr="00F558B8">
        <w:tab/>
        <w:t>Plusieurs conseillers appuient la proposition de révision de la Résolution 1386 (C17, dernière mod. C25) figurant dans le Document C26/87.</w:t>
      </w:r>
    </w:p>
    <w:p w14:paraId="3EF93A4F" w14:textId="2A3757E0" w:rsidR="00856D20" w:rsidRPr="00F558B8" w:rsidRDefault="00856D20" w:rsidP="00ED442D">
      <w:pPr>
        <w:jc w:val="both"/>
      </w:pPr>
      <w:r w:rsidRPr="00F558B8">
        <w:t>6.6</w:t>
      </w:r>
      <w:r w:rsidRPr="00F558B8">
        <w:tab/>
        <w:t xml:space="preserve">Le Conseil </w:t>
      </w:r>
      <w:r w:rsidRPr="00F558B8">
        <w:rPr>
          <w:b/>
          <w:bCs/>
        </w:rPr>
        <w:t xml:space="preserve">prend note </w:t>
      </w:r>
      <w:r w:rsidRPr="00F558B8">
        <w:t xml:space="preserve">du Document C26/12; </w:t>
      </w:r>
      <w:r w:rsidRPr="00F558B8">
        <w:rPr>
          <w:b/>
          <w:bCs/>
        </w:rPr>
        <w:t xml:space="preserve">approuve </w:t>
      </w:r>
      <w:r w:rsidRPr="00F558B8">
        <w:t>le projet de révision de la Résolution 1386 (C17, dernière mod. C25), tel qu'il figure dans le Document C2</w:t>
      </w:r>
      <w:r w:rsidR="00710D31">
        <w:t>6</w:t>
      </w:r>
      <w:r w:rsidRPr="00F558B8">
        <w:t xml:space="preserve">/87; </w:t>
      </w:r>
      <w:r w:rsidRPr="00F558B8">
        <w:rPr>
          <w:b/>
          <w:bCs/>
        </w:rPr>
        <w:t xml:space="preserve">approuve </w:t>
      </w:r>
      <w:r w:rsidRPr="00F558B8">
        <w:t xml:space="preserve">la proposition de révision de la Résolution 1372 (C15, dernière mod. C24) figurant dans </w:t>
      </w:r>
      <w:r w:rsidRPr="00F558B8">
        <w:lastRenderedPageBreak/>
        <w:t xml:space="preserve">l'Annexe C du Document C26/12, moyennant la modification supplémentaire proposée au point 1 du </w:t>
      </w:r>
      <w:r w:rsidRPr="00F558B8">
        <w:rPr>
          <w:i/>
          <w:iCs/>
        </w:rPr>
        <w:t>décide</w:t>
      </w:r>
      <w:r w:rsidRPr="00F558B8">
        <w:t xml:space="preserve">; </w:t>
      </w:r>
      <w:r w:rsidRPr="00F558B8">
        <w:rPr>
          <w:b/>
          <w:bCs/>
        </w:rPr>
        <w:t xml:space="preserve">invite </w:t>
      </w:r>
      <w:r w:rsidRPr="00F558B8">
        <w:t xml:space="preserve">les délégations à examiner les modifications qu'il est proposé d'apporter à la Résolution 154 (Rév. Bucarest, 2022) lorsqu'elles élaboreront des contributions qui seront soumises à la PP-26; et </w:t>
      </w:r>
      <w:r w:rsidRPr="00F558B8">
        <w:rPr>
          <w:b/>
          <w:bCs/>
        </w:rPr>
        <w:t xml:space="preserve">décide </w:t>
      </w:r>
      <w:r w:rsidRPr="00F558B8">
        <w:t>de transmettre le Document C26/13 à la PP-26, accompagné des observations formulées pendant les débats du Conseil.</w:t>
      </w:r>
    </w:p>
    <w:p w14:paraId="7A3ECED3" w14:textId="5230E74A" w:rsidR="00856D20" w:rsidRPr="00F558B8" w:rsidRDefault="00856D20" w:rsidP="00ED0AA3">
      <w:pPr>
        <w:pStyle w:val="Heading1"/>
      </w:pPr>
      <w:r w:rsidRPr="00F558B8">
        <w:t>7</w:t>
      </w:r>
      <w:r w:rsidRPr="00F558B8">
        <w:tab/>
      </w:r>
      <w:r w:rsidRPr="00F558B8">
        <w:rPr>
          <w:bCs/>
        </w:rPr>
        <w:t xml:space="preserve">Activités de l'UIT relatives à </w:t>
      </w:r>
      <w:proofErr w:type="gramStart"/>
      <w:r w:rsidRPr="00F558B8">
        <w:rPr>
          <w:bCs/>
        </w:rPr>
        <w:t>l'Internet:</w:t>
      </w:r>
      <w:proofErr w:type="gramEnd"/>
      <w:r w:rsidRPr="00F558B8">
        <w:rPr>
          <w:bCs/>
        </w:rPr>
        <w:t xml:space="preserve"> Résolutions 101, 102, 133, 180 et 206 de la Conférence de plénipotentiaires (</w:t>
      </w:r>
      <w:r w:rsidRPr="00F558B8">
        <w:rPr>
          <w:bCs/>
          <w:i/>
          <w:iCs/>
        </w:rPr>
        <w:t>suite</w:t>
      </w:r>
      <w:r w:rsidRPr="00F558B8">
        <w:rPr>
          <w:bCs/>
        </w:rPr>
        <w:t>)</w:t>
      </w:r>
      <w:r w:rsidR="00D811D2" w:rsidRPr="00F558B8">
        <w:rPr>
          <w:bCs/>
        </w:rPr>
        <w:br/>
      </w:r>
      <w:r w:rsidRPr="00F558B8">
        <w:rPr>
          <w:bCs/>
        </w:rPr>
        <w:t>(</w:t>
      </w:r>
      <w:r w:rsidR="00ED442D" w:rsidRPr="00ED442D">
        <w:rPr>
          <w:bCs/>
        </w:rPr>
        <w:t>Document</w:t>
      </w:r>
      <w:r w:rsidR="00ED442D">
        <w:rPr>
          <w:bCs/>
        </w:rPr>
        <w:t>s</w:t>
      </w:r>
      <w:r w:rsidR="00ED442D" w:rsidRPr="00ED442D">
        <w:rPr>
          <w:bCs/>
        </w:rPr>
        <w:t xml:space="preserve"> </w:t>
      </w:r>
      <w:hyperlink r:id="rId29" w:history="1">
        <w:proofErr w:type="spellStart"/>
        <w:r w:rsidRPr="00F558B8">
          <w:rPr>
            <w:rStyle w:val="Hyperlink"/>
            <w:rFonts w:eastAsia="Times New Roman" w:cs="Times New Roman"/>
            <w:bCs/>
            <w:szCs w:val="20"/>
          </w:rPr>
          <w:t>C26</w:t>
        </w:r>
        <w:proofErr w:type="spellEnd"/>
        <w:r w:rsidRPr="00F558B8">
          <w:rPr>
            <w:rStyle w:val="Hyperlink"/>
            <w:rFonts w:eastAsia="Times New Roman" w:cs="Times New Roman"/>
            <w:bCs/>
            <w:szCs w:val="20"/>
          </w:rPr>
          <w:t>/33</w:t>
        </w:r>
      </w:hyperlink>
      <w:r w:rsidRPr="00F558B8">
        <w:rPr>
          <w:bCs/>
        </w:rPr>
        <w:t xml:space="preserve"> et </w:t>
      </w:r>
      <w:hyperlink r:id="rId30" w:history="1">
        <w:proofErr w:type="spellStart"/>
        <w:r w:rsidRPr="00F558B8">
          <w:rPr>
            <w:rStyle w:val="Hyperlink"/>
            <w:rFonts w:eastAsia="Times New Roman" w:cs="Times New Roman"/>
            <w:bCs/>
            <w:szCs w:val="20"/>
          </w:rPr>
          <w:t>C26</w:t>
        </w:r>
        <w:proofErr w:type="spellEnd"/>
        <w:r w:rsidRPr="00F558B8">
          <w:rPr>
            <w:rStyle w:val="Hyperlink"/>
            <w:rFonts w:eastAsia="Times New Roman" w:cs="Times New Roman"/>
            <w:bCs/>
            <w:szCs w:val="20"/>
          </w:rPr>
          <w:t>/DT/4</w:t>
        </w:r>
      </w:hyperlink>
      <w:r w:rsidRPr="00F558B8">
        <w:rPr>
          <w:bCs/>
        </w:rPr>
        <w:t>)</w:t>
      </w:r>
      <w:hyperlink r:id="rId31"/>
      <w:hyperlink r:id="rId32"/>
    </w:p>
    <w:p w14:paraId="56916498" w14:textId="77777777" w:rsidR="00856D20" w:rsidRPr="00F558B8" w:rsidRDefault="00856D20" w:rsidP="00ED442D">
      <w:pPr>
        <w:jc w:val="both"/>
      </w:pPr>
      <w:r w:rsidRPr="00F558B8">
        <w:t>7.1</w:t>
      </w:r>
      <w:r w:rsidRPr="00F558B8">
        <w:tab/>
        <w:t>Le Président indique que le Document C26/DT/4 contient l'ensemble des documents concernant les activités de l'UIT relatives à l'Internet au titre des Résolutions 101, 102, 133, 180 et 206 de la Conférence de plénipotentiaires qui doivent être soumis au Secrétaire général de l'Organisation des Nations Unies. Cet ensemble comprend le rapport de la Secrétaire générale de l'UIT à la session de 2026 du Conseil sur les activités de l'Union au titre de ses Résolutions relatives à l'Internet, figurant dans le Document C26/33; les vues présentées par écrit par les États Membres du Conseil; et un extrait du compte rendu officiel de la quatrième séance plénière de la session de 2026 du Conseil sur ce point, ainsi qu'une lettre explicative.</w:t>
      </w:r>
    </w:p>
    <w:p w14:paraId="22CD0372" w14:textId="77777777" w:rsidR="00856D20" w:rsidRPr="00F558B8" w:rsidRDefault="00856D20" w:rsidP="00ED442D">
      <w:pPr>
        <w:jc w:val="both"/>
      </w:pPr>
      <w:r w:rsidRPr="00F558B8">
        <w:t>7.2</w:t>
      </w:r>
      <w:r w:rsidRPr="00F558B8">
        <w:tab/>
        <w:t xml:space="preserve">Le Conseil </w:t>
      </w:r>
      <w:r w:rsidRPr="00F558B8">
        <w:rPr>
          <w:b/>
          <w:bCs/>
        </w:rPr>
        <w:t>prend note</w:t>
      </w:r>
      <w:r w:rsidRPr="00F558B8">
        <w:t xml:space="preserve"> du Document C26/DT/4 et </w:t>
      </w:r>
      <w:r w:rsidRPr="00F558B8">
        <w:rPr>
          <w:b/>
          <w:bCs/>
        </w:rPr>
        <w:t xml:space="preserve">approuve </w:t>
      </w:r>
      <w:r w:rsidRPr="00F558B8">
        <w:t>la transmission de l'ensemble de documents figurant dans le Document C26/DT/4 au Secrétaire général de l'ONU.</w:t>
      </w:r>
    </w:p>
    <w:p w14:paraId="2E09F94B" w14:textId="17EF10C5" w:rsidR="00856D20" w:rsidRPr="00F558B8" w:rsidRDefault="00856D20" w:rsidP="00ED0AA3">
      <w:pPr>
        <w:pStyle w:val="Heading1"/>
      </w:pPr>
      <w:r w:rsidRPr="00F558B8">
        <w:rPr>
          <w:bCs/>
          <w:szCs w:val="24"/>
        </w:rPr>
        <w:t>8</w:t>
      </w:r>
      <w:r w:rsidRPr="00F558B8">
        <w:rPr>
          <w:szCs w:val="24"/>
        </w:rPr>
        <w:tab/>
        <w:t xml:space="preserve">Mise en </w:t>
      </w:r>
      <w:r w:rsidR="00D811D2" w:rsidRPr="00F558B8">
        <w:rPr>
          <w:szCs w:val="24"/>
        </w:rPr>
        <w:t>œ</w:t>
      </w:r>
      <w:r w:rsidRPr="00F558B8">
        <w:rPr>
          <w:szCs w:val="24"/>
        </w:rPr>
        <w:t>uvre de la Résolution 30 (Rév. Bucarest 2022) de la Conférence de plénipotentiaires sur les mesures spéciales en faveur des pays les moins avancés, des petits États insulaires en développement, des pays en développement sans littoral et des pays dont l'économie est en transition (</w:t>
      </w:r>
      <w:r w:rsidR="007E7641" w:rsidRPr="007E7641">
        <w:rPr>
          <w:szCs w:val="24"/>
        </w:rPr>
        <w:t xml:space="preserve">Document </w:t>
      </w:r>
      <w:hyperlink r:id="rId33" w:history="1">
        <w:proofErr w:type="spellStart"/>
        <w:r w:rsidRPr="00F558B8">
          <w:rPr>
            <w:rStyle w:val="Hyperlink"/>
            <w:rFonts w:eastAsia="Times New Roman" w:cs="Times New Roman"/>
            <w:szCs w:val="24"/>
          </w:rPr>
          <w:t>C26</w:t>
        </w:r>
        <w:proofErr w:type="spellEnd"/>
        <w:r w:rsidRPr="00F558B8">
          <w:rPr>
            <w:rStyle w:val="Hyperlink"/>
            <w:rFonts w:eastAsia="Times New Roman" w:cs="Times New Roman"/>
            <w:szCs w:val="24"/>
          </w:rPr>
          <w:t>/74</w:t>
        </w:r>
      </w:hyperlink>
      <w:r w:rsidRPr="00F558B8">
        <w:rPr>
          <w:szCs w:val="24"/>
        </w:rPr>
        <w:t>)</w:t>
      </w:r>
      <w:hyperlink r:id="rId34" w:history="1"/>
    </w:p>
    <w:p w14:paraId="4FAD73A8" w14:textId="09FBFE38" w:rsidR="00856D20" w:rsidRPr="007E7641" w:rsidRDefault="00856D20" w:rsidP="00ED442D">
      <w:pPr>
        <w:jc w:val="both"/>
        <w:rPr>
          <w:spacing w:val="-2"/>
        </w:rPr>
      </w:pPr>
      <w:r w:rsidRPr="007E7641">
        <w:rPr>
          <w:spacing w:val="-2"/>
        </w:rPr>
        <w:t>8.1</w:t>
      </w:r>
      <w:r w:rsidRPr="007E7641">
        <w:rPr>
          <w:spacing w:val="-2"/>
        </w:rPr>
        <w:tab/>
        <w:t>Un</w:t>
      </w:r>
      <w:r w:rsidR="000B0473" w:rsidRPr="007E7641">
        <w:rPr>
          <w:spacing w:val="-2"/>
        </w:rPr>
        <w:t>e</w:t>
      </w:r>
      <w:r w:rsidRPr="007E7641">
        <w:rPr>
          <w:spacing w:val="-2"/>
        </w:rPr>
        <w:t xml:space="preserve"> représentant</w:t>
      </w:r>
      <w:r w:rsidR="000B0473" w:rsidRPr="007E7641">
        <w:rPr>
          <w:spacing w:val="-2"/>
        </w:rPr>
        <w:t>e</w:t>
      </w:r>
      <w:r w:rsidRPr="007E7641">
        <w:rPr>
          <w:spacing w:val="-2"/>
        </w:rPr>
        <w:t xml:space="preserve"> du Bureau de développement des télécommunications (BDT) présente</w:t>
      </w:r>
      <w:r w:rsidR="00D811D2" w:rsidRPr="007E7641">
        <w:rPr>
          <w:spacing w:val="-2"/>
        </w:rPr>
        <w:t xml:space="preserve"> </w:t>
      </w:r>
      <w:r w:rsidRPr="007E7641">
        <w:rPr>
          <w:spacing w:val="-2"/>
        </w:rPr>
        <w:t>le Document C26/74, qui rend compte des progrès accomplis dans la mise en œuvre de la Résolution 30 (Rév. Bucarest, 2022) de la Conférence de plénipotentiaires pendant la période</w:t>
      </w:r>
      <w:r w:rsidR="00D811D2" w:rsidRPr="007E7641">
        <w:rPr>
          <w:spacing w:val="-2"/>
        </w:rPr>
        <w:t> </w:t>
      </w:r>
      <w:r w:rsidRPr="007E7641">
        <w:rPr>
          <w:spacing w:val="-2"/>
        </w:rPr>
        <w:t xml:space="preserve">2022-2025. Des progrès constants ont été observés, mais d'importantes fractures numériques subsistent, des données ventilées faisant état de fractures et d'obstacles dans les zones rurales, urbaines et entre les hommes et les femmes, notamment des coûts de connectivité élevés. La mise en </w:t>
      </w:r>
      <w:r w:rsidR="00D811D2" w:rsidRPr="007E7641">
        <w:rPr>
          <w:spacing w:val="-2"/>
        </w:rPr>
        <w:t>œ</w:t>
      </w:r>
      <w:r w:rsidRPr="007E7641">
        <w:rPr>
          <w:spacing w:val="-2"/>
        </w:rPr>
        <w:t>uvre continuera d'être guidée par les cadres internationaux et institutionnels pertinents, notamment la Déclaration et le Plan d'action de Bakou; la Résolution 16 (Rév. Bakou, 2025) de la Conférence mondiale de développement des télécommunications; et les programmes de développement mondiaux tels que le Programme d'action de Doha en faveur des PMA pour la décennie 2022-2031, le Programme d'action d'Awaza en faveur des PDSL pour 2024-2034 et le Programme d'Antigua-et-Barbuda pour les PEID.</w:t>
      </w:r>
    </w:p>
    <w:p w14:paraId="4C3AE3D3" w14:textId="3032C6F8" w:rsidR="00856D20" w:rsidRPr="00F558B8" w:rsidRDefault="00856D20" w:rsidP="00ED442D">
      <w:pPr>
        <w:jc w:val="both"/>
      </w:pPr>
      <w:r w:rsidRPr="00F558B8">
        <w:t>8.2</w:t>
      </w:r>
      <w:r w:rsidRPr="00F558B8">
        <w:tab/>
        <w:t xml:space="preserve">Les conseillers appuient les travaux menés par l'Union, en particulier par le Secteur du développement des télécommunications de l'UIT (UIT-D) et le BDT, pour appuyer le développement numérique des pays les moins avancés (PMA), des petits États insulaires en développement (PEID), des pays en développement sans littoral (PDSL) et des pays dont l'économie est en transition, en fournissant une assistance technique ciblée et adaptée et en prenant des mesures pour faciliter leur participation efficace aux réunions de l'UIT. </w:t>
      </w:r>
      <w:r w:rsidRPr="00F558B8">
        <w:lastRenderedPageBreak/>
        <w:t>Un</w:t>
      </w:r>
      <w:r w:rsidR="00A75049">
        <w:t>e </w:t>
      </w:r>
      <w:r w:rsidRPr="00F558B8">
        <w:t>conseill</w:t>
      </w:r>
      <w:r w:rsidR="00A75049">
        <w:t>ère</w:t>
      </w:r>
      <w:r w:rsidRPr="00F558B8">
        <w:t xml:space="preserve"> souligne les incidences de l'initiative </w:t>
      </w:r>
      <w:r w:rsidR="00902F21">
        <w:t>"</w:t>
      </w:r>
      <w:r w:rsidRPr="00F558B8">
        <w:t>îles et villages intelligents</w:t>
      </w:r>
      <w:r w:rsidR="00902F21">
        <w:t>"</w:t>
      </w:r>
      <w:r w:rsidRPr="00F558B8">
        <w:t xml:space="preserve"> dans sa région et au-delà; un</w:t>
      </w:r>
      <w:r w:rsidR="00A75049">
        <w:t>e</w:t>
      </w:r>
      <w:r w:rsidRPr="00F558B8">
        <w:t xml:space="preserve"> autre conseill</w:t>
      </w:r>
      <w:r w:rsidR="00A75049">
        <w:t>è</w:t>
      </w:r>
      <w:r w:rsidRPr="00F558B8">
        <w:t>r</w:t>
      </w:r>
      <w:r w:rsidR="00A75049">
        <w:t>e</w:t>
      </w:r>
      <w:r w:rsidRPr="00F558B8">
        <w:t xml:space="preserve"> met en évidence les difficultés particulières auxquelles sont confrontés les PEID, où le développement numérique est façonné par la géographie, la vulnérabilité climatique, la résilience des infrastructures, les capacités institutionnelles limitées et la dépendance vis-à-vis de l'aide extérieure, et salue les efforts déployés pour passer des engagements à la mise en œuvre. Plusieurs conseillers soulignent l'importance du renforcement des capacités et de l'élimination des obstacles tels que le manque d'accessibilité financière, les infrastructures limitées, le manque de compétences numériques et l'inégalité d'accès à une connectivité efficace. Les efforts visant à aider les PMA, les PEID, les PDSL et les pays dont l'économie est en transition devraient se poursuivre, en mettant davantage l'accent sur des infrastructures résilientes, une connectivité abordable et efficace, les télécommunications d'urgence, les technologies émergentes, l'élaboration de politiques fondées sur des données factuelles et l'inclusion numérique.</w:t>
      </w:r>
    </w:p>
    <w:p w14:paraId="0A42EFCB" w14:textId="20855912" w:rsidR="00856D20" w:rsidRPr="00F558B8" w:rsidRDefault="00856D20" w:rsidP="00ED442D">
      <w:pPr>
        <w:jc w:val="both"/>
      </w:pPr>
      <w:r w:rsidRPr="00F558B8">
        <w:t>8.3</w:t>
      </w:r>
      <w:r w:rsidRPr="00F558B8">
        <w:tab/>
        <w:t>Un</w:t>
      </w:r>
      <w:r w:rsidR="00A75049">
        <w:t>e</w:t>
      </w:r>
      <w:r w:rsidRPr="00F558B8">
        <w:t xml:space="preserve"> conseill</w:t>
      </w:r>
      <w:r w:rsidR="00A75049">
        <w:t>è</w:t>
      </w:r>
      <w:r w:rsidRPr="00F558B8">
        <w:t>r</w:t>
      </w:r>
      <w:r w:rsidR="00A75049">
        <w:t>e</w:t>
      </w:r>
      <w:r w:rsidRPr="00F558B8">
        <w:t xml:space="preserve"> encourage le secrétariat, dans ses futurs rapports au titre de la Résolution</w:t>
      </w:r>
      <w:r w:rsidR="00D811D2" w:rsidRPr="00F558B8">
        <w:t> </w:t>
      </w:r>
      <w:r w:rsidRPr="00F558B8">
        <w:t>30 (Rév. Bucarest, 2022), à améliorer la transparence, la ventilation des données et l'analyse des incidences afin de donner au Conseil des informations plus claires sur les résultats obtenus, les lacunes qui subsistent dans la mise en œuvre et la manière dont les ressources, y compris le financement initial et l'appui des partenaires, sont allouées. La mise en œuvre de la Résolution 30 (Rév. Bucarest, 2022) devrait être étroitement liée au renforcement de la présence régionale de l'UIT, appuyée par une coordination entre les trois</w:t>
      </w:r>
      <w:r w:rsidR="00D811D2" w:rsidRPr="00F558B8">
        <w:t> </w:t>
      </w:r>
      <w:r w:rsidRPr="00F558B8">
        <w:t>Secteurs, la collaboration avec les organisations régionales de télécommunication et la coopération avec l'ensemble du système des Nations Unies. Un autre conseiller déclare que l'Union devrait renforcer ses activités existantes en mettant en place des structures spécifiques pour répondre aux besoins des PDSL et des PEID.</w:t>
      </w:r>
    </w:p>
    <w:p w14:paraId="44F605EE" w14:textId="5A73A7DC" w:rsidR="00856D20" w:rsidRPr="00F558B8" w:rsidRDefault="00856D20" w:rsidP="00ED442D">
      <w:pPr>
        <w:jc w:val="both"/>
      </w:pPr>
      <w:r w:rsidRPr="00F558B8">
        <w:t>8.4</w:t>
      </w:r>
      <w:r w:rsidRPr="00F558B8">
        <w:tab/>
        <w:t>Le Directeur du BDT, en réponse aux observations et aux questions, dit que quatre PMA sont passés au statut de pays en développement ces dernières années. Sur les 44 restants, six</w:t>
      </w:r>
      <w:r w:rsidR="00D811D2" w:rsidRPr="00F558B8">
        <w:t> </w:t>
      </w:r>
      <w:r w:rsidRPr="00F558B8">
        <w:t xml:space="preserve">devraient passer à ce statut d'ici à 2029. Après ce passage de statut, les PMA bénéficient d'une assistance et d'un appui continus de deux à trois ans visant à assurer une transition sans heurts. Il existe une forte corrélation entre la sortie du statut de PMA et la connectivité Internet. La division spécialisée de l'Union travaille en étroite coopération avec d'autres entités des Nations Unies, participant à diverses conférences internationales pertinentes, ainsi qu'avec l'Organisation mondiale du commerce. Les PMA, en particulier, sont vulnérables aux chocs économiques extérieurs ainsi qu'aux catastrophes naturelles. Parmi les autres activités de l'UIT-D visant à aider les PMA, les PEID, les PDSL et les pays dont l'économie est en transition, on peut citer les publications donnant des informations sur la connectivité, les contraintes et les difficultés rencontrées et l'organisation de séances de mise en relation dans le cadre de la Coalition pour le numérique Partner2Connect, qui rassemble des bailleurs de fonds et des États Membres aux niveaux régional et international, et les nombreux projets qui ont été mis en </w:t>
      </w:r>
      <w:r w:rsidR="00D811D2" w:rsidRPr="00F558B8">
        <w:t>œ</w:t>
      </w:r>
      <w:r w:rsidRPr="00F558B8">
        <w:t>uvre dans l'intérêt des pays concernés. Le Directeur du BDT souligne en particulier l'intérêt de la coopération Sud-Sud et de l'échange de compétences spécialisées, d'informations et de bonnes pratiques.</w:t>
      </w:r>
    </w:p>
    <w:p w14:paraId="2D4E445E" w14:textId="77777777" w:rsidR="00856D20" w:rsidRPr="00F558B8" w:rsidRDefault="00856D20" w:rsidP="00ED0AA3">
      <w:pPr>
        <w:rPr>
          <w:rFonts w:cs="Calibri"/>
        </w:rPr>
      </w:pPr>
      <w:r w:rsidRPr="00F558B8">
        <w:t>8.5</w:t>
      </w:r>
      <w:r w:rsidRPr="00F558B8">
        <w:tab/>
        <w:t xml:space="preserve">Il est </w:t>
      </w:r>
      <w:r w:rsidRPr="00F558B8">
        <w:rPr>
          <w:b/>
          <w:bCs/>
        </w:rPr>
        <w:t xml:space="preserve">pris note </w:t>
      </w:r>
      <w:r w:rsidRPr="00F558B8">
        <w:t>du Document C26/74.</w:t>
      </w:r>
    </w:p>
    <w:p w14:paraId="2EA199E0" w14:textId="77777777" w:rsidR="00856D20" w:rsidRPr="00F558B8" w:rsidRDefault="00856D20" w:rsidP="00ED0AA3">
      <w:pPr>
        <w:pStyle w:val="Heading1"/>
      </w:pPr>
      <w:r w:rsidRPr="00F558B8">
        <w:rPr>
          <w:bCs/>
        </w:rPr>
        <w:lastRenderedPageBreak/>
        <w:t>9</w:t>
      </w:r>
      <w:r w:rsidRPr="00F558B8">
        <w:tab/>
        <w:t>Déclarations des conseillers et des observateurs</w:t>
      </w:r>
    </w:p>
    <w:p w14:paraId="0898E40B" w14:textId="77777777" w:rsidR="00856D20" w:rsidRPr="00F558B8" w:rsidRDefault="00856D20" w:rsidP="00ED442D">
      <w:pPr>
        <w:jc w:val="both"/>
        <w:rPr>
          <w:rFonts w:cs="Calibri"/>
        </w:rPr>
      </w:pPr>
      <w:r w:rsidRPr="00F558B8">
        <w:t>9.1</w:t>
      </w:r>
      <w:r w:rsidRPr="00F558B8">
        <w:tab/>
        <w:t>Le conseiller de Maurice annonce que son pays présente sa candidature en vue de sa réélection au Conseil.</w:t>
      </w:r>
    </w:p>
    <w:p w14:paraId="6C714047" w14:textId="77777777" w:rsidR="00856D20" w:rsidRPr="00F558B8" w:rsidRDefault="00856D20" w:rsidP="00ED442D">
      <w:pPr>
        <w:jc w:val="both"/>
        <w:rPr>
          <w:rFonts w:cs="Calibri"/>
        </w:rPr>
      </w:pPr>
      <w:r w:rsidRPr="00F558B8">
        <w:t>9.2</w:t>
      </w:r>
      <w:r w:rsidRPr="00F558B8">
        <w:tab/>
        <w:t>Les conseillers du Kazakhstan, de la Libye et de l'Ouzbékistan annoncent que leurs pays respectifs sont candidats à leur réélection au Conseil.</w:t>
      </w:r>
    </w:p>
    <w:p w14:paraId="4FBBCC2B" w14:textId="16B0A3E0" w:rsidR="00856D20" w:rsidRPr="007E7641" w:rsidRDefault="00856D20" w:rsidP="00ED442D">
      <w:pPr>
        <w:jc w:val="both"/>
        <w:rPr>
          <w:rFonts w:cs="Calibri"/>
          <w:spacing w:val="-3"/>
        </w:rPr>
      </w:pPr>
      <w:r w:rsidRPr="007E7641">
        <w:rPr>
          <w:spacing w:val="-3"/>
        </w:rPr>
        <w:t>9.3</w:t>
      </w:r>
      <w:r w:rsidRPr="007E7641">
        <w:rPr>
          <w:spacing w:val="-3"/>
        </w:rPr>
        <w:tab/>
        <w:t>L'observateur de l'Ouzbékistan annonce en outre la candidature de M.</w:t>
      </w:r>
      <w:r w:rsidR="00D811D2" w:rsidRPr="007E7641">
        <w:rPr>
          <w:spacing w:val="-3"/>
        </w:rPr>
        <w:t> </w:t>
      </w:r>
      <w:r w:rsidRPr="007E7641">
        <w:rPr>
          <w:spacing w:val="-3"/>
        </w:rPr>
        <w:t>Sirojiddin</w:t>
      </w:r>
      <w:r w:rsidR="00D811D2" w:rsidRPr="007E7641">
        <w:rPr>
          <w:spacing w:val="-3"/>
        </w:rPr>
        <w:t> </w:t>
      </w:r>
      <w:r w:rsidRPr="007E7641">
        <w:rPr>
          <w:spacing w:val="-3"/>
        </w:rPr>
        <w:t>Usmanov au poste de membre du Comité du Règlement des radiocommunications.</w:t>
      </w:r>
    </w:p>
    <w:p w14:paraId="72946882" w14:textId="77777777" w:rsidR="00856D20" w:rsidRPr="00F558B8" w:rsidRDefault="00856D20" w:rsidP="00ED0AA3">
      <w:pPr>
        <w:tabs>
          <w:tab w:val="clear" w:pos="567"/>
          <w:tab w:val="clear" w:pos="1134"/>
          <w:tab w:val="clear" w:pos="1701"/>
          <w:tab w:val="clear" w:pos="2268"/>
          <w:tab w:val="clear" w:pos="2835"/>
          <w:tab w:val="left" w:pos="7088"/>
        </w:tabs>
        <w:spacing w:before="840"/>
        <w:rPr>
          <w:szCs w:val="24"/>
        </w:rPr>
      </w:pPr>
      <w:r w:rsidRPr="00F558B8">
        <w:rPr>
          <w:szCs w:val="24"/>
        </w:rPr>
        <w:t>La Secrétaire générale:</w:t>
      </w:r>
      <w:r w:rsidRPr="00F558B8">
        <w:rPr>
          <w:szCs w:val="24"/>
        </w:rPr>
        <w:tab/>
        <w:t>Le Président:</w:t>
      </w:r>
    </w:p>
    <w:p w14:paraId="427A29BB" w14:textId="58F0AF16" w:rsidR="00856D20" w:rsidRPr="00F558B8" w:rsidRDefault="00856D20" w:rsidP="00ED0AA3">
      <w:pPr>
        <w:tabs>
          <w:tab w:val="clear" w:pos="567"/>
          <w:tab w:val="clear" w:pos="1134"/>
          <w:tab w:val="clear" w:pos="1701"/>
          <w:tab w:val="clear" w:pos="2268"/>
          <w:tab w:val="clear" w:pos="2835"/>
          <w:tab w:val="left" w:pos="7088"/>
        </w:tabs>
        <w:spacing w:before="0" w:after="120"/>
        <w:rPr>
          <w:szCs w:val="24"/>
        </w:rPr>
      </w:pPr>
      <w:r w:rsidRPr="00F558B8">
        <w:rPr>
          <w:szCs w:val="24"/>
        </w:rPr>
        <w:t>D. BOGDAN-MARTIN</w:t>
      </w:r>
      <w:r w:rsidRPr="00F558B8">
        <w:rPr>
          <w:szCs w:val="24"/>
        </w:rPr>
        <w:tab/>
        <w:t>B. TIJANI</w:t>
      </w:r>
    </w:p>
    <w:sectPr w:rsidR="00856D20" w:rsidRPr="00F558B8" w:rsidSect="00D72F49">
      <w:headerReference w:type="even" r:id="rId35"/>
      <w:footerReference w:type="even" r:id="rId36"/>
      <w:footerReference w:type="default" r:id="rId37"/>
      <w:headerReference w:type="first" r:id="rId38"/>
      <w:footerReference w:type="first" r:id="rId39"/>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E2374" w14:textId="77777777" w:rsidR="009324BA" w:rsidRDefault="009324BA">
      <w:r>
        <w:separator/>
      </w:r>
    </w:p>
  </w:endnote>
  <w:endnote w:type="continuationSeparator" w:id="0">
    <w:p w14:paraId="14BB00B1" w14:textId="77777777" w:rsidR="009324BA" w:rsidRDefault="00932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D2B2" w14:textId="3626D0A1" w:rsidR="00732045" w:rsidRDefault="009F009F">
    <w:pPr>
      <w:pStyle w:val="Footer"/>
    </w:pPr>
    <w:fldSimple w:instr=" FILENAME \p \* MERGEFORMAT ">
      <w:r>
        <w:t>Document1</w:t>
      </w:r>
    </w:fldSimple>
    <w:r w:rsidR="00732045">
      <w:tab/>
    </w:r>
    <w:r w:rsidR="002F1B76">
      <w:fldChar w:fldCharType="begin"/>
    </w:r>
    <w:r w:rsidR="00732045">
      <w:instrText xml:space="preserve"> savedate \@ dd.MM.yy </w:instrText>
    </w:r>
    <w:r w:rsidR="002F1B76">
      <w:fldChar w:fldCharType="separate"/>
    </w:r>
    <w:r w:rsidR="00BF6B8C">
      <w:t>04.08.26</w:t>
    </w:r>
    <w:r w:rsidR="002F1B76">
      <w:fldChar w:fldCharType="end"/>
    </w:r>
    <w:r w:rsidR="00732045">
      <w:tab/>
    </w:r>
    <w:r w:rsidR="002F1B76">
      <w:fldChar w:fldCharType="begin"/>
    </w:r>
    <w:r w:rsidR="00732045">
      <w:instrText xml:space="preserve"> printdate \@ dd.MM.yy </w:instrText>
    </w:r>
    <w:r w:rsidR="002F1B76">
      <w:fldChar w:fldCharType="separate"/>
    </w:r>
    <w:r>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26DA4026" w14:textId="77777777" w:rsidTr="00E31DCE">
      <w:trPr>
        <w:jc w:val="center"/>
      </w:trPr>
      <w:tc>
        <w:tcPr>
          <w:tcW w:w="1803" w:type="dxa"/>
          <w:vAlign w:val="center"/>
        </w:tcPr>
        <w:p w14:paraId="37AEED5F" w14:textId="52874283" w:rsidR="00A51849" w:rsidRDefault="00D811D2" w:rsidP="00A51849">
          <w:pPr>
            <w:pStyle w:val="Header"/>
            <w:jc w:val="left"/>
            <w:rPr>
              <w:noProof/>
            </w:rPr>
          </w:pPr>
          <w:r>
            <w:rPr>
              <w:noProof/>
            </w:rPr>
            <w:t>2601275</w:t>
          </w:r>
        </w:p>
      </w:tc>
      <w:tc>
        <w:tcPr>
          <w:tcW w:w="8261" w:type="dxa"/>
        </w:tcPr>
        <w:p w14:paraId="4CD51D84" w14:textId="2DA38F97"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D811D2">
            <w:rPr>
              <w:bCs/>
            </w:rPr>
            <w:t>125</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1DDBBA90"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55FDD824" w14:textId="77777777" w:rsidTr="00E31DCE">
      <w:trPr>
        <w:jc w:val="center"/>
      </w:trPr>
      <w:tc>
        <w:tcPr>
          <w:tcW w:w="1803" w:type="dxa"/>
          <w:vAlign w:val="center"/>
        </w:tcPr>
        <w:p w14:paraId="47952346"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3F771217" w14:textId="6EC5286B"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D811D2">
            <w:rPr>
              <w:bCs/>
            </w:rPr>
            <w:t>125</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0659CA7A" w14:textId="77777777" w:rsidR="00732045" w:rsidRPr="00A51849" w:rsidRDefault="00732045" w:rsidP="00D81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F5FB2" w14:textId="77777777" w:rsidR="009324BA" w:rsidRDefault="009324BA">
      <w:r>
        <w:t>____________________</w:t>
      </w:r>
    </w:p>
  </w:footnote>
  <w:footnote w:type="continuationSeparator" w:id="0">
    <w:p w14:paraId="2C19F55E" w14:textId="77777777" w:rsidR="009324BA" w:rsidRDefault="00932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4F6E"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54A7E668"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F35A" w14:textId="77777777" w:rsidR="00A51849" w:rsidRPr="001342E0" w:rsidRDefault="001342E0" w:rsidP="001342E0">
    <w:pPr>
      <w:pStyle w:val="Header"/>
    </w:pPr>
    <w:r>
      <w:rPr>
        <w:noProof/>
      </w:rPr>
      <w:drawing>
        <wp:inline distT="0" distB="0" distL="0" distR="0" wp14:anchorId="5ED8E9FD" wp14:editId="1D4E8F16">
          <wp:extent cx="5760085" cy="840740"/>
          <wp:effectExtent l="0" t="0" r="0" b="0"/>
          <wp:docPr id="32288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89409" name="Picture 322889409"/>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204144983">
    <w:abstractNumId w:val="9"/>
  </w:num>
  <w:num w:numId="2" w16cid:durableId="1042679003">
    <w:abstractNumId w:val="7"/>
  </w:num>
  <w:num w:numId="3" w16cid:durableId="1710033290">
    <w:abstractNumId w:val="6"/>
  </w:num>
  <w:num w:numId="4" w16cid:durableId="1466967443">
    <w:abstractNumId w:val="5"/>
  </w:num>
  <w:num w:numId="5" w16cid:durableId="1019041869">
    <w:abstractNumId w:val="4"/>
  </w:num>
  <w:num w:numId="6" w16cid:durableId="1994942309">
    <w:abstractNumId w:val="8"/>
  </w:num>
  <w:num w:numId="7" w16cid:durableId="1943762712">
    <w:abstractNumId w:val="3"/>
  </w:num>
  <w:num w:numId="8" w16cid:durableId="1210023807">
    <w:abstractNumId w:val="2"/>
  </w:num>
  <w:num w:numId="9" w16cid:durableId="976300499">
    <w:abstractNumId w:val="1"/>
  </w:num>
  <w:num w:numId="10" w16cid:durableId="153841235">
    <w:abstractNumId w:val="0"/>
  </w:num>
  <w:num w:numId="11" w16cid:durableId="401220439">
    <w:abstractNumId w:val="8"/>
  </w:num>
  <w:num w:numId="12" w16cid:durableId="1266042031">
    <w:abstractNumId w:val="3"/>
  </w:num>
  <w:num w:numId="13" w16cid:durableId="1286500294">
    <w:abstractNumId w:val="2"/>
  </w:num>
  <w:num w:numId="14" w16cid:durableId="1804274698">
    <w:abstractNumId w:val="1"/>
  </w:num>
  <w:num w:numId="15" w16cid:durableId="23261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09F"/>
    <w:rsid w:val="00076A2C"/>
    <w:rsid w:val="000B0473"/>
    <w:rsid w:val="000D0D0A"/>
    <w:rsid w:val="00103163"/>
    <w:rsid w:val="00106B19"/>
    <w:rsid w:val="001133EF"/>
    <w:rsid w:val="00115D93"/>
    <w:rsid w:val="001247A8"/>
    <w:rsid w:val="001342E0"/>
    <w:rsid w:val="001370B2"/>
    <w:rsid w:val="001378C0"/>
    <w:rsid w:val="001658F9"/>
    <w:rsid w:val="0018694A"/>
    <w:rsid w:val="0019129B"/>
    <w:rsid w:val="001A3287"/>
    <w:rsid w:val="001A6508"/>
    <w:rsid w:val="001C4DE8"/>
    <w:rsid w:val="001D4C31"/>
    <w:rsid w:val="001E4D21"/>
    <w:rsid w:val="00207CD1"/>
    <w:rsid w:val="00226657"/>
    <w:rsid w:val="002477A2"/>
    <w:rsid w:val="00263A51"/>
    <w:rsid w:val="00267E02"/>
    <w:rsid w:val="00271321"/>
    <w:rsid w:val="00275FB1"/>
    <w:rsid w:val="00277DEA"/>
    <w:rsid w:val="002A5D44"/>
    <w:rsid w:val="002C3F32"/>
    <w:rsid w:val="002C4E3D"/>
    <w:rsid w:val="002D2336"/>
    <w:rsid w:val="002E0BC4"/>
    <w:rsid w:val="002F1B76"/>
    <w:rsid w:val="0033568E"/>
    <w:rsid w:val="00355FF5"/>
    <w:rsid w:val="00361350"/>
    <w:rsid w:val="003B276A"/>
    <w:rsid w:val="003C3FAE"/>
    <w:rsid w:val="003D7B5B"/>
    <w:rsid w:val="004038CB"/>
    <w:rsid w:val="0040546F"/>
    <w:rsid w:val="004177BD"/>
    <w:rsid w:val="0042404A"/>
    <w:rsid w:val="0044618F"/>
    <w:rsid w:val="00462CAC"/>
    <w:rsid w:val="00465C35"/>
    <w:rsid w:val="0046769A"/>
    <w:rsid w:val="00475FB3"/>
    <w:rsid w:val="004B2F7B"/>
    <w:rsid w:val="004C37A9"/>
    <w:rsid w:val="004D1D50"/>
    <w:rsid w:val="004F259E"/>
    <w:rsid w:val="004F633A"/>
    <w:rsid w:val="00504C7F"/>
    <w:rsid w:val="00511F1D"/>
    <w:rsid w:val="00520F36"/>
    <w:rsid w:val="00524E8D"/>
    <w:rsid w:val="00534E13"/>
    <w:rsid w:val="00540615"/>
    <w:rsid w:val="00540A6D"/>
    <w:rsid w:val="00553536"/>
    <w:rsid w:val="00566679"/>
    <w:rsid w:val="00571EEA"/>
    <w:rsid w:val="00575417"/>
    <w:rsid w:val="005768E1"/>
    <w:rsid w:val="005B1938"/>
    <w:rsid w:val="005C3890"/>
    <w:rsid w:val="005F7BFE"/>
    <w:rsid w:val="00600017"/>
    <w:rsid w:val="00602682"/>
    <w:rsid w:val="006145AF"/>
    <w:rsid w:val="006235CA"/>
    <w:rsid w:val="0062366E"/>
    <w:rsid w:val="006643AB"/>
    <w:rsid w:val="0067631F"/>
    <w:rsid w:val="006A0C1B"/>
    <w:rsid w:val="006A11AE"/>
    <w:rsid w:val="006B224B"/>
    <w:rsid w:val="006F0A53"/>
    <w:rsid w:val="00710D31"/>
    <w:rsid w:val="0071402E"/>
    <w:rsid w:val="007210CD"/>
    <w:rsid w:val="00732045"/>
    <w:rsid w:val="0073275D"/>
    <w:rsid w:val="007369DB"/>
    <w:rsid w:val="0077110E"/>
    <w:rsid w:val="007777AA"/>
    <w:rsid w:val="007956C2"/>
    <w:rsid w:val="00796BDB"/>
    <w:rsid w:val="007A187E"/>
    <w:rsid w:val="007A40D3"/>
    <w:rsid w:val="007C72C2"/>
    <w:rsid w:val="007D4436"/>
    <w:rsid w:val="007E7641"/>
    <w:rsid w:val="007F257A"/>
    <w:rsid w:val="007F3665"/>
    <w:rsid w:val="00800037"/>
    <w:rsid w:val="0082299A"/>
    <w:rsid w:val="0083391C"/>
    <w:rsid w:val="0084546D"/>
    <w:rsid w:val="00856D20"/>
    <w:rsid w:val="00857BC6"/>
    <w:rsid w:val="00861D73"/>
    <w:rsid w:val="00882919"/>
    <w:rsid w:val="008938DD"/>
    <w:rsid w:val="00897553"/>
    <w:rsid w:val="008A4E87"/>
    <w:rsid w:val="008D76E6"/>
    <w:rsid w:val="00902F21"/>
    <w:rsid w:val="0092392D"/>
    <w:rsid w:val="0093234A"/>
    <w:rsid w:val="009324BA"/>
    <w:rsid w:val="00956A78"/>
    <w:rsid w:val="0097363B"/>
    <w:rsid w:val="00973F53"/>
    <w:rsid w:val="0098348E"/>
    <w:rsid w:val="009A6BAA"/>
    <w:rsid w:val="009A76A8"/>
    <w:rsid w:val="009C307F"/>
    <w:rsid w:val="009C353C"/>
    <w:rsid w:val="009D5955"/>
    <w:rsid w:val="009F009F"/>
    <w:rsid w:val="009F0FB8"/>
    <w:rsid w:val="00A01F4F"/>
    <w:rsid w:val="00A109AF"/>
    <w:rsid w:val="00A125FB"/>
    <w:rsid w:val="00A2113E"/>
    <w:rsid w:val="00A23A51"/>
    <w:rsid w:val="00A24607"/>
    <w:rsid w:val="00A25CD3"/>
    <w:rsid w:val="00A51849"/>
    <w:rsid w:val="00A709FE"/>
    <w:rsid w:val="00A73C60"/>
    <w:rsid w:val="00A75049"/>
    <w:rsid w:val="00A82767"/>
    <w:rsid w:val="00AA332F"/>
    <w:rsid w:val="00AA7BBB"/>
    <w:rsid w:val="00AB64A8"/>
    <w:rsid w:val="00AC0266"/>
    <w:rsid w:val="00AC0F1D"/>
    <w:rsid w:val="00AD24EC"/>
    <w:rsid w:val="00B27B00"/>
    <w:rsid w:val="00B309F9"/>
    <w:rsid w:val="00B32B60"/>
    <w:rsid w:val="00B51005"/>
    <w:rsid w:val="00B61619"/>
    <w:rsid w:val="00BB38C1"/>
    <w:rsid w:val="00BB4545"/>
    <w:rsid w:val="00BD21B3"/>
    <w:rsid w:val="00BD5873"/>
    <w:rsid w:val="00BF4B60"/>
    <w:rsid w:val="00BF6B8C"/>
    <w:rsid w:val="00C049D7"/>
    <w:rsid w:val="00C04BE3"/>
    <w:rsid w:val="00C25D29"/>
    <w:rsid w:val="00C2625E"/>
    <w:rsid w:val="00C27A7C"/>
    <w:rsid w:val="00C42437"/>
    <w:rsid w:val="00CA08ED"/>
    <w:rsid w:val="00CC6EAA"/>
    <w:rsid w:val="00CE5172"/>
    <w:rsid w:val="00CF0534"/>
    <w:rsid w:val="00CF183B"/>
    <w:rsid w:val="00D375CD"/>
    <w:rsid w:val="00D37B53"/>
    <w:rsid w:val="00D553A2"/>
    <w:rsid w:val="00D72F49"/>
    <w:rsid w:val="00D774D3"/>
    <w:rsid w:val="00D811D2"/>
    <w:rsid w:val="00D904E8"/>
    <w:rsid w:val="00DA08C3"/>
    <w:rsid w:val="00DB5A3E"/>
    <w:rsid w:val="00DC22AA"/>
    <w:rsid w:val="00DD1A99"/>
    <w:rsid w:val="00DE62C6"/>
    <w:rsid w:val="00DF74DD"/>
    <w:rsid w:val="00E25AD0"/>
    <w:rsid w:val="00E33426"/>
    <w:rsid w:val="00E34E4F"/>
    <w:rsid w:val="00E4428F"/>
    <w:rsid w:val="00E4448E"/>
    <w:rsid w:val="00E47427"/>
    <w:rsid w:val="00E93668"/>
    <w:rsid w:val="00E95647"/>
    <w:rsid w:val="00EB6350"/>
    <w:rsid w:val="00ED0AA3"/>
    <w:rsid w:val="00ED442D"/>
    <w:rsid w:val="00ED799B"/>
    <w:rsid w:val="00F15B57"/>
    <w:rsid w:val="00F35EF4"/>
    <w:rsid w:val="00F37FE5"/>
    <w:rsid w:val="00F427DB"/>
    <w:rsid w:val="00F558B8"/>
    <w:rsid w:val="00F55B9A"/>
    <w:rsid w:val="00F61235"/>
    <w:rsid w:val="00F7779B"/>
    <w:rsid w:val="00FA5EB1"/>
    <w:rsid w:val="00FA7439"/>
    <w:rsid w:val="00FC4EC0"/>
    <w:rsid w:val="00FC6D7D"/>
    <w:rsid w:val="00FE5DED"/>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3BD81"/>
  <w15:docId w15:val="{8E946C64-6266-4484-96EA-39C9CACBD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732045"/>
    <w:pPr>
      <w:spacing w:before="840"/>
      <w:jc w:val="center"/>
    </w:pPr>
    <w:rPr>
      <w:b/>
      <w:sz w:val="28"/>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uiPriority w:val="99"/>
    <w:rsid w:val="00ED442D"/>
    <w:rPr>
      <w:rFonts w:eastAsiaTheme="minorHAnsi" w:cstheme="minorBidi"/>
      <w:color w:val="4F81BD" w:themeColor="accent1"/>
      <w:szCs w:val="22"/>
      <w:u w:val="single"/>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13/fr" TargetMode="External"/><Relationship Id="rId18" Type="http://schemas.openxmlformats.org/officeDocument/2006/relationships/hyperlink" Target="https://www.itu.int/md/S26-CL-C-0002/fr" TargetMode="External"/><Relationship Id="rId26" Type="http://schemas.openxmlformats.org/officeDocument/2006/relationships/hyperlink" Target="https://www.itu.int/md/S26-CL-C-0013/fr" TargetMode="External"/><Relationship Id="rId39" Type="http://schemas.openxmlformats.org/officeDocument/2006/relationships/footer" Target="footer3.xml"/><Relationship Id="rId21" Type="http://schemas.openxmlformats.org/officeDocument/2006/relationships/hyperlink" Target="https://www.itu.int/md/S26-CL-C-0078/fr" TargetMode="External"/><Relationship Id="rId34" Type="http://schemas.openxmlformats.org/officeDocument/2006/relationships/hyperlink" Target="https://www.itu.int/md/S26-CL-C-0074/en" TargetMode="External"/><Relationship Id="rId7" Type="http://schemas.openxmlformats.org/officeDocument/2006/relationships/hyperlink" Target="https://www.itu.int/md/S26-CL-C-0002/fr" TargetMode="External"/><Relationship Id="rId2" Type="http://schemas.openxmlformats.org/officeDocument/2006/relationships/styles" Target="styles.xml"/><Relationship Id="rId16" Type="http://schemas.openxmlformats.org/officeDocument/2006/relationships/hyperlink" Target="https://www.itu.int/md/S26-CL-260428-TD-0004/fr" TargetMode="External"/><Relationship Id="rId20" Type="http://schemas.openxmlformats.org/officeDocument/2006/relationships/hyperlink" Target="https://www.itu.int/md/S26-CL-INF-0030/fr" TargetMode="External"/><Relationship Id="rId29" Type="http://schemas.openxmlformats.org/officeDocument/2006/relationships/hyperlink" Target="https://www.itu.int/md/S26-CL-C-0033/fr"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L-C-0077/fr" TargetMode="External"/><Relationship Id="rId24" Type="http://schemas.openxmlformats.org/officeDocument/2006/relationships/hyperlink" Target="https://www.itu.int/md/S26-CL-C-0077/fr" TargetMode="External"/><Relationship Id="rId32" Type="http://schemas.openxmlformats.org/officeDocument/2006/relationships/hyperlink" Target="https://www.itu.int/md/S26-CL-260428-TD-0004/en"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tu.int/md/S26-CL-C-0033/fr" TargetMode="External"/><Relationship Id="rId23" Type="http://schemas.openxmlformats.org/officeDocument/2006/relationships/hyperlink" Target="https://www.itu.int/md/S26-CL-C-0097/fr" TargetMode="External"/><Relationship Id="rId28" Type="http://schemas.openxmlformats.org/officeDocument/2006/relationships/hyperlink" Target="https://www.itu.int/md/S26-CL-C-0087/fr" TargetMode="External"/><Relationship Id="rId36" Type="http://schemas.openxmlformats.org/officeDocument/2006/relationships/footer" Target="footer1.xml"/><Relationship Id="rId10" Type="http://schemas.openxmlformats.org/officeDocument/2006/relationships/hyperlink" Target="https://www.itu.int/md/S26-CL-C-0097/fr" TargetMode="External"/><Relationship Id="rId19" Type="http://schemas.openxmlformats.org/officeDocument/2006/relationships/hyperlink" Target="https://www.itu.int/md/S26-CL-C-0037/fr" TargetMode="External"/><Relationship Id="rId31" Type="http://schemas.openxmlformats.org/officeDocument/2006/relationships/hyperlink" Target="https://www.itu.int/md/S26-CL-C-0033/en" TargetMode="External"/><Relationship Id="rId4" Type="http://schemas.openxmlformats.org/officeDocument/2006/relationships/webSettings" Target="webSettings.xml"/><Relationship Id="rId9" Type="http://schemas.openxmlformats.org/officeDocument/2006/relationships/hyperlink" Target="https://www.itu.int/md/S26-CL-C-0078/fr" TargetMode="External"/><Relationship Id="rId14" Type="http://schemas.openxmlformats.org/officeDocument/2006/relationships/hyperlink" Target="https://www.itu.int/md/S26-CL-C-0087/fr" TargetMode="External"/><Relationship Id="rId22" Type="http://schemas.openxmlformats.org/officeDocument/2006/relationships/hyperlink" Target="https://www.itu.int/md/S26-CL-C-0070/fr" TargetMode="External"/><Relationship Id="rId27" Type="http://schemas.openxmlformats.org/officeDocument/2006/relationships/hyperlink" Target="https://www.itu.int/md/S26-CL-C-0012/en" TargetMode="External"/><Relationship Id="rId30" Type="http://schemas.openxmlformats.org/officeDocument/2006/relationships/hyperlink" Target="https://www.itu.int/md/S26-CL-260428-TD-0004/fr" TargetMode="External"/><Relationship Id="rId35" Type="http://schemas.openxmlformats.org/officeDocument/2006/relationships/header" Target="header1.xml"/><Relationship Id="rId8" Type="http://schemas.openxmlformats.org/officeDocument/2006/relationships/hyperlink" Target="https://www.itu.int/md/S26-CL-C-0037/fr" TargetMode="External"/><Relationship Id="rId3" Type="http://schemas.openxmlformats.org/officeDocument/2006/relationships/settings" Target="settings.xml"/><Relationship Id="rId12" Type="http://schemas.openxmlformats.org/officeDocument/2006/relationships/hyperlink" Target="https://www.itu.int/md/S26-CL-C-0012/fr" TargetMode="External"/><Relationship Id="rId17" Type="http://schemas.openxmlformats.org/officeDocument/2006/relationships/hyperlink" Target="https://www.itu.int/md/S26-CL-C-0074/fr" TargetMode="External"/><Relationship Id="rId25" Type="http://schemas.openxmlformats.org/officeDocument/2006/relationships/hyperlink" Target="https://www.itu.int/md/S26-CL-C-0012/fr" TargetMode="External"/><Relationship Id="rId33" Type="http://schemas.openxmlformats.org/officeDocument/2006/relationships/hyperlink" Target="https://www.itu.int/md/S26-CL-C-0074/fr" TargetMode="External"/><Relationship Id="rId38"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4324</Words>
  <Characters>28366</Characters>
  <Application>Microsoft Office Word</Application>
  <DocSecurity>0</DocSecurity>
  <Lines>4727</Lines>
  <Paragraphs>1816</Paragraphs>
  <ScaleCrop>false</ScaleCrop>
  <HeadingPairs>
    <vt:vector size="2" baseType="variant">
      <vt:variant>
        <vt:lpstr>Title</vt:lpstr>
      </vt:variant>
      <vt:variant>
        <vt:i4>1</vt:i4>
      </vt:variant>
    </vt:vector>
  </HeadingPairs>
  <TitlesOfParts>
    <vt:vector size="1" baseType="lpstr">
      <vt:lpstr>Compte rendu de la huitième séance plénière</vt:lpstr>
    </vt:vector>
  </TitlesOfParts>
  <Manager>Secrétariat général - Pool</Manager>
  <Company>Union internationale des télécommunications (UIT)</Company>
  <LinksUpToDate>false</LinksUpToDate>
  <CharactersWithSpaces>30874</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huitième séance plénière</dc:title>
  <dc:subject>Conseil 2026 de l'UIT</dc:subject>
  <cp:keywords>C26; C2026; Council 2026; PP26</cp:keywords>
  <dc:description/>
  <cp:lastPrinted>2000-07-18T08:55:00Z</cp:lastPrinted>
  <dcterms:created xsi:type="dcterms:W3CDTF">2026-08-06T14:39:00Z</dcterms:created>
  <dcterms:modified xsi:type="dcterms:W3CDTF">2026-08-06T15:15:00Z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