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FE57F6" w:rsidRPr="00BB6FD8" w14:paraId="0BFA5777" w14:textId="77777777" w:rsidTr="00C4421B">
        <w:trPr>
          <w:cantSplit/>
          <w:trHeight w:val="23"/>
        </w:trPr>
        <w:tc>
          <w:tcPr>
            <w:tcW w:w="3969" w:type="dxa"/>
            <w:vMerge w:val="restart"/>
            <w:tcMar>
              <w:left w:w="0" w:type="dxa"/>
            </w:tcMar>
          </w:tcPr>
          <w:p w14:paraId="3DE1713D" w14:textId="10DDDDB7" w:rsidR="00FE57F6" w:rsidRPr="00A13CB0" w:rsidRDefault="00FE57F6" w:rsidP="00C4421B">
            <w:pPr>
              <w:tabs>
                <w:tab w:val="left" w:pos="851"/>
              </w:tabs>
              <w:spacing w:before="0" w:line="240" w:lineRule="atLeast"/>
              <w:rPr>
                <w:b/>
                <w:lang w:val="es-ES"/>
              </w:rPr>
            </w:pPr>
            <w:bookmarkStart w:id="0" w:name="_Hlk133421839"/>
          </w:p>
        </w:tc>
        <w:tc>
          <w:tcPr>
            <w:tcW w:w="5245" w:type="dxa"/>
          </w:tcPr>
          <w:p w14:paraId="0CC2105C" w14:textId="27589B7E" w:rsidR="00FE57F6" w:rsidRPr="00BB6FD8" w:rsidRDefault="00FE57F6" w:rsidP="00C4421B">
            <w:pPr>
              <w:tabs>
                <w:tab w:val="left" w:pos="851"/>
              </w:tabs>
              <w:spacing w:before="0" w:line="240" w:lineRule="atLeast"/>
              <w:jc w:val="right"/>
              <w:rPr>
                <w:b/>
              </w:rPr>
            </w:pPr>
            <w:r w:rsidRPr="00BB6FD8">
              <w:rPr>
                <w:b/>
              </w:rPr>
              <w:t>Document</w:t>
            </w:r>
            <w:r w:rsidR="00F24B71" w:rsidRPr="00BB6FD8">
              <w:rPr>
                <w:b/>
              </w:rPr>
              <w:t>o</w:t>
            </w:r>
            <w:r w:rsidRPr="00BB6FD8">
              <w:rPr>
                <w:b/>
              </w:rPr>
              <w:t xml:space="preserve"> C2</w:t>
            </w:r>
            <w:r w:rsidR="00F85E5C">
              <w:rPr>
                <w:b/>
              </w:rPr>
              <w:t>6</w:t>
            </w:r>
            <w:r w:rsidRPr="00BB6FD8">
              <w:rPr>
                <w:b/>
              </w:rPr>
              <w:t>/</w:t>
            </w:r>
            <w:r w:rsidR="00A13CB0">
              <w:rPr>
                <w:b/>
              </w:rPr>
              <w:t>124</w:t>
            </w:r>
            <w:r w:rsidRPr="00BB6FD8">
              <w:rPr>
                <w:b/>
              </w:rPr>
              <w:t>-</w:t>
            </w:r>
            <w:r w:rsidR="00F24B71" w:rsidRPr="00BB6FD8">
              <w:rPr>
                <w:b/>
              </w:rPr>
              <w:t>S</w:t>
            </w:r>
          </w:p>
        </w:tc>
      </w:tr>
      <w:tr w:rsidR="00FE57F6" w:rsidRPr="00666D09" w14:paraId="18BE98AF" w14:textId="77777777" w:rsidTr="00C4421B">
        <w:trPr>
          <w:cantSplit/>
        </w:trPr>
        <w:tc>
          <w:tcPr>
            <w:tcW w:w="3969" w:type="dxa"/>
            <w:vMerge/>
          </w:tcPr>
          <w:p w14:paraId="1DFA32FE" w14:textId="77777777" w:rsidR="00FE57F6" w:rsidRPr="00BB6FD8" w:rsidRDefault="00FE57F6" w:rsidP="00C4421B">
            <w:pPr>
              <w:tabs>
                <w:tab w:val="left" w:pos="851"/>
              </w:tabs>
              <w:spacing w:line="240" w:lineRule="atLeast"/>
              <w:rPr>
                <w:b/>
              </w:rPr>
            </w:pPr>
          </w:p>
        </w:tc>
        <w:tc>
          <w:tcPr>
            <w:tcW w:w="5245" w:type="dxa"/>
          </w:tcPr>
          <w:p w14:paraId="22830E0C" w14:textId="111FB895" w:rsidR="00FE57F6" w:rsidRPr="00666D09" w:rsidRDefault="0036323B" w:rsidP="00C4421B">
            <w:pPr>
              <w:tabs>
                <w:tab w:val="left" w:pos="851"/>
              </w:tabs>
              <w:spacing w:before="0"/>
              <w:jc w:val="right"/>
              <w:rPr>
                <w:b/>
                <w:lang w:val="en-GB"/>
              </w:rPr>
            </w:pPr>
            <w:r>
              <w:rPr>
                <w:b/>
                <w:lang w:val="es-ES"/>
              </w:rPr>
              <w:t>3 de agosto</w:t>
            </w:r>
            <w:r w:rsidR="00A13CB0">
              <w:rPr>
                <w:b/>
                <w:lang w:val="es-ES"/>
              </w:rPr>
              <w:t xml:space="preserve"> de 2026</w:t>
            </w:r>
          </w:p>
        </w:tc>
      </w:tr>
      <w:tr w:rsidR="00FE57F6" w:rsidRPr="00BB6FD8" w14:paraId="3BAB407C" w14:textId="77777777" w:rsidTr="00C4421B">
        <w:trPr>
          <w:cantSplit/>
          <w:trHeight w:val="23"/>
        </w:trPr>
        <w:tc>
          <w:tcPr>
            <w:tcW w:w="3969" w:type="dxa"/>
            <w:vMerge/>
          </w:tcPr>
          <w:p w14:paraId="62F43F7F" w14:textId="77777777" w:rsidR="00FE57F6" w:rsidRPr="00666D09" w:rsidRDefault="00FE57F6" w:rsidP="00C4421B">
            <w:pPr>
              <w:tabs>
                <w:tab w:val="left" w:pos="851"/>
              </w:tabs>
              <w:spacing w:line="240" w:lineRule="atLeast"/>
              <w:rPr>
                <w:b/>
                <w:lang w:val="en-GB"/>
              </w:rPr>
            </w:pPr>
          </w:p>
        </w:tc>
        <w:tc>
          <w:tcPr>
            <w:tcW w:w="5245" w:type="dxa"/>
          </w:tcPr>
          <w:p w14:paraId="4F34E7BE" w14:textId="77777777" w:rsidR="00FE57F6" w:rsidRPr="00BB6FD8" w:rsidRDefault="00F24B71" w:rsidP="00C4421B">
            <w:pPr>
              <w:tabs>
                <w:tab w:val="left" w:pos="851"/>
              </w:tabs>
              <w:spacing w:before="0" w:line="240" w:lineRule="atLeast"/>
              <w:jc w:val="right"/>
              <w:rPr>
                <w:b/>
                <w:bCs/>
              </w:rPr>
            </w:pPr>
            <w:r w:rsidRPr="00BB6FD8">
              <w:rPr>
                <w:rFonts w:cstheme="minorHAnsi"/>
                <w:b/>
                <w:bCs/>
              </w:rPr>
              <w:t>Original: inglés</w:t>
            </w:r>
          </w:p>
        </w:tc>
      </w:tr>
      <w:tr w:rsidR="00FE57F6" w:rsidRPr="00BB6FD8" w14:paraId="15701004" w14:textId="77777777" w:rsidTr="00C4421B">
        <w:trPr>
          <w:cantSplit/>
          <w:trHeight w:val="23"/>
        </w:trPr>
        <w:tc>
          <w:tcPr>
            <w:tcW w:w="3969" w:type="dxa"/>
          </w:tcPr>
          <w:p w14:paraId="33D5B46F" w14:textId="77777777" w:rsidR="00FE57F6" w:rsidRPr="00BB6FD8" w:rsidRDefault="00FE57F6" w:rsidP="00C4421B">
            <w:pPr>
              <w:tabs>
                <w:tab w:val="left" w:pos="851"/>
              </w:tabs>
              <w:spacing w:line="240" w:lineRule="atLeast"/>
              <w:rPr>
                <w:b/>
              </w:rPr>
            </w:pPr>
          </w:p>
        </w:tc>
        <w:tc>
          <w:tcPr>
            <w:tcW w:w="5245" w:type="dxa"/>
          </w:tcPr>
          <w:p w14:paraId="2877C291" w14:textId="77777777" w:rsidR="00FE57F6" w:rsidRPr="00BB6FD8" w:rsidRDefault="00FE57F6" w:rsidP="00C4421B">
            <w:pPr>
              <w:tabs>
                <w:tab w:val="left" w:pos="851"/>
              </w:tabs>
              <w:spacing w:before="0" w:line="240" w:lineRule="atLeast"/>
              <w:jc w:val="right"/>
              <w:rPr>
                <w:b/>
              </w:rPr>
            </w:pPr>
          </w:p>
        </w:tc>
      </w:tr>
      <w:tr w:rsidR="00FE57F6" w:rsidRPr="001836F7" w14:paraId="6B83AC53" w14:textId="77777777" w:rsidTr="00C4421B">
        <w:trPr>
          <w:cantSplit/>
        </w:trPr>
        <w:tc>
          <w:tcPr>
            <w:tcW w:w="9214" w:type="dxa"/>
            <w:gridSpan w:val="2"/>
            <w:tcMar>
              <w:left w:w="0" w:type="dxa"/>
            </w:tcMar>
          </w:tcPr>
          <w:p w14:paraId="07232D0B" w14:textId="75A66151" w:rsidR="00FE57F6" w:rsidRPr="00CC1FAF" w:rsidRDefault="00A13CB0" w:rsidP="001C54B7">
            <w:pPr>
              <w:pStyle w:val="Source"/>
              <w:spacing w:before="240"/>
              <w:rPr>
                <w:sz w:val="34"/>
                <w:szCs w:val="34"/>
                <w:lang w:val="es-ES"/>
              </w:rPr>
            </w:pPr>
            <w:r>
              <w:rPr>
                <w:rFonts w:cstheme="minorHAnsi"/>
                <w:sz w:val="34"/>
                <w:szCs w:val="34"/>
                <w:lang w:val="es-ES"/>
              </w:rPr>
              <w:t>RESUMEN DE LOS DEBATES</w:t>
            </w:r>
            <w:r w:rsidR="00033653">
              <w:rPr>
                <w:rFonts w:cstheme="minorHAnsi"/>
                <w:sz w:val="34"/>
                <w:szCs w:val="34"/>
                <w:lang w:val="es-ES"/>
              </w:rPr>
              <w:br/>
            </w:r>
            <w:r>
              <w:rPr>
                <w:rFonts w:cstheme="minorHAnsi"/>
                <w:sz w:val="34"/>
                <w:szCs w:val="34"/>
                <w:lang w:val="es-ES"/>
              </w:rPr>
              <w:br/>
              <w:t>DE LA</w:t>
            </w:r>
            <w:r w:rsidR="00033653">
              <w:rPr>
                <w:rFonts w:cstheme="minorHAnsi"/>
                <w:sz w:val="34"/>
                <w:szCs w:val="34"/>
                <w:lang w:val="es-ES"/>
              </w:rPr>
              <w:br/>
            </w:r>
            <w:r>
              <w:rPr>
                <w:rFonts w:cstheme="minorHAnsi"/>
                <w:sz w:val="34"/>
                <w:szCs w:val="34"/>
                <w:lang w:val="es-ES"/>
              </w:rPr>
              <w:br/>
              <w:t>SÉPTIMA SESIÓN PLENARIA</w:t>
            </w:r>
          </w:p>
        </w:tc>
      </w:tr>
      <w:tr w:rsidR="00FE57F6" w:rsidRPr="001836F7" w14:paraId="2DB817D8" w14:textId="77777777" w:rsidTr="00C4421B">
        <w:trPr>
          <w:cantSplit/>
        </w:trPr>
        <w:tc>
          <w:tcPr>
            <w:tcW w:w="9214" w:type="dxa"/>
            <w:gridSpan w:val="2"/>
            <w:tcMar>
              <w:left w:w="0" w:type="dxa"/>
            </w:tcMar>
          </w:tcPr>
          <w:p w14:paraId="0691B209" w14:textId="77777777" w:rsidR="00A13CB0" w:rsidRPr="00A13CB0" w:rsidRDefault="00A13CB0" w:rsidP="00A13CB0">
            <w:pPr>
              <w:tabs>
                <w:tab w:val="clear" w:pos="567"/>
                <w:tab w:val="clear" w:pos="1134"/>
                <w:tab w:val="clear" w:pos="1701"/>
                <w:tab w:val="clear" w:pos="2268"/>
                <w:tab w:val="clear" w:pos="2835"/>
              </w:tabs>
              <w:overflowPunct/>
              <w:autoSpaceDE/>
              <w:autoSpaceDN/>
              <w:adjustRightInd/>
              <w:spacing w:after="240"/>
              <w:jc w:val="center"/>
              <w:textAlignment w:val="auto"/>
              <w:rPr>
                <w:szCs w:val="24"/>
                <w:lang w:val="es-ES"/>
              </w:rPr>
            </w:pPr>
            <w:r w:rsidRPr="00A13CB0">
              <w:rPr>
                <w:color w:val="000000"/>
                <w:szCs w:val="24"/>
                <w:lang w:val="es-ES"/>
              </w:rPr>
              <w:t>Jueves 7 de mayo de 2026, de las 14.30 a las 17.40 horas</w:t>
            </w:r>
          </w:p>
          <w:p w14:paraId="3576E83C" w14:textId="1E67A48A" w:rsidR="00FE57F6" w:rsidRPr="00A13CB0" w:rsidRDefault="00A13CB0" w:rsidP="00A13CB0">
            <w:pPr>
              <w:pStyle w:val="Subtitle"/>
              <w:framePr w:hSpace="0" w:wrap="auto" w:hAnchor="text" w:xAlign="left" w:yAlign="inline"/>
              <w:jc w:val="center"/>
              <w:rPr>
                <w:lang w:val="es-ES"/>
              </w:rPr>
            </w:pPr>
            <w:r w:rsidRPr="00A13CB0">
              <w:rPr>
                <w:b/>
                <w:bCs/>
                <w:color w:val="000000"/>
                <w:sz w:val="24"/>
                <w:szCs w:val="24"/>
                <w:lang w:val="es-ES"/>
              </w:rPr>
              <w:t>Presidente</w:t>
            </w:r>
            <w:r w:rsidRPr="00A13CB0">
              <w:rPr>
                <w:color w:val="000000"/>
                <w:sz w:val="24"/>
                <w:szCs w:val="24"/>
                <w:lang w:val="es-ES"/>
              </w:rPr>
              <w:t>: Sr. B. Tijani (Nigeria)</w:t>
            </w:r>
          </w:p>
        </w:tc>
      </w:tr>
      <w:bookmarkEnd w:id="0"/>
    </w:tbl>
    <w:p w14:paraId="389C7317" w14:textId="64F7FAB1" w:rsidR="00A13CB0" w:rsidRPr="006E51C3" w:rsidRDefault="00A13CB0">
      <w:pPr>
        <w:rPr>
          <w:lang w:val="es-ES"/>
        </w:rPr>
      </w:pPr>
    </w:p>
    <w:tbl>
      <w:tblPr>
        <w:tblW w:w="9214" w:type="dxa"/>
        <w:tblInd w:w="142" w:type="dxa"/>
        <w:tblLayout w:type="fixed"/>
        <w:tblLook w:val="04A0" w:firstRow="1" w:lastRow="0" w:firstColumn="1" w:lastColumn="0" w:noHBand="0" w:noVBand="1"/>
      </w:tblPr>
      <w:tblGrid>
        <w:gridCol w:w="567"/>
        <w:gridCol w:w="6334"/>
        <w:gridCol w:w="2313"/>
      </w:tblGrid>
      <w:tr w:rsidR="00A13CB0" w:rsidRPr="00FA0C65" w14:paraId="487AFBE3" w14:textId="77777777" w:rsidTr="00A13CB0">
        <w:tc>
          <w:tcPr>
            <w:tcW w:w="567" w:type="dxa"/>
          </w:tcPr>
          <w:p w14:paraId="332446E3" w14:textId="77777777" w:rsidR="00A13CB0" w:rsidRPr="00991CFC" w:rsidRDefault="00A13CB0" w:rsidP="00DA5771">
            <w:pPr>
              <w:spacing w:before="480"/>
              <w:rPr>
                <w:b/>
                <w:bCs/>
                <w:szCs w:val="24"/>
                <w:lang w:val="es-ES"/>
              </w:rPr>
            </w:pPr>
            <w:r w:rsidRPr="00991CFC">
              <w:rPr>
                <w:b/>
                <w:bCs/>
                <w:color w:val="000000"/>
                <w:szCs w:val="24"/>
                <w:lang w:val="es-ES"/>
              </w:rPr>
              <w:br w:type="page"/>
            </w:r>
            <w:r w:rsidRPr="00991CFC">
              <w:rPr>
                <w:b/>
                <w:bCs/>
                <w:color w:val="000000"/>
                <w:szCs w:val="24"/>
                <w:lang w:val="es-ES"/>
              </w:rPr>
              <w:br w:type="page"/>
            </w:r>
          </w:p>
        </w:tc>
        <w:tc>
          <w:tcPr>
            <w:tcW w:w="6334" w:type="dxa"/>
            <w:hideMark/>
          </w:tcPr>
          <w:p w14:paraId="11C03946" w14:textId="77777777" w:rsidR="00A13CB0" w:rsidRPr="00FA0C65" w:rsidRDefault="00A13CB0" w:rsidP="00DA5771">
            <w:pPr>
              <w:spacing w:before="480" w:after="120"/>
              <w:rPr>
                <w:b/>
                <w:bCs/>
                <w:szCs w:val="24"/>
              </w:rPr>
            </w:pPr>
            <w:r>
              <w:rPr>
                <w:b/>
                <w:bCs/>
                <w:color w:val="000000"/>
                <w:lang w:val="es-ES"/>
              </w:rPr>
              <w:t>Asuntos tratados</w:t>
            </w:r>
          </w:p>
        </w:tc>
        <w:tc>
          <w:tcPr>
            <w:tcW w:w="2313" w:type="dxa"/>
            <w:hideMark/>
          </w:tcPr>
          <w:p w14:paraId="1661FEDC" w14:textId="77777777" w:rsidR="00A13CB0" w:rsidRPr="00FA0C65" w:rsidRDefault="00A13CB0" w:rsidP="00DA5771">
            <w:pPr>
              <w:spacing w:before="480"/>
              <w:jc w:val="center"/>
              <w:rPr>
                <w:b/>
                <w:bCs/>
                <w:szCs w:val="24"/>
              </w:rPr>
            </w:pPr>
            <w:r>
              <w:rPr>
                <w:b/>
                <w:bCs/>
                <w:color w:val="000000"/>
                <w:lang w:val="es-ES"/>
              </w:rPr>
              <w:t>Documentos</w:t>
            </w:r>
          </w:p>
        </w:tc>
      </w:tr>
      <w:tr w:rsidR="00A13CB0" w:rsidRPr="00FA0C65" w14:paraId="538934A1" w14:textId="77777777" w:rsidTr="00A13CB0">
        <w:trPr>
          <w:trHeight w:val="20"/>
        </w:trPr>
        <w:tc>
          <w:tcPr>
            <w:tcW w:w="567" w:type="dxa"/>
            <w:hideMark/>
          </w:tcPr>
          <w:p w14:paraId="311E159F" w14:textId="77777777" w:rsidR="00A13CB0" w:rsidRPr="00FA0C65" w:rsidRDefault="00A13CB0" w:rsidP="00DA5771">
            <w:pPr>
              <w:spacing w:before="80" w:after="80"/>
              <w:rPr>
                <w:sz w:val="22"/>
                <w:szCs w:val="22"/>
              </w:rPr>
            </w:pPr>
            <w:r>
              <w:rPr>
                <w:color w:val="000000"/>
                <w:lang w:val="es-ES"/>
              </w:rPr>
              <w:t>1</w:t>
            </w:r>
          </w:p>
        </w:tc>
        <w:tc>
          <w:tcPr>
            <w:tcW w:w="6334" w:type="dxa"/>
          </w:tcPr>
          <w:p w14:paraId="6A304CA6" w14:textId="77777777" w:rsidR="00A13CB0" w:rsidRPr="00991CFC" w:rsidRDefault="00A13CB0" w:rsidP="00DA5771">
            <w:pPr>
              <w:spacing w:before="80" w:after="80"/>
              <w:rPr>
                <w:sz w:val="22"/>
                <w:szCs w:val="22"/>
                <w:lang w:val="es-ES"/>
              </w:rPr>
            </w:pPr>
            <w:r>
              <w:rPr>
                <w:color w:val="000000"/>
                <w:lang w:val="es-ES"/>
              </w:rPr>
              <w:t>Informe de situación sobre la asistencia y la ayuda a Palestina (</w:t>
            </w:r>
            <w:r w:rsidRPr="00CD4C1C">
              <w:rPr>
                <w:i/>
                <w:iCs/>
                <w:color w:val="000000"/>
                <w:lang w:val="es-ES"/>
              </w:rPr>
              <w:t>continuación</w:t>
            </w:r>
            <w:r>
              <w:rPr>
                <w:color w:val="000000"/>
                <w:lang w:val="es-ES"/>
              </w:rPr>
              <w:t>)</w:t>
            </w:r>
          </w:p>
        </w:tc>
        <w:tc>
          <w:tcPr>
            <w:tcW w:w="2313" w:type="dxa"/>
          </w:tcPr>
          <w:p w14:paraId="59F97EFA" w14:textId="77777777" w:rsidR="00A13CB0" w:rsidRPr="00FA0C65" w:rsidRDefault="00A13CB0" w:rsidP="00DA5771">
            <w:pPr>
              <w:spacing w:before="80" w:after="80"/>
              <w:jc w:val="center"/>
              <w:rPr>
                <w:sz w:val="22"/>
                <w:szCs w:val="22"/>
              </w:rPr>
            </w:pPr>
            <w:hyperlink r:id="rId6" w:history="1">
              <w:r w:rsidRPr="00991CFC">
                <w:rPr>
                  <w:rStyle w:val="Hyperlink"/>
                </w:rPr>
                <w:t>C26/69</w:t>
              </w:r>
            </w:hyperlink>
          </w:p>
        </w:tc>
      </w:tr>
      <w:tr w:rsidR="00A13CB0" w:rsidRPr="00FA0C65" w14:paraId="584E5145" w14:textId="77777777" w:rsidTr="00A13CB0">
        <w:trPr>
          <w:trHeight w:val="20"/>
        </w:trPr>
        <w:tc>
          <w:tcPr>
            <w:tcW w:w="567" w:type="dxa"/>
          </w:tcPr>
          <w:p w14:paraId="51B4EF56" w14:textId="77777777" w:rsidR="00A13CB0" w:rsidRPr="00FA0C65" w:rsidRDefault="00A13CB0" w:rsidP="00DA5771">
            <w:pPr>
              <w:spacing w:before="80" w:after="80"/>
              <w:rPr>
                <w:sz w:val="22"/>
                <w:szCs w:val="22"/>
              </w:rPr>
            </w:pPr>
            <w:r>
              <w:rPr>
                <w:color w:val="000000"/>
                <w:lang w:val="es-ES"/>
              </w:rPr>
              <w:t>2</w:t>
            </w:r>
          </w:p>
        </w:tc>
        <w:tc>
          <w:tcPr>
            <w:tcW w:w="6334" w:type="dxa"/>
          </w:tcPr>
          <w:p w14:paraId="254E90D5" w14:textId="77777777" w:rsidR="00A13CB0" w:rsidRPr="00991CFC" w:rsidRDefault="00A13CB0" w:rsidP="00DA5771">
            <w:pPr>
              <w:spacing w:before="80" w:after="80"/>
              <w:rPr>
                <w:rFonts w:asciiTheme="minorHAnsi" w:hAnsiTheme="minorHAnsi" w:cstheme="minorHAnsi"/>
                <w:color w:val="2F2F2F"/>
                <w:sz w:val="22"/>
                <w:szCs w:val="22"/>
                <w:shd w:val="clear" w:color="auto" w:fill="FFFFFF"/>
                <w:lang w:val="es-ES"/>
              </w:rPr>
            </w:pPr>
            <w:r>
              <w:rPr>
                <w:color w:val="000000"/>
                <w:lang w:val="es-ES"/>
              </w:rPr>
              <w:t>Información actualizada sobre la aplicación de la Resolución 1408 (C22, modificada por última vez C23) del Consejo de la UIT sobre asistencia y ayuda a Ucrania para la reconstrucción de su sector de telecomunicaciones</w:t>
            </w:r>
          </w:p>
        </w:tc>
        <w:tc>
          <w:tcPr>
            <w:tcW w:w="2313" w:type="dxa"/>
            <w:vAlign w:val="center"/>
          </w:tcPr>
          <w:p w14:paraId="52170602" w14:textId="77777777" w:rsidR="00A13CB0" w:rsidRPr="00FA0C65" w:rsidRDefault="00A13CB0" w:rsidP="00DA5771">
            <w:pPr>
              <w:spacing w:before="80" w:after="80"/>
              <w:jc w:val="center"/>
              <w:rPr>
                <w:sz w:val="22"/>
                <w:szCs w:val="22"/>
              </w:rPr>
            </w:pPr>
            <w:hyperlink r:id="rId7" w:history="1">
              <w:r w:rsidRPr="00102AD7">
                <w:rPr>
                  <w:rStyle w:val="Hyperlink"/>
                </w:rPr>
                <w:t>C26/68</w:t>
              </w:r>
            </w:hyperlink>
          </w:p>
        </w:tc>
      </w:tr>
      <w:tr w:rsidR="00A13CB0" w:rsidRPr="00FA0C65" w14:paraId="0B48ABD8" w14:textId="77777777" w:rsidTr="00A13CB0">
        <w:trPr>
          <w:trHeight w:val="20"/>
        </w:trPr>
        <w:tc>
          <w:tcPr>
            <w:tcW w:w="567" w:type="dxa"/>
          </w:tcPr>
          <w:p w14:paraId="4F90960A" w14:textId="77777777" w:rsidR="00A13CB0" w:rsidRPr="00FA0C65" w:rsidRDefault="00A13CB0" w:rsidP="00DA5771">
            <w:pPr>
              <w:spacing w:before="80" w:after="80"/>
              <w:rPr>
                <w:sz w:val="22"/>
                <w:szCs w:val="22"/>
              </w:rPr>
            </w:pPr>
            <w:r>
              <w:rPr>
                <w:color w:val="000000"/>
                <w:lang w:val="es-ES"/>
              </w:rPr>
              <w:t>3</w:t>
            </w:r>
          </w:p>
        </w:tc>
        <w:tc>
          <w:tcPr>
            <w:tcW w:w="6334" w:type="dxa"/>
          </w:tcPr>
          <w:p w14:paraId="78D8CC87" w14:textId="77777777" w:rsidR="00A13CB0" w:rsidRPr="00991CFC" w:rsidRDefault="00A13CB0" w:rsidP="00DA5771">
            <w:pPr>
              <w:spacing w:before="80" w:after="80"/>
              <w:rPr>
                <w:sz w:val="22"/>
                <w:szCs w:val="22"/>
                <w:lang w:val="es-ES"/>
              </w:rPr>
            </w:pPr>
            <w:r>
              <w:rPr>
                <w:color w:val="000000"/>
                <w:lang w:val="es-ES"/>
              </w:rPr>
              <w:t>Actividades para garantizar las telecomunicaciones humanitarias en situaciones de conflicto o catástrofe</w:t>
            </w:r>
          </w:p>
        </w:tc>
        <w:tc>
          <w:tcPr>
            <w:tcW w:w="2313" w:type="dxa"/>
          </w:tcPr>
          <w:p w14:paraId="302B6183" w14:textId="77777777" w:rsidR="00A13CB0" w:rsidRPr="00FA0C65" w:rsidRDefault="00A13CB0" w:rsidP="00DA5771">
            <w:pPr>
              <w:spacing w:before="80" w:after="80"/>
              <w:jc w:val="center"/>
              <w:rPr>
                <w:sz w:val="22"/>
                <w:szCs w:val="22"/>
              </w:rPr>
            </w:pPr>
            <w:hyperlink r:id="rId8" w:history="1">
              <w:r w:rsidRPr="00FC4CB5">
                <w:rPr>
                  <w:rStyle w:val="Hyperlink"/>
                </w:rPr>
                <w:t>C26/64</w:t>
              </w:r>
            </w:hyperlink>
          </w:p>
        </w:tc>
      </w:tr>
      <w:tr w:rsidR="00A13CB0" w:rsidRPr="00FA0C65" w14:paraId="541CAC62" w14:textId="77777777" w:rsidTr="00A13CB0">
        <w:trPr>
          <w:trHeight w:val="20"/>
        </w:trPr>
        <w:tc>
          <w:tcPr>
            <w:tcW w:w="567" w:type="dxa"/>
          </w:tcPr>
          <w:p w14:paraId="7DF53B5B" w14:textId="77777777" w:rsidR="00A13CB0" w:rsidRPr="00FA0C65" w:rsidRDefault="00A13CB0" w:rsidP="00DA5771">
            <w:pPr>
              <w:spacing w:before="80" w:after="80"/>
              <w:rPr>
                <w:sz w:val="22"/>
                <w:szCs w:val="22"/>
              </w:rPr>
            </w:pPr>
            <w:r>
              <w:rPr>
                <w:color w:val="000000"/>
                <w:lang w:val="es-ES"/>
              </w:rPr>
              <w:t>4</w:t>
            </w:r>
          </w:p>
        </w:tc>
        <w:tc>
          <w:tcPr>
            <w:tcW w:w="6334" w:type="dxa"/>
          </w:tcPr>
          <w:p w14:paraId="43F3139C" w14:textId="29877E64" w:rsidR="00A13CB0" w:rsidRPr="00991CFC" w:rsidRDefault="00A13CB0" w:rsidP="00DA5771">
            <w:pPr>
              <w:spacing w:before="80" w:after="80"/>
              <w:rPr>
                <w:lang w:val="es-ES"/>
              </w:rPr>
            </w:pPr>
            <w:r>
              <w:rPr>
                <w:color w:val="000000"/>
                <w:lang w:val="es-ES"/>
              </w:rPr>
              <w:t>Informe del Presidente del Grupo de Trabajo del Consejo sobre los Planes Estratégico y Financiero para 2028</w:t>
            </w:r>
            <w:r w:rsidR="00194ACD">
              <w:rPr>
                <w:color w:val="000000"/>
                <w:lang w:val="es-ES"/>
              </w:rPr>
              <w:noBreakHyphen/>
            </w:r>
            <w:r>
              <w:rPr>
                <w:color w:val="000000"/>
                <w:lang w:val="es-ES"/>
              </w:rPr>
              <w:t>2031, incluido el proyecto de Plan Estratégico para 2028</w:t>
            </w:r>
            <w:r w:rsidR="00194ACD">
              <w:rPr>
                <w:color w:val="000000"/>
                <w:lang w:val="es-ES"/>
              </w:rPr>
              <w:noBreakHyphen/>
            </w:r>
            <w:r>
              <w:rPr>
                <w:color w:val="000000"/>
                <w:lang w:val="es-ES"/>
              </w:rPr>
              <w:t>2031 (</w:t>
            </w:r>
            <w:r w:rsidRPr="00CD4C1C">
              <w:rPr>
                <w:i/>
                <w:iCs/>
                <w:color w:val="000000"/>
                <w:lang w:val="es-ES"/>
              </w:rPr>
              <w:t>continuación</w:t>
            </w:r>
            <w:r>
              <w:rPr>
                <w:color w:val="000000"/>
                <w:lang w:val="es-ES"/>
              </w:rPr>
              <w:t>)</w:t>
            </w:r>
          </w:p>
        </w:tc>
        <w:tc>
          <w:tcPr>
            <w:tcW w:w="2313" w:type="dxa"/>
          </w:tcPr>
          <w:p w14:paraId="5F4423C2" w14:textId="77777777" w:rsidR="00A13CB0" w:rsidRPr="00FA0C65" w:rsidRDefault="00A13CB0" w:rsidP="00DA5771">
            <w:pPr>
              <w:spacing w:before="80" w:after="80"/>
              <w:jc w:val="center"/>
              <w:rPr>
                <w:sz w:val="22"/>
                <w:szCs w:val="22"/>
              </w:rPr>
            </w:pPr>
            <w:hyperlink r:id="rId9" w:history="1">
              <w:r w:rsidRPr="0027128D">
                <w:rPr>
                  <w:rStyle w:val="Hyperlink"/>
                </w:rPr>
                <w:t>C26/31+Add.1-2</w:t>
              </w:r>
            </w:hyperlink>
            <w:r>
              <w:rPr>
                <w:color w:val="000000"/>
              </w:rPr>
              <w:t xml:space="preserve">, </w:t>
            </w:r>
            <w:hyperlink r:id="rId10" w:history="1">
              <w:r w:rsidRPr="00214760">
                <w:rPr>
                  <w:rStyle w:val="Hyperlink"/>
                </w:rPr>
                <w:t>C26/83</w:t>
              </w:r>
            </w:hyperlink>
          </w:p>
        </w:tc>
      </w:tr>
      <w:tr w:rsidR="00A13CB0" w:rsidRPr="00FA0C65" w14:paraId="1E16C638" w14:textId="77777777" w:rsidTr="00A13CB0">
        <w:trPr>
          <w:trHeight w:val="20"/>
        </w:trPr>
        <w:tc>
          <w:tcPr>
            <w:tcW w:w="567" w:type="dxa"/>
          </w:tcPr>
          <w:p w14:paraId="6B0DFC72" w14:textId="77777777" w:rsidR="00A13CB0" w:rsidRPr="00FA0C65" w:rsidRDefault="00A13CB0" w:rsidP="00DA5771">
            <w:pPr>
              <w:spacing w:before="80" w:after="80"/>
              <w:rPr>
                <w:sz w:val="22"/>
                <w:szCs w:val="22"/>
              </w:rPr>
            </w:pPr>
            <w:r>
              <w:rPr>
                <w:color w:val="000000"/>
                <w:lang w:val="es-ES"/>
              </w:rPr>
              <w:t>5</w:t>
            </w:r>
          </w:p>
        </w:tc>
        <w:tc>
          <w:tcPr>
            <w:tcW w:w="6334" w:type="dxa"/>
          </w:tcPr>
          <w:p w14:paraId="129AA13F" w14:textId="77777777" w:rsidR="00A13CB0" w:rsidRPr="00991CFC" w:rsidRDefault="00A13CB0" w:rsidP="00DA5771">
            <w:pPr>
              <w:spacing w:before="80" w:after="80"/>
              <w:rPr>
                <w:lang w:val="es-ES"/>
              </w:rPr>
            </w:pPr>
            <w:r>
              <w:rPr>
                <w:color w:val="000000"/>
                <w:lang w:val="es-ES"/>
              </w:rPr>
              <w:t>Declaración del Director General de la Organización de las Naciones Unidas para la Educación, la Ciencia y la Cultura</w:t>
            </w:r>
          </w:p>
        </w:tc>
        <w:tc>
          <w:tcPr>
            <w:tcW w:w="2313" w:type="dxa"/>
          </w:tcPr>
          <w:p w14:paraId="51289CDE" w14:textId="77777777" w:rsidR="00A13CB0" w:rsidRPr="00FA0C65" w:rsidRDefault="00A13CB0" w:rsidP="00DA5771">
            <w:pPr>
              <w:spacing w:before="80" w:after="80"/>
              <w:jc w:val="center"/>
              <w:rPr>
                <w:sz w:val="22"/>
                <w:szCs w:val="22"/>
              </w:rPr>
            </w:pPr>
            <w:r>
              <w:rPr>
                <w:color w:val="000000"/>
                <w:lang w:val="es-ES"/>
              </w:rPr>
              <w:t>–</w:t>
            </w:r>
          </w:p>
        </w:tc>
      </w:tr>
      <w:tr w:rsidR="00A13CB0" w:rsidRPr="00FA0C65" w14:paraId="28B7F5B8" w14:textId="77777777" w:rsidTr="00A13CB0">
        <w:trPr>
          <w:trHeight w:val="20"/>
        </w:trPr>
        <w:tc>
          <w:tcPr>
            <w:tcW w:w="567" w:type="dxa"/>
          </w:tcPr>
          <w:p w14:paraId="6ABF1674" w14:textId="77777777" w:rsidR="00A13CB0" w:rsidRPr="00FA0C65" w:rsidRDefault="00A13CB0" w:rsidP="00DA5771">
            <w:pPr>
              <w:spacing w:before="80" w:after="80"/>
              <w:rPr>
                <w:sz w:val="22"/>
                <w:szCs w:val="22"/>
              </w:rPr>
            </w:pPr>
            <w:r>
              <w:rPr>
                <w:color w:val="000000"/>
                <w:lang w:val="es-ES"/>
              </w:rPr>
              <w:t>6</w:t>
            </w:r>
          </w:p>
        </w:tc>
        <w:tc>
          <w:tcPr>
            <w:tcW w:w="6334" w:type="dxa"/>
          </w:tcPr>
          <w:p w14:paraId="3FCD3E40" w14:textId="3A399C5B" w:rsidR="00A13CB0" w:rsidRPr="00991CFC" w:rsidRDefault="00A13CB0" w:rsidP="00DA5771">
            <w:pPr>
              <w:spacing w:before="80" w:after="80"/>
              <w:rPr>
                <w:lang w:val="es-ES"/>
              </w:rPr>
            </w:pPr>
            <w:r>
              <w:rPr>
                <w:color w:val="000000"/>
                <w:lang w:val="es-ES"/>
              </w:rPr>
              <w:t>Proyecto de Plan Operacional cuatrienal renovable de la Unión para 2027</w:t>
            </w:r>
            <w:r w:rsidR="00194ACD">
              <w:rPr>
                <w:color w:val="000000"/>
                <w:lang w:val="es-ES"/>
              </w:rPr>
              <w:noBreakHyphen/>
            </w:r>
            <w:r>
              <w:rPr>
                <w:color w:val="000000"/>
                <w:lang w:val="es-ES"/>
              </w:rPr>
              <w:t>2030 (</w:t>
            </w:r>
            <w:r w:rsidRPr="00CD4C1C">
              <w:rPr>
                <w:i/>
                <w:iCs/>
                <w:color w:val="000000"/>
                <w:lang w:val="es-ES"/>
              </w:rPr>
              <w:t>continuación</w:t>
            </w:r>
            <w:r>
              <w:rPr>
                <w:color w:val="000000"/>
                <w:lang w:val="es-ES"/>
              </w:rPr>
              <w:t>)</w:t>
            </w:r>
          </w:p>
        </w:tc>
        <w:tc>
          <w:tcPr>
            <w:tcW w:w="2313" w:type="dxa"/>
          </w:tcPr>
          <w:p w14:paraId="3FD9FC7C" w14:textId="77777777" w:rsidR="00A13CB0" w:rsidRPr="00FA0C65" w:rsidRDefault="00A13CB0" w:rsidP="00DA5771">
            <w:pPr>
              <w:spacing w:before="80" w:after="80"/>
              <w:jc w:val="center"/>
              <w:rPr>
                <w:sz w:val="22"/>
                <w:szCs w:val="22"/>
              </w:rPr>
            </w:pPr>
            <w:hyperlink r:id="rId11" w:history="1">
              <w:r w:rsidRPr="00394A9D">
                <w:rPr>
                  <w:rStyle w:val="Hyperlink"/>
                </w:rPr>
                <w:t>C26/28(Rev.1)</w:t>
              </w:r>
            </w:hyperlink>
          </w:p>
        </w:tc>
      </w:tr>
      <w:tr w:rsidR="00A13CB0" w:rsidRPr="00FA0C65" w14:paraId="30FF6A90" w14:textId="77777777" w:rsidTr="00A13CB0">
        <w:trPr>
          <w:trHeight w:val="20"/>
        </w:trPr>
        <w:tc>
          <w:tcPr>
            <w:tcW w:w="567" w:type="dxa"/>
          </w:tcPr>
          <w:p w14:paraId="345A5110" w14:textId="77777777" w:rsidR="00A13CB0" w:rsidRPr="00FA0C65" w:rsidRDefault="00A13CB0" w:rsidP="00DA5771">
            <w:pPr>
              <w:spacing w:before="80" w:after="80"/>
              <w:rPr>
                <w:sz w:val="22"/>
                <w:szCs w:val="22"/>
              </w:rPr>
            </w:pPr>
            <w:r>
              <w:rPr>
                <w:color w:val="000000"/>
                <w:lang w:val="es-ES"/>
              </w:rPr>
              <w:t>7</w:t>
            </w:r>
          </w:p>
        </w:tc>
        <w:tc>
          <w:tcPr>
            <w:tcW w:w="6334" w:type="dxa"/>
          </w:tcPr>
          <w:p w14:paraId="07E495A7" w14:textId="77777777" w:rsidR="00A13CB0" w:rsidRPr="00FA0C65" w:rsidRDefault="00A13CB0" w:rsidP="00DA5771">
            <w:pPr>
              <w:spacing w:before="80" w:after="80"/>
            </w:pPr>
            <w:r>
              <w:rPr>
                <w:color w:val="000000"/>
                <w:lang w:val="es-ES"/>
              </w:rPr>
              <w:t>Declaración de un consejero</w:t>
            </w:r>
          </w:p>
        </w:tc>
        <w:tc>
          <w:tcPr>
            <w:tcW w:w="2313" w:type="dxa"/>
          </w:tcPr>
          <w:p w14:paraId="674DDC0A" w14:textId="77777777" w:rsidR="00A13CB0" w:rsidRPr="00FA0C65" w:rsidRDefault="00A13CB0" w:rsidP="00DA5771">
            <w:pPr>
              <w:spacing w:before="80" w:after="80"/>
              <w:jc w:val="center"/>
              <w:rPr>
                <w:sz w:val="22"/>
                <w:szCs w:val="22"/>
              </w:rPr>
            </w:pPr>
            <w:r>
              <w:rPr>
                <w:color w:val="000000"/>
                <w:lang w:val="es-ES"/>
              </w:rPr>
              <w:t>–</w:t>
            </w:r>
          </w:p>
        </w:tc>
      </w:tr>
    </w:tbl>
    <w:p w14:paraId="18594121" w14:textId="77777777" w:rsidR="00A13CB0" w:rsidRPr="00BB6FD8" w:rsidRDefault="00A13CB0"/>
    <w:p w14:paraId="09213DCA" w14:textId="77777777" w:rsidR="001559F5" w:rsidRPr="00BB6FD8" w:rsidRDefault="001559F5">
      <w:pPr>
        <w:tabs>
          <w:tab w:val="clear" w:pos="567"/>
          <w:tab w:val="clear" w:pos="1134"/>
          <w:tab w:val="clear" w:pos="1701"/>
          <w:tab w:val="clear" w:pos="2268"/>
          <w:tab w:val="clear" w:pos="2835"/>
        </w:tabs>
        <w:overflowPunct/>
        <w:autoSpaceDE/>
        <w:autoSpaceDN/>
        <w:adjustRightInd/>
        <w:spacing w:before="0"/>
        <w:textAlignment w:val="auto"/>
      </w:pPr>
      <w:r w:rsidRPr="00BB6FD8">
        <w:br w:type="page"/>
      </w:r>
    </w:p>
    <w:p w14:paraId="6DD79D2A" w14:textId="77777777" w:rsidR="00A13CB0" w:rsidRPr="00991CFC" w:rsidRDefault="00A13CB0" w:rsidP="001C54B7">
      <w:pPr>
        <w:pStyle w:val="Heading1"/>
        <w:rPr>
          <w:lang w:val="es-ES"/>
        </w:rPr>
      </w:pPr>
      <w:r>
        <w:rPr>
          <w:lang w:val="es-ES"/>
        </w:rPr>
        <w:lastRenderedPageBreak/>
        <w:t>1</w:t>
      </w:r>
      <w:r>
        <w:rPr>
          <w:lang w:val="es-ES"/>
        </w:rPr>
        <w:tab/>
        <w:t>Informe de situación sobre la asistencia y la ayuda a Palestina (</w:t>
      </w:r>
      <w:r>
        <w:rPr>
          <w:i/>
          <w:iCs/>
          <w:lang w:val="es-ES"/>
        </w:rPr>
        <w:t>continuación</w:t>
      </w:r>
      <w:r>
        <w:rPr>
          <w:lang w:val="es-ES"/>
        </w:rPr>
        <w:t>) (Documento </w:t>
      </w:r>
      <w:proofErr w:type="spellStart"/>
      <w:r>
        <w:fldChar w:fldCharType="begin"/>
      </w:r>
      <w:r>
        <w:instrText>HYPERLINK "https://www.itu.int/md/S26-CL-C-0069/es"</w:instrText>
      </w:r>
      <w:r>
        <w:fldChar w:fldCharType="separate"/>
      </w:r>
      <w:r w:rsidRPr="00F4424D">
        <w:rPr>
          <w:rStyle w:val="Hyperlink"/>
          <w:lang w:val="es-ES"/>
        </w:rPr>
        <w:t>C26</w:t>
      </w:r>
      <w:proofErr w:type="spellEnd"/>
      <w:r w:rsidRPr="00F4424D">
        <w:rPr>
          <w:rStyle w:val="Hyperlink"/>
          <w:lang w:val="es-ES"/>
        </w:rPr>
        <w:t>/69</w:t>
      </w:r>
      <w:r>
        <w:fldChar w:fldCharType="end"/>
      </w:r>
      <w:r>
        <w:rPr>
          <w:lang w:val="es-ES"/>
        </w:rPr>
        <w:t>)</w:t>
      </w:r>
    </w:p>
    <w:p w14:paraId="03B5524B" w14:textId="77777777" w:rsidR="00A13CB0" w:rsidRPr="00991CFC" w:rsidRDefault="00A13CB0" w:rsidP="001C54B7">
      <w:pPr>
        <w:jc w:val="both"/>
        <w:rPr>
          <w:spacing w:val="-3"/>
          <w:lang w:val="es-ES"/>
        </w:rPr>
      </w:pPr>
      <w:r>
        <w:rPr>
          <w:lang w:val="es-ES"/>
        </w:rPr>
        <w:t>1.1</w:t>
      </w:r>
      <w:r>
        <w:rPr>
          <w:lang w:val="es-ES"/>
        </w:rPr>
        <w:tab/>
        <w:t>Prosiguiendo el debate sobre este punto, varios consejeros y un observador condenan la destrucción sistemática de la infraestructura de telecomunicaciones y la imposición de restricciones al sector de las telecomunicaciones en Palestina. Esa destrucción tiene graves consecuencias económicas, sociales, sanitarias y humanitarias. Un consejero y dos observadores destacan el derecho de los palestinos a utilizar plena y eficazmente los servicios de telecomunicaciones y subrayan que ese derecho no debe vulnerarse. Un observador también hace hincapié en la necesidad de proteger la infraestructura de telecomunicaciones durante los conflictos bélicos, dada su amplia función civil. Dos consejeros y un observador destacan que la comunidad internacional tiene la responsabilidad histórica de apoyar la reconstrucción del sector de las telecomunicaciones en Palestina.</w:t>
      </w:r>
    </w:p>
    <w:p w14:paraId="5E22A870" w14:textId="77777777" w:rsidR="00A13CB0" w:rsidRPr="00991CFC" w:rsidRDefault="00A13CB0" w:rsidP="001C54B7">
      <w:pPr>
        <w:jc w:val="both"/>
        <w:rPr>
          <w:rFonts w:cs="Calibri"/>
          <w:spacing w:val="-2"/>
          <w:lang w:val="es-ES"/>
        </w:rPr>
      </w:pPr>
      <w:r>
        <w:rPr>
          <w:lang w:val="es-ES"/>
        </w:rPr>
        <w:t>1.2</w:t>
      </w:r>
      <w:r>
        <w:rPr>
          <w:lang w:val="es-ES"/>
        </w:rPr>
        <w:tab/>
        <w:t>Muchos consejeros y observadores expresan su apoyo a las actividades de la UIT para aplicar la Resolución 1424 (C24) del Consejo, en consonancia con el principio de no dejar a nadie atrás. El informe de situación contenido en el Documento C26/69 refleja la importancia de la función técnica de la Unión en situaciones de crisis y su capacidad para coordinar una respuesta en sus ámbitos de competencia. Un consejero y un observador ponen de relieve el carácter puramente técnico de las actividades de la UIT en Palestina.</w:t>
      </w:r>
    </w:p>
    <w:p w14:paraId="72A4BC6E" w14:textId="77777777" w:rsidR="00A13CB0" w:rsidRPr="00991CFC" w:rsidRDefault="00A13CB0" w:rsidP="001C54B7">
      <w:pPr>
        <w:jc w:val="both"/>
        <w:rPr>
          <w:rFonts w:cs="Calibri"/>
          <w:lang w:val="es-ES"/>
        </w:rPr>
      </w:pPr>
      <w:r>
        <w:rPr>
          <w:lang w:val="es-ES"/>
        </w:rPr>
        <w:t>1.3</w:t>
      </w:r>
      <w:r>
        <w:rPr>
          <w:lang w:val="es-ES"/>
        </w:rPr>
        <w:tab/>
        <w:t>Se elogian los esfuerzos de la UIT por establecer un grupo especial intersectorial y un fondo fiduciario, así como las medidas adoptadas para facilitar la participación de Palestina en los trabajos de la Unión. Dos consejeros insisten en la importancia de movilizar recursos suficientes para que el fondo garantice una reconstrucción tangible y rápida. Varios consejeros piden a la Secretaría que incluya calendarios, prioridades e indicadores fundamentales de rendimiento claros en el plan de ejecución.</w:t>
      </w:r>
    </w:p>
    <w:p w14:paraId="34DDCFCF" w14:textId="77777777" w:rsidR="00A13CB0" w:rsidRPr="00991CFC" w:rsidRDefault="00A13CB0" w:rsidP="001C54B7">
      <w:pPr>
        <w:jc w:val="both"/>
        <w:rPr>
          <w:rFonts w:cs="Calibri"/>
          <w:lang w:val="es-ES"/>
        </w:rPr>
      </w:pPr>
      <w:r>
        <w:rPr>
          <w:lang w:val="es-ES"/>
        </w:rPr>
        <w:t>1.4</w:t>
      </w:r>
      <w:r>
        <w:rPr>
          <w:lang w:val="es-ES"/>
        </w:rPr>
        <w:tab/>
        <w:t>Algunos consejeros alentaron a la UIT a seguir colaborando estrechamente con las organizaciones internacionales a fin de garantizar un apoyo suficiente para la reconstrucción de Palestina. La UIT también debería seguir colaborando con asociados internacionales para evaluar la magnitud de los daños sufridos por la infraestructura de telecomunicaciones en Palestina.</w:t>
      </w:r>
    </w:p>
    <w:p w14:paraId="3C79F7D0" w14:textId="77777777" w:rsidR="00A13CB0" w:rsidRPr="00022184" w:rsidRDefault="00A13CB0" w:rsidP="001C54B7">
      <w:pPr>
        <w:jc w:val="both"/>
        <w:rPr>
          <w:rFonts w:cs="Calibri"/>
          <w:lang w:val="es-ES"/>
        </w:rPr>
      </w:pPr>
      <w:r>
        <w:rPr>
          <w:lang w:val="es-ES"/>
        </w:rPr>
        <w:t>1.5</w:t>
      </w:r>
      <w:r>
        <w:rPr>
          <w:lang w:val="es-ES"/>
        </w:rPr>
        <w:tab/>
        <w:t>Se hace hincapié en la gravedad de la situación humanitaria en Palestina, un consejero pide la entrada libre y sin trabas de ayuda humanitaria. Un observador expresa su apoyo a la utilización del indicativo de país +970 para Palestina a fin de garantizar la prestación fiable de servicios de telecomunicaciones.</w:t>
      </w:r>
    </w:p>
    <w:p w14:paraId="2E24C892" w14:textId="77777777" w:rsidR="00A13CB0" w:rsidRPr="00991CFC" w:rsidRDefault="00A13CB0" w:rsidP="001C54B7">
      <w:pPr>
        <w:jc w:val="both"/>
        <w:rPr>
          <w:rFonts w:cs="Calibri"/>
          <w:lang w:val="es-ES"/>
        </w:rPr>
      </w:pPr>
      <w:r>
        <w:rPr>
          <w:lang w:val="es-ES"/>
        </w:rPr>
        <w:t>1.6</w:t>
      </w:r>
      <w:r>
        <w:rPr>
          <w:lang w:val="es-ES"/>
        </w:rPr>
        <w:tab/>
        <w:t>Dos consejeros expresan su apoyo al derecho legítimo del pueblo palestino a establecer un Estado independiente y plenamente soberano, con Jerusalén como su capital.</w:t>
      </w:r>
    </w:p>
    <w:p w14:paraId="542F52FE" w14:textId="77777777" w:rsidR="00A13CB0" w:rsidRPr="00991CFC" w:rsidRDefault="00A13CB0" w:rsidP="001C54B7">
      <w:pPr>
        <w:jc w:val="both"/>
        <w:rPr>
          <w:rFonts w:cs="Calibri"/>
          <w:lang w:val="es-ES"/>
        </w:rPr>
      </w:pPr>
      <w:r>
        <w:rPr>
          <w:lang w:val="es-ES"/>
        </w:rPr>
        <w:t>1.7</w:t>
      </w:r>
      <w:r>
        <w:rPr>
          <w:lang w:val="es-ES"/>
        </w:rPr>
        <w:tab/>
        <w:t>Un consejero expresa su apoyo a la solución de dos Estados, en la que ambos Estados viven uno al lado del otro en libertad y seguridad, con Jerusalén como capital común, y subraya que sólo una solución política creíble puede romper el ciclo de la guerra y permitir la recuperación económica. También reitera la oposición de su país a la colonización, como violación del derecho internacional, así como su apoyo tanto a la Declaración de Nueva York sobre el arreglo pacífico de la cuestión de Palestina y la aplicación de la solución de dos Estados como a la Resolución 2803 (2025) del Consejo de Seguridad de las Naciones Unidas.</w:t>
      </w:r>
    </w:p>
    <w:p w14:paraId="368FBED4" w14:textId="04AF3BF7" w:rsidR="00A13CB0" w:rsidRPr="00CB2E06" w:rsidRDefault="00A13CB0" w:rsidP="001C54B7">
      <w:pPr>
        <w:jc w:val="both"/>
        <w:rPr>
          <w:rFonts w:cs="Calibri"/>
          <w:spacing w:val="-2"/>
          <w:lang w:val="es-ES"/>
        </w:rPr>
      </w:pPr>
      <w:r w:rsidRPr="00CB2E06">
        <w:rPr>
          <w:spacing w:val="-2"/>
          <w:lang w:val="es-ES"/>
        </w:rPr>
        <w:t>1.8</w:t>
      </w:r>
      <w:r w:rsidRPr="00CB2E06">
        <w:rPr>
          <w:spacing w:val="-2"/>
          <w:lang w:val="es-ES"/>
        </w:rPr>
        <w:tab/>
        <w:t>Un consejero y un observador señalan que se espera poner en marcha los servicios</w:t>
      </w:r>
      <w:r w:rsidR="00194ACD" w:rsidRPr="00CB2E06">
        <w:rPr>
          <w:spacing w:val="-2"/>
          <w:lang w:val="es-ES"/>
        </w:rPr>
        <w:t> </w:t>
      </w:r>
      <w:r w:rsidRPr="00CB2E06">
        <w:rPr>
          <w:spacing w:val="-2"/>
          <w:lang w:val="es-ES"/>
        </w:rPr>
        <w:t xml:space="preserve">4G en Palestina en julio de 2026 como resultado de la cooperación bilateral en curso entre Israel y la </w:t>
      </w:r>
      <w:r w:rsidRPr="00CB2E06">
        <w:rPr>
          <w:spacing w:val="-2"/>
          <w:lang w:val="es-ES"/>
        </w:rPr>
        <w:lastRenderedPageBreak/>
        <w:t>Autoridad Palestina. La cooperación bilateral es el canal adecuado para abordar las cuestiones de telecomunicaciones. Advierten contra la politización de los trabajos del Consejo.</w:t>
      </w:r>
    </w:p>
    <w:p w14:paraId="43989BB7" w14:textId="77777777" w:rsidR="00A13CB0" w:rsidRPr="00991CFC" w:rsidRDefault="00A13CB0" w:rsidP="001C54B7">
      <w:pPr>
        <w:jc w:val="both"/>
        <w:rPr>
          <w:rFonts w:cs="Calibri"/>
          <w:lang w:val="es-ES"/>
        </w:rPr>
      </w:pPr>
      <w:r>
        <w:rPr>
          <w:lang w:val="es-ES"/>
        </w:rPr>
        <w:t>1.9</w:t>
      </w:r>
      <w:r>
        <w:rPr>
          <w:lang w:val="es-ES"/>
        </w:rPr>
        <w:tab/>
        <w:t>Muchos consejeros ponen de relieve el compromiso de sus países de apoyar la aplicación de la Resolución 1424 (C24). La reconstrucción debe respetar el derecho internacional, la integridad territorial de Palestina y los derechos fundamentales del pueblo palestino y debe contar con la plena participación de la Autoridad Palestina. Un observador destaca que todas las partes deben asumir sus responsabilidades internacionales, incluida la responsabilidad de proteger la infraestructura civil crítica y garantizar la continuidad de los servicios vitales.</w:t>
      </w:r>
    </w:p>
    <w:p w14:paraId="509A8702" w14:textId="77777777" w:rsidR="00A13CB0" w:rsidRPr="00991CFC" w:rsidRDefault="00A13CB0" w:rsidP="001C54B7">
      <w:pPr>
        <w:jc w:val="both"/>
        <w:rPr>
          <w:rFonts w:cs="Calibri"/>
          <w:lang w:val="es-ES"/>
        </w:rPr>
      </w:pPr>
      <w:r>
        <w:rPr>
          <w:lang w:val="es-ES"/>
        </w:rPr>
        <w:t>1.10</w:t>
      </w:r>
      <w:r>
        <w:rPr>
          <w:lang w:val="es-ES"/>
        </w:rPr>
        <w:tab/>
        <w:t>El consejero de Estados Unidos dice que su país seguirá buscando cambios tangibles mediante intercambios de expertos no políticos para promover la conectividad y las oportunidades digitales.</w:t>
      </w:r>
    </w:p>
    <w:p w14:paraId="533A3529" w14:textId="77777777" w:rsidR="00A13CB0" w:rsidRPr="00991CFC" w:rsidRDefault="00A13CB0" w:rsidP="001C54B7">
      <w:pPr>
        <w:jc w:val="both"/>
        <w:rPr>
          <w:rFonts w:cs="Calibri"/>
          <w:lang w:val="es-ES"/>
        </w:rPr>
      </w:pPr>
      <w:r>
        <w:rPr>
          <w:lang w:val="es-ES"/>
        </w:rPr>
        <w:t>1.11</w:t>
      </w:r>
      <w:r>
        <w:rPr>
          <w:lang w:val="es-ES"/>
        </w:rPr>
        <w:tab/>
        <w:t>Dos consejeros piden a la Secretaría que mantenga este punto en el orden del día del Consejo en futuras reuniones.</w:t>
      </w:r>
    </w:p>
    <w:p w14:paraId="7B165323" w14:textId="77777777" w:rsidR="00A13CB0" w:rsidRPr="00991CFC" w:rsidRDefault="00A13CB0" w:rsidP="001C54B7">
      <w:pPr>
        <w:jc w:val="both"/>
        <w:rPr>
          <w:rFonts w:cs="Calibri"/>
          <w:lang w:val="es-ES"/>
        </w:rPr>
      </w:pPr>
      <w:r>
        <w:rPr>
          <w:lang w:val="es-ES"/>
        </w:rPr>
        <w:t>1.12</w:t>
      </w:r>
      <w:r>
        <w:rPr>
          <w:lang w:val="es-ES"/>
        </w:rPr>
        <w:tab/>
        <w:t>El observador de Israel dice que se han hecho varias declaraciones políticas que presentan una visión desequilibrada de las complejidades regionales y distraen del mandato profesional y técnico de la UIT. El representante de la Autoridad Palestina ha optado por hablar en nombre de la organización terrorista Hamás, que ejerce el control sobre la población y la infraestructura de Gaza e impide la aplicación de la resolución 2803 (2025) del Consejo de Seguridad. Cualquier inquietud relativa a las operaciones civiles y logísticas en Gaza debe dirigirse a la Junta de Paz establecida en virtud de esa resolución.</w:t>
      </w:r>
    </w:p>
    <w:p w14:paraId="22805F7A" w14:textId="6DE5B743" w:rsidR="00A13CB0" w:rsidRPr="00CB2E06" w:rsidRDefault="00A13CB0" w:rsidP="001C54B7">
      <w:pPr>
        <w:jc w:val="both"/>
        <w:rPr>
          <w:spacing w:val="-2"/>
          <w:lang w:val="es-ES"/>
        </w:rPr>
      </w:pPr>
      <w:r w:rsidRPr="00CB2E06">
        <w:rPr>
          <w:spacing w:val="-2"/>
          <w:lang w:val="es-ES"/>
        </w:rPr>
        <w:t>1.13</w:t>
      </w:r>
      <w:r w:rsidRPr="00CB2E06">
        <w:rPr>
          <w:spacing w:val="-2"/>
          <w:lang w:val="es-ES"/>
        </w:rPr>
        <w:tab/>
        <w:t>El observador del Estado de Palestina, haciendo uso del derecho de réplica concedido en virtud de la Resolución 99 (Rev. Dubái, 2018) de la Conferencia de Plenipotenciarios, dice que las delegaciones habían estado debatiendo, de manera totalmente apolítica, la mejor manera de colaborar para aliviar la catastrófica situación humanitaria en los territorios palestinos ocupados. Las acusaciones formuladas contra el representante que habló en nombre del Estado de Palestina son absurdas. Se pregunta si el observador de Israel piensa que, en ese caso, todos los palestinos son terroristas. No hay que olvidar los efectos de las múltiples guerras genocidas contra el pueblo palestino</w:t>
      </w:r>
      <w:r w:rsidR="00194ACD" w:rsidRPr="00CB2E06">
        <w:rPr>
          <w:spacing w:val="-2"/>
          <w:lang w:val="es-ES"/>
        </w:rPr>
        <w:t>.</w:t>
      </w:r>
      <w:r w:rsidRPr="00CB2E06">
        <w:rPr>
          <w:spacing w:val="-2"/>
          <w:lang w:val="es-ES"/>
        </w:rPr>
        <w:t xml:space="preserve"> La comunidad internacional debe asumir su responsabilidad ética y moral de restablecer los servicios básicos de telecomunicaciones.</w:t>
      </w:r>
    </w:p>
    <w:p w14:paraId="31DB853E" w14:textId="77777777" w:rsidR="00A13CB0" w:rsidRPr="00991CFC" w:rsidRDefault="00A13CB0" w:rsidP="001C54B7">
      <w:pPr>
        <w:jc w:val="both"/>
        <w:rPr>
          <w:rFonts w:cs="Calibri"/>
          <w:lang w:val="es-ES"/>
        </w:rPr>
      </w:pPr>
      <w:r>
        <w:rPr>
          <w:lang w:val="es-ES"/>
        </w:rPr>
        <w:t>1.14</w:t>
      </w:r>
      <w:r>
        <w:rPr>
          <w:lang w:val="es-ES"/>
        </w:rPr>
        <w:tab/>
        <w:t>El consejero de Estados Unidos plantea una cuestión de orden y declara que la intervención del observador del Estado de Palestina excede el ámbito del derecho de réplica en virtud de la Resolución 99 (Rev. Dubái, 2018) de la Conferencia de Plenipotenciarios y constituye una segunda intervención sobre el tema.</w:t>
      </w:r>
    </w:p>
    <w:p w14:paraId="4D935EA9" w14:textId="442708B3" w:rsidR="00A13CB0" w:rsidRPr="00022184" w:rsidRDefault="00A13CB0" w:rsidP="001C54B7">
      <w:pPr>
        <w:jc w:val="both"/>
        <w:rPr>
          <w:rFonts w:cs="Calibri"/>
          <w:lang w:val="es-ES"/>
        </w:rPr>
      </w:pPr>
      <w:r>
        <w:rPr>
          <w:lang w:val="es-ES"/>
        </w:rPr>
        <w:t>1.15</w:t>
      </w:r>
      <w:r>
        <w:rPr>
          <w:lang w:val="es-ES"/>
        </w:rPr>
        <w:tab/>
        <w:t>El Director de la Oficina Regional para los Estados Árabes dice que los expertos de la</w:t>
      </w:r>
      <w:r w:rsidR="00194ACD">
        <w:rPr>
          <w:lang w:val="es-ES"/>
        </w:rPr>
        <w:t> </w:t>
      </w:r>
      <w:r>
        <w:rPr>
          <w:lang w:val="es-ES"/>
        </w:rPr>
        <w:t>UIT están elaborando un plan de aplicación en estrecha colaboración con la Autoridad Palestina. El plan se modificará de nuevo a la luz de la evaluación técnica de la magnitud de los daños. La Secretaría acoge con beneplácito la invitación para visitar Palestina y tomará las disposiciones necesarias a su debido tiempo.</w:t>
      </w:r>
    </w:p>
    <w:p w14:paraId="29A349A5" w14:textId="77777777" w:rsidR="00A13CB0" w:rsidRPr="00022184" w:rsidRDefault="00A13CB0" w:rsidP="00A13CB0">
      <w:pPr>
        <w:pStyle w:val="Heading1"/>
        <w:rPr>
          <w:lang w:val="es-ES"/>
        </w:rPr>
      </w:pPr>
      <w:r>
        <w:rPr>
          <w:lang w:val="es-ES"/>
        </w:rPr>
        <w:lastRenderedPageBreak/>
        <w:t>2</w:t>
      </w:r>
      <w:r>
        <w:rPr>
          <w:lang w:val="es-ES"/>
        </w:rPr>
        <w:tab/>
        <w:t xml:space="preserve">Información actualizada sobre la aplicación de la Resolución 1408 del Consejo de la UIT (C22, modificada por última vez C23) sobre asistencia y ayuda a Ucrania para la reconstrucción de su sector de telecomunicaciones (Documento </w:t>
      </w:r>
      <w:hyperlink r:id="rId12" w:history="1">
        <w:proofErr w:type="spellStart"/>
        <w:r w:rsidRPr="0048772A">
          <w:rPr>
            <w:rStyle w:val="Hyperlink"/>
            <w:lang w:val="es-ES"/>
          </w:rPr>
          <w:t>C26</w:t>
        </w:r>
        <w:proofErr w:type="spellEnd"/>
        <w:r w:rsidRPr="0048772A">
          <w:rPr>
            <w:rStyle w:val="Hyperlink"/>
            <w:lang w:val="es-ES"/>
          </w:rPr>
          <w:t>/68</w:t>
        </w:r>
      </w:hyperlink>
      <w:r>
        <w:rPr>
          <w:lang w:val="es-ES"/>
        </w:rPr>
        <w:t>)</w:t>
      </w:r>
      <w:hyperlink r:id="rId13" w:history="1"/>
    </w:p>
    <w:p w14:paraId="784D0705" w14:textId="77777777" w:rsidR="00A13CB0" w:rsidRPr="00991CFC" w:rsidRDefault="00A13CB0" w:rsidP="001C54B7">
      <w:pPr>
        <w:jc w:val="both"/>
        <w:rPr>
          <w:lang w:val="es-ES"/>
        </w:rPr>
      </w:pPr>
      <w:r>
        <w:rPr>
          <w:lang w:val="es-ES"/>
        </w:rPr>
        <w:t>2.1</w:t>
      </w:r>
      <w:r>
        <w:rPr>
          <w:lang w:val="es-ES"/>
        </w:rPr>
        <w:tab/>
        <w:t>El Jefe de la Oficina de la UIT para Europa presenta el Documento C26/68, en el que se resumen las medidas adoptadas por la UIT desde la reunión de 2025 del Consejo en materia de asistencia y ayuda a Ucrania para la reconstrucción de su sector de telecomunicaciones, en respuesta a la Resolución 1408 (C22, modificada por última vez C23), prestando especial atención a la supervisión y la presentación de informes, los mecanismos de coordinación, la asistencia técnica, la movilización de recursos y las actividades de capacitación. Se agradecería la participación y el apoyo de la comunidad internacional en los proyectos prioritarios identificados. Espera con interés la Conferencia sobre la Recuperación de Ucrania que se celebrará en junio de 2026 y agradece a todas las partes interesadas que han proporcionado medios financieros o apoyo en especie.</w:t>
      </w:r>
    </w:p>
    <w:p w14:paraId="3E1340FB" w14:textId="26A80835" w:rsidR="00A13CB0" w:rsidRPr="002515CF" w:rsidRDefault="00A13CB0" w:rsidP="001C54B7">
      <w:pPr>
        <w:jc w:val="both"/>
        <w:rPr>
          <w:lang w:val="es-ES"/>
        </w:rPr>
      </w:pPr>
      <w:r>
        <w:rPr>
          <w:lang w:val="es-ES"/>
        </w:rPr>
        <w:t>2.2</w:t>
      </w:r>
      <w:r>
        <w:rPr>
          <w:lang w:val="es-ES"/>
        </w:rPr>
        <w:tab/>
        <w:t xml:space="preserve">El observador de Ucrania, hablando en nombre de 43 países, pronuncia la declaración que puede consultarse en: </w:t>
      </w:r>
      <w:hyperlink r:id="rId14" w:history="1">
        <w:proofErr w:type="spellStart"/>
        <w:r w:rsidRPr="00D1473C">
          <w:rPr>
            <w:rStyle w:val="Hyperlink"/>
            <w:lang w:val="es-ES"/>
          </w:rPr>
          <w:t>council.itu.int</w:t>
        </w:r>
        <w:proofErr w:type="spellEnd"/>
        <w:r w:rsidRPr="00D1473C">
          <w:rPr>
            <w:rStyle w:val="Hyperlink"/>
            <w:lang w:val="es-ES"/>
          </w:rPr>
          <w:t>/2026/</w:t>
        </w:r>
        <w:proofErr w:type="spellStart"/>
        <w:r w:rsidRPr="00D1473C">
          <w:rPr>
            <w:rStyle w:val="Hyperlink"/>
            <w:lang w:val="es-ES"/>
          </w:rPr>
          <w:t>wp-content</w:t>
        </w:r>
        <w:proofErr w:type="spellEnd"/>
        <w:r w:rsidRPr="00D1473C">
          <w:rPr>
            <w:rStyle w:val="Hyperlink"/>
            <w:lang w:val="es-ES"/>
          </w:rPr>
          <w:t>/</w:t>
        </w:r>
        <w:proofErr w:type="spellStart"/>
        <w:r w:rsidRPr="00D1473C">
          <w:rPr>
            <w:rStyle w:val="Hyperlink"/>
            <w:lang w:val="es-ES"/>
          </w:rPr>
          <w:t>uploads</w:t>
        </w:r>
        <w:proofErr w:type="spellEnd"/>
        <w:r w:rsidRPr="00D1473C">
          <w:rPr>
            <w:rStyle w:val="Hyperlink"/>
            <w:lang w:val="es-ES"/>
          </w:rPr>
          <w:t>/sites/6/2026/06/</w:t>
        </w:r>
        <w:r w:rsidR="001C54B7">
          <w:rPr>
            <w:rStyle w:val="Hyperlink"/>
            <w:lang w:val="es-ES"/>
          </w:rPr>
          <w:br/>
        </w:r>
        <w:r w:rsidRPr="00D1473C">
          <w:rPr>
            <w:rStyle w:val="Hyperlink"/>
            <w:lang w:val="es-ES"/>
          </w:rPr>
          <w:t>26.05.07-</w:t>
        </w:r>
        <w:proofErr w:type="spellStart"/>
        <w:r w:rsidRPr="00D1473C">
          <w:rPr>
            <w:rStyle w:val="Hyperlink"/>
            <w:lang w:val="es-ES"/>
          </w:rPr>
          <w:t>Ukraine_43</w:t>
        </w:r>
        <w:proofErr w:type="spellEnd"/>
        <w:r w:rsidRPr="00D1473C">
          <w:rPr>
            <w:rStyle w:val="Hyperlink"/>
            <w:lang w:val="es-ES"/>
          </w:rPr>
          <w:t>-Joint-</w:t>
        </w:r>
        <w:proofErr w:type="spellStart"/>
        <w:r w:rsidRPr="00D1473C">
          <w:rPr>
            <w:rStyle w:val="Hyperlink"/>
            <w:lang w:val="es-ES"/>
          </w:rPr>
          <w:t>Stateme</w:t>
        </w:r>
        <w:r w:rsidRPr="00D1473C">
          <w:rPr>
            <w:rStyle w:val="Hyperlink"/>
            <w:lang w:val="es-ES"/>
          </w:rPr>
          <w:t>n</w:t>
        </w:r>
        <w:r w:rsidRPr="00D1473C">
          <w:rPr>
            <w:rStyle w:val="Hyperlink"/>
            <w:lang w:val="es-ES"/>
          </w:rPr>
          <w:t>t</w:t>
        </w:r>
        <w:proofErr w:type="spellEnd"/>
        <w:r w:rsidRPr="00D1473C">
          <w:rPr>
            <w:rStyle w:val="Hyperlink"/>
            <w:lang w:val="es-ES"/>
          </w:rPr>
          <w:t>-</w:t>
        </w:r>
        <w:proofErr w:type="spellStart"/>
        <w:r w:rsidRPr="00D1473C">
          <w:rPr>
            <w:rStyle w:val="Hyperlink"/>
            <w:lang w:val="es-ES"/>
          </w:rPr>
          <w:t>PL7.pdf</w:t>
        </w:r>
        <w:proofErr w:type="spellEnd"/>
      </w:hyperlink>
      <w:r w:rsidRPr="00D1473C">
        <w:rPr>
          <w:lang w:val="es-ES"/>
        </w:rPr>
        <w:t>.</w:t>
      </w:r>
      <w:hyperlink r:id="rId15" w:history="1"/>
    </w:p>
    <w:p w14:paraId="03B0A1E6" w14:textId="77777777" w:rsidR="00A13CB0" w:rsidRPr="00022184" w:rsidRDefault="00A13CB0" w:rsidP="001C54B7">
      <w:pPr>
        <w:jc w:val="both"/>
        <w:rPr>
          <w:lang w:val="es-ES"/>
        </w:rPr>
      </w:pPr>
      <w:r>
        <w:rPr>
          <w:lang w:val="es-ES"/>
        </w:rPr>
        <w:t>2.3</w:t>
      </w:r>
      <w:r>
        <w:rPr>
          <w:lang w:val="es-ES"/>
        </w:rPr>
        <w:tab/>
        <w:t xml:space="preserve">El consejero de Brasil pronuncia la declaración que puede consultarse en: </w:t>
      </w:r>
      <w:hyperlink r:id="rId16" w:history="1">
        <w:r w:rsidRPr="00A279F9">
          <w:rPr>
            <w:rStyle w:val="Hyperlink"/>
            <w:lang w:val="es-ES"/>
          </w:rPr>
          <w:t>council.itu.int/2026/wp-content/up</w:t>
        </w:r>
        <w:r w:rsidRPr="00A279F9">
          <w:rPr>
            <w:rStyle w:val="Hyperlink"/>
            <w:lang w:val="es-ES"/>
          </w:rPr>
          <w:t>l</w:t>
        </w:r>
        <w:r w:rsidRPr="00A279F9">
          <w:rPr>
            <w:rStyle w:val="Hyperlink"/>
            <w:lang w:val="es-ES"/>
          </w:rPr>
          <w:t>oads/sites/6/2026/06/26.05.07-Brazil-statement-on-Ukraine-PL7.pdf</w:t>
        </w:r>
      </w:hyperlink>
      <w:hyperlink r:id="rId17" w:history="1"/>
    </w:p>
    <w:p w14:paraId="2A3F9753" w14:textId="36F2D6A3" w:rsidR="00A13CB0" w:rsidRPr="00022184" w:rsidRDefault="00A13CB0" w:rsidP="001C54B7">
      <w:pPr>
        <w:jc w:val="both"/>
        <w:rPr>
          <w:lang w:val="es-ES"/>
        </w:rPr>
      </w:pPr>
      <w:r>
        <w:rPr>
          <w:lang w:val="es-ES"/>
        </w:rPr>
        <w:t>2.4</w:t>
      </w:r>
      <w:r>
        <w:rPr>
          <w:lang w:val="es-ES"/>
        </w:rPr>
        <w:tab/>
        <w:t xml:space="preserve">El consejero de Italia, hablando en nombre de los países de la Unión Europea, pronuncia la declaración que figura en: </w:t>
      </w:r>
      <w:hyperlink r:id="rId18" w:history="1">
        <w:proofErr w:type="spellStart"/>
        <w:r w:rsidRPr="007F1819">
          <w:rPr>
            <w:rStyle w:val="Hyperlink"/>
            <w:lang w:val="es-ES"/>
          </w:rPr>
          <w:t>council.itu.int</w:t>
        </w:r>
        <w:proofErr w:type="spellEnd"/>
        <w:r w:rsidRPr="007F1819">
          <w:rPr>
            <w:rStyle w:val="Hyperlink"/>
            <w:lang w:val="es-ES"/>
          </w:rPr>
          <w:t>/2026/</w:t>
        </w:r>
        <w:proofErr w:type="spellStart"/>
        <w:r w:rsidRPr="007F1819">
          <w:rPr>
            <w:rStyle w:val="Hyperlink"/>
            <w:lang w:val="es-ES"/>
          </w:rPr>
          <w:t>wp-content</w:t>
        </w:r>
        <w:proofErr w:type="spellEnd"/>
        <w:r w:rsidRPr="007F1819">
          <w:rPr>
            <w:rStyle w:val="Hyperlink"/>
            <w:lang w:val="es-ES"/>
          </w:rPr>
          <w:t>/</w:t>
        </w:r>
        <w:proofErr w:type="spellStart"/>
        <w:r w:rsidRPr="007F1819">
          <w:rPr>
            <w:rStyle w:val="Hyperlink"/>
            <w:lang w:val="es-ES"/>
          </w:rPr>
          <w:t>uploads</w:t>
        </w:r>
        <w:proofErr w:type="spellEnd"/>
        <w:r w:rsidRPr="007F1819">
          <w:rPr>
            <w:rStyle w:val="Hyperlink"/>
            <w:lang w:val="es-ES"/>
          </w:rPr>
          <w:t>/sites/6/2026/06/</w:t>
        </w:r>
        <w:r w:rsidR="001C54B7">
          <w:rPr>
            <w:rStyle w:val="Hyperlink"/>
            <w:lang w:val="es-ES"/>
          </w:rPr>
          <w:br/>
        </w:r>
        <w:r w:rsidRPr="007F1819">
          <w:rPr>
            <w:rStyle w:val="Hyperlink"/>
            <w:lang w:val="es-ES"/>
          </w:rPr>
          <w:t>26.05.07-</w:t>
        </w:r>
        <w:proofErr w:type="spellStart"/>
        <w:r w:rsidRPr="007F1819">
          <w:rPr>
            <w:rStyle w:val="Hyperlink"/>
            <w:lang w:val="es-ES"/>
          </w:rPr>
          <w:t>Italy_EU</w:t>
        </w:r>
        <w:proofErr w:type="spellEnd"/>
        <w:r w:rsidRPr="007F1819">
          <w:rPr>
            <w:rStyle w:val="Hyperlink"/>
            <w:lang w:val="es-ES"/>
          </w:rPr>
          <w:t>-</w:t>
        </w:r>
        <w:proofErr w:type="spellStart"/>
        <w:r w:rsidRPr="007F1819">
          <w:rPr>
            <w:rStyle w:val="Hyperlink"/>
            <w:lang w:val="es-ES"/>
          </w:rPr>
          <w:t>statement-on-U</w:t>
        </w:r>
        <w:r w:rsidRPr="007F1819">
          <w:rPr>
            <w:rStyle w:val="Hyperlink"/>
            <w:lang w:val="es-ES"/>
          </w:rPr>
          <w:t>k</w:t>
        </w:r>
        <w:r w:rsidRPr="007F1819">
          <w:rPr>
            <w:rStyle w:val="Hyperlink"/>
            <w:lang w:val="es-ES"/>
          </w:rPr>
          <w:t>raine-PL7.pdf</w:t>
        </w:r>
        <w:proofErr w:type="spellEnd"/>
      </w:hyperlink>
      <w:r w:rsidRPr="007F1819">
        <w:rPr>
          <w:lang w:val="es-ES"/>
        </w:rPr>
        <w:t>.</w:t>
      </w:r>
      <w:hyperlink r:id="rId19" w:history="1"/>
    </w:p>
    <w:p w14:paraId="649D096A" w14:textId="77777777" w:rsidR="00A13CB0" w:rsidRPr="00CB2E06" w:rsidRDefault="00A13CB0" w:rsidP="00CB2E06">
      <w:pPr>
        <w:jc w:val="both"/>
        <w:rPr>
          <w:lang w:val="es-ES"/>
        </w:rPr>
      </w:pPr>
      <w:r w:rsidRPr="00CB2E06">
        <w:rPr>
          <w:lang w:val="es-ES"/>
        </w:rPr>
        <w:t>2.5</w:t>
      </w:r>
      <w:r w:rsidRPr="00CB2E06">
        <w:rPr>
          <w:lang w:val="es-ES"/>
        </w:rPr>
        <w:tab/>
        <w:t>Varios consejeros condenan en los términos más enérgicos posibles la agresión no provocada contra Ucrania por parte de la Federación de Rusia, que viola el derecho internacional y la Carta de las Naciones Unidas. Hacen un llamamiento a la Federación de Rusia para que cesen inmediatamente sus ataques, incluidos aquellos contra las infraestructuras civiles y de telecomunicaciones, y expresan su apoyo inquebrantable a una paz justa, amplia y duradera que respetara la soberanía, la integridad territorial, la seguridad e independencia a largo plazo de Ucrania. Elogian la importante función de la UIT a la hora de documentar los daños sufridos por el sector de las telecomunicaciones de Ucrania y de aumentar su resiliencia y capacidad, así como su activa cooperación con el Gobierno de Ucrania. Un consejero insiste en que la asistencia de la UIT a todos los Estados Miembros afectados por conflictos debe ser imparcial, inclusiva y proporcional, y estar orientada por el mandato de la Unión como organización técnica.</w:t>
      </w:r>
    </w:p>
    <w:p w14:paraId="777F2589" w14:textId="521FB6B2" w:rsidR="00A13CB0" w:rsidRPr="00022184" w:rsidRDefault="00A13CB0" w:rsidP="001C54B7">
      <w:pPr>
        <w:jc w:val="both"/>
        <w:rPr>
          <w:lang w:val="es-ES"/>
        </w:rPr>
      </w:pPr>
      <w:r>
        <w:rPr>
          <w:lang w:val="es-ES"/>
        </w:rPr>
        <w:t>2.6</w:t>
      </w:r>
      <w:r>
        <w:rPr>
          <w:lang w:val="es-ES"/>
        </w:rPr>
        <w:tab/>
        <w:t xml:space="preserve">El observador de la Federación de Rusia formula la declaración que puede consultarse en </w:t>
      </w:r>
      <w:hyperlink r:id="rId20" w:history="1">
        <w:r w:rsidRPr="00AD7508">
          <w:rPr>
            <w:rStyle w:val="Hyperlink"/>
            <w:rFonts w:eastAsia="Times New Roman" w:cs="Times New Roman"/>
            <w:szCs w:val="20"/>
            <w:lang w:val="es-ES"/>
          </w:rPr>
          <w:t>council.itu.int/2026/wp-content/uploads/sites/6/2026/06/26.05.07-E-Russian-Federation-statement-C26_68</w:t>
        </w:r>
        <w:r w:rsidRPr="00AD7508">
          <w:rPr>
            <w:rStyle w:val="Hyperlink"/>
            <w:rFonts w:eastAsia="Times New Roman" w:cs="Times New Roman"/>
            <w:szCs w:val="20"/>
            <w:lang w:val="es-ES"/>
          </w:rPr>
          <w:t>-</w:t>
        </w:r>
        <w:r w:rsidRPr="00AD7508">
          <w:rPr>
            <w:rStyle w:val="Hyperlink"/>
            <w:rFonts w:eastAsia="Times New Roman" w:cs="Times New Roman"/>
            <w:szCs w:val="20"/>
            <w:lang w:val="es-ES"/>
          </w:rPr>
          <w:t>PL7.pdf</w:t>
        </w:r>
      </w:hyperlink>
      <w:r>
        <w:rPr>
          <w:lang w:val="es-ES"/>
        </w:rPr>
        <w:t>.</w:t>
      </w:r>
      <w:hyperlink r:id="rId21" w:history="1"/>
    </w:p>
    <w:p w14:paraId="63CFE68A" w14:textId="77777777" w:rsidR="00A13CB0" w:rsidRPr="00991CFC" w:rsidRDefault="00A13CB0" w:rsidP="001C54B7">
      <w:pPr>
        <w:jc w:val="both"/>
        <w:rPr>
          <w:lang w:val="es-ES"/>
        </w:rPr>
      </w:pPr>
      <w:r>
        <w:rPr>
          <w:lang w:val="es-ES"/>
        </w:rPr>
        <w:t>2.7</w:t>
      </w:r>
      <w:r>
        <w:rPr>
          <w:lang w:val="es-ES"/>
        </w:rPr>
        <w:tab/>
        <w:t xml:space="preserve">El observador de Ucrania, tras pedir la palabra en ejercicio de derecho de réplica, dice que los efectos perjudiciales a los que se ha referido el orador anterior cesarán una vez que la Federación de Rusia ponga fin a su agresión contra Ucrania. También señala que los referendos celebrados por la Federación de Rusia son ilegales y que el territorio de Ucrania se basa en sus fronteras internacionalmente reconocidas. Su país no está politizando la cuestión; </w:t>
      </w:r>
      <w:r>
        <w:rPr>
          <w:lang w:val="es-ES"/>
        </w:rPr>
        <w:lastRenderedPageBreak/>
        <w:t>la Federación de Rusia está influyendo directamente en la situación al atacar la infraestructura de comunicaciones de Ucrania.</w:t>
      </w:r>
    </w:p>
    <w:p w14:paraId="39CC1A05" w14:textId="06EE2028" w:rsidR="00A13CB0" w:rsidRPr="00991CFC" w:rsidRDefault="00A13CB0" w:rsidP="001C54B7">
      <w:pPr>
        <w:jc w:val="both"/>
        <w:rPr>
          <w:lang w:val="es-ES"/>
        </w:rPr>
      </w:pPr>
      <w:r>
        <w:rPr>
          <w:lang w:val="es-ES"/>
        </w:rPr>
        <w:t>2.8</w:t>
      </w:r>
      <w:r>
        <w:rPr>
          <w:lang w:val="es-ES"/>
        </w:rPr>
        <w:tab/>
        <w:t>Un representante de la Unidad de Asuntos Jurídicos, en respuesta a una cuestión de orden planteada por un observador, dice que el Reglamento Interno del Consejo no prevé específicamente el derecho de réplica de los Estados Miembros observadores, y que el Artículo</w:t>
      </w:r>
      <w:r w:rsidR="00AD7508">
        <w:rPr>
          <w:lang w:val="es-ES"/>
        </w:rPr>
        <w:t> </w:t>
      </w:r>
      <w:r>
        <w:rPr>
          <w:lang w:val="es-ES"/>
        </w:rPr>
        <w:t xml:space="preserve">7.3 establece un marco exhaustivo y limitado para la participación de los Estados Miembros observadores. Del mismo modo, los Estados Miembros observadores no pueden plantear cuestiones de orden en el Consejo, ya que ese derecho no está específicamente previsto en el Reglamento Interno. </w:t>
      </w:r>
    </w:p>
    <w:p w14:paraId="660EFC25" w14:textId="77777777" w:rsidR="00A13CB0" w:rsidRPr="00991CFC" w:rsidRDefault="00A13CB0" w:rsidP="001C54B7">
      <w:pPr>
        <w:jc w:val="both"/>
        <w:rPr>
          <w:lang w:val="es-ES"/>
        </w:rPr>
      </w:pPr>
      <w:r>
        <w:rPr>
          <w:lang w:val="es-ES"/>
        </w:rPr>
        <w:t>2.9</w:t>
      </w:r>
      <w:r>
        <w:rPr>
          <w:lang w:val="es-ES"/>
        </w:rPr>
        <w:tab/>
        <w:t>El Presidente menciona que las intervenciones deberían quedar reflejadas en el resumen de los debates de la reunión.</w:t>
      </w:r>
    </w:p>
    <w:p w14:paraId="67EBF879" w14:textId="77777777" w:rsidR="00A13CB0" w:rsidRPr="00991CFC" w:rsidRDefault="00A13CB0" w:rsidP="001C54B7">
      <w:pPr>
        <w:jc w:val="both"/>
        <w:rPr>
          <w:lang w:val="es-ES"/>
        </w:rPr>
      </w:pPr>
      <w:r>
        <w:rPr>
          <w:lang w:val="es-ES"/>
        </w:rPr>
        <w:t>2.10</w:t>
      </w:r>
      <w:r>
        <w:rPr>
          <w:lang w:val="es-ES"/>
        </w:rPr>
        <w:tab/>
        <w:t xml:space="preserve">El Consejo </w:t>
      </w:r>
      <w:r>
        <w:rPr>
          <w:b/>
          <w:bCs/>
          <w:lang w:val="es-ES"/>
        </w:rPr>
        <w:t>toma nota</w:t>
      </w:r>
      <w:r>
        <w:rPr>
          <w:lang w:val="es-ES"/>
        </w:rPr>
        <w:t xml:space="preserve"> del Documento C26/68.</w:t>
      </w:r>
    </w:p>
    <w:p w14:paraId="62A81C69" w14:textId="77777777" w:rsidR="00A13CB0" w:rsidRPr="00991CFC" w:rsidRDefault="00A13CB0" w:rsidP="00A13CB0">
      <w:pPr>
        <w:pStyle w:val="Heading1"/>
        <w:rPr>
          <w:lang w:val="es-ES"/>
        </w:rPr>
      </w:pPr>
      <w:r>
        <w:rPr>
          <w:lang w:val="es-ES"/>
        </w:rPr>
        <w:t>3</w:t>
      </w:r>
      <w:r>
        <w:rPr>
          <w:lang w:val="es-ES"/>
        </w:rPr>
        <w:tab/>
      </w:r>
      <w:r>
        <w:rPr>
          <w:bCs/>
          <w:lang w:val="es-ES"/>
        </w:rPr>
        <w:t>Actividades para garantizar las telecomunicaciones humanitarias en los conflictos y las catástrofes</w:t>
      </w:r>
      <w:r>
        <w:rPr>
          <w:lang w:val="es-ES"/>
        </w:rPr>
        <w:t xml:space="preserve"> (Documento </w:t>
      </w:r>
      <w:proofErr w:type="spellStart"/>
      <w:r>
        <w:fldChar w:fldCharType="begin"/>
      </w:r>
      <w:r>
        <w:instrText>HYPERLINK "https://www.itu.int/md/S26-CL-C-0064/es"</w:instrText>
      </w:r>
      <w:r>
        <w:fldChar w:fldCharType="separate"/>
      </w:r>
      <w:r w:rsidRPr="000B5F2F">
        <w:rPr>
          <w:rStyle w:val="Hyperlink"/>
          <w:lang w:val="es-ES"/>
        </w:rPr>
        <w:t>C26</w:t>
      </w:r>
      <w:proofErr w:type="spellEnd"/>
      <w:r w:rsidRPr="000B5F2F">
        <w:rPr>
          <w:rStyle w:val="Hyperlink"/>
          <w:lang w:val="es-ES"/>
        </w:rPr>
        <w:t>/64</w:t>
      </w:r>
      <w:r>
        <w:fldChar w:fldCharType="end"/>
      </w:r>
      <w:r>
        <w:rPr>
          <w:lang w:val="es-ES"/>
        </w:rPr>
        <w:t>)</w:t>
      </w:r>
    </w:p>
    <w:p w14:paraId="6656DBE8" w14:textId="7AE845B1" w:rsidR="00A13CB0" w:rsidRPr="00CB2E06" w:rsidRDefault="00A13CB0" w:rsidP="001C54B7">
      <w:pPr>
        <w:jc w:val="both"/>
        <w:rPr>
          <w:spacing w:val="-2"/>
          <w:lang w:val="es-ES"/>
        </w:rPr>
      </w:pPr>
      <w:r w:rsidRPr="00CB2E06">
        <w:rPr>
          <w:spacing w:val="-2"/>
          <w:lang w:val="es-ES"/>
        </w:rPr>
        <w:t>3.1</w:t>
      </w:r>
      <w:r w:rsidRPr="00CB2E06">
        <w:rPr>
          <w:spacing w:val="-2"/>
          <w:lang w:val="es-ES"/>
        </w:rPr>
        <w:tab/>
        <w:t>La Jefa del Departamento de Planificación Estratégica y Relaciones con los Miembros presenta el Documento</w:t>
      </w:r>
      <w:r w:rsidR="00853CDD" w:rsidRPr="00CB2E06">
        <w:rPr>
          <w:spacing w:val="-2"/>
          <w:lang w:val="es-ES"/>
        </w:rPr>
        <w:t> </w:t>
      </w:r>
      <w:r w:rsidRPr="00CB2E06">
        <w:rPr>
          <w:spacing w:val="-2"/>
          <w:lang w:val="es-ES"/>
        </w:rPr>
        <w:t>C26/64, en el que se describen los esfuerzos de la UIT para salvaguardar y facilitar las redes y los servicios públicos de telecomunicaciones desde la adopción de una declaración de los Estados Miembros de la UIT en la Conferencia Mundial de Desarrollo de las Telecomunicaciones de 2025 (CMDT-25) sobre el reconocimiento de la importancia de las redes y servicios públicos de telecomunicaciones para la salvaguardia y facilitación de los servicios humanitarios esenciales durante los conflictos armados</w:t>
      </w:r>
      <w:r w:rsidR="00853CDD" w:rsidRPr="00CB2E06">
        <w:rPr>
          <w:spacing w:val="-2"/>
          <w:lang w:val="es-ES"/>
        </w:rPr>
        <w:t xml:space="preserve"> y</w:t>
      </w:r>
      <w:r w:rsidRPr="00CB2E06">
        <w:rPr>
          <w:spacing w:val="-2"/>
          <w:lang w:val="es-ES"/>
        </w:rPr>
        <w:t xml:space="preserve"> catástrofes.</w:t>
      </w:r>
    </w:p>
    <w:p w14:paraId="2D3F4579" w14:textId="3FDC327A" w:rsidR="00A13CB0" w:rsidRPr="00991CFC" w:rsidRDefault="00A13CB0" w:rsidP="001C54B7">
      <w:pPr>
        <w:jc w:val="both"/>
        <w:rPr>
          <w:lang w:val="es-ES"/>
        </w:rPr>
      </w:pPr>
      <w:r>
        <w:rPr>
          <w:lang w:val="es-ES"/>
        </w:rPr>
        <w:t>3.2</w:t>
      </w:r>
      <w:r>
        <w:rPr>
          <w:lang w:val="es-ES"/>
        </w:rPr>
        <w:tab/>
        <w:t>Los consejeros y observadores acogen con beneplácito el reconocimiento del papel fundamental de las redes y servicios de telecomunicaciones para salvar vidas, apoyar la respuesta de emergencia y mantener la continuidad de las comunicaciones durante los conflictos armados y las catástrofes. El acceso a las telecomunicaciones de emergencia no debe ser un privilegio, y es preciso esforzarse por garantizar que la arquitectura jurídica existente se aplica plenamente para dar soporte a sistemas de comunicaciones resistentes, en particular para los más vulnerables. Se valora positivamente el fortalecimiento de la colaboración de la UIT en todo el sistema de las Naciones Unidas y su apoyo en la elaboración de planes nacionales de telecomunicaciones de emergencia, la creación de resistencia y la facilitación del acceso a las telecomunicaciones con fines humanitarios. El intercambio de prácticas idóneas es esencial para mejorar los protocolos nacionales de comunicaciones de emergencia, la respuesta y la coordinación.</w:t>
      </w:r>
    </w:p>
    <w:p w14:paraId="6F5905E6" w14:textId="7D893920" w:rsidR="00A13CB0" w:rsidRPr="00022184" w:rsidRDefault="00A13CB0" w:rsidP="001C54B7">
      <w:pPr>
        <w:jc w:val="both"/>
        <w:rPr>
          <w:lang w:val="es-ES"/>
        </w:rPr>
      </w:pPr>
      <w:r>
        <w:rPr>
          <w:lang w:val="es-ES"/>
        </w:rPr>
        <w:t>3.3</w:t>
      </w:r>
      <w:r>
        <w:rPr>
          <w:lang w:val="es-ES"/>
        </w:rPr>
        <w:tab/>
        <w:t xml:space="preserve">Otros consejeros coinciden en que, si bien las cuestiones examinadas revisten una importancia considerable, son sumamente complejas e incluyen consideraciones jurídicas, humanitarias, técnicas y operacionales. Aunque la UIT tiene una importante función que desempeñar en el marco de su mandato y competencia, no es el foro adecuado para examinar cuestiones relativas al derecho internacional humanitario, los conflictos armados o la protección de civiles. Se lograrían progresos significativos mediante la participación de una amplia gama de partes interesadas con funciones claramente definidas, la coordinación en todo el sistema de las Naciones Unidas y fuera de él, y la movilización de los marcos y asociaciones existentes. Un observador señala que algunos de los conceptos de la declaración </w:t>
      </w:r>
      <w:r>
        <w:rPr>
          <w:lang w:val="es-ES"/>
        </w:rPr>
        <w:lastRenderedPageBreak/>
        <w:t>adoptada en la CMDT-25 trascienden el mandato de la UIT; ciertas instrucciones al Secretario General son problemáticas y pueden dar lugar a divisiones.</w:t>
      </w:r>
    </w:p>
    <w:p w14:paraId="45444BAE" w14:textId="47262703" w:rsidR="00A13CB0" w:rsidRPr="00991CFC" w:rsidRDefault="00A13CB0" w:rsidP="001C54B7">
      <w:pPr>
        <w:jc w:val="both"/>
        <w:rPr>
          <w:lang w:val="es-ES"/>
        </w:rPr>
      </w:pPr>
      <w:r>
        <w:rPr>
          <w:lang w:val="es-ES"/>
        </w:rPr>
        <w:t>3.4</w:t>
      </w:r>
      <w:r>
        <w:rPr>
          <w:lang w:val="es-ES"/>
        </w:rPr>
        <w:tab/>
        <w:t>El consejero de Estados Unidos pronuncia la declaración que puede consultarse en</w:t>
      </w:r>
      <w:r w:rsidR="006B0F75">
        <w:rPr>
          <w:lang w:val="es-ES"/>
        </w:rPr>
        <w:t>:</w:t>
      </w:r>
      <w:r>
        <w:rPr>
          <w:lang w:val="es-ES"/>
        </w:rPr>
        <w:t xml:space="preserve"> </w:t>
      </w:r>
      <w:hyperlink r:id="rId22" w:history="1">
        <w:r w:rsidR="006A6AC9" w:rsidRPr="001836F7">
          <w:rPr>
            <w:rStyle w:val="Hyperlink"/>
            <w:rFonts w:eastAsia="Times New Roman" w:cs="Times New Roman"/>
            <w:szCs w:val="20"/>
            <w:lang w:val="es-ES"/>
          </w:rPr>
          <w:t>council.itu.int/2026/wp-content/uploads/s</w:t>
        </w:r>
        <w:r w:rsidR="006A6AC9" w:rsidRPr="001836F7">
          <w:rPr>
            <w:rStyle w:val="Hyperlink"/>
            <w:rFonts w:eastAsia="Times New Roman" w:cs="Times New Roman"/>
            <w:szCs w:val="20"/>
            <w:lang w:val="es-ES"/>
          </w:rPr>
          <w:t>i</w:t>
        </w:r>
        <w:r w:rsidR="006A6AC9" w:rsidRPr="001836F7">
          <w:rPr>
            <w:rStyle w:val="Hyperlink"/>
            <w:rFonts w:eastAsia="Times New Roman" w:cs="Times New Roman"/>
            <w:szCs w:val="20"/>
            <w:lang w:val="es-ES"/>
          </w:rPr>
          <w:t>tes/6/2026/06/26.05.07-USA-PL7.pdf</w:t>
        </w:r>
      </w:hyperlink>
      <w:r>
        <w:rPr>
          <w:lang w:val="es-ES"/>
        </w:rPr>
        <w:t>.</w:t>
      </w:r>
    </w:p>
    <w:p w14:paraId="68182741" w14:textId="79958DD5" w:rsidR="00A13CB0" w:rsidRPr="00991CFC" w:rsidRDefault="00A13CB0" w:rsidP="001C54B7">
      <w:pPr>
        <w:jc w:val="both"/>
        <w:rPr>
          <w:lang w:val="es-ES"/>
        </w:rPr>
      </w:pPr>
      <w:r>
        <w:rPr>
          <w:lang w:val="es-ES"/>
        </w:rPr>
        <w:t>3.5</w:t>
      </w:r>
      <w:r>
        <w:rPr>
          <w:lang w:val="es-ES"/>
        </w:rPr>
        <w:tab/>
        <w:t>Un observador destaca que los esfuerzos para salvaguardar la infraestructura de telecomunicaciones durante los conflictos armados y las catástrofes deben realizarse respetando plenamente la integridad territorial y la soberanía nacional de los Estados Miembros. Solicita a la UIT asistencia técnica para la reconstrucción de la infraestructura de TIC de su país, destruida en los recientes ataques. Otro observador dice que los servicios de telecomunicaciones deben considerarse servicios protegidos. Deben armonizarse los planes de emergencia nacionales y regionales y las telecomunicaciones deben formar parte de los servicios de alerta temprana.</w:t>
      </w:r>
      <w:bookmarkStart w:id="1" w:name="OLE_LINK1"/>
      <w:bookmarkEnd w:id="1"/>
    </w:p>
    <w:p w14:paraId="01A6C8AD" w14:textId="77777777" w:rsidR="00A13CB0" w:rsidRPr="00022184" w:rsidRDefault="00A13CB0" w:rsidP="001C54B7">
      <w:pPr>
        <w:jc w:val="both"/>
        <w:rPr>
          <w:lang w:val="es-ES"/>
        </w:rPr>
      </w:pPr>
      <w:r>
        <w:rPr>
          <w:lang w:val="es-ES"/>
        </w:rPr>
        <w:t>3.6</w:t>
      </w:r>
      <w:r>
        <w:rPr>
          <w:lang w:val="es-ES"/>
        </w:rPr>
        <w:tab/>
        <w:t xml:space="preserve">El Consejo </w:t>
      </w:r>
      <w:r>
        <w:rPr>
          <w:b/>
          <w:bCs/>
          <w:lang w:val="es-ES"/>
        </w:rPr>
        <w:t xml:space="preserve">toma nota </w:t>
      </w:r>
      <w:r>
        <w:rPr>
          <w:lang w:val="es-ES"/>
        </w:rPr>
        <w:t xml:space="preserve">del Documento C26/64 y </w:t>
      </w:r>
      <w:r>
        <w:rPr>
          <w:b/>
          <w:bCs/>
          <w:lang w:val="es-ES"/>
        </w:rPr>
        <w:t xml:space="preserve">pide </w:t>
      </w:r>
      <w:r>
        <w:rPr>
          <w:lang w:val="es-ES"/>
        </w:rPr>
        <w:t>a la Secretaría que tenga en cuenta las observaciones formuladas al respecto al preparar el informe a la Conferencia de Plenipotenciarios de 2026 (PP-26).</w:t>
      </w:r>
    </w:p>
    <w:p w14:paraId="766D4313" w14:textId="67362281" w:rsidR="00A13CB0" w:rsidRPr="00991CFC" w:rsidRDefault="00A13CB0" w:rsidP="00A13CB0">
      <w:pPr>
        <w:pStyle w:val="Heading1"/>
        <w:rPr>
          <w:lang w:val="es-ES"/>
        </w:rPr>
      </w:pPr>
      <w:r>
        <w:rPr>
          <w:lang w:val="es-ES"/>
        </w:rPr>
        <w:t>4</w:t>
      </w:r>
      <w:r>
        <w:rPr>
          <w:lang w:val="es-ES"/>
        </w:rPr>
        <w:tab/>
      </w:r>
      <w:r>
        <w:rPr>
          <w:bCs/>
          <w:lang w:val="es-ES"/>
        </w:rPr>
        <w:t>Informe del Presidente del Grupo de Trabajo del Consejo sobre los Planes Estratégico y Financiero para 2028-2031, incluido el proyecto de Plan Estratégico para 2028-2031 (</w:t>
      </w:r>
      <w:r w:rsidRPr="006B0F75">
        <w:rPr>
          <w:bCs/>
          <w:i/>
          <w:iCs/>
          <w:lang w:val="es-ES"/>
        </w:rPr>
        <w:t>continuación</w:t>
      </w:r>
      <w:r>
        <w:rPr>
          <w:bCs/>
          <w:lang w:val="es-ES"/>
        </w:rPr>
        <w:t xml:space="preserve">) </w:t>
      </w:r>
      <w:r w:rsidR="001C54B7">
        <w:rPr>
          <w:bCs/>
          <w:lang w:val="es-ES"/>
        </w:rPr>
        <w:t>(</w:t>
      </w:r>
      <w:r w:rsidR="001C54B7" w:rsidRPr="001C54B7">
        <w:rPr>
          <w:bCs/>
          <w:lang w:val="es-ES"/>
        </w:rPr>
        <w:t>Documentos </w:t>
      </w:r>
      <w:proofErr w:type="spellStart"/>
      <w:r>
        <w:fldChar w:fldCharType="begin"/>
      </w:r>
      <w:r w:rsidRPr="001C54B7">
        <w:rPr>
          <w:lang w:val="es-ES"/>
        </w:rPr>
        <w:instrText>HYPERLINK "https://www.itu.int/md/S26-CL-C-0031/es"</w:instrText>
      </w:r>
      <w:r>
        <w:fldChar w:fldCharType="separate"/>
      </w:r>
      <w:r>
        <w:rPr>
          <w:rStyle w:val="Hyperlink"/>
          <w:bCs/>
          <w:lang w:val="es-ES"/>
        </w:rPr>
        <w:t>C26</w:t>
      </w:r>
      <w:proofErr w:type="spellEnd"/>
      <w:r>
        <w:rPr>
          <w:rStyle w:val="Hyperlink"/>
          <w:bCs/>
          <w:lang w:val="es-ES"/>
        </w:rPr>
        <w:t>/</w:t>
      </w:r>
      <w:proofErr w:type="spellStart"/>
      <w:r>
        <w:rPr>
          <w:rStyle w:val="Hyperlink"/>
          <w:bCs/>
          <w:lang w:val="es-ES"/>
        </w:rPr>
        <w:t>31+Add.1</w:t>
      </w:r>
      <w:proofErr w:type="spellEnd"/>
      <w:r>
        <w:rPr>
          <w:rStyle w:val="Hyperlink"/>
          <w:bCs/>
          <w:lang w:val="es-ES"/>
        </w:rPr>
        <w:t xml:space="preserve"> y 2</w:t>
      </w:r>
      <w:r>
        <w:fldChar w:fldCharType="end"/>
      </w:r>
      <w:r>
        <w:rPr>
          <w:bCs/>
          <w:lang w:val="es-ES"/>
        </w:rPr>
        <w:t xml:space="preserve"> y </w:t>
      </w:r>
      <w:hyperlink r:id="rId23" w:history="1">
        <w:proofErr w:type="spellStart"/>
        <w:r w:rsidRPr="00037BEC">
          <w:rPr>
            <w:rStyle w:val="Hyperlink"/>
            <w:bCs/>
            <w:lang w:val="es-ES"/>
          </w:rPr>
          <w:t>C26</w:t>
        </w:r>
        <w:proofErr w:type="spellEnd"/>
        <w:r w:rsidRPr="00037BEC">
          <w:rPr>
            <w:rStyle w:val="Hyperlink"/>
            <w:bCs/>
            <w:lang w:val="es-ES"/>
          </w:rPr>
          <w:t>/83</w:t>
        </w:r>
      </w:hyperlink>
      <w:r>
        <w:rPr>
          <w:bCs/>
          <w:lang w:val="es-ES"/>
        </w:rPr>
        <w:t>)</w:t>
      </w:r>
    </w:p>
    <w:p w14:paraId="58B332E1" w14:textId="358BD066" w:rsidR="00A13CB0" w:rsidRPr="00991CFC" w:rsidRDefault="00A13CB0" w:rsidP="001C54B7">
      <w:pPr>
        <w:jc w:val="both"/>
        <w:rPr>
          <w:lang w:val="es-ES"/>
        </w:rPr>
      </w:pPr>
      <w:r>
        <w:rPr>
          <w:lang w:val="es-ES"/>
        </w:rPr>
        <w:t>4.1</w:t>
      </w:r>
      <w:r>
        <w:rPr>
          <w:lang w:val="es-ES"/>
        </w:rPr>
        <w:tab/>
        <w:t>El Presidente del Grupo de Trabajo del Consejo sobre los Planes Estratégico y Financiero para 2028</w:t>
      </w:r>
      <w:r w:rsidR="006B0F75">
        <w:rPr>
          <w:lang w:val="es-ES"/>
        </w:rPr>
        <w:noBreakHyphen/>
      </w:r>
      <w:r>
        <w:rPr>
          <w:lang w:val="es-ES"/>
        </w:rPr>
        <w:t>2031 (GTC</w:t>
      </w:r>
      <w:r w:rsidR="006B0F75">
        <w:rPr>
          <w:lang w:val="es-ES"/>
        </w:rPr>
        <w:noBreakHyphen/>
      </w:r>
      <w:r>
        <w:rPr>
          <w:lang w:val="es-ES"/>
        </w:rPr>
        <w:t>PEF) dice que, tras unas consultas informales, se han resuelto algunas cuestiones del proyecto de Plan Estratégico, que figuran en el proyecto de Anexo</w:t>
      </w:r>
      <w:r w:rsidR="006B0F75">
        <w:rPr>
          <w:lang w:val="es-ES"/>
        </w:rPr>
        <w:t> </w:t>
      </w:r>
      <w:r>
        <w:rPr>
          <w:lang w:val="es-ES"/>
        </w:rPr>
        <w:t>1 para la propuesta de revisión de la Resolución 71 (Rev. Bucarest, 2022). La Secretaría General y las Oficinas trabajarán conjuntamente, en el per</w:t>
      </w:r>
      <w:r w:rsidR="006B0F75">
        <w:rPr>
          <w:lang w:val="es-ES"/>
        </w:rPr>
        <w:t>i</w:t>
      </w:r>
      <w:r>
        <w:rPr>
          <w:lang w:val="es-ES"/>
        </w:rPr>
        <w:t>odo previo a la PP</w:t>
      </w:r>
      <w:r w:rsidR="006B0F75">
        <w:rPr>
          <w:lang w:val="es-ES"/>
        </w:rPr>
        <w:noBreakHyphen/>
      </w:r>
      <w:r>
        <w:rPr>
          <w:lang w:val="es-ES"/>
        </w:rPr>
        <w:t>26, para seguir mejorando el texto de las metas 1.5, 1.6 y 1.7. Dice que seguirá colaborando con los grupos regionales con miras a acelerar los debates de la Conferencia.</w:t>
      </w:r>
    </w:p>
    <w:p w14:paraId="6DB3B43B" w14:textId="1257290F" w:rsidR="00A13CB0" w:rsidRPr="00991CFC" w:rsidRDefault="00A13CB0" w:rsidP="001C54B7">
      <w:pPr>
        <w:jc w:val="both"/>
        <w:rPr>
          <w:lang w:val="es-ES"/>
        </w:rPr>
      </w:pPr>
      <w:r>
        <w:rPr>
          <w:lang w:val="es-ES"/>
        </w:rPr>
        <w:t>4.2</w:t>
      </w:r>
      <w:r>
        <w:rPr>
          <w:lang w:val="es-ES"/>
        </w:rPr>
        <w:tab/>
        <w:t>Los consejeros se muestran de acuerdo con el enfoque propuesto. El proyecto de Plan Estratégico, en su forma actual, proporciona una base sólida para los debates en la PP</w:t>
      </w:r>
      <w:r w:rsidR="006B0F75">
        <w:rPr>
          <w:lang w:val="es-ES"/>
        </w:rPr>
        <w:noBreakHyphen/>
      </w:r>
      <w:r>
        <w:rPr>
          <w:lang w:val="es-ES"/>
        </w:rPr>
        <w:t>26.</w:t>
      </w:r>
    </w:p>
    <w:p w14:paraId="22163B1D" w14:textId="3940C568" w:rsidR="00A13CB0" w:rsidRPr="00991CFC" w:rsidRDefault="00A13CB0" w:rsidP="001C54B7">
      <w:pPr>
        <w:jc w:val="both"/>
        <w:rPr>
          <w:lang w:val="es-ES"/>
        </w:rPr>
      </w:pPr>
      <w:r>
        <w:rPr>
          <w:lang w:val="es-ES"/>
        </w:rPr>
        <w:t>4.3</w:t>
      </w:r>
      <w:r>
        <w:rPr>
          <w:lang w:val="es-ES"/>
        </w:rPr>
        <w:tab/>
        <w:t>De conformidad con las recomendaciones formuladas por los Presidentes del GTC</w:t>
      </w:r>
      <w:r w:rsidR="006B0F75">
        <w:rPr>
          <w:lang w:val="es-ES"/>
        </w:rPr>
        <w:noBreakHyphen/>
      </w:r>
      <w:r>
        <w:rPr>
          <w:lang w:val="es-ES"/>
        </w:rPr>
        <w:t>PEF y del Grupo de Trabajo del Consejo sobre Recursos Humanos y Financieros (GTC</w:t>
      </w:r>
      <w:r w:rsidR="006B0F75">
        <w:rPr>
          <w:lang w:val="es-ES"/>
        </w:rPr>
        <w:noBreakHyphen/>
      </w:r>
      <w:r>
        <w:rPr>
          <w:lang w:val="es-ES"/>
        </w:rPr>
        <w:t xml:space="preserve">RHF) en el Documento C26/112, dos consejeros solicitan a la Secretaría que organice una sesión informativa </w:t>
      </w:r>
      <w:r w:rsidRPr="00CA5A90">
        <w:rPr>
          <w:i/>
          <w:iCs/>
          <w:lang w:val="es-ES"/>
        </w:rPr>
        <w:t>ad hoc</w:t>
      </w:r>
      <w:r>
        <w:rPr>
          <w:lang w:val="es-ES"/>
        </w:rPr>
        <w:t xml:space="preserve"> para los Estados Miembros. Además, el Plan Financiero debe incluir importes monetarios detallados para los gastos de cada Oficina y de la Secretaría General, así como una explicación detallada del proceso presupuestario, según lo recomendado por los presidentes de los Grupos de Trabajo y por el Comité Asesor Independiente sobre la Gestión.</w:t>
      </w:r>
    </w:p>
    <w:p w14:paraId="49E68ECB" w14:textId="77777777" w:rsidR="00A13CB0" w:rsidRPr="00991CFC" w:rsidRDefault="00A13CB0" w:rsidP="001C54B7">
      <w:pPr>
        <w:jc w:val="both"/>
        <w:rPr>
          <w:lang w:val="es-ES"/>
        </w:rPr>
      </w:pPr>
      <w:r>
        <w:rPr>
          <w:lang w:val="es-ES"/>
        </w:rPr>
        <w:t>4.4</w:t>
      </w:r>
      <w:r>
        <w:rPr>
          <w:lang w:val="es-ES"/>
        </w:rPr>
        <w:tab/>
        <w:t>Un consejero destaca la importancia de utilizar indicadores específicos, medibles y pertinentes, así como de garantizar la coordinación entre los Planes Estratégico, Financiero y Operacional. Otro consejero destaca la importancia de la planificación estratégica y financiera, como se desprende del nivel de compromiso para los debates sobre este punto.</w:t>
      </w:r>
    </w:p>
    <w:p w14:paraId="2D00D19F" w14:textId="77777777" w:rsidR="00A13CB0" w:rsidRPr="00991CFC" w:rsidRDefault="00A13CB0" w:rsidP="001C54B7">
      <w:pPr>
        <w:jc w:val="both"/>
        <w:rPr>
          <w:lang w:val="es-ES"/>
        </w:rPr>
      </w:pPr>
      <w:r>
        <w:rPr>
          <w:lang w:val="es-ES"/>
        </w:rPr>
        <w:t>4.5</w:t>
      </w:r>
      <w:r>
        <w:rPr>
          <w:lang w:val="es-ES"/>
        </w:rPr>
        <w:tab/>
        <w:t>Los consejeros declaran que esperan poder participar en debates adicionales sobre el proyecto de Plan Estratégico en la PP-26.</w:t>
      </w:r>
    </w:p>
    <w:p w14:paraId="13768C5E" w14:textId="09826EC1" w:rsidR="00A13CB0" w:rsidRPr="00991CFC" w:rsidRDefault="00A13CB0" w:rsidP="001C54B7">
      <w:pPr>
        <w:jc w:val="both"/>
        <w:rPr>
          <w:lang w:val="es-ES"/>
        </w:rPr>
      </w:pPr>
      <w:r>
        <w:rPr>
          <w:lang w:val="es-ES"/>
        </w:rPr>
        <w:lastRenderedPageBreak/>
        <w:t>4.6</w:t>
      </w:r>
      <w:r>
        <w:rPr>
          <w:lang w:val="es-ES"/>
        </w:rPr>
        <w:tab/>
        <w:t>El Presidente del GTC-PEF, en respuesta a los comentarios de los consejeros, dice que el Apéndice</w:t>
      </w:r>
      <w:r w:rsidR="006B0F75">
        <w:rPr>
          <w:lang w:val="es-ES"/>
        </w:rPr>
        <w:t> </w:t>
      </w:r>
      <w:r>
        <w:rPr>
          <w:lang w:val="es-ES"/>
        </w:rPr>
        <w:t>B del proyecto de Anexo</w:t>
      </w:r>
      <w:r w:rsidR="006B0F75">
        <w:rPr>
          <w:lang w:val="es-ES"/>
        </w:rPr>
        <w:t> </w:t>
      </w:r>
      <w:r>
        <w:rPr>
          <w:lang w:val="es-ES"/>
        </w:rPr>
        <w:t>1, que contiene un cuadro sobre la asignación de recursos, se actualizará una vez aprobado el proyecto de Plan Financiero para 2028</w:t>
      </w:r>
      <w:r w:rsidR="006B0F75">
        <w:rPr>
          <w:lang w:val="es-ES"/>
        </w:rPr>
        <w:noBreakHyphen/>
      </w:r>
      <w:r>
        <w:rPr>
          <w:lang w:val="es-ES"/>
        </w:rPr>
        <w:t>2031. La Secretaría finalizará el cuadro en estrecha colaboración con los Estados Miembros en una sesión de consulta.</w:t>
      </w:r>
    </w:p>
    <w:p w14:paraId="45F3B030" w14:textId="755E83C5" w:rsidR="00A13CB0" w:rsidRPr="00991CFC" w:rsidRDefault="00A13CB0" w:rsidP="001C54B7">
      <w:pPr>
        <w:jc w:val="both"/>
        <w:rPr>
          <w:lang w:val="es-ES"/>
        </w:rPr>
      </w:pPr>
      <w:r>
        <w:rPr>
          <w:lang w:val="es-ES"/>
        </w:rPr>
        <w:t>4.7</w:t>
      </w:r>
      <w:r>
        <w:rPr>
          <w:lang w:val="es-ES"/>
        </w:rPr>
        <w:tab/>
        <w:t>El Consejo</w:t>
      </w:r>
      <w:r>
        <w:rPr>
          <w:b/>
          <w:bCs/>
          <w:lang w:val="es-ES"/>
        </w:rPr>
        <w:t xml:space="preserve"> toma nota </w:t>
      </w:r>
      <w:r>
        <w:rPr>
          <w:lang w:val="es-ES"/>
        </w:rPr>
        <w:t xml:space="preserve">del Documento C26/31 y sus Addenda; </w:t>
      </w:r>
      <w:r w:rsidRPr="00BC0424">
        <w:rPr>
          <w:b/>
          <w:bCs/>
          <w:lang w:val="es-ES"/>
        </w:rPr>
        <w:t>aprueba</w:t>
      </w:r>
      <w:r>
        <w:rPr>
          <w:lang w:val="es-ES"/>
        </w:rPr>
        <w:t xml:space="preserve"> el proyecto de Anexo</w:t>
      </w:r>
      <w:r w:rsidR="006B0F75">
        <w:rPr>
          <w:lang w:val="es-ES"/>
        </w:rPr>
        <w:t> </w:t>
      </w:r>
      <w:r>
        <w:rPr>
          <w:lang w:val="es-ES"/>
        </w:rPr>
        <w:t>1, que contiene el proyecto de Plan Estratégico para 2028</w:t>
      </w:r>
      <w:r w:rsidR="006B0F75">
        <w:rPr>
          <w:lang w:val="es-ES"/>
        </w:rPr>
        <w:noBreakHyphen/>
      </w:r>
      <w:r>
        <w:rPr>
          <w:lang w:val="es-ES"/>
        </w:rPr>
        <w:t>2031, así como los proyectos de Anexo</w:t>
      </w:r>
      <w:r w:rsidR="006B0F75">
        <w:rPr>
          <w:lang w:val="es-ES"/>
        </w:rPr>
        <w:t> </w:t>
      </w:r>
      <w:r>
        <w:rPr>
          <w:lang w:val="es-ES"/>
        </w:rPr>
        <w:t xml:space="preserve">2 y 3, para su transmisión a la Conferencia de Plenipotenciarios, junto con la propuesta de revisión de la Resolución 71 (Rev. Bucarest, 2022); y </w:t>
      </w:r>
      <w:r w:rsidRPr="00BC0424">
        <w:rPr>
          <w:b/>
          <w:bCs/>
          <w:lang w:val="es-ES"/>
        </w:rPr>
        <w:t>encarga</w:t>
      </w:r>
      <w:r>
        <w:rPr>
          <w:lang w:val="es-ES"/>
        </w:rPr>
        <w:t xml:space="preserve"> a la Secretaria General que organizara una sesión informativa sobre el proyecto de Plan Financiero para 2028</w:t>
      </w:r>
      <w:r w:rsidR="006B0F75">
        <w:rPr>
          <w:lang w:val="es-ES"/>
        </w:rPr>
        <w:noBreakHyphen/>
      </w:r>
      <w:r>
        <w:rPr>
          <w:lang w:val="es-ES"/>
        </w:rPr>
        <w:t>2031 antes de la PP</w:t>
      </w:r>
      <w:r w:rsidR="006B0F75">
        <w:rPr>
          <w:lang w:val="es-ES"/>
        </w:rPr>
        <w:noBreakHyphen/>
      </w:r>
      <w:r>
        <w:rPr>
          <w:lang w:val="es-ES"/>
        </w:rPr>
        <w:t>26.</w:t>
      </w:r>
    </w:p>
    <w:p w14:paraId="30BB0A90" w14:textId="77777777" w:rsidR="00A13CB0" w:rsidRPr="00991CFC" w:rsidRDefault="00A13CB0" w:rsidP="00A13CB0">
      <w:pPr>
        <w:pStyle w:val="Heading1"/>
        <w:rPr>
          <w:lang w:val="es-ES"/>
        </w:rPr>
      </w:pPr>
      <w:r>
        <w:rPr>
          <w:lang w:val="es-ES"/>
        </w:rPr>
        <w:t>5</w:t>
      </w:r>
      <w:r>
        <w:rPr>
          <w:lang w:val="es-ES"/>
        </w:rPr>
        <w:tab/>
        <w:t>Declaración del Director General de la Organización de las Naciones Unidas para la Educación, la Ciencia y la Cultura</w:t>
      </w:r>
    </w:p>
    <w:p w14:paraId="12910A16" w14:textId="45F2228A" w:rsidR="00A13CB0" w:rsidRPr="00CB2E06" w:rsidRDefault="00A13CB0" w:rsidP="001C54B7">
      <w:pPr>
        <w:jc w:val="both"/>
        <w:rPr>
          <w:rFonts w:cs="Calibri"/>
          <w:spacing w:val="-3"/>
          <w:lang w:val="es-ES"/>
        </w:rPr>
      </w:pPr>
      <w:r w:rsidRPr="00CB2E06">
        <w:rPr>
          <w:spacing w:val="-3"/>
          <w:lang w:val="es-ES"/>
        </w:rPr>
        <w:t>5.1</w:t>
      </w:r>
      <w:r w:rsidRPr="00CB2E06">
        <w:rPr>
          <w:spacing w:val="-3"/>
          <w:lang w:val="es-ES"/>
        </w:rPr>
        <w:tab/>
        <w:t xml:space="preserve">El Director General de la Organización de las Naciones Unidas para la Educación, la Ciencia y la Cultura (UNESCO), Sr. Khaled El-Enany, pronuncia el discurso que puede consultarse en: </w:t>
      </w:r>
      <w:hyperlink r:id="rId24" w:history="1">
        <w:r w:rsidRPr="00CB2E06">
          <w:rPr>
            <w:rStyle w:val="Hyperlink"/>
            <w:spacing w:val="-3"/>
            <w:lang w:val="es-ES"/>
          </w:rPr>
          <w:t>council.itu.int/2026/wp-content/uploads/sites/6/2026/06/26.05.07-UNESCO-DG-speech-P</w:t>
        </w:r>
        <w:r w:rsidRPr="00CB2E06">
          <w:rPr>
            <w:rStyle w:val="Hyperlink"/>
            <w:spacing w:val="-3"/>
            <w:lang w:val="es-ES"/>
          </w:rPr>
          <w:t>L</w:t>
        </w:r>
        <w:r w:rsidRPr="00CB2E06">
          <w:rPr>
            <w:rStyle w:val="Hyperlink"/>
            <w:spacing w:val="-3"/>
            <w:lang w:val="es-ES"/>
          </w:rPr>
          <w:t>7.pdf.</w:t>
        </w:r>
      </w:hyperlink>
      <w:hyperlink r:id="rId25" w:history="1"/>
    </w:p>
    <w:p w14:paraId="613CA450" w14:textId="7B536E21" w:rsidR="00A13CB0" w:rsidRPr="00991CFC" w:rsidRDefault="00A13CB0" w:rsidP="001C54B7">
      <w:pPr>
        <w:jc w:val="both"/>
        <w:rPr>
          <w:rFonts w:cs="Calibri"/>
          <w:lang w:val="es-ES"/>
        </w:rPr>
      </w:pPr>
      <w:r>
        <w:rPr>
          <w:lang w:val="es-ES"/>
        </w:rPr>
        <w:t>5.2</w:t>
      </w:r>
      <w:r>
        <w:rPr>
          <w:lang w:val="es-ES"/>
        </w:rPr>
        <w:tab/>
        <w:t>Los consejeros expresan su firme apoyo a la colaboración continua entre la UNESCO y la UIT, dada la gran complementariedad de sus mandatos en diversos ámbitos. Se aprecia especialmente el liderazgo de la UNESCO en la creación de capacidades y el desarrollo ético de la inteligencia artificial (IA), y su participación en el proceso de examen de los 20</w:t>
      </w:r>
      <w:r w:rsidR="006B0F75">
        <w:rPr>
          <w:lang w:val="es-ES"/>
        </w:rPr>
        <w:t> </w:t>
      </w:r>
      <w:r>
        <w:rPr>
          <w:lang w:val="es-ES"/>
        </w:rPr>
        <w:t>años de la Cumbre Mundial sobre la Sociedad de la Información.</w:t>
      </w:r>
    </w:p>
    <w:p w14:paraId="6E788559" w14:textId="161795C3" w:rsidR="00A13CB0" w:rsidRPr="00991CFC" w:rsidRDefault="00A13CB0" w:rsidP="00A13CB0">
      <w:pPr>
        <w:pStyle w:val="Heading1"/>
        <w:rPr>
          <w:lang w:val="es-ES"/>
        </w:rPr>
      </w:pPr>
      <w:r>
        <w:rPr>
          <w:lang w:val="es-ES"/>
        </w:rPr>
        <w:t>6</w:t>
      </w:r>
      <w:r>
        <w:rPr>
          <w:lang w:val="es-ES"/>
        </w:rPr>
        <w:tab/>
      </w:r>
      <w:r>
        <w:rPr>
          <w:bCs/>
          <w:lang w:val="es-ES"/>
        </w:rPr>
        <w:t>Proyecto de Plan Operacional cuatrienal renovable de la Unión para 2027</w:t>
      </w:r>
      <w:r w:rsidR="006B0F75">
        <w:rPr>
          <w:bCs/>
          <w:lang w:val="es-ES"/>
        </w:rPr>
        <w:noBreakHyphen/>
      </w:r>
      <w:r>
        <w:rPr>
          <w:bCs/>
          <w:lang w:val="es-ES"/>
        </w:rPr>
        <w:t>2030 (</w:t>
      </w:r>
      <w:r w:rsidRPr="006B0F75">
        <w:rPr>
          <w:bCs/>
          <w:i/>
          <w:iCs/>
          <w:lang w:val="es-ES"/>
        </w:rPr>
        <w:t>continuación</w:t>
      </w:r>
      <w:r>
        <w:rPr>
          <w:bCs/>
          <w:lang w:val="es-ES"/>
        </w:rPr>
        <w:t xml:space="preserve">) (Documento </w:t>
      </w:r>
      <w:hyperlink r:id="rId26" w:history="1">
        <w:proofErr w:type="spellStart"/>
        <w:r w:rsidRPr="00D036BC">
          <w:rPr>
            <w:rStyle w:val="Hyperlink"/>
            <w:bCs/>
            <w:lang w:val="es-ES"/>
          </w:rPr>
          <w:t>C26</w:t>
        </w:r>
        <w:proofErr w:type="spellEnd"/>
        <w:r w:rsidRPr="00D036BC">
          <w:rPr>
            <w:rStyle w:val="Hyperlink"/>
            <w:bCs/>
            <w:lang w:val="es-ES"/>
          </w:rPr>
          <w:t>/28(</w:t>
        </w:r>
        <w:proofErr w:type="spellStart"/>
        <w:r w:rsidRPr="00D036BC">
          <w:rPr>
            <w:rStyle w:val="Hyperlink"/>
            <w:bCs/>
            <w:lang w:val="es-ES"/>
          </w:rPr>
          <w:t>Rev.1</w:t>
        </w:r>
        <w:proofErr w:type="spellEnd"/>
        <w:r w:rsidRPr="00D036BC">
          <w:rPr>
            <w:rStyle w:val="Hyperlink"/>
            <w:bCs/>
            <w:lang w:val="es-ES"/>
          </w:rPr>
          <w:t>)</w:t>
        </w:r>
      </w:hyperlink>
      <w:r>
        <w:rPr>
          <w:bCs/>
          <w:lang w:val="es-ES"/>
        </w:rPr>
        <w:t>)</w:t>
      </w:r>
    </w:p>
    <w:p w14:paraId="20A0A3F1" w14:textId="7F684AA8" w:rsidR="00A13CB0" w:rsidRPr="00991CFC" w:rsidRDefault="00A13CB0" w:rsidP="001C54B7">
      <w:pPr>
        <w:jc w:val="both"/>
        <w:rPr>
          <w:lang w:val="es-ES"/>
        </w:rPr>
      </w:pPr>
      <w:r>
        <w:rPr>
          <w:lang w:val="es-ES"/>
        </w:rPr>
        <w:t>6.1</w:t>
      </w:r>
      <w:r>
        <w:rPr>
          <w:lang w:val="es-ES"/>
        </w:rPr>
        <w:tab/>
        <w:t>El Jefe del Departamento de Gestión de Recursos Financieros presenta el Documento</w:t>
      </w:r>
      <w:r w:rsidR="006B0F75">
        <w:rPr>
          <w:lang w:val="es-ES"/>
        </w:rPr>
        <w:t> </w:t>
      </w:r>
      <w:r>
        <w:rPr>
          <w:lang w:val="es-ES"/>
        </w:rPr>
        <w:t>C26/28(Rev.1), que se ha modificado a la luz de los debates celebrados anteriormente en la sesión. Dado que la UIT aún no ha aprobado los Planes Estratégico y Financiero para 2028</w:t>
      </w:r>
      <w:r w:rsidR="006B0F75">
        <w:rPr>
          <w:lang w:val="es-ES"/>
        </w:rPr>
        <w:noBreakHyphen/>
      </w:r>
      <w:r>
        <w:rPr>
          <w:lang w:val="es-ES"/>
        </w:rPr>
        <w:t>2031, con arreglo a los cuales se elaborarán los Planes Operacionales para 2028</w:t>
      </w:r>
      <w:r w:rsidR="006B0F75">
        <w:rPr>
          <w:lang w:val="es-ES"/>
        </w:rPr>
        <w:noBreakHyphen/>
      </w:r>
      <w:r>
        <w:rPr>
          <w:lang w:val="es-ES"/>
        </w:rPr>
        <w:t>2030, el informe se centra ahora en el proyecto de Plan Operacional para el año</w:t>
      </w:r>
      <w:r w:rsidR="006B0F75">
        <w:rPr>
          <w:lang w:val="es-ES"/>
        </w:rPr>
        <w:t> </w:t>
      </w:r>
      <w:r>
        <w:rPr>
          <w:lang w:val="es-ES"/>
        </w:rPr>
        <w:t>2027 y proporciona información sobre las cinco prioridades temáticas y los 43</w:t>
      </w:r>
      <w:r w:rsidR="006B0F75">
        <w:rPr>
          <w:lang w:val="es-ES"/>
        </w:rPr>
        <w:t> </w:t>
      </w:r>
      <w:r>
        <w:rPr>
          <w:lang w:val="es-ES"/>
        </w:rPr>
        <w:t>productos identificados en el Plan Estratégico para 2024</w:t>
      </w:r>
      <w:r w:rsidR="006B0F75">
        <w:rPr>
          <w:lang w:val="es-ES"/>
        </w:rPr>
        <w:noBreakHyphen/>
      </w:r>
      <w:r>
        <w:rPr>
          <w:lang w:val="es-ES"/>
        </w:rPr>
        <w:t>2027. En el Anexo al documento figura un proyecto de Resolución sobre el Plan Operacional de la Unión para 2027.</w:t>
      </w:r>
    </w:p>
    <w:p w14:paraId="4DBE0AB9" w14:textId="410AEBCF" w:rsidR="00A13CB0" w:rsidRPr="00991CFC" w:rsidRDefault="00A13CB0" w:rsidP="001C54B7">
      <w:pPr>
        <w:jc w:val="both"/>
        <w:rPr>
          <w:lang w:val="es-ES"/>
        </w:rPr>
      </w:pPr>
      <w:r>
        <w:rPr>
          <w:lang w:val="es-ES"/>
        </w:rPr>
        <w:t>6.2</w:t>
      </w:r>
      <w:r>
        <w:rPr>
          <w:lang w:val="es-ES"/>
        </w:rPr>
        <w:tab/>
        <w:t>Los consejeros acogen con beneplácito la armonización del proyecto de Plan Operacional para 2027 con los Planes Estratégico y Financiero para 2024</w:t>
      </w:r>
      <w:r w:rsidR="006B0F75">
        <w:rPr>
          <w:lang w:val="es-ES"/>
        </w:rPr>
        <w:noBreakHyphen/>
      </w:r>
      <w:r>
        <w:rPr>
          <w:lang w:val="es-ES"/>
        </w:rPr>
        <w:t xml:space="preserve">2027. Se agradecería que se facilitara más información sobre la manera en que la asignación de recursos se traduciría en un efecto mensurable en el desarrollo de los Estados Miembros. Debe mantenerse un equilibrio adecuado entre el apoyo administrativo y la ejecución de programas, especialmente en el UIT-D, y la movilización de recursos extrapresupuestarios debe mantenerse en consonancia con las prioridades de los Estados Miembros y ser equitativa en todas las regiones. Se debe seguir reforzando la rendición de cuentas y la supervisión de la aplicación. Dos consejeros observan que el actual proyecto de Plan Operacional no se parece </w:t>
      </w:r>
      <w:r>
        <w:rPr>
          <w:lang w:val="es-ES"/>
        </w:rPr>
        <w:lastRenderedPageBreak/>
        <w:t>en nada a las versiones examinadas por los Grupos Asesores de los tres Sectores. El GTC-RHF debería estudiar la manera de mejorar los procesos de preparación del documento.</w:t>
      </w:r>
    </w:p>
    <w:p w14:paraId="0EAE4190" w14:textId="4C96676F" w:rsidR="00A13CB0" w:rsidRPr="00991CFC" w:rsidRDefault="00A13CB0" w:rsidP="001C54B7">
      <w:pPr>
        <w:jc w:val="both"/>
        <w:rPr>
          <w:lang w:val="es-ES"/>
        </w:rPr>
      </w:pPr>
      <w:r>
        <w:rPr>
          <w:lang w:val="es-ES"/>
        </w:rPr>
        <w:t>6.3</w:t>
      </w:r>
      <w:r>
        <w:rPr>
          <w:lang w:val="es-ES"/>
        </w:rPr>
        <w:tab/>
        <w:t xml:space="preserve">El Consejo </w:t>
      </w:r>
      <w:r>
        <w:rPr>
          <w:b/>
          <w:bCs/>
          <w:lang w:val="es-ES"/>
        </w:rPr>
        <w:t>aprueba</w:t>
      </w:r>
      <w:r>
        <w:rPr>
          <w:lang w:val="es-ES"/>
        </w:rPr>
        <w:t xml:space="preserve"> el Documento C26/28(Rev.1) y </w:t>
      </w:r>
      <w:r>
        <w:rPr>
          <w:b/>
          <w:bCs/>
          <w:lang w:val="es-ES"/>
        </w:rPr>
        <w:t>adopta</w:t>
      </w:r>
      <w:r>
        <w:rPr>
          <w:lang w:val="es-ES"/>
        </w:rPr>
        <w:t xml:space="preserve"> el proyecto de Resolución que figura en su anexo.</w:t>
      </w:r>
    </w:p>
    <w:p w14:paraId="4E15E96F" w14:textId="77777777" w:rsidR="00A13CB0" w:rsidRPr="00991CFC" w:rsidRDefault="00A13CB0" w:rsidP="00A13CB0">
      <w:pPr>
        <w:pStyle w:val="Heading1"/>
        <w:rPr>
          <w:lang w:val="es-ES"/>
        </w:rPr>
      </w:pPr>
      <w:r>
        <w:rPr>
          <w:lang w:val="es-ES"/>
        </w:rPr>
        <w:t>7</w:t>
      </w:r>
      <w:r>
        <w:rPr>
          <w:lang w:val="es-ES"/>
        </w:rPr>
        <w:tab/>
        <w:t>Declaración de un consejero</w:t>
      </w:r>
    </w:p>
    <w:p w14:paraId="39A9230A" w14:textId="7371B412" w:rsidR="00A13CB0" w:rsidRDefault="00A13CB0" w:rsidP="001C54B7">
      <w:pPr>
        <w:jc w:val="both"/>
        <w:rPr>
          <w:lang w:val="es-ES"/>
        </w:rPr>
      </w:pPr>
      <w:r>
        <w:rPr>
          <w:lang w:val="es-ES"/>
        </w:rPr>
        <w:t>7.1</w:t>
      </w:r>
      <w:r>
        <w:rPr>
          <w:lang w:val="es-ES"/>
        </w:rPr>
        <w:tab/>
        <w:t>El consejero de Uganda anuncia que su país se presentará a la reelección al Consejo en la PP</w:t>
      </w:r>
      <w:r w:rsidR="006B0F75">
        <w:rPr>
          <w:lang w:val="es-ES"/>
        </w:rPr>
        <w:noBreakHyphen/>
      </w:r>
      <w:r>
        <w:rPr>
          <w:lang w:val="es-ES"/>
        </w:rPr>
        <w:t>26.</w:t>
      </w:r>
    </w:p>
    <w:p w14:paraId="22B55DD5" w14:textId="77777777" w:rsidR="00A13CB0" w:rsidRDefault="00A13CB0" w:rsidP="00A13CB0">
      <w:pPr>
        <w:tabs>
          <w:tab w:val="clear" w:pos="567"/>
          <w:tab w:val="clear" w:pos="1134"/>
          <w:tab w:val="clear" w:pos="1701"/>
          <w:tab w:val="clear" w:pos="2268"/>
          <w:tab w:val="clear" w:pos="2835"/>
          <w:tab w:val="left" w:pos="6237"/>
        </w:tabs>
        <w:spacing w:before="840"/>
        <w:rPr>
          <w:szCs w:val="24"/>
          <w:lang w:val="es-ES"/>
        </w:rPr>
      </w:pPr>
      <w:r>
        <w:rPr>
          <w:lang w:val="es-ES"/>
        </w:rPr>
        <w:t>La Secretaria General:</w:t>
      </w:r>
      <w:r>
        <w:rPr>
          <w:lang w:val="es-ES"/>
        </w:rPr>
        <w:tab/>
        <w:t>El Presidente:</w:t>
      </w:r>
    </w:p>
    <w:p w14:paraId="245A9936" w14:textId="37646CF9" w:rsidR="00F92BED" w:rsidRPr="00A13CB0" w:rsidRDefault="00A13CB0" w:rsidP="00A13CB0">
      <w:pPr>
        <w:tabs>
          <w:tab w:val="clear" w:pos="567"/>
          <w:tab w:val="clear" w:pos="1134"/>
          <w:tab w:val="clear" w:pos="1701"/>
          <w:tab w:val="clear" w:pos="2268"/>
          <w:tab w:val="clear" w:pos="2835"/>
          <w:tab w:val="left" w:pos="6237"/>
        </w:tabs>
        <w:spacing w:before="0"/>
        <w:rPr>
          <w:szCs w:val="24"/>
          <w:lang w:val="es-ES"/>
        </w:rPr>
      </w:pPr>
      <w:r>
        <w:rPr>
          <w:lang w:val="es-ES"/>
        </w:rPr>
        <w:t>D. D. BOGDAN-MARTIN</w:t>
      </w:r>
      <w:r>
        <w:rPr>
          <w:lang w:val="es-ES"/>
        </w:rPr>
        <w:tab/>
        <w:t>B. TIJANI</w:t>
      </w:r>
      <w:r>
        <w:t xml:space="preserve"> </w:t>
      </w:r>
    </w:p>
    <w:sectPr w:rsidR="00F92BED" w:rsidRPr="00A13CB0" w:rsidSect="00C538FC">
      <w:footerReference w:type="default" r:id="rId27"/>
      <w:headerReference w:type="first" r:id="rId28"/>
      <w:footerReference w:type="first" r:id="rId29"/>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4F1D9" w14:textId="77777777" w:rsidR="00896DFD" w:rsidRDefault="00896DFD">
      <w:r>
        <w:separator/>
      </w:r>
    </w:p>
  </w:endnote>
  <w:endnote w:type="continuationSeparator" w:id="0">
    <w:p w14:paraId="0F62CCBE" w14:textId="77777777" w:rsidR="00896DFD" w:rsidRDefault="00896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3273A4" w:rsidRPr="00784011" w14:paraId="14C9728F" w14:textId="77777777" w:rsidTr="00E31DCE">
      <w:trPr>
        <w:jc w:val="center"/>
      </w:trPr>
      <w:tc>
        <w:tcPr>
          <w:tcW w:w="1803" w:type="dxa"/>
          <w:vAlign w:val="center"/>
        </w:tcPr>
        <w:p w14:paraId="53FD8F3E" w14:textId="4DDC2BD8" w:rsidR="003273A4" w:rsidRDefault="00A13CB0" w:rsidP="003273A4">
          <w:pPr>
            <w:pStyle w:val="Header"/>
            <w:jc w:val="left"/>
            <w:rPr>
              <w:noProof/>
            </w:rPr>
          </w:pPr>
          <w:r>
            <w:rPr>
              <w:noProof/>
            </w:rPr>
            <w:t>2601344</w:t>
          </w:r>
        </w:p>
      </w:tc>
      <w:tc>
        <w:tcPr>
          <w:tcW w:w="8261" w:type="dxa"/>
        </w:tcPr>
        <w:p w14:paraId="416D2FA4" w14:textId="4559AA44" w:rsidR="003273A4" w:rsidRPr="00E06FD5" w:rsidRDefault="003273A4"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A13CB0">
            <w:rPr>
              <w:bCs/>
            </w:rPr>
            <w:t>124</w:t>
          </w:r>
          <w:r w:rsidRPr="00623AE3">
            <w:rPr>
              <w:bCs/>
            </w:rPr>
            <w:t>-</w:t>
          </w:r>
          <w:r>
            <w:rPr>
              <w:bCs/>
            </w:rPr>
            <w:t>S</w:t>
          </w:r>
          <w:r>
            <w:rPr>
              <w:bCs/>
            </w:rPr>
            <w:tab/>
          </w:r>
          <w:r>
            <w:fldChar w:fldCharType="begin"/>
          </w:r>
          <w:r>
            <w:instrText>PAGE</w:instrText>
          </w:r>
          <w:r>
            <w:fldChar w:fldCharType="separate"/>
          </w:r>
          <w:r>
            <w:t>1</w:t>
          </w:r>
          <w:r>
            <w:rPr>
              <w:noProof/>
            </w:rPr>
            <w:fldChar w:fldCharType="end"/>
          </w:r>
        </w:p>
      </w:tc>
    </w:tr>
  </w:tbl>
  <w:p w14:paraId="0F3C9279" w14:textId="77777777" w:rsidR="00760F1C" w:rsidRPr="003273A4" w:rsidRDefault="00760F1C" w:rsidP="003273A4">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F24B71" w:rsidRPr="00784011" w14:paraId="5744C468" w14:textId="77777777" w:rsidTr="00E31DCE">
      <w:trPr>
        <w:jc w:val="center"/>
      </w:trPr>
      <w:tc>
        <w:tcPr>
          <w:tcW w:w="1803" w:type="dxa"/>
          <w:vAlign w:val="center"/>
        </w:tcPr>
        <w:p w14:paraId="380A125F" w14:textId="3EBCD439" w:rsidR="00F24B71" w:rsidRPr="002946E2" w:rsidRDefault="00F85E5C" w:rsidP="00F24B71">
          <w:pPr>
            <w:pStyle w:val="Header"/>
            <w:jc w:val="left"/>
            <w:rPr>
              <w:noProof/>
            </w:rPr>
          </w:pPr>
          <w:hyperlink r:id="rId1" w:anchor="/es" w:history="1">
            <w:r>
              <w:rPr>
                <w:rStyle w:val="Hyperlink"/>
                <w:noProof/>
              </w:rPr>
              <w:t>council.itu.int/2026</w:t>
            </w:r>
          </w:hyperlink>
        </w:p>
      </w:tc>
      <w:tc>
        <w:tcPr>
          <w:tcW w:w="8261" w:type="dxa"/>
        </w:tcPr>
        <w:p w14:paraId="756FA61E" w14:textId="27931E15" w:rsidR="00F24B71" w:rsidRPr="00E06FD5" w:rsidRDefault="00F24B71" w:rsidP="00B060DF">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F85E5C">
            <w:rPr>
              <w:bCs/>
            </w:rPr>
            <w:t>6</w:t>
          </w:r>
          <w:r w:rsidRPr="00623AE3">
            <w:rPr>
              <w:bCs/>
            </w:rPr>
            <w:t>/</w:t>
          </w:r>
          <w:r w:rsidR="00A13CB0">
            <w:rPr>
              <w:bCs/>
            </w:rPr>
            <w:t>124</w:t>
          </w:r>
          <w:r w:rsidRPr="00623AE3">
            <w:rPr>
              <w:bCs/>
            </w:rPr>
            <w:t>-</w:t>
          </w:r>
          <w:r w:rsidR="003273A4">
            <w:rPr>
              <w:bCs/>
            </w:rPr>
            <w:t>S</w:t>
          </w:r>
          <w:r>
            <w:rPr>
              <w:bCs/>
            </w:rPr>
            <w:tab/>
          </w:r>
          <w:r>
            <w:fldChar w:fldCharType="begin"/>
          </w:r>
          <w:r>
            <w:instrText>PAGE</w:instrText>
          </w:r>
          <w:r>
            <w:fldChar w:fldCharType="separate"/>
          </w:r>
          <w:r>
            <w:t>1</w:t>
          </w:r>
          <w:r>
            <w:rPr>
              <w:noProof/>
            </w:rPr>
            <w:fldChar w:fldCharType="end"/>
          </w:r>
        </w:p>
      </w:tc>
    </w:tr>
  </w:tbl>
  <w:p w14:paraId="042FBF33" w14:textId="77777777" w:rsidR="00760F1C" w:rsidRPr="00F24B71" w:rsidRDefault="00760F1C" w:rsidP="00F2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30FCE" w14:textId="77777777" w:rsidR="00896DFD" w:rsidRDefault="00896DFD">
      <w:r>
        <w:t>____________________</w:t>
      </w:r>
    </w:p>
  </w:footnote>
  <w:footnote w:type="continuationSeparator" w:id="0">
    <w:p w14:paraId="2C9C10D9" w14:textId="77777777" w:rsidR="00896DFD" w:rsidRDefault="00896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B602E" w14:textId="77777777" w:rsidR="001559F5" w:rsidRPr="00B1560D" w:rsidRDefault="00B1560D" w:rsidP="00B1560D">
    <w:pPr>
      <w:pStyle w:val="Header"/>
    </w:pPr>
    <w:r>
      <w:rPr>
        <w:noProof/>
      </w:rPr>
      <w:drawing>
        <wp:inline distT="0" distB="0" distL="0" distR="0" wp14:anchorId="30AFF053" wp14:editId="68A3744B">
          <wp:extent cx="5760085" cy="840740"/>
          <wp:effectExtent l="0" t="0" r="0" b="0"/>
          <wp:docPr id="397875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875340" name="Picture 397875340"/>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B0"/>
    <w:rsid w:val="000007D1"/>
    <w:rsid w:val="00033653"/>
    <w:rsid w:val="0006007D"/>
    <w:rsid w:val="00093EEB"/>
    <w:rsid w:val="000B0D00"/>
    <w:rsid w:val="000B7C15"/>
    <w:rsid w:val="000D1D0F"/>
    <w:rsid w:val="000E3F07"/>
    <w:rsid w:val="000F5290"/>
    <w:rsid w:val="000F5A95"/>
    <w:rsid w:val="0010165C"/>
    <w:rsid w:val="00102B03"/>
    <w:rsid w:val="00106BCF"/>
    <w:rsid w:val="00146BFB"/>
    <w:rsid w:val="001559F5"/>
    <w:rsid w:val="00157AC4"/>
    <w:rsid w:val="0016169C"/>
    <w:rsid w:val="001836F7"/>
    <w:rsid w:val="00194ACD"/>
    <w:rsid w:val="001958F5"/>
    <w:rsid w:val="001B6E2B"/>
    <w:rsid w:val="001C54B7"/>
    <w:rsid w:val="001F14A2"/>
    <w:rsid w:val="00277DEA"/>
    <w:rsid w:val="002801AA"/>
    <w:rsid w:val="002946E2"/>
    <w:rsid w:val="002C3F32"/>
    <w:rsid w:val="002C4676"/>
    <w:rsid w:val="002C70B0"/>
    <w:rsid w:val="002F3CC4"/>
    <w:rsid w:val="003032E2"/>
    <w:rsid w:val="0031300A"/>
    <w:rsid w:val="003273A4"/>
    <w:rsid w:val="0034796E"/>
    <w:rsid w:val="0036323B"/>
    <w:rsid w:val="003B276A"/>
    <w:rsid w:val="004015B2"/>
    <w:rsid w:val="00415E27"/>
    <w:rsid w:val="004571B0"/>
    <w:rsid w:val="00465C35"/>
    <w:rsid w:val="00473962"/>
    <w:rsid w:val="004B5D49"/>
    <w:rsid w:val="004D3A3C"/>
    <w:rsid w:val="004F20CD"/>
    <w:rsid w:val="00513630"/>
    <w:rsid w:val="00560125"/>
    <w:rsid w:val="00585553"/>
    <w:rsid w:val="005B34D9"/>
    <w:rsid w:val="005D0CCF"/>
    <w:rsid w:val="005F0915"/>
    <w:rsid w:val="005F3BCB"/>
    <w:rsid w:val="005F410F"/>
    <w:rsid w:val="0060149A"/>
    <w:rsid w:val="00601924"/>
    <w:rsid w:val="006447EA"/>
    <w:rsid w:val="0064481D"/>
    <w:rsid w:val="0064731F"/>
    <w:rsid w:val="00664572"/>
    <w:rsid w:val="00666D09"/>
    <w:rsid w:val="00670579"/>
    <w:rsid w:val="006710F6"/>
    <w:rsid w:val="00677A97"/>
    <w:rsid w:val="006A6AC9"/>
    <w:rsid w:val="006B0F75"/>
    <w:rsid w:val="006C1B56"/>
    <w:rsid w:val="006D4761"/>
    <w:rsid w:val="006E51C3"/>
    <w:rsid w:val="00726872"/>
    <w:rsid w:val="00760F1C"/>
    <w:rsid w:val="007657F0"/>
    <w:rsid w:val="0077110E"/>
    <w:rsid w:val="0077252D"/>
    <w:rsid w:val="007955DA"/>
    <w:rsid w:val="007E5DD3"/>
    <w:rsid w:val="007F350B"/>
    <w:rsid w:val="00820BE4"/>
    <w:rsid w:val="008451E8"/>
    <w:rsid w:val="0084546D"/>
    <w:rsid w:val="00853CDD"/>
    <w:rsid w:val="00896DFD"/>
    <w:rsid w:val="008F6ABC"/>
    <w:rsid w:val="00913B9C"/>
    <w:rsid w:val="00927F93"/>
    <w:rsid w:val="00956E77"/>
    <w:rsid w:val="00967877"/>
    <w:rsid w:val="009A338E"/>
    <w:rsid w:val="009A76A8"/>
    <w:rsid w:val="009F4811"/>
    <w:rsid w:val="00A01F4F"/>
    <w:rsid w:val="00A109AF"/>
    <w:rsid w:val="00A13CB0"/>
    <w:rsid w:val="00A94438"/>
    <w:rsid w:val="00AA390C"/>
    <w:rsid w:val="00AD5A4D"/>
    <w:rsid w:val="00AD7508"/>
    <w:rsid w:val="00AF0EAC"/>
    <w:rsid w:val="00B0200A"/>
    <w:rsid w:val="00B060DF"/>
    <w:rsid w:val="00B1560D"/>
    <w:rsid w:val="00B574DB"/>
    <w:rsid w:val="00B826C2"/>
    <w:rsid w:val="00B8298E"/>
    <w:rsid w:val="00BB6FD8"/>
    <w:rsid w:val="00BD0723"/>
    <w:rsid w:val="00BD2518"/>
    <w:rsid w:val="00BF1D1C"/>
    <w:rsid w:val="00C20C59"/>
    <w:rsid w:val="00C24C7D"/>
    <w:rsid w:val="00C2727F"/>
    <w:rsid w:val="00C4421B"/>
    <w:rsid w:val="00C538FC"/>
    <w:rsid w:val="00C55B1F"/>
    <w:rsid w:val="00CB2E06"/>
    <w:rsid w:val="00CC1FAF"/>
    <w:rsid w:val="00CF1A67"/>
    <w:rsid w:val="00D2750E"/>
    <w:rsid w:val="00D375E0"/>
    <w:rsid w:val="00D50A36"/>
    <w:rsid w:val="00D62446"/>
    <w:rsid w:val="00DA4EA2"/>
    <w:rsid w:val="00DC3D3E"/>
    <w:rsid w:val="00DE2C90"/>
    <w:rsid w:val="00DE3B24"/>
    <w:rsid w:val="00DE7376"/>
    <w:rsid w:val="00E06947"/>
    <w:rsid w:val="00E11319"/>
    <w:rsid w:val="00E21444"/>
    <w:rsid w:val="00E34072"/>
    <w:rsid w:val="00E3592D"/>
    <w:rsid w:val="00E50D76"/>
    <w:rsid w:val="00E8018B"/>
    <w:rsid w:val="00E92DE8"/>
    <w:rsid w:val="00EB1212"/>
    <w:rsid w:val="00ED65AB"/>
    <w:rsid w:val="00F12850"/>
    <w:rsid w:val="00F24B71"/>
    <w:rsid w:val="00F33BF4"/>
    <w:rsid w:val="00F7105E"/>
    <w:rsid w:val="00F75F57"/>
    <w:rsid w:val="00F82FEE"/>
    <w:rsid w:val="00F85E5C"/>
    <w:rsid w:val="00F92BED"/>
    <w:rsid w:val="00FD57D3"/>
    <w:rsid w:val="00FE57F6"/>
    <w:rsid w:val="00FF11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DA6B9C"/>
  <w15:docId w15:val="{0C7A5A8D-947F-4A86-A6B7-C91D405E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A95"/>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0F5A95"/>
    <w:pPr>
      <w:keepNext/>
      <w:keepLines/>
      <w:spacing w:before="360"/>
      <w:ind w:left="567" w:hanging="567"/>
      <w:outlineLvl w:val="0"/>
    </w:pPr>
    <w:rPr>
      <w:b/>
      <w:sz w:val="28"/>
    </w:rPr>
  </w:style>
  <w:style w:type="paragraph" w:styleId="Heading2">
    <w:name w:val="heading 2"/>
    <w:basedOn w:val="Heading1"/>
    <w:next w:val="Normal"/>
    <w:qFormat/>
    <w:rsid w:val="000F5A95"/>
    <w:pPr>
      <w:spacing w:before="200"/>
      <w:outlineLvl w:val="1"/>
    </w:pPr>
    <w:rPr>
      <w:sz w:val="24"/>
    </w:rPr>
  </w:style>
  <w:style w:type="paragraph" w:styleId="Heading3">
    <w:name w:val="heading 3"/>
    <w:basedOn w:val="Heading1"/>
    <w:next w:val="Normal"/>
    <w:qFormat/>
    <w:rsid w:val="000F5A95"/>
    <w:pPr>
      <w:spacing w:before="200"/>
      <w:outlineLvl w:val="2"/>
    </w:pPr>
    <w:rPr>
      <w:sz w:val="24"/>
    </w:rPr>
  </w:style>
  <w:style w:type="paragraph" w:styleId="Heading4">
    <w:name w:val="heading 4"/>
    <w:basedOn w:val="Heading3"/>
    <w:next w:val="Normal"/>
    <w:qFormat/>
    <w:rsid w:val="000F5A95"/>
    <w:pPr>
      <w:ind w:left="1134" w:hanging="1134"/>
      <w:outlineLvl w:val="3"/>
    </w:pPr>
  </w:style>
  <w:style w:type="paragraph" w:styleId="Heading5">
    <w:name w:val="heading 5"/>
    <w:basedOn w:val="Heading4"/>
    <w:next w:val="Normal"/>
    <w:qFormat/>
    <w:rsid w:val="000F5A95"/>
    <w:pPr>
      <w:outlineLvl w:val="4"/>
    </w:pPr>
  </w:style>
  <w:style w:type="paragraph" w:styleId="Heading6">
    <w:name w:val="heading 6"/>
    <w:basedOn w:val="Heading4"/>
    <w:next w:val="Normal"/>
    <w:qFormat/>
    <w:rsid w:val="000F5A95"/>
    <w:pPr>
      <w:outlineLvl w:val="5"/>
    </w:pPr>
  </w:style>
  <w:style w:type="paragraph" w:styleId="Heading7">
    <w:name w:val="heading 7"/>
    <w:basedOn w:val="Heading4"/>
    <w:next w:val="Normal"/>
    <w:qFormat/>
    <w:rsid w:val="000F5A95"/>
    <w:pPr>
      <w:ind w:left="1701" w:hanging="1701"/>
      <w:outlineLvl w:val="6"/>
    </w:pPr>
  </w:style>
  <w:style w:type="paragraph" w:styleId="Heading8">
    <w:name w:val="heading 8"/>
    <w:basedOn w:val="Heading4"/>
    <w:next w:val="Normal"/>
    <w:qFormat/>
    <w:rsid w:val="000F5A95"/>
    <w:pPr>
      <w:ind w:left="1701" w:hanging="1701"/>
      <w:outlineLvl w:val="7"/>
    </w:pPr>
  </w:style>
  <w:style w:type="paragraph" w:styleId="Heading9">
    <w:name w:val="heading 9"/>
    <w:basedOn w:val="Heading4"/>
    <w:next w:val="Normal"/>
    <w:qFormat/>
    <w:rsid w:val="000F5A95"/>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0F5A95"/>
  </w:style>
  <w:style w:type="paragraph" w:styleId="TOC4">
    <w:name w:val="toc 4"/>
    <w:basedOn w:val="TOC1"/>
    <w:next w:val="Normal"/>
    <w:rsid w:val="000F5A95"/>
  </w:style>
  <w:style w:type="paragraph" w:styleId="TOC3">
    <w:name w:val="toc 3"/>
    <w:basedOn w:val="TOC1"/>
    <w:next w:val="Normal"/>
    <w:rsid w:val="000F5A95"/>
  </w:style>
  <w:style w:type="paragraph" w:styleId="TOC2">
    <w:name w:val="toc 2"/>
    <w:basedOn w:val="TOC1"/>
    <w:next w:val="Normal"/>
    <w:rsid w:val="000F5A95"/>
    <w:pPr>
      <w:spacing w:before="160"/>
    </w:pPr>
  </w:style>
  <w:style w:type="paragraph" w:styleId="TOC1">
    <w:name w:val="toc 1"/>
    <w:basedOn w:val="Normal"/>
    <w:rsid w:val="000F5A95"/>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0F5A95"/>
  </w:style>
  <w:style w:type="paragraph" w:styleId="TOC6">
    <w:name w:val="toc 6"/>
    <w:basedOn w:val="TOC5"/>
    <w:next w:val="Normal"/>
    <w:rsid w:val="000F5A95"/>
  </w:style>
  <w:style w:type="paragraph" w:styleId="TOC5">
    <w:name w:val="toc 5"/>
    <w:basedOn w:val="TOC4"/>
    <w:next w:val="Normal"/>
    <w:rsid w:val="000F5A95"/>
    <w:rPr>
      <w:lang w:val="fr-CH"/>
    </w:rPr>
  </w:style>
  <w:style w:type="paragraph" w:styleId="Index7">
    <w:name w:val="index 7"/>
    <w:basedOn w:val="Normal"/>
    <w:next w:val="Normal"/>
    <w:rsid w:val="000F5A95"/>
    <w:pPr>
      <w:ind w:left="1698"/>
    </w:pPr>
  </w:style>
  <w:style w:type="paragraph" w:styleId="Index6">
    <w:name w:val="index 6"/>
    <w:basedOn w:val="Normal"/>
    <w:next w:val="Normal"/>
    <w:rsid w:val="000F5A95"/>
    <w:pPr>
      <w:ind w:left="1415"/>
    </w:pPr>
  </w:style>
  <w:style w:type="paragraph" w:styleId="Index5">
    <w:name w:val="index 5"/>
    <w:basedOn w:val="Normal"/>
    <w:next w:val="Normal"/>
    <w:rsid w:val="000F5A95"/>
    <w:pPr>
      <w:ind w:left="1132"/>
    </w:pPr>
  </w:style>
  <w:style w:type="paragraph" w:styleId="Index4">
    <w:name w:val="index 4"/>
    <w:basedOn w:val="Normal"/>
    <w:next w:val="Normal"/>
    <w:rsid w:val="000F5A95"/>
    <w:pPr>
      <w:ind w:left="849"/>
    </w:pPr>
  </w:style>
  <w:style w:type="paragraph" w:styleId="Index3">
    <w:name w:val="index 3"/>
    <w:basedOn w:val="Normal"/>
    <w:next w:val="Normal"/>
    <w:rsid w:val="000F5A95"/>
    <w:pPr>
      <w:ind w:left="566"/>
    </w:pPr>
  </w:style>
  <w:style w:type="paragraph" w:styleId="Index2">
    <w:name w:val="index 2"/>
    <w:basedOn w:val="Normal"/>
    <w:next w:val="Normal"/>
    <w:rsid w:val="000F5A95"/>
    <w:pPr>
      <w:ind w:left="283"/>
    </w:pPr>
  </w:style>
  <w:style w:type="paragraph" w:styleId="Index1">
    <w:name w:val="index 1"/>
    <w:basedOn w:val="Normal"/>
    <w:next w:val="Normal"/>
    <w:rsid w:val="000F5A95"/>
  </w:style>
  <w:style w:type="character" w:styleId="LineNumber">
    <w:name w:val="line number"/>
    <w:basedOn w:val="DefaultParagraphFont"/>
    <w:rsid w:val="000F5A95"/>
  </w:style>
  <w:style w:type="paragraph" w:styleId="IndexHeading">
    <w:name w:val="index heading"/>
    <w:basedOn w:val="Normal"/>
    <w:next w:val="Index1"/>
    <w:rsid w:val="000F5A95"/>
  </w:style>
  <w:style w:type="paragraph" w:styleId="Footer">
    <w:name w:val="footer"/>
    <w:basedOn w:val="Normal"/>
    <w:rsid w:val="000F5A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0F5A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0F5A95"/>
    <w:rPr>
      <w:rFonts w:ascii="Calibri" w:hAnsi="Calibri"/>
      <w:position w:val="6"/>
      <w:sz w:val="16"/>
    </w:rPr>
  </w:style>
  <w:style w:type="paragraph" w:styleId="FootnoteText">
    <w:name w:val="footnote text"/>
    <w:basedOn w:val="Normal"/>
    <w:rsid w:val="000F5A95"/>
    <w:pPr>
      <w:keepLines/>
      <w:tabs>
        <w:tab w:val="left" w:pos="256"/>
      </w:tabs>
      <w:ind w:left="256" w:hanging="256"/>
    </w:pPr>
    <w:rPr>
      <w:sz w:val="22"/>
    </w:rPr>
  </w:style>
  <w:style w:type="paragraph" w:styleId="NormalIndent">
    <w:name w:val="Normal Indent"/>
    <w:basedOn w:val="Normal"/>
    <w:rsid w:val="000F5A95"/>
    <w:pPr>
      <w:ind w:left="567"/>
    </w:pPr>
  </w:style>
  <w:style w:type="paragraph" w:customStyle="1" w:styleId="AnnexNo">
    <w:name w:val="Annex_No"/>
    <w:basedOn w:val="Normal"/>
    <w:next w:val="Annexref"/>
    <w:rsid w:val="000F5A95"/>
    <w:pPr>
      <w:keepNext/>
      <w:keepLines/>
      <w:spacing w:before="720"/>
      <w:jc w:val="center"/>
    </w:pPr>
    <w:rPr>
      <w:caps/>
      <w:sz w:val="28"/>
    </w:rPr>
  </w:style>
  <w:style w:type="paragraph" w:customStyle="1" w:styleId="Annextitle">
    <w:name w:val="Annex_title"/>
    <w:basedOn w:val="Normal"/>
    <w:next w:val="Normalaftertitle"/>
    <w:rsid w:val="000F5A95"/>
    <w:pPr>
      <w:keepNext/>
      <w:keepLines/>
      <w:spacing w:before="240" w:after="240"/>
      <w:jc w:val="center"/>
    </w:pPr>
    <w:rPr>
      <w:b/>
      <w:sz w:val="28"/>
    </w:rPr>
  </w:style>
  <w:style w:type="paragraph" w:customStyle="1" w:styleId="Annexref">
    <w:name w:val="Annex_ref"/>
    <w:basedOn w:val="Normal"/>
    <w:next w:val="Annextitle"/>
    <w:rsid w:val="000F5A95"/>
    <w:pPr>
      <w:keepNext/>
      <w:keepLines/>
      <w:jc w:val="center"/>
    </w:pPr>
    <w:rPr>
      <w:sz w:val="28"/>
    </w:rPr>
  </w:style>
  <w:style w:type="paragraph" w:customStyle="1" w:styleId="Normalaftertitle">
    <w:name w:val="Normal after title"/>
    <w:basedOn w:val="Normal"/>
    <w:next w:val="Normal"/>
    <w:rsid w:val="000F5A95"/>
    <w:pPr>
      <w:spacing w:before="240"/>
    </w:pPr>
  </w:style>
  <w:style w:type="paragraph" w:customStyle="1" w:styleId="AppendixNo">
    <w:name w:val="Appendix_No"/>
    <w:basedOn w:val="AnnexNo"/>
    <w:next w:val="Appendixref"/>
    <w:rsid w:val="000F5A95"/>
  </w:style>
  <w:style w:type="paragraph" w:customStyle="1" w:styleId="Appendixtitle">
    <w:name w:val="Appendix_title"/>
    <w:basedOn w:val="Annextitle"/>
    <w:next w:val="Normalaftertitle"/>
    <w:rsid w:val="000F5A95"/>
  </w:style>
  <w:style w:type="paragraph" w:customStyle="1" w:styleId="Appendixref">
    <w:name w:val="Appendix_ref"/>
    <w:basedOn w:val="Annexref"/>
    <w:next w:val="Appendixtitle"/>
    <w:rsid w:val="000F5A95"/>
  </w:style>
  <w:style w:type="paragraph" w:customStyle="1" w:styleId="enumlev1">
    <w:name w:val="enumlev1"/>
    <w:basedOn w:val="Normal"/>
    <w:rsid w:val="000F5A95"/>
    <w:pPr>
      <w:spacing w:before="80"/>
      <w:ind w:left="567" w:hanging="567"/>
    </w:pPr>
  </w:style>
  <w:style w:type="paragraph" w:customStyle="1" w:styleId="enumlev2">
    <w:name w:val="enumlev2"/>
    <w:basedOn w:val="enumlev1"/>
    <w:rsid w:val="000F5A95"/>
    <w:pPr>
      <w:ind w:left="1134"/>
    </w:pPr>
  </w:style>
  <w:style w:type="paragraph" w:customStyle="1" w:styleId="enumlev3">
    <w:name w:val="enumlev3"/>
    <w:basedOn w:val="enumlev2"/>
    <w:rsid w:val="000F5A95"/>
    <w:pPr>
      <w:ind w:left="1701"/>
    </w:pPr>
  </w:style>
  <w:style w:type="paragraph" w:customStyle="1" w:styleId="Artheading">
    <w:name w:val="Art_heading"/>
    <w:basedOn w:val="Normal"/>
    <w:next w:val="Normalaftertitle"/>
    <w:rsid w:val="000F5A9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0F5A95"/>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0F5A95"/>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all">
    <w:name w:val="Call"/>
    <w:basedOn w:val="Normal"/>
    <w:next w:val="Normal"/>
    <w:rsid w:val="000F5A95"/>
    <w:pPr>
      <w:keepNext/>
      <w:keepLines/>
      <w:tabs>
        <w:tab w:val="clear" w:pos="1134"/>
        <w:tab w:val="clear" w:pos="1701"/>
        <w:tab w:val="clear" w:pos="2268"/>
        <w:tab w:val="clear" w:pos="2835"/>
      </w:tabs>
      <w:spacing w:before="160"/>
      <w:ind w:left="567"/>
    </w:pPr>
    <w:rPr>
      <w:i/>
    </w:rPr>
  </w:style>
  <w:style w:type="paragraph" w:customStyle="1" w:styleId="ChapNo">
    <w:name w:val="Chap_No"/>
    <w:basedOn w:val="ArtNo"/>
    <w:next w:val="Chaptitle"/>
    <w:rsid w:val="000F5A95"/>
  </w:style>
  <w:style w:type="paragraph" w:customStyle="1" w:styleId="Chaptitle">
    <w:name w:val="Chap_title"/>
    <w:basedOn w:val="Arttitle"/>
    <w:next w:val="Normalaftertitle"/>
    <w:rsid w:val="000F5A95"/>
  </w:style>
  <w:style w:type="paragraph" w:customStyle="1" w:styleId="Equationlegend">
    <w:name w:val="Equation_legend"/>
    <w:basedOn w:val="NormalIndent"/>
    <w:rsid w:val="000F5A95"/>
    <w:pPr>
      <w:tabs>
        <w:tab w:val="right" w:pos="1531"/>
      </w:tabs>
      <w:spacing w:before="80"/>
      <w:ind w:left="1701" w:hanging="1701"/>
    </w:pPr>
  </w:style>
  <w:style w:type="paragraph" w:customStyle="1" w:styleId="Figure">
    <w:name w:val="Figure"/>
    <w:basedOn w:val="Normal"/>
    <w:next w:val="Normal"/>
    <w:rsid w:val="000F5A95"/>
    <w:pPr>
      <w:spacing w:after="240"/>
      <w:jc w:val="center"/>
    </w:pPr>
  </w:style>
  <w:style w:type="paragraph" w:customStyle="1" w:styleId="Figuretitle">
    <w:name w:val="Figure_title"/>
    <w:basedOn w:val="Tabletitle"/>
    <w:next w:val="Normalaftertitle"/>
    <w:rsid w:val="000F5A95"/>
    <w:pPr>
      <w:spacing w:before="120" w:after="0"/>
    </w:pPr>
  </w:style>
  <w:style w:type="paragraph" w:customStyle="1" w:styleId="Tabletitle">
    <w:name w:val="Table_title"/>
    <w:basedOn w:val="TableNo"/>
    <w:next w:val="Tabletext"/>
    <w:rsid w:val="000F5A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0F5A95"/>
    <w:pPr>
      <w:keepNext/>
      <w:keepLines/>
      <w:spacing w:before="480" w:after="120"/>
      <w:jc w:val="center"/>
    </w:pPr>
    <w:rPr>
      <w:caps/>
    </w:rPr>
  </w:style>
  <w:style w:type="paragraph" w:customStyle="1" w:styleId="Tabletext">
    <w:name w:val="Table_text"/>
    <w:basedOn w:val="Normal"/>
    <w:rsid w:val="000F5A95"/>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0F5A95"/>
    <w:pPr>
      <w:spacing w:before="20" w:after="240"/>
    </w:pPr>
    <w:rPr>
      <w:sz w:val="18"/>
    </w:rPr>
  </w:style>
  <w:style w:type="paragraph" w:customStyle="1" w:styleId="Equation">
    <w:name w:val="Equation"/>
    <w:basedOn w:val="Normal"/>
    <w:rsid w:val="000F5A95"/>
    <w:pPr>
      <w:tabs>
        <w:tab w:val="center" w:pos="4820"/>
        <w:tab w:val="right" w:pos="9639"/>
      </w:tabs>
    </w:pPr>
  </w:style>
  <w:style w:type="paragraph" w:customStyle="1" w:styleId="Head">
    <w:name w:val="Head"/>
    <w:basedOn w:val="Normal"/>
    <w:rsid w:val="000F5A95"/>
    <w:pPr>
      <w:tabs>
        <w:tab w:val="left" w:pos="6663"/>
      </w:tabs>
      <w:overflowPunct/>
      <w:autoSpaceDE/>
      <w:autoSpaceDN/>
      <w:adjustRightInd/>
      <w:spacing w:before="0"/>
      <w:textAlignment w:val="auto"/>
    </w:pPr>
  </w:style>
  <w:style w:type="paragraph" w:customStyle="1" w:styleId="toc0">
    <w:name w:val="toc 0"/>
    <w:basedOn w:val="Normal"/>
    <w:next w:val="TOC1"/>
    <w:rsid w:val="000F5A95"/>
    <w:pPr>
      <w:tabs>
        <w:tab w:val="clear" w:pos="567"/>
        <w:tab w:val="clear" w:pos="1134"/>
        <w:tab w:val="clear" w:pos="1701"/>
        <w:tab w:val="clear" w:pos="2268"/>
        <w:tab w:val="clear" w:pos="2835"/>
        <w:tab w:val="right" w:pos="9781"/>
      </w:tabs>
    </w:pPr>
    <w:rPr>
      <w:b/>
    </w:rPr>
  </w:style>
  <w:style w:type="paragraph" w:styleId="List">
    <w:name w:val="List"/>
    <w:basedOn w:val="Normal"/>
    <w:rsid w:val="000F5A95"/>
    <w:pPr>
      <w:tabs>
        <w:tab w:val="left" w:pos="2127"/>
      </w:tabs>
      <w:ind w:left="2127" w:hanging="2127"/>
    </w:pPr>
  </w:style>
  <w:style w:type="paragraph" w:customStyle="1" w:styleId="Part">
    <w:name w:val="Part"/>
    <w:basedOn w:val="Normal"/>
    <w:rsid w:val="000F5A95"/>
    <w:pPr>
      <w:tabs>
        <w:tab w:val="left" w:pos="1276"/>
      </w:tabs>
      <w:spacing w:before="199"/>
      <w:ind w:left="1701" w:hanging="1701"/>
    </w:pPr>
    <w:rPr>
      <w:caps/>
    </w:rPr>
  </w:style>
  <w:style w:type="paragraph" w:customStyle="1" w:styleId="Figurewithouttitle">
    <w:name w:val="Figure_without_title"/>
    <w:basedOn w:val="Figure"/>
    <w:next w:val="Normal"/>
    <w:rsid w:val="000F5A95"/>
  </w:style>
  <w:style w:type="character" w:styleId="PageNumber">
    <w:name w:val="page number"/>
    <w:basedOn w:val="DefaultParagraphFont"/>
    <w:rsid w:val="000F5A95"/>
    <w:rPr>
      <w:rFonts w:ascii="Calibri" w:hAnsi="Calibri"/>
    </w:rPr>
  </w:style>
  <w:style w:type="paragraph" w:customStyle="1" w:styleId="meeting">
    <w:name w:val="meeting"/>
    <w:basedOn w:val="Head"/>
    <w:next w:val="Head"/>
    <w:rsid w:val="000F5A95"/>
    <w:pPr>
      <w:tabs>
        <w:tab w:val="left" w:pos="7371"/>
      </w:tabs>
      <w:spacing w:after="567"/>
    </w:pPr>
  </w:style>
  <w:style w:type="paragraph" w:customStyle="1" w:styleId="PartNo">
    <w:name w:val="Part_No"/>
    <w:basedOn w:val="AnnexNo"/>
    <w:next w:val="Parttitle"/>
    <w:rsid w:val="000F5A95"/>
  </w:style>
  <w:style w:type="paragraph" w:customStyle="1" w:styleId="Parttitle">
    <w:name w:val="Part_title"/>
    <w:basedOn w:val="Annextitle"/>
    <w:next w:val="Partref"/>
    <w:rsid w:val="000F5A95"/>
  </w:style>
  <w:style w:type="paragraph" w:customStyle="1" w:styleId="Partref">
    <w:name w:val="Part_ref"/>
    <w:basedOn w:val="Annexref"/>
    <w:next w:val="Normalaftertitle"/>
    <w:rsid w:val="000F5A95"/>
  </w:style>
  <w:style w:type="paragraph" w:customStyle="1" w:styleId="Headingb">
    <w:name w:val="Heading_b"/>
    <w:basedOn w:val="Heading3"/>
    <w:next w:val="Normal"/>
    <w:rsid w:val="000F5A95"/>
    <w:pPr>
      <w:spacing w:before="160"/>
      <w:ind w:left="0" w:firstLine="0"/>
      <w:outlineLvl w:val="0"/>
    </w:pPr>
  </w:style>
  <w:style w:type="paragraph" w:customStyle="1" w:styleId="Subject">
    <w:name w:val="Subject"/>
    <w:basedOn w:val="Normal"/>
    <w:next w:val="Source"/>
    <w:rsid w:val="000F5A95"/>
    <w:pPr>
      <w:tabs>
        <w:tab w:val="left" w:pos="709"/>
      </w:tabs>
      <w:spacing w:before="0"/>
      <w:ind w:left="709" w:hanging="709"/>
    </w:pPr>
  </w:style>
  <w:style w:type="paragraph" w:customStyle="1" w:styleId="Source">
    <w:name w:val="Source"/>
    <w:basedOn w:val="Normal"/>
    <w:next w:val="Title1"/>
    <w:rsid w:val="000F5A95"/>
    <w:pPr>
      <w:spacing w:before="840"/>
      <w:jc w:val="center"/>
    </w:pPr>
    <w:rPr>
      <w:b/>
      <w:sz w:val="28"/>
    </w:rPr>
  </w:style>
  <w:style w:type="paragraph" w:customStyle="1" w:styleId="Data">
    <w:name w:val="Data"/>
    <w:basedOn w:val="Subject"/>
    <w:next w:val="Subject"/>
    <w:rsid w:val="000F5A95"/>
  </w:style>
  <w:style w:type="character" w:styleId="Hyperlink">
    <w:name w:val="Hyperlink"/>
    <w:basedOn w:val="DefaultParagraphFont"/>
    <w:uiPriority w:val="99"/>
    <w:rsid w:val="001C54B7"/>
    <w:rPr>
      <w:rFonts w:eastAsiaTheme="minorHAnsi" w:cstheme="minorBidi"/>
      <w:color w:val="4F81BD" w:themeColor="accent1"/>
      <w:szCs w:val="22"/>
      <w:u w:val="single"/>
    </w:rPr>
  </w:style>
  <w:style w:type="character" w:styleId="FollowedHyperlink">
    <w:name w:val="FollowedHyperlink"/>
    <w:basedOn w:val="DefaultParagraphFont"/>
    <w:rsid w:val="000F5A95"/>
    <w:rPr>
      <w:color w:val="800080"/>
      <w:u w:val="single"/>
    </w:rPr>
  </w:style>
  <w:style w:type="paragraph" w:customStyle="1" w:styleId="FirstFooter">
    <w:name w:val="FirstFooter"/>
    <w:basedOn w:val="Footer"/>
    <w:rsid w:val="000F5A95"/>
    <w:rPr>
      <w:caps w:val="0"/>
    </w:rPr>
  </w:style>
  <w:style w:type="paragraph" w:customStyle="1" w:styleId="Note">
    <w:name w:val="Note"/>
    <w:basedOn w:val="Normal"/>
    <w:rsid w:val="000F5A95"/>
    <w:pPr>
      <w:spacing w:before="80"/>
    </w:pPr>
    <w:rPr>
      <w:sz w:val="22"/>
    </w:rPr>
  </w:style>
  <w:style w:type="paragraph" w:styleId="TOC9">
    <w:name w:val="toc 9"/>
    <w:basedOn w:val="Normal"/>
    <w:next w:val="Normal"/>
    <w:rsid w:val="000F5A95"/>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0F5A95"/>
    <w:pPr>
      <w:spacing w:before="160"/>
      <w:ind w:left="0" w:firstLine="0"/>
      <w:outlineLvl w:val="0"/>
    </w:pPr>
    <w:rPr>
      <w:b w:val="0"/>
      <w:i/>
    </w:rPr>
  </w:style>
  <w:style w:type="paragraph" w:customStyle="1" w:styleId="Title1">
    <w:name w:val="Title 1"/>
    <w:basedOn w:val="Normal"/>
    <w:next w:val="Normalaftertitle"/>
    <w:rsid w:val="000F5A95"/>
    <w:pPr>
      <w:spacing w:before="360"/>
      <w:jc w:val="center"/>
    </w:pPr>
    <w:rPr>
      <w:caps/>
    </w:rPr>
  </w:style>
  <w:style w:type="paragraph" w:customStyle="1" w:styleId="Title2">
    <w:name w:val="Title 2"/>
    <w:basedOn w:val="Title1"/>
    <w:next w:val="Normalaftertitle"/>
    <w:rsid w:val="000F5A95"/>
    <w:pPr>
      <w:keepNext/>
      <w:keepLines/>
      <w:spacing w:before="240"/>
    </w:pPr>
    <w:rPr>
      <w:b/>
      <w:caps w:val="0"/>
    </w:rPr>
  </w:style>
  <w:style w:type="paragraph" w:customStyle="1" w:styleId="Title3">
    <w:name w:val="Title 3"/>
    <w:basedOn w:val="Title2"/>
    <w:next w:val="Normalaftertitle"/>
    <w:rsid w:val="000F5A95"/>
    <w:rPr>
      <w:b w:val="0"/>
      <w:caps/>
    </w:rPr>
  </w:style>
  <w:style w:type="paragraph" w:customStyle="1" w:styleId="Title4">
    <w:name w:val="Title 4"/>
    <w:basedOn w:val="Annextitle"/>
    <w:next w:val="Normal"/>
    <w:rsid w:val="000F5A95"/>
    <w:pPr>
      <w:spacing w:after="120"/>
    </w:pPr>
    <w:rPr>
      <w:b w:val="0"/>
    </w:rPr>
  </w:style>
  <w:style w:type="paragraph" w:customStyle="1" w:styleId="dnum">
    <w:name w:val="dnum"/>
    <w:basedOn w:val="Normal"/>
    <w:rsid w:val="000F5A95"/>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0F5A95"/>
    <w:pPr>
      <w:framePr w:hSpace="181" w:wrap="notBeside" w:vAnchor="page" w:hAnchor="margin" w:x="1" w:y="852"/>
      <w:shd w:val="solid" w:color="FFFFFF" w:fill="FFFFFF"/>
      <w:tabs>
        <w:tab w:val="left" w:pos="1871"/>
      </w:tabs>
      <w:spacing w:before="0"/>
    </w:pPr>
    <w:rPr>
      <w:b/>
      <w:bCs/>
    </w:rPr>
  </w:style>
  <w:style w:type="paragraph" w:customStyle="1" w:styleId="RecNo">
    <w:name w:val="Rec_No"/>
    <w:basedOn w:val="Normal"/>
    <w:next w:val="Rectitle"/>
    <w:rsid w:val="000F5A95"/>
    <w:pPr>
      <w:keepNext/>
      <w:keepLines/>
      <w:spacing w:before="720"/>
      <w:jc w:val="center"/>
    </w:pPr>
    <w:rPr>
      <w:caps/>
      <w:sz w:val="28"/>
    </w:rPr>
  </w:style>
  <w:style w:type="paragraph" w:customStyle="1" w:styleId="Rectitle">
    <w:name w:val="Rec_title"/>
    <w:basedOn w:val="Normal"/>
    <w:next w:val="Heading1"/>
    <w:rsid w:val="000F5A95"/>
    <w:pPr>
      <w:keepNext/>
      <w:keepLines/>
      <w:jc w:val="center"/>
    </w:pPr>
    <w:rPr>
      <w:b/>
      <w:sz w:val="28"/>
    </w:rPr>
  </w:style>
  <w:style w:type="paragraph" w:customStyle="1" w:styleId="Recref">
    <w:name w:val="Rec_ref"/>
    <w:basedOn w:val="Rectitle"/>
    <w:next w:val="Recdate"/>
    <w:rsid w:val="000F5A95"/>
    <w:rPr>
      <w:rFonts w:ascii="Times New Roman" w:hAnsi="Times New Roman"/>
      <w:b w:val="0"/>
      <w:sz w:val="24"/>
    </w:rPr>
  </w:style>
  <w:style w:type="paragraph" w:customStyle="1" w:styleId="Recdate">
    <w:name w:val="Rec_date"/>
    <w:basedOn w:val="Recref"/>
    <w:next w:val="Normalaftertitle"/>
    <w:rsid w:val="000F5A95"/>
    <w:pPr>
      <w:jc w:val="right"/>
    </w:pPr>
    <w:rPr>
      <w:sz w:val="22"/>
    </w:rPr>
  </w:style>
  <w:style w:type="paragraph" w:customStyle="1" w:styleId="Questiondate">
    <w:name w:val="Question_date"/>
    <w:basedOn w:val="Recdate"/>
    <w:next w:val="Normalaftertitle"/>
    <w:rsid w:val="000F5A95"/>
  </w:style>
  <w:style w:type="paragraph" w:customStyle="1" w:styleId="QuestionNo">
    <w:name w:val="Question_No"/>
    <w:basedOn w:val="RecNo"/>
    <w:next w:val="Questiontitle"/>
    <w:rsid w:val="000F5A95"/>
  </w:style>
  <w:style w:type="paragraph" w:customStyle="1" w:styleId="Questiontitle">
    <w:name w:val="Question_title"/>
    <w:basedOn w:val="Rectitle"/>
    <w:next w:val="Questionref"/>
    <w:rsid w:val="000F5A95"/>
  </w:style>
  <w:style w:type="paragraph" w:customStyle="1" w:styleId="Questionref">
    <w:name w:val="Question_ref"/>
    <w:basedOn w:val="Recref"/>
    <w:next w:val="Questiondate"/>
    <w:rsid w:val="000F5A95"/>
  </w:style>
  <w:style w:type="paragraph" w:customStyle="1" w:styleId="Reftext">
    <w:name w:val="Ref_text"/>
    <w:basedOn w:val="Normal"/>
    <w:rsid w:val="000F5A95"/>
    <w:pPr>
      <w:ind w:left="567" w:hanging="567"/>
    </w:pPr>
  </w:style>
  <w:style w:type="paragraph" w:customStyle="1" w:styleId="Reftitle">
    <w:name w:val="Ref_title"/>
    <w:basedOn w:val="Normal"/>
    <w:next w:val="Reftext"/>
    <w:rsid w:val="000F5A95"/>
    <w:pPr>
      <w:spacing w:before="480"/>
      <w:jc w:val="center"/>
    </w:pPr>
    <w:rPr>
      <w:caps/>
      <w:sz w:val="28"/>
    </w:rPr>
  </w:style>
  <w:style w:type="paragraph" w:customStyle="1" w:styleId="Repdate">
    <w:name w:val="Rep_date"/>
    <w:basedOn w:val="Recdate"/>
    <w:next w:val="Normalaftertitle"/>
    <w:rsid w:val="000F5A95"/>
  </w:style>
  <w:style w:type="paragraph" w:customStyle="1" w:styleId="RepNo">
    <w:name w:val="Rep_No"/>
    <w:basedOn w:val="RecNo"/>
    <w:next w:val="Reptitle"/>
    <w:rsid w:val="000F5A95"/>
  </w:style>
  <w:style w:type="paragraph" w:customStyle="1" w:styleId="Reptitle">
    <w:name w:val="Rep_title"/>
    <w:basedOn w:val="Rectitle"/>
    <w:next w:val="Repref"/>
    <w:rsid w:val="000F5A95"/>
  </w:style>
  <w:style w:type="paragraph" w:customStyle="1" w:styleId="Repref">
    <w:name w:val="Rep_ref"/>
    <w:basedOn w:val="Recref"/>
    <w:next w:val="Repdate"/>
    <w:rsid w:val="000F5A95"/>
  </w:style>
  <w:style w:type="paragraph" w:customStyle="1" w:styleId="Resdate">
    <w:name w:val="Res_date"/>
    <w:basedOn w:val="Recdate"/>
    <w:next w:val="Normalaftertitle"/>
    <w:rsid w:val="000F5A95"/>
  </w:style>
  <w:style w:type="paragraph" w:customStyle="1" w:styleId="ResNo">
    <w:name w:val="Res_No"/>
    <w:basedOn w:val="AnnexNo"/>
    <w:next w:val="Restitle"/>
    <w:rsid w:val="000F5A95"/>
  </w:style>
  <w:style w:type="paragraph" w:customStyle="1" w:styleId="Restitle">
    <w:name w:val="Res_title"/>
    <w:basedOn w:val="Annextitle"/>
    <w:next w:val="Normal"/>
    <w:rsid w:val="000F5A95"/>
  </w:style>
  <w:style w:type="paragraph" w:customStyle="1" w:styleId="Resref">
    <w:name w:val="Res_ref"/>
    <w:basedOn w:val="Recref"/>
    <w:next w:val="Resdate"/>
    <w:rsid w:val="000F5A95"/>
  </w:style>
  <w:style w:type="paragraph" w:customStyle="1" w:styleId="SectionNo">
    <w:name w:val="Section_No"/>
    <w:basedOn w:val="AnnexNo"/>
    <w:next w:val="Sectiontitle"/>
    <w:rsid w:val="000F5A95"/>
  </w:style>
  <w:style w:type="paragraph" w:customStyle="1" w:styleId="Sectiontitle">
    <w:name w:val="Section_title"/>
    <w:basedOn w:val="Normal"/>
    <w:next w:val="Normalaftertitle"/>
    <w:rsid w:val="000F5A95"/>
    <w:rPr>
      <w:sz w:val="28"/>
    </w:rPr>
  </w:style>
  <w:style w:type="paragraph" w:customStyle="1" w:styleId="SpecialFooter">
    <w:name w:val="Special Footer"/>
    <w:basedOn w:val="Footer"/>
    <w:rsid w:val="000F5A9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rsid w:val="000F5A95"/>
    <w:pPr>
      <w:keepNext/>
      <w:keepLines/>
      <w:spacing w:before="80" w:after="80"/>
      <w:jc w:val="center"/>
    </w:pPr>
    <w:rPr>
      <w:b/>
    </w:rPr>
  </w:style>
  <w:style w:type="paragraph" w:customStyle="1" w:styleId="Tablelegend">
    <w:name w:val="Table_legend"/>
    <w:basedOn w:val="Tabletext"/>
    <w:rsid w:val="000F5A95"/>
    <w:pPr>
      <w:ind w:left="284" w:hanging="284"/>
    </w:pPr>
    <w:rPr>
      <w:sz w:val="20"/>
    </w:rPr>
  </w:style>
  <w:style w:type="paragraph" w:customStyle="1" w:styleId="Tableref">
    <w:name w:val="Table_ref"/>
    <w:basedOn w:val="Normal"/>
    <w:next w:val="Tabletitle"/>
    <w:rsid w:val="000F5A95"/>
    <w:pPr>
      <w:keepNext/>
      <w:keepLines/>
      <w:jc w:val="center"/>
    </w:pPr>
    <w:rPr>
      <w:sz w:val="20"/>
    </w:rPr>
  </w:style>
  <w:style w:type="paragraph" w:customStyle="1" w:styleId="Reasons">
    <w:name w:val="Reasons"/>
    <w:basedOn w:val="Normal"/>
    <w:qFormat/>
    <w:rsid w:val="000F5A95"/>
  </w:style>
  <w:style w:type="paragraph" w:customStyle="1" w:styleId="FigureNo">
    <w:name w:val="Figure_No"/>
    <w:basedOn w:val="Normal"/>
    <w:next w:val="Figuretitle"/>
    <w:rsid w:val="000F5A95"/>
    <w:pPr>
      <w:keepNext/>
      <w:keepLines/>
      <w:spacing w:before="480" w:after="120"/>
      <w:jc w:val="center"/>
    </w:pPr>
    <w:rPr>
      <w:caps/>
    </w:rPr>
  </w:style>
  <w:style w:type="paragraph" w:customStyle="1" w:styleId="Table">
    <w:name w:val="Table_#"/>
    <w:basedOn w:val="Normal"/>
    <w:next w:val="Normal"/>
    <w:rsid w:val="00093EEB"/>
    <w:pPr>
      <w:keepNext/>
      <w:overflowPunct/>
      <w:autoSpaceDE/>
      <w:autoSpaceDN/>
      <w:adjustRightInd/>
      <w:spacing w:before="560" w:after="120"/>
      <w:jc w:val="center"/>
      <w:textAlignment w:val="auto"/>
    </w:pPr>
    <w:rPr>
      <w:caps/>
      <w:lang w:val="en-GB"/>
    </w:rPr>
  </w:style>
  <w:style w:type="paragraph" w:customStyle="1" w:styleId="Subtitle">
    <w:name w:val="Sub_title"/>
    <w:basedOn w:val="Normal"/>
    <w:qFormat/>
    <w:rsid w:val="000F5A95"/>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0F5A95"/>
    <w:rPr>
      <w:rFonts w:ascii="Calibri" w:hAnsi="Calibri"/>
      <w:sz w:val="18"/>
      <w:lang w:val="fr-FR" w:eastAsia="en-US"/>
    </w:rPr>
  </w:style>
  <w:style w:type="table" w:styleId="TableGrid">
    <w:name w:val="Table Grid"/>
    <w:basedOn w:val="TableNormal"/>
    <w:uiPriority w:val="39"/>
    <w:rsid w:val="000F5A95"/>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5A95"/>
    <w:rPr>
      <w:color w:val="666666"/>
    </w:rPr>
  </w:style>
  <w:style w:type="character" w:styleId="UnresolvedMention">
    <w:name w:val="Unresolved Mention"/>
    <w:basedOn w:val="DefaultParagraphFont"/>
    <w:uiPriority w:val="99"/>
    <w:semiHidden/>
    <w:unhideWhenUsed/>
    <w:rsid w:val="002946E2"/>
    <w:rPr>
      <w:color w:val="605E5C"/>
      <w:shd w:val="clear" w:color="auto" w:fill="E1DFDD"/>
    </w:rPr>
  </w:style>
  <w:style w:type="paragraph" w:customStyle="1" w:styleId="firstfooter0">
    <w:name w:val="firstfooter"/>
    <w:basedOn w:val="Normal"/>
    <w:rsid w:val="000F5A9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Object">
    <w:name w:val="Object"/>
    <w:basedOn w:val="Subject"/>
    <w:next w:val="Subject"/>
    <w:rsid w:val="000F5A95"/>
  </w:style>
  <w:style w:type="paragraph" w:customStyle="1" w:styleId="Referencetext">
    <w:name w:val="Reference_text"/>
    <w:basedOn w:val="Normal"/>
    <w:rsid w:val="000F5A95"/>
    <w:pPr>
      <w:framePr w:hSpace="181" w:wrap="around" w:vAnchor="page" w:hAnchor="page" w:x="1589" w:y="2314"/>
      <w:spacing w:after="160"/>
    </w:pPr>
    <w:rPr>
      <w:i/>
      <w:iCs/>
      <w:sz w:val="22"/>
      <w:szCs w:val="22"/>
    </w:rPr>
  </w:style>
  <w:style w:type="paragraph" w:styleId="Revision">
    <w:name w:val="Revision"/>
    <w:hidden/>
    <w:uiPriority w:val="99"/>
    <w:semiHidden/>
    <w:rsid w:val="0036323B"/>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64/es" TargetMode="External"/><Relationship Id="rId13" Type="http://schemas.openxmlformats.org/officeDocument/2006/relationships/hyperlink" Target="https://www.itu.int/md/S26-CL-C-0068/en" TargetMode="External"/><Relationship Id="rId18" Type="http://schemas.openxmlformats.org/officeDocument/2006/relationships/hyperlink" Target="http://council.itu.int/2026/wp-content/uploads/sites/6/2026/06/26.05.07-Italy_EU-statement-on-Ukraine-PL7.pdf" TargetMode="External"/><Relationship Id="rId26" Type="http://schemas.openxmlformats.org/officeDocument/2006/relationships/hyperlink" Target="https://www.itu.int/md/S26-CL-C-0028/es" TargetMode="External"/><Relationship Id="rId3" Type="http://schemas.openxmlformats.org/officeDocument/2006/relationships/webSettings" Target="webSettings.xml"/><Relationship Id="rId21" Type="http://schemas.openxmlformats.org/officeDocument/2006/relationships/hyperlink" Target="http://council.itu.int/2026/wp-content/uploads/sites/6/2026/06/26.05.07-E-Russian-Federation-statement-C26_68-PL7.pdf" TargetMode="External"/><Relationship Id="rId7" Type="http://schemas.openxmlformats.org/officeDocument/2006/relationships/hyperlink" Target="https://www.itu.int/md/S26-CL-C-0068/es" TargetMode="External"/><Relationship Id="rId12" Type="http://schemas.openxmlformats.org/officeDocument/2006/relationships/hyperlink" Target="https://www.itu.int/md/S26-CL-C-0068/es" TargetMode="External"/><Relationship Id="rId17" Type="http://schemas.openxmlformats.org/officeDocument/2006/relationships/hyperlink" Target="http://council.itu.int/2026/wp-content/uploads/sites/6/2026/06/26.05.07-Brazil-statement-on-Ukraine-PL7.pdf" TargetMode="External"/><Relationship Id="rId25" Type="http://schemas.openxmlformats.org/officeDocument/2006/relationships/hyperlink" Target="http://council.itu.int/2026/wp-content/uploads/sites/6/2026/06/26.05.07-UNESCO-DG-speech-PL7.pdf" TargetMode="External"/><Relationship Id="rId2" Type="http://schemas.openxmlformats.org/officeDocument/2006/relationships/settings" Target="settings.xml"/><Relationship Id="rId16" Type="http://schemas.openxmlformats.org/officeDocument/2006/relationships/hyperlink" Target="http://council.itu.int/2026/wp-content/uploads/sites/6/2026/06/26.05.07-Brazil-statement-on-Ukraine-PL7.pdf" TargetMode="External"/><Relationship Id="rId20" Type="http://schemas.openxmlformats.org/officeDocument/2006/relationships/hyperlink" Target="https://council.itu.int/2026/wp-content/uploads/sites/6/2026/06/26.05.07-E-Russian-Federation-statement-C26_68-PL7.pdf"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itu.int/md/S26-CL-C-0069/es" TargetMode="External"/><Relationship Id="rId11" Type="http://schemas.openxmlformats.org/officeDocument/2006/relationships/hyperlink" Target="https://www.itu.int/md/S26-CL-C-0028/es" TargetMode="External"/><Relationship Id="rId24" Type="http://schemas.openxmlformats.org/officeDocument/2006/relationships/hyperlink" Target="https://council.itu.int/2026/wp-content/uploads/sites/6/2026/06/26.05.07-UNESCO-DG-speech-PL7.pdf" TargetMode="External"/><Relationship Id="rId5" Type="http://schemas.openxmlformats.org/officeDocument/2006/relationships/endnotes" Target="endnotes.xml"/><Relationship Id="rId15" Type="http://schemas.openxmlformats.org/officeDocument/2006/relationships/hyperlink" Target="http://council.itu.int/2026/wp-content/uploads/sites/6/2026/06/26.05.07-Ukraine_43-Joint-Statement-PL7.pdf" TargetMode="External"/><Relationship Id="rId23" Type="http://schemas.openxmlformats.org/officeDocument/2006/relationships/hyperlink" Target="https://www.itu.int/md/S26-CL-C-0083/es" TargetMode="External"/><Relationship Id="rId28" Type="http://schemas.openxmlformats.org/officeDocument/2006/relationships/header" Target="header1.xml"/><Relationship Id="rId10" Type="http://schemas.openxmlformats.org/officeDocument/2006/relationships/hyperlink" Target="https://www.itu.int/md/S26-CL-C-0083/es" TargetMode="External"/><Relationship Id="rId19" Type="http://schemas.openxmlformats.org/officeDocument/2006/relationships/hyperlink" Target="http://council.itu.int/2026/wp-content/uploads/sites/6/2026/06/26.05.07-Italy_EU-statement-on-Ukraine-PL7.pdf"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itu.int/md/S26-CL-C-0031/es" TargetMode="External"/><Relationship Id="rId14" Type="http://schemas.openxmlformats.org/officeDocument/2006/relationships/hyperlink" Target="http://council.itu.int/2026/wp-content/uploads/sites/6/2026/06/26.05.07-Ukraine_43-Joint-Statement-PL7.pdf" TargetMode="External"/><Relationship Id="rId22" Type="http://schemas.openxmlformats.org/officeDocument/2006/relationships/hyperlink" Target="http://council.itu.int/2026/wp-content/uploads/sites/6/2026/06/26.05.07-USA-PL7.pdf"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yala\AppData\Roaming\Microsoft\Templates\POOL%20S%20-%20ITU\GS\PS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PS_Council26.dotx</Template>
  <TotalTime>7</TotalTime>
  <Pages>8</Pages>
  <Words>3381</Words>
  <Characters>20597</Characters>
  <Application>Microsoft Office Word</Application>
  <DocSecurity>0</DocSecurity>
  <Lines>349</Lines>
  <Paragraphs>111</Paragraphs>
  <ScaleCrop>false</ScaleCrop>
  <HeadingPairs>
    <vt:vector size="4" baseType="variant">
      <vt:variant>
        <vt:lpstr>Title</vt:lpstr>
      </vt:variant>
      <vt:variant>
        <vt:i4>1</vt:i4>
      </vt:variant>
      <vt:variant>
        <vt:lpstr>UNIÓN INTERNACIONAL DE TELECOMUNICACIONES	</vt:lpstr>
      </vt:variant>
      <vt:variant>
        <vt:i4>0</vt:i4>
      </vt:variant>
    </vt:vector>
  </HeadingPairs>
  <TitlesOfParts>
    <vt:vector size="1" baseType="lpstr">
      <vt:lpstr>Resumen de los debates de la séptima Sesión Plenaria</vt:lpstr>
    </vt:vector>
  </TitlesOfParts>
  <Manager>Secretaría General - Pool</Manager>
  <Company>International Telecommunication Union</Company>
  <LinksUpToDate>false</LinksUpToDate>
  <CharactersWithSpaces>23867</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de los debates de la séptima Sesión Plenaria</dc:title>
  <dc:subject>Consejo 2026 de la UIT</dc:subject>
  <cp:keywords>C26; C2026; Council 2026; PP26</cp:keywords>
  <dc:description/>
  <cp:lastPrinted>2006-03-24T09:51:00Z</cp:lastPrinted>
  <dcterms:created xsi:type="dcterms:W3CDTF">2026-08-06T13:11:00Z</dcterms:created>
  <dcterms:modified xsi:type="dcterms:W3CDTF">2026-08-06T14:27:00Z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Documento C17/-S</vt:lpwstr>
  </property>
  <property fmtid="{D5CDD505-2E9C-101B-9397-08002B2CF9AE}" pid="3" name="Docdate">
    <vt:lpwstr>enero de 2017</vt:lpwstr>
  </property>
  <property fmtid="{D5CDD505-2E9C-101B-9397-08002B2CF9AE}" pid="4" name="Docorlang">
    <vt:lpwstr>Original: inglés</vt:lpwstr>
  </property>
  <property fmtid="{D5CDD505-2E9C-101B-9397-08002B2CF9AE}" pid="5" name="Docbluepink">
    <vt:lpwstr>Consejo 2017 Ginebra, 15-25 de mayo de 2017</vt:lpwstr>
  </property>
  <property fmtid="{D5CDD505-2E9C-101B-9397-08002B2CF9AE}" pid="6" name="Docdest">
    <vt:lpwstr/>
  </property>
  <property fmtid="{D5CDD505-2E9C-101B-9397-08002B2CF9AE}" pid="7" name="Docauthor">
    <vt:lpwstr/>
  </property>
  <property fmtid="{D5CDD505-2E9C-101B-9397-08002B2CF9AE}" pid="8" name="GrammarlyDocumentId">
    <vt:lpwstr>5c03a5c9b91678b956e25536f0296632c716f66cf9a10e87f22af88ff3e788b1</vt:lpwstr>
  </property>
</Properties>
</file>