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D72F49" w:rsidRPr="00813E5E" w14:paraId="3EDBF9CD" w14:textId="77777777" w:rsidTr="00796BDB">
        <w:trPr>
          <w:cantSplit/>
          <w:trHeight w:val="23"/>
        </w:trPr>
        <w:tc>
          <w:tcPr>
            <w:tcW w:w="3969" w:type="dxa"/>
            <w:vMerge w:val="restart"/>
            <w:tcMar>
              <w:left w:w="0" w:type="dxa"/>
            </w:tcMar>
          </w:tcPr>
          <w:p w14:paraId="3B62AE8A" w14:textId="52DF642B" w:rsidR="00D72F49" w:rsidRPr="00E85629" w:rsidRDefault="00D72F49" w:rsidP="00796BDB">
            <w:pPr>
              <w:tabs>
                <w:tab w:val="left" w:pos="851"/>
              </w:tabs>
              <w:spacing w:before="0" w:line="240" w:lineRule="atLeast"/>
              <w:rPr>
                <w:b/>
              </w:rPr>
            </w:pPr>
          </w:p>
        </w:tc>
        <w:tc>
          <w:tcPr>
            <w:tcW w:w="5245" w:type="dxa"/>
          </w:tcPr>
          <w:p w14:paraId="53CEC803" w14:textId="5B5762BE" w:rsidR="00D72F49" w:rsidRPr="00E85629" w:rsidRDefault="00D72F49" w:rsidP="00B6638A">
            <w:pPr>
              <w:tabs>
                <w:tab w:val="left" w:pos="851"/>
              </w:tabs>
              <w:spacing w:before="0" w:line="240" w:lineRule="atLeast"/>
              <w:jc w:val="right"/>
              <w:rPr>
                <w:b/>
              </w:rPr>
            </w:pPr>
            <w:r>
              <w:rPr>
                <w:b/>
              </w:rPr>
              <w:t>Document C2</w:t>
            </w:r>
            <w:r w:rsidR="00E4448E">
              <w:rPr>
                <w:b/>
              </w:rPr>
              <w:t>6</w:t>
            </w:r>
            <w:r>
              <w:rPr>
                <w:b/>
              </w:rPr>
              <w:t>/</w:t>
            </w:r>
            <w:r w:rsidR="00B6638A" w:rsidRPr="00B6638A">
              <w:rPr>
                <w:b/>
                <w:bCs/>
              </w:rPr>
              <w:t>124-F</w:t>
            </w:r>
          </w:p>
        </w:tc>
      </w:tr>
      <w:tr w:rsidR="00D72F49" w:rsidRPr="00C049D7" w14:paraId="465D516E" w14:textId="77777777" w:rsidTr="00796BDB">
        <w:trPr>
          <w:cantSplit/>
        </w:trPr>
        <w:tc>
          <w:tcPr>
            <w:tcW w:w="3969" w:type="dxa"/>
            <w:vMerge/>
          </w:tcPr>
          <w:p w14:paraId="180AF7BB" w14:textId="77777777" w:rsidR="00D72F49" w:rsidRPr="00813E5E" w:rsidRDefault="00D72F49" w:rsidP="00796BDB">
            <w:pPr>
              <w:tabs>
                <w:tab w:val="left" w:pos="851"/>
              </w:tabs>
              <w:spacing w:line="240" w:lineRule="atLeast"/>
              <w:rPr>
                <w:b/>
              </w:rPr>
            </w:pPr>
          </w:p>
        </w:tc>
        <w:tc>
          <w:tcPr>
            <w:tcW w:w="5245" w:type="dxa"/>
          </w:tcPr>
          <w:p w14:paraId="77CE74A2" w14:textId="7D4553AC" w:rsidR="00D72F49" w:rsidRPr="00FC6D7D" w:rsidRDefault="00D8102D" w:rsidP="00796BDB">
            <w:pPr>
              <w:tabs>
                <w:tab w:val="left" w:pos="851"/>
              </w:tabs>
              <w:spacing w:before="0"/>
              <w:jc w:val="right"/>
              <w:rPr>
                <w:b/>
                <w:lang w:val="en-GB"/>
              </w:rPr>
            </w:pPr>
            <w:r>
              <w:rPr>
                <w:b/>
              </w:rPr>
              <w:t>3 août</w:t>
            </w:r>
            <w:r w:rsidR="00B6638A" w:rsidRPr="00B6638A">
              <w:rPr>
                <w:b/>
              </w:rPr>
              <w:t xml:space="preserve"> 2026</w:t>
            </w:r>
          </w:p>
        </w:tc>
      </w:tr>
      <w:tr w:rsidR="00D72F49" w:rsidRPr="00813E5E" w14:paraId="1C80876C" w14:textId="77777777" w:rsidTr="00796BDB">
        <w:trPr>
          <w:cantSplit/>
          <w:trHeight w:val="23"/>
        </w:trPr>
        <w:tc>
          <w:tcPr>
            <w:tcW w:w="3969" w:type="dxa"/>
            <w:vMerge/>
          </w:tcPr>
          <w:p w14:paraId="0509B611" w14:textId="77777777" w:rsidR="00D72F49" w:rsidRPr="00FC6D7D" w:rsidRDefault="00D72F49" w:rsidP="00796BDB">
            <w:pPr>
              <w:tabs>
                <w:tab w:val="left" w:pos="851"/>
              </w:tabs>
              <w:spacing w:line="240" w:lineRule="atLeast"/>
              <w:rPr>
                <w:b/>
                <w:lang w:val="en-GB"/>
              </w:rPr>
            </w:pPr>
          </w:p>
        </w:tc>
        <w:tc>
          <w:tcPr>
            <w:tcW w:w="5245" w:type="dxa"/>
          </w:tcPr>
          <w:p w14:paraId="609A5A21" w14:textId="77777777" w:rsidR="00D72F49" w:rsidRPr="00E85629" w:rsidRDefault="00D72F49" w:rsidP="00796BDB">
            <w:pPr>
              <w:tabs>
                <w:tab w:val="left" w:pos="851"/>
              </w:tabs>
              <w:spacing w:before="0" w:line="240" w:lineRule="atLeast"/>
              <w:jc w:val="right"/>
              <w:rPr>
                <w:b/>
              </w:rPr>
            </w:pPr>
            <w:r w:rsidRPr="00122CE1">
              <w:rPr>
                <w:b/>
                <w:lang w:val="fr-CH"/>
              </w:rPr>
              <w:t>Original: anglais</w:t>
            </w:r>
          </w:p>
        </w:tc>
      </w:tr>
      <w:tr w:rsidR="00D72F49" w:rsidRPr="00813E5E" w14:paraId="12E16AB3" w14:textId="77777777" w:rsidTr="00796BDB">
        <w:trPr>
          <w:cantSplit/>
          <w:trHeight w:val="23"/>
        </w:trPr>
        <w:tc>
          <w:tcPr>
            <w:tcW w:w="3969" w:type="dxa"/>
          </w:tcPr>
          <w:p w14:paraId="09D7EF23" w14:textId="77777777" w:rsidR="00D72F49" w:rsidRPr="00813E5E" w:rsidRDefault="00D72F49" w:rsidP="00796BDB">
            <w:pPr>
              <w:tabs>
                <w:tab w:val="left" w:pos="851"/>
              </w:tabs>
              <w:spacing w:line="240" w:lineRule="atLeast"/>
              <w:rPr>
                <w:b/>
              </w:rPr>
            </w:pPr>
          </w:p>
        </w:tc>
        <w:tc>
          <w:tcPr>
            <w:tcW w:w="5245" w:type="dxa"/>
          </w:tcPr>
          <w:p w14:paraId="3BFDCE55" w14:textId="77777777" w:rsidR="00D72F49" w:rsidRDefault="00D72F49" w:rsidP="00796BDB">
            <w:pPr>
              <w:tabs>
                <w:tab w:val="left" w:pos="851"/>
              </w:tabs>
              <w:spacing w:before="0" w:line="240" w:lineRule="atLeast"/>
              <w:jc w:val="right"/>
              <w:rPr>
                <w:b/>
              </w:rPr>
            </w:pPr>
          </w:p>
        </w:tc>
      </w:tr>
      <w:tr w:rsidR="00D72F49" w:rsidRPr="00122CE1" w14:paraId="29F1964C" w14:textId="77777777" w:rsidTr="00812300">
        <w:trPr>
          <w:cantSplit/>
        </w:trPr>
        <w:tc>
          <w:tcPr>
            <w:tcW w:w="9214" w:type="dxa"/>
            <w:gridSpan w:val="2"/>
            <w:tcMar>
              <w:left w:w="0" w:type="dxa"/>
            </w:tcMar>
          </w:tcPr>
          <w:p w14:paraId="6CC70401" w14:textId="2A21158C" w:rsidR="00B6638A" w:rsidRPr="00B6638A" w:rsidRDefault="00B6638A" w:rsidP="000A51E4">
            <w:pPr>
              <w:pStyle w:val="Source"/>
              <w:spacing w:before="240" w:after="120"/>
              <w:rPr>
                <w:rFonts w:cstheme="minorHAnsi"/>
                <w:bCs/>
                <w:color w:val="000000"/>
                <w:sz w:val="34"/>
                <w:szCs w:val="34"/>
              </w:rPr>
            </w:pPr>
            <w:r w:rsidRPr="00B6638A">
              <w:rPr>
                <w:rFonts w:cstheme="minorHAnsi"/>
                <w:bCs/>
                <w:color w:val="000000"/>
                <w:sz w:val="34"/>
                <w:szCs w:val="34"/>
              </w:rPr>
              <w:t xml:space="preserve">COMPTE RENDU </w:t>
            </w:r>
            <w:r w:rsidR="000A51E4">
              <w:rPr>
                <w:rFonts w:cstheme="minorHAnsi"/>
                <w:bCs/>
                <w:color w:val="000000"/>
                <w:sz w:val="34"/>
                <w:szCs w:val="34"/>
              </w:rPr>
              <w:br/>
            </w:r>
            <w:r w:rsidRPr="00B6638A">
              <w:rPr>
                <w:rFonts w:cstheme="minorHAnsi"/>
                <w:bCs/>
                <w:color w:val="000000"/>
                <w:sz w:val="34"/>
                <w:szCs w:val="34"/>
              </w:rPr>
              <w:br/>
              <w:t xml:space="preserve">DE LA </w:t>
            </w:r>
            <w:r w:rsidR="000A51E4">
              <w:rPr>
                <w:rFonts w:cstheme="minorHAnsi"/>
                <w:bCs/>
                <w:color w:val="000000"/>
                <w:sz w:val="34"/>
                <w:szCs w:val="34"/>
              </w:rPr>
              <w:br/>
            </w:r>
            <w:r w:rsidRPr="00B6638A">
              <w:rPr>
                <w:rFonts w:cstheme="minorHAnsi"/>
                <w:bCs/>
                <w:color w:val="000000"/>
                <w:sz w:val="34"/>
                <w:szCs w:val="34"/>
              </w:rPr>
              <w:br/>
              <w:t>SEPTIÈME SÉANCE PLÉNIÈRE</w:t>
            </w:r>
          </w:p>
        </w:tc>
      </w:tr>
      <w:tr w:rsidR="00D72F49" w:rsidRPr="00813E5E" w14:paraId="3D2B21B2" w14:textId="77777777" w:rsidTr="00796BDB">
        <w:trPr>
          <w:cantSplit/>
        </w:trPr>
        <w:tc>
          <w:tcPr>
            <w:tcW w:w="9214" w:type="dxa"/>
            <w:gridSpan w:val="2"/>
            <w:tcMar>
              <w:left w:w="0" w:type="dxa"/>
            </w:tcMar>
          </w:tcPr>
          <w:p w14:paraId="1260FF23" w14:textId="77777777" w:rsidR="00D72F49" w:rsidRPr="00F66750" w:rsidRDefault="00B6638A" w:rsidP="00B6638A">
            <w:pPr>
              <w:pStyle w:val="Subtitle"/>
              <w:framePr w:hSpace="0" w:wrap="auto" w:hAnchor="text" w:xAlign="left" w:yAlign="inline"/>
              <w:jc w:val="center"/>
              <w:rPr>
                <w:rFonts w:cstheme="minorHAnsi"/>
                <w:sz w:val="24"/>
                <w:szCs w:val="24"/>
                <w:lang w:val="fr-FR"/>
              </w:rPr>
            </w:pPr>
            <w:r w:rsidRPr="00F66750">
              <w:rPr>
                <w:rFonts w:cstheme="minorHAnsi"/>
                <w:sz w:val="24"/>
                <w:szCs w:val="24"/>
                <w:lang w:val="fr-FR"/>
              </w:rPr>
              <w:t>Jeudi 7 mai 2026, de 14 h 30 à 17 h 40</w:t>
            </w:r>
          </w:p>
          <w:p w14:paraId="341FA5DF" w14:textId="0EC1CC85" w:rsidR="00B6638A" w:rsidRPr="00B6638A" w:rsidRDefault="00B6638A" w:rsidP="00B6638A">
            <w:pPr>
              <w:pStyle w:val="Subtitle"/>
              <w:framePr w:hSpace="0" w:wrap="auto" w:hAnchor="text" w:xAlign="left" w:yAlign="inline"/>
              <w:jc w:val="center"/>
              <w:rPr>
                <w:sz w:val="32"/>
                <w:szCs w:val="32"/>
                <w:lang w:val="fr-FR"/>
              </w:rPr>
            </w:pPr>
            <w:r w:rsidRPr="00F66750">
              <w:rPr>
                <w:b/>
                <w:bCs/>
                <w:sz w:val="24"/>
                <w:szCs w:val="24"/>
                <w:lang w:val="fr-FR"/>
              </w:rPr>
              <w:t>Président</w:t>
            </w:r>
            <w:r w:rsidRPr="00B86ED7">
              <w:rPr>
                <w:sz w:val="24"/>
                <w:szCs w:val="24"/>
                <w:lang w:val="fr-FR"/>
              </w:rPr>
              <w:t>:</w:t>
            </w:r>
            <w:r w:rsidRPr="00F66750">
              <w:rPr>
                <w:sz w:val="24"/>
                <w:szCs w:val="24"/>
                <w:lang w:val="fr-FR"/>
              </w:rPr>
              <w:t xml:space="preserve"> M. B. Tijani (Nigéria)</w:t>
            </w:r>
          </w:p>
        </w:tc>
      </w:tr>
      <w:tr w:rsidR="00D72F49" w:rsidRPr="00B6638A" w14:paraId="489E1FC9" w14:textId="77777777" w:rsidTr="00812300">
        <w:trPr>
          <w:cantSplit/>
        </w:trPr>
        <w:tc>
          <w:tcPr>
            <w:tcW w:w="9214" w:type="dxa"/>
            <w:gridSpan w:val="2"/>
            <w:tcMar>
              <w:left w:w="0" w:type="dxa"/>
            </w:tcMar>
          </w:tcPr>
          <w:tbl>
            <w:tblPr>
              <w:tblW w:w="9214" w:type="dxa"/>
              <w:tblLayout w:type="fixed"/>
              <w:tblLook w:val="04A0" w:firstRow="1" w:lastRow="0" w:firstColumn="1" w:lastColumn="0" w:noHBand="0" w:noVBand="1"/>
            </w:tblPr>
            <w:tblGrid>
              <w:gridCol w:w="446"/>
              <w:gridCol w:w="6597"/>
              <w:gridCol w:w="2171"/>
            </w:tblGrid>
            <w:tr w:rsidR="00B6638A" w:rsidRPr="00FC14CF" w14:paraId="5852C866" w14:textId="77777777" w:rsidTr="00812300">
              <w:tc>
                <w:tcPr>
                  <w:tcW w:w="446" w:type="dxa"/>
                </w:tcPr>
                <w:p w14:paraId="0CFD194E" w14:textId="77777777" w:rsidR="00B6638A" w:rsidRPr="00FC14CF" w:rsidRDefault="00B6638A" w:rsidP="00FC14CF">
                  <w:pPr>
                    <w:pStyle w:val="Tablehead"/>
                    <w:framePr w:hSpace="181" w:wrap="around" w:vAnchor="page" w:hAnchor="page" w:x="1589" w:y="2314"/>
                    <w:spacing w:before="480" w:after="120"/>
                    <w:rPr>
                      <w:sz w:val="24"/>
                      <w:szCs w:val="24"/>
                      <w:lang w:val="fr-CH"/>
                    </w:rPr>
                  </w:pPr>
                  <w:bookmarkStart w:id="0" w:name="_Hlk141438382"/>
                  <w:r w:rsidRPr="00FC14CF">
                    <w:rPr>
                      <w:sz w:val="24"/>
                      <w:szCs w:val="24"/>
                      <w:lang w:val="fr-CH"/>
                    </w:rPr>
                    <w:br w:type="page"/>
                  </w:r>
                  <w:r w:rsidRPr="00FC14CF">
                    <w:rPr>
                      <w:sz w:val="24"/>
                      <w:szCs w:val="24"/>
                      <w:lang w:val="fr-CH"/>
                    </w:rPr>
                    <w:br w:type="page"/>
                  </w:r>
                </w:p>
              </w:tc>
              <w:tc>
                <w:tcPr>
                  <w:tcW w:w="6597" w:type="dxa"/>
                  <w:hideMark/>
                </w:tcPr>
                <w:p w14:paraId="64C08FF6" w14:textId="77777777" w:rsidR="00B6638A" w:rsidRPr="00FC14CF" w:rsidRDefault="00B6638A" w:rsidP="00FC14CF">
                  <w:pPr>
                    <w:pStyle w:val="Tablehead"/>
                    <w:framePr w:hSpace="181" w:wrap="around" w:vAnchor="page" w:hAnchor="page" w:x="1589" w:y="2314"/>
                    <w:spacing w:before="480" w:after="120"/>
                    <w:jc w:val="left"/>
                    <w:rPr>
                      <w:sz w:val="24"/>
                      <w:szCs w:val="24"/>
                    </w:rPr>
                  </w:pPr>
                  <w:r w:rsidRPr="00FC14CF">
                    <w:rPr>
                      <w:sz w:val="24"/>
                      <w:szCs w:val="24"/>
                    </w:rPr>
                    <w:t>Sujets traités</w:t>
                  </w:r>
                </w:p>
              </w:tc>
              <w:tc>
                <w:tcPr>
                  <w:tcW w:w="2171" w:type="dxa"/>
                  <w:hideMark/>
                </w:tcPr>
                <w:p w14:paraId="4A5FCD46" w14:textId="77777777" w:rsidR="00B6638A" w:rsidRPr="00FC14CF" w:rsidRDefault="00B6638A" w:rsidP="00FC14CF">
                  <w:pPr>
                    <w:pStyle w:val="Tablehead"/>
                    <w:framePr w:hSpace="181" w:wrap="around" w:vAnchor="page" w:hAnchor="page" w:x="1589" w:y="2314"/>
                    <w:spacing w:before="480" w:after="120"/>
                    <w:rPr>
                      <w:sz w:val="24"/>
                      <w:szCs w:val="24"/>
                    </w:rPr>
                  </w:pPr>
                  <w:r w:rsidRPr="00FC14CF">
                    <w:rPr>
                      <w:sz w:val="24"/>
                      <w:szCs w:val="24"/>
                    </w:rPr>
                    <w:t>Documents</w:t>
                  </w:r>
                </w:p>
              </w:tc>
            </w:tr>
            <w:tr w:rsidR="00B6638A" w:rsidRPr="00FC14CF" w14:paraId="78E3C448" w14:textId="77777777" w:rsidTr="0013265F">
              <w:trPr>
                <w:trHeight w:val="20"/>
              </w:trPr>
              <w:tc>
                <w:tcPr>
                  <w:tcW w:w="446" w:type="dxa"/>
                  <w:hideMark/>
                </w:tcPr>
                <w:p w14:paraId="7ADEE650" w14:textId="77777777" w:rsidR="00B6638A" w:rsidRPr="00FC14CF" w:rsidRDefault="00B6638A" w:rsidP="00FC14CF">
                  <w:pPr>
                    <w:pStyle w:val="Tabletext"/>
                    <w:framePr w:hSpace="181" w:wrap="around" w:vAnchor="page" w:hAnchor="page" w:x="1589" w:y="2314"/>
                    <w:rPr>
                      <w:sz w:val="24"/>
                      <w:szCs w:val="24"/>
                    </w:rPr>
                  </w:pPr>
                  <w:r w:rsidRPr="00FC14CF">
                    <w:rPr>
                      <w:sz w:val="24"/>
                      <w:szCs w:val="24"/>
                    </w:rPr>
                    <w:t>1</w:t>
                  </w:r>
                </w:p>
              </w:tc>
              <w:tc>
                <w:tcPr>
                  <w:tcW w:w="6597" w:type="dxa"/>
                </w:tcPr>
                <w:p w14:paraId="54369587" w14:textId="63C40033" w:rsidR="00B6638A" w:rsidRPr="00FC14CF" w:rsidRDefault="00B6638A" w:rsidP="00FC14CF">
                  <w:pPr>
                    <w:pStyle w:val="Tabletext"/>
                    <w:framePr w:hSpace="181" w:wrap="around" w:vAnchor="page" w:hAnchor="page" w:x="1589" w:y="2314"/>
                    <w:rPr>
                      <w:sz w:val="24"/>
                      <w:szCs w:val="24"/>
                    </w:rPr>
                  </w:pPr>
                  <w:r w:rsidRPr="00FC14CF">
                    <w:rPr>
                      <w:sz w:val="24"/>
                      <w:szCs w:val="24"/>
                    </w:rPr>
                    <w:t>Rapport d'activité sur l'assistance et l'appui à la Palestine (</w:t>
                  </w:r>
                  <w:r w:rsidRPr="00812300">
                    <w:rPr>
                      <w:i/>
                      <w:iCs/>
                      <w:sz w:val="24"/>
                      <w:szCs w:val="24"/>
                    </w:rPr>
                    <w:t>suite</w:t>
                  </w:r>
                  <w:r w:rsidRPr="00FC14CF">
                    <w:rPr>
                      <w:sz w:val="24"/>
                      <w:szCs w:val="24"/>
                    </w:rPr>
                    <w:t>)</w:t>
                  </w:r>
                </w:p>
              </w:tc>
              <w:tc>
                <w:tcPr>
                  <w:tcW w:w="2171" w:type="dxa"/>
                </w:tcPr>
                <w:p w14:paraId="4D134FA8" w14:textId="373FF62F" w:rsidR="00B6638A" w:rsidRPr="00FC14CF" w:rsidRDefault="00F16DBE" w:rsidP="00FC14CF">
                  <w:pPr>
                    <w:pStyle w:val="Tabletext"/>
                    <w:framePr w:hSpace="181" w:wrap="around" w:vAnchor="page" w:hAnchor="page" w:x="1589" w:y="2314"/>
                    <w:jc w:val="center"/>
                    <w:rPr>
                      <w:rStyle w:val="FollowedHyperlink"/>
                      <w:sz w:val="24"/>
                      <w:szCs w:val="24"/>
                      <w:u w:val="none"/>
                    </w:rPr>
                  </w:pPr>
                  <w:hyperlink r:id="rId8" w:history="1">
                    <w:r w:rsidRPr="00FC14CF">
                      <w:rPr>
                        <w:rStyle w:val="Hyperlink"/>
                        <w:sz w:val="24"/>
                        <w:szCs w:val="24"/>
                        <w:lang w:val="en-GB"/>
                      </w:rPr>
                      <w:t>C26/69</w:t>
                    </w:r>
                  </w:hyperlink>
                </w:p>
              </w:tc>
            </w:tr>
            <w:tr w:rsidR="00B6638A" w:rsidRPr="00FC14CF" w14:paraId="0D0320F1" w14:textId="77777777" w:rsidTr="0013265F">
              <w:trPr>
                <w:trHeight w:val="20"/>
              </w:trPr>
              <w:tc>
                <w:tcPr>
                  <w:tcW w:w="446" w:type="dxa"/>
                </w:tcPr>
                <w:p w14:paraId="54EDFFB5" w14:textId="77777777" w:rsidR="00B6638A" w:rsidRPr="00FC14CF" w:rsidRDefault="00B6638A" w:rsidP="00FC14CF">
                  <w:pPr>
                    <w:pStyle w:val="Tabletext"/>
                    <w:framePr w:hSpace="181" w:wrap="around" w:vAnchor="page" w:hAnchor="page" w:x="1589" w:y="2314"/>
                    <w:rPr>
                      <w:sz w:val="24"/>
                      <w:szCs w:val="24"/>
                    </w:rPr>
                  </w:pPr>
                  <w:r w:rsidRPr="00FC14CF">
                    <w:rPr>
                      <w:sz w:val="24"/>
                      <w:szCs w:val="24"/>
                    </w:rPr>
                    <w:t>2</w:t>
                  </w:r>
                </w:p>
              </w:tc>
              <w:tc>
                <w:tcPr>
                  <w:tcW w:w="6597" w:type="dxa"/>
                </w:tcPr>
                <w:p w14:paraId="49779ED7" w14:textId="666F8A37" w:rsidR="00B6638A" w:rsidRPr="00FC14CF" w:rsidRDefault="00FC14CF" w:rsidP="00FC14CF">
                  <w:pPr>
                    <w:pStyle w:val="Tabletext"/>
                    <w:framePr w:hSpace="181" w:wrap="around" w:vAnchor="page" w:hAnchor="page" w:x="1589" w:y="2314"/>
                    <w:rPr>
                      <w:sz w:val="24"/>
                      <w:szCs w:val="24"/>
                    </w:rPr>
                  </w:pPr>
                  <w:r w:rsidRPr="00FC14CF">
                    <w:rPr>
                      <w:sz w:val="24"/>
                      <w:szCs w:val="24"/>
                    </w:rPr>
                    <w:t>Point sur la mise en œuvre de la Résolution 1408 (C22,</w:t>
                  </w:r>
                  <w:r w:rsidR="00B86ED7">
                    <w:rPr>
                      <w:sz w:val="24"/>
                      <w:szCs w:val="24"/>
                    </w:rPr>
                    <w:t> </w:t>
                  </w:r>
                  <w:r w:rsidRPr="00FC14CF">
                    <w:rPr>
                      <w:sz w:val="24"/>
                      <w:szCs w:val="24"/>
                    </w:rPr>
                    <w:t>dernière</w:t>
                  </w:r>
                  <w:r w:rsidR="00B86ED7">
                    <w:rPr>
                      <w:sz w:val="24"/>
                      <w:szCs w:val="24"/>
                    </w:rPr>
                    <w:t> </w:t>
                  </w:r>
                  <w:r w:rsidRPr="00FC14CF">
                    <w:rPr>
                      <w:sz w:val="24"/>
                      <w:szCs w:val="24"/>
                    </w:rPr>
                    <w:t>mod. C23) du Conseil sur l'assistance et l'appui</w:t>
                  </w:r>
                  <w:r w:rsidR="00B86ED7">
                    <w:rPr>
                      <w:sz w:val="24"/>
                      <w:szCs w:val="24"/>
                    </w:rPr>
                    <w:t xml:space="preserve"> </w:t>
                  </w:r>
                  <w:r w:rsidRPr="00FC14CF">
                    <w:rPr>
                      <w:sz w:val="24"/>
                      <w:szCs w:val="24"/>
                    </w:rPr>
                    <w:t>à</w:t>
                  </w:r>
                  <w:r w:rsidR="00B86ED7">
                    <w:rPr>
                      <w:sz w:val="24"/>
                      <w:szCs w:val="24"/>
                    </w:rPr>
                    <w:t> </w:t>
                  </w:r>
                  <w:r w:rsidRPr="00FC14CF">
                    <w:rPr>
                      <w:sz w:val="24"/>
                      <w:szCs w:val="24"/>
                    </w:rPr>
                    <w:t>l'Ukraine pour la reconstruction de son secteur des télécommunications</w:t>
                  </w:r>
                </w:p>
              </w:tc>
              <w:tc>
                <w:tcPr>
                  <w:tcW w:w="2171" w:type="dxa"/>
                  <w:vAlign w:val="center"/>
                </w:tcPr>
                <w:p w14:paraId="0D158104" w14:textId="38F07BCA" w:rsidR="00B6638A" w:rsidRPr="00FC14CF" w:rsidRDefault="00F16DBE" w:rsidP="00FC14CF">
                  <w:pPr>
                    <w:pStyle w:val="Tabletext"/>
                    <w:framePr w:hSpace="181" w:wrap="around" w:vAnchor="page" w:hAnchor="page" w:x="1589" w:y="2314"/>
                    <w:jc w:val="center"/>
                    <w:rPr>
                      <w:rStyle w:val="Hyperlink"/>
                      <w:sz w:val="24"/>
                      <w:szCs w:val="24"/>
                      <w:lang w:val="en-GB"/>
                    </w:rPr>
                  </w:pPr>
                  <w:hyperlink r:id="rId9" w:history="1">
                    <w:r w:rsidRPr="00FC14CF">
                      <w:rPr>
                        <w:rStyle w:val="Hyperlink"/>
                        <w:sz w:val="24"/>
                        <w:szCs w:val="24"/>
                        <w:lang w:val="en-GB"/>
                      </w:rPr>
                      <w:t>C26/68</w:t>
                    </w:r>
                  </w:hyperlink>
                </w:p>
              </w:tc>
            </w:tr>
            <w:tr w:rsidR="00B6638A" w:rsidRPr="00FC14CF" w14:paraId="6F2357B8" w14:textId="77777777" w:rsidTr="0013265F">
              <w:trPr>
                <w:trHeight w:val="20"/>
              </w:trPr>
              <w:tc>
                <w:tcPr>
                  <w:tcW w:w="446" w:type="dxa"/>
                </w:tcPr>
                <w:p w14:paraId="4C1370A7" w14:textId="77777777" w:rsidR="00B6638A" w:rsidRPr="00FC14CF" w:rsidRDefault="00B6638A" w:rsidP="00FC14CF">
                  <w:pPr>
                    <w:pStyle w:val="Tabletext"/>
                    <w:framePr w:hSpace="181" w:wrap="around" w:vAnchor="page" w:hAnchor="page" w:x="1589" w:y="2314"/>
                    <w:rPr>
                      <w:sz w:val="24"/>
                      <w:szCs w:val="24"/>
                    </w:rPr>
                  </w:pPr>
                  <w:r w:rsidRPr="00FC14CF">
                    <w:rPr>
                      <w:sz w:val="24"/>
                      <w:szCs w:val="24"/>
                    </w:rPr>
                    <w:t>3</w:t>
                  </w:r>
                </w:p>
              </w:tc>
              <w:tc>
                <w:tcPr>
                  <w:tcW w:w="6597" w:type="dxa"/>
                </w:tcPr>
                <w:p w14:paraId="20D58BDD" w14:textId="77777777" w:rsidR="00B6638A" w:rsidRPr="00FC14CF" w:rsidRDefault="00B6638A" w:rsidP="00FC14CF">
                  <w:pPr>
                    <w:pStyle w:val="Tabletext"/>
                    <w:framePr w:hSpace="181" w:wrap="around" w:vAnchor="page" w:hAnchor="page" w:x="1589" w:y="2314"/>
                    <w:rPr>
                      <w:sz w:val="24"/>
                      <w:szCs w:val="24"/>
                    </w:rPr>
                  </w:pPr>
                  <w:r w:rsidRPr="00FC14CF">
                    <w:rPr>
                      <w:sz w:val="24"/>
                      <w:szCs w:val="24"/>
                    </w:rPr>
                    <w:t>Action menée pour protéger les télécommunications utilisées à des fins humanitaires lors des conflits et des catastrophes</w:t>
                  </w:r>
                </w:p>
              </w:tc>
              <w:tc>
                <w:tcPr>
                  <w:tcW w:w="2171" w:type="dxa"/>
                </w:tcPr>
                <w:p w14:paraId="3B6364EB" w14:textId="0AB5D5EA" w:rsidR="00B6638A" w:rsidRPr="00FC14CF" w:rsidRDefault="00F16DBE" w:rsidP="00FC14CF">
                  <w:pPr>
                    <w:pStyle w:val="Tabletext"/>
                    <w:framePr w:hSpace="181" w:wrap="around" w:vAnchor="page" w:hAnchor="page" w:x="1589" w:y="2314"/>
                    <w:jc w:val="center"/>
                    <w:rPr>
                      <w:rStyle w:val="Hyperlink"/>
                      <w:sz w:val="24"/>
                      <w:szCs w:val="24"/>
                      <w:lang w:val="en-GB"/>
                    </w:rPr>
                  </w:pPr>
                  <w:hyperlink r:id="rId10" w:history="1">
                    <w:r w:rsidRPr="00FC14CF">
                      <w:rPr>
                        <w:rStyle w:val="Hyperlink"/>
                        <w:sz w:val="24"/>
                        <w:szCs w:val="24"/>
                        <w:lang w:val="en-GB"/>
                      </w:rPr>
                      <w:t>C26/64</w:t>
                    </w:r>
                  </w:hyperlink>
                </w:p>
              </w:tc>
            </w:tr>
            <w:tr w:rsidR="00B6638A" w:rsidRPr="00FC14CF" w14:paraId="1F280F26" w14:textId="77777777" w:rsidTr="0013265F">
              <w:trPr>
                <w:trHeight w:val="20"/>
              </w:trPr>
              <w:tc>
                <w:tcPr>
                  <w:tcW w:w="446" w:type="dxa"/>
                </w:tcPr>
                <w:p w14:paraId="39E93192" w14:textId="77777777" w:rsidR="00B6638A" w:rsidRPr="00FC14CF" w:rsidRDefault="00B6638A" w:rsidP="00FC14CF">
                  <w:pPr>
                    <w:pStyle w:val="Tabletext"/>
                    <w:framePr w:hSpace="181" w:wrap="around" w:vAnchor="page" w:hAnchor="page" w:x="1589" w:y="2314"/>
                    <w:rPr>
                      <w:sz w:val="24"/>
                      <w:szCs w:val="24"/>
                    </w:rPr>
                  </w:pPr>
                  <w:r w:rsidRPr="00FC14CF">
                    <w:rPr>
                      <w:sz w:val="24"/>
                      <w:szCs w:val="24"/>
                    </w:rPr>
                    <w:t>4</w:t>
                  </w:r>
                </w:p>
              </w:tc>
              <w:tc>
                <w:tcPr>
                  <w:tcW w:w="6597" w:type="dxa"/>
                </w:tcPr>
                <w:p w14:paraId="421F6E1A" w14:textId="77E74B8D" w:rsidR="00B6638A" w:rsidRPr="00FC14CF" w:rsidRDefault="00B6638A" w:rsidP="00FC14CF">
                  <w:pPr>
                    <w:pStyle w:val="Tabletext"/>
                    <w:framePr w:hSpace="181" w:wrap="around" w:vAnchor="page" w:hAnchor="page" w:x="1589" w:y="2314"/>
                    <w:rPr>
                      <w:sz w:val="24"/>
                      <w:szCs w:val="24"/>
                    </w:rPr>
                  </w:pPr>
                  <w:r w:rsidRPr="00FC14CF">
                    <w:rPr>
                      <w:sz w:val="24"/>
                      <w:szCs w:val="24"/>
                    </w:rPr>
                    <w:t xml:space="preserve">Rapport du Président du Groupe de travail du Conseil chargé d'élaborer le </w:t>
                  </w:r>
                  <w:r w:rsidR="00B86ED7">
                    <w:rPr>
                      <w:sz w:val="24"/>
                      <w:szCs w:val="24"/>
                    </w:rPr>
                    <w:t>P</w:t>
                  </w:r>
                  <w:r w:rsidRPr="00FC14CF">
                    <w:rPr>
                      <w:sz w:val="24"/>
                      <w:szCs w:val="24"/>
                    </w:rPr>
                    <w:t xml:space="preserve">lan stratégique et le </w:t>
                  </w:r>
                  <w:r w:rsidR="00B86ED7">
                    <w:rPr>
                      <w:sz w:val="24"/>
                      <w:szCs w:val="24"/>
                    </w:rPr>
                    <w:t>P</w:t>
                  </w:r>
                  <w:r w:rsidRPr="00FC14CF">
                    <w:rPr>
                      <w:sz w:val="24"/>
                      <w:szCs w:val="24"/>
                    </w:rPr>
                    <w:t>lan financier pour la période 2028</w:t>
                  </w:r>
                  <w:r w:rsidR="00B86ED7">
                    <w:rPr>
                      <w:sz w:val="24"/>
                      <w:szCs w:val="24"/>
                    </w:rPr>
                    <w:noBreakHyphen/>
                  </w:r>
                  <w:r w:rsidRPr="00FC14CF">
                    <w:rPr>
                      <w:sz w:val="24"/>
                      <w:szCs w:val="24"/>
                    </w:rPr>
                    <w:t>2031 et projet de plan stratégique pour la période</w:t>
                  </w:r>
                  <w:r w:rsidR="00AF06B2" w:rsidRPr="00FC14CF">
                    <w:rPr>
                      <w:i/>
                      <w:iCs/>
                      <w:sz w:val="24"/>
                      <w:szCs w:val="24"/>
                    </w:rPr>
                    <w:t> </w:t>
                  </w:r>
                  <w:r w:rsidRPr="00FC14CF">
                    <w:rPr>
                      <w:sz w:val="24"/>
                      <w:szCs w:val="24"/>
                    </w:rPr>
                    <w:t>2028</w:t>
                  </w:r>
                  <w:r w:rsidR="00AF06B2" w:rsidRPr="00FC14CF">
                    <w:rPr>
                      <w:i/>
                      <w:iCs/>
                      <w:sz w:val="24"/>
                      <w:szCs w:val="24"/>
                    </w:rPr>
                    <w:noBreakHyphen/>
                  </w:r>
                  <w:r w:rsidRPr="00FC14CF">
                    <w:rPr>
                      <w:sz w:val="24"/>
                      <w:szCs w:val="24"/>
                    </w:rPr>
                    <w:t>2031 (</w:t>
                  </w:r>
                  <w:r w:rsidRPr="00812300">
                    <w:rPr>
                      <w:i/>
                      <w:iCs/>
                      <w:sz w:val="24"/>
                      <w:szCs w:val="24"/>
                    </w:rPr>
                    <w:t>suite</w:t>
                  </w:r>
                  <w:r w:rsidRPr="00FC14CF">
                    <w:rPr>
                      <w:sz w:val="24"/>
                      <w:szCs w:val="24"/>
                    </w:rPr>
                    <w:t>)</w:t>
                  </w:r>
                </w:p>
              </w:tc>
              <w:tc>
                <w:tcPr>
                  <w:tcW w:w="2171" w:type="dxa"/>
                </w:tcPr>
                <w:p w14:paraId="4ACFC0E6" w14:textId="3B1BF720" w:rsidR="00B6638A" w:rsidRPr="00FC14CF" w:rsidRDefault="00F16DBE" w:rsidP="00FC14CF">
                  <w:pPr>
                    <w:pStyle w:val="Tabletext"/>
                    <w:framePr w:hSpace="181" w:wrap="around" w:vAnchor="page" w:hAnchor="page" w:x="1589" w:y="2314"/>
                    <w:jc w:val="center"/>
                    <w:rPr>
                      <w:rStyle w:val="Hyperlink"/>
                      <w:sz w:val="24"/>
                      <w:szCs w:val="24"/>
                      <w:lang w:val="en-GB"/>
                    </w:rPr>
                  </w:pPr>
                  <w:hyperlink r:id="rId11" w:history="1">
                    <w:r w:rsidRPr="00812300">
                      <w:rPr>
                        <w:rStyle w:val="Hyperlink"/>
                        <w:sz w:val="24"/>
                        <w:szCs w:val="24"/>
                        <w:lang w:val="en-GB"/>
                      </w:rPr>
                      <w:t>C26/31+Add.1-2</w:t>
                    </w:r>
                  </w:hyperlink>
                  <w:r w:rsidR="00812300" w:rsidRPr="00812300">
                    <w:rPr>
                      <w:lang w:val="en-GB"/>
                    </w:rPr>
                    <w:t>;</w:t>
                  </w:r>
                  <w:r w:rsidRPr="00812300">
                    <w:rPr>
                      <w:lang w:val="en-GB"/>
                    </w:rPr>
                    <w:t xml:space="preserve"> </w:t>
                  </w:r>
                  <w:hyperlink r:id="rId12" w:history="1">
                    <w:r w:rsidRPr="00FC14CF">
                      <w:rPr>
                        <w:rStyle w:val="Hyperlink"/>
                        <w:sz w:val="24"/>
                        <w:szCs w:val="24"/>
                        <w:lang w:val="en-GB"/>
                      </w:rPr>
                      <w:t>C26/83</w:t>
                    </w:r>
                  </w:hyperlink>
                </w:p>
              </w:tc>
            </w:tr>
            <w:tr w:rsidR="00B6638A" w:rsidRPr="00FC14CF" w14:paraId="3F50E816" w14:textId="77777777" w:rsidTr="0013265F">
              <w:trPr>
                <w:trHeight w:val="20"/>
              </w:trPr>
              <w:tc>
                <w:tcPr>
                  <w:tcW w:w="446" w:type="dxa"/>
                </w:tcPr>
                <w:p w14:paraId="5ED9E53E" w14:textId="77777777" w:rsidR="00B6638A" w:rsidRPr="00FC14CF" w:rsidRDefault="00B6638A" w:rsidP="00FC14CF">
                  <w:pPr>
                    <w:pStyle w:val="Tabletext"/>
                    <w:framePr w:hSpace="181" w:wrap="around" w:vAnchor="page" w:hAnchor="page" w:x="1589" w:y="2314"/>
                    <w:rPr>
                      <w:sz w:val="24"/>
                      <w:szCs w:val="24"/>
                    </w:rPr>
                  </w:pPr>
                  <w:r w:rsidRPr="00FC14CF">
                    <w:rPr>
                      <w:sz w:val="24"/>
                      <w:szCs w:val="24"/>
                    </w:rPr>
                    <w:t>5</w:t>
                  </w:r>
                </w:p>
              </w:tc>
              <w:tc>
                <w:tcPr>
                  <w:tcW w:w="6597" w:type="dxa"/>
                </w:tcPr>
                <w:p w14:paraId="683C5D74" w14:textId="33F41E2F" w:rsidR="00B6638A" w:rsidRPr="00FC14CF" w:rsidRDefault="00B6638A" w:rsidP="00FC14CF">
                  <w:pPr>
                    <w:pStyle w:val="Tabletext"/>
                    <w:framePr w:hSpace="181" w:wrap="around" w:vAnchor="page" w:hAnchor="page" w:x="1589" w:y="2314"/>
                    <w:rPr>
                      <w:sz w:val="24"/>
                      <w:szCs w:val="24"/>
                    </w:rPr>
                  </w:pPr>
                  <w:r w:rsidRPr="00FC14CF">
                    <w:rPr>
                      <w:sz w:val="24"/>
                      <w:szCs w:val="24"/>
                    </w:rPr>
                    <w:t>Déclaration du Directeur général de l'Organisation des Nations</w:t>
                  </w:r>
                  <w:r w:rsidR="00AF06B2" w:rsidRPr="00FC14CF">
                    <w:rPr>
                      <w:i/>
                      <w:iCs/>
                      <w:sz w:val="24"/>
                      <w:szCs w:val="24"/>
                    </w:rPr>
                    <w:t> </w:t>
                  </w:r>
                  <w:r w:rsidRPr="00FC14CF">
                    <w:rPr>
                      <w:sz w:val="24"/>
                      <w:szCs w:val="24"/>
                    </w:rPr>
                    <w:t>Unies pour l'éducation, la science et la culture</w:t>
                  </w:r>
                </w:p>
              </w:tc>
              <w:tc>
                <w:tcPr>
                  <w:tcW w:w="2171" w:type="dxa"/>
                </w:tcPr>
                <w:p w14:paraId="6EDA147D" w14:textId="69F1F2B9" w:rsidR="00B6638A" w:rsidRPr="00FC14CF" w:rsidRDefault="000A51E4" w:rsidP="00FC14CF">
                  <w:pPr>
                    <w:pStyle w:val="Tabletext"/>
                    <w:framePr w:hSpace="181" w:wrap="around" w:vAnchor="page" w:hAnchor="page" w:x="1589" w:y="2314"/>
                    <w:jc w:val="center"/>
                    <w:rPr>
                      <w:sz w:val="24"/>
                      <w:szCs w:val="24"/>
                      <w:lang w:val="en-GB"/>
                    </w:rPr>
                  </w:pPr>
                  <w:r w:rsidRPr="00FC14CF">
                    <w:rPr>
                      <w:sz w:val="24"/>
                      <w:szCs w:val="24"/>
                      <w:lang w:val="en-GB"/>
                    </w:rPr>
                    <w:t>–</w:t>
                  </w:r>
                </w:p>
              </w:tc>
            </w:tr>
            <w:tr w:rsidR="00B6638A" w:rsidRPr="00FC14CF" w14:paraId="44714F36" w14:textId="77777777" w:rsidTr="0013265F">
              <w:trPr>
                <w:trHeight w:val="20"/>
              </w:trPr>
              <w:tc>
                <w:tcPr>
                  <w:tcW w:w="446" w:type="dxa"/>
                </w:tcPr>
                <w:p w14:paraId="1DE46465" w14:textId="77777777" w:rsidR="00B6638A" w:rsidRPr="00FC14CF" w:rsidRDefault="00B6638A" w:rsidP="00FC14CF">
                  <w:pPr>
                    <w:pStyle w:val="Tabletext"/>
                    <w:framePr w:hSpace="181" w:wrap="around" w:vAnchor="page" w:hAnchor="page" w:x="1589" w:y="2314"/>
                    <w:rPr>
                      <w:sz w:val="24"/>
                      <w:szCs w:val="24"/>
                    </w:rPr>
                  </w:pPr>
                  <w:r w:rsidRPr="00FC14CF">
                    <w:rPr>
                      <w:sz w:val="24"/>
                      <w:szCs w:val="24"/>
                    </w:rPr>
                    <w:t>6</w:t>
                  </w:r>
                </w:p>
              </w:tc>
              <w:tc>
                <w:tcPr>
                  <w:tcW w:w="6597" w:type="dxa"/>
                </w:tcPr>
                <w:p w14:paraId="5DEC2658" w14:textId="77777777" w:rsidR="00B6638A" w:rsidRPr="00FC14CF" w:rsidRDefault="00B6638A" w:rsidP="00FC14CF">
                  <w:pPr>
                    <w:pStyle w:val="Tabletext"/>
                    <w:framePr w:hSpace="181" w:wrap="around" w:vAnchor="page" w:hAnchor="page" w:x="1589" w:y="2314"/>
                    <w:rPr>
                      <w:sz w:val="24"/>
                      <w:szCs w:val="24"/>
                    </w:rPr>
                  </w:pPr>
                  <w:r w:rsidRPr="00FC14CF">
                    <w:rPr>
                      <w:sz w:val="24"/>
                      <w:szCs w:val="24"/>
                    </w:rPr>
                    <w:t>Projet de plan opérationnel quadriennal glissant de l'Union pour la période 2027-2030 (</w:t>
                  </w:r>
                  <w:r w:rsidRPr="00812300">
                    <w:rPr>
                      <w:i/>
                      <w:iCs/>
                      <w:sz w:val="24"/>
                      <w:szCs w:val="24"/>
                    </w:rPr>
                    <w:t>suite</w:t>
                  </w:r>
                  <w:r w:rsidRPr="00FC14CF">
                    <w:rPr>
                      <w:sz w:val="24"/>
                      <w:szCs w:val="24"/>
                    </w:rPr>
                    <w:t>)</w:t>
                  </w:r>
                </w:p>
              </w:tc>
              <w:tc>
                <w:tcPr>
                  <w:tcW w:w="2171" w:type="dxa"/>
                </w:tcPr>
                <w:p w14:paraId="4787EBE3" w14:textId="52DCC6D0" w:rsidR="00B6638A" w:rsidRPr="00FC14CF" w:rsidRDefault="00812300" w:rsidP="00FC14CF">
                  <w:pPr>
                    <w:pStyle w:val="Tabletext"/>
                    <w:framePr w:hSpace="181" w:wrap="around" w:vAnchor="page" w:hAnchor="page" w:x="1589" w:y="2314"/>
                    <w:jc w:val="center"/>
                    <w:rPr>
                      <w:rStyle w:val="Hyperlink"/>
                      <w:sz w:val="24"/>
                      <w:szCs w:val="24"/>
                      <w:lang w:val="en-GB"/>
                    </w:rPr>
                  </w:pPr>
                  <w:hyperlink r:id="rId13" w:history="1">
                    <w:r>
                      <w:rPr>
                        <w:rStyle w:val="Hyperlink"/>
                        <w:sz w:val="24"/>
                        <w:szCs w:val="24"/>
                        <w:lang w:val="en-GB"/>
                      </w:rPr>
                      <w:t>C26/28(Rév.1)</w:t>
                    </w:r>
                  </w:hyperlink>
                </w:p>
              </w:tc>
            </w:tr>
            <w:tr w:rsidR="00B6638A" w:rsidRPr="00FC14CF" w14:paraId="615ACE91" w14:textId="77777777" w:rsidTr="0013265F">
              <w:trPr>
                <w:trHeight w:val="20"/>
              </w:trPr>
              <w:tc>
                <w:tcPr>
                  <w:tcW w:w="446" w:type="dxa"/>
                </w:tcPr>
                <w:p w14:paraId="49F8AC19" w14:textId="77777777" w:rsidR="00B6638A" w:rsidRPr="00FC14CF" w:rsidRDefault="00B6638A" w:rsidP="00FC14CF">
                  <w:pPr>
                    <w:pStyle w:val="Tabletext"/>
                    <w:framePr w:hSpace="181" w:wrap="around" w:vAnchor="page" w:hAnchor="page" w:x="1589" w:y="2314"/>
                    <w:rPr>
                      <w:sz w:val="24"/>
                      <w:szCs w:val="24"/>
                    </w:rPr>
                  </w:pPr>
                  <w:r w:rsidRPr="00FC14CF">
                    <w:rPr>
                      <w:sz w:val="24"/>
                      <w:szCs w:val="24"/>
                    </w:rPr>
                    <w:t>7</w:t>
                  </w:r>
                </w:p>
              </w:tc>
              <w:tc>
                <w:tcPr>
                  <w:tcW w:w="6597" w:type="dxa"/>
                </w:tcPr>
                <w:p w14:paraId="63EF20FC" w14:textId="77777777" w:rsidR="00B6638A" w:rsidRPr="00FC14CF" w:rsidRDefault="00B6638A" w:rsidP="00FC14CF">
                  <w:pPr>
                    <w:pStyle w:val="Tabletext"/>
                    <w:framePr w:hSpace="181" w:wrap="around" w:vAnchor="page" w:hAnchor="page" w:x="1589" w:y="2314"/>
                    <w:rPr>
                      <w:sz w:val="24"/>
                      <w:szCs w:val="24"/>
                    </w:rPr>
                  </w:pPr>
                  <w:r w:rsidRPr="00FC14CF">
                    <w:rPr>
                      <w:sz w:val="24"/>
                      <w:szCs w:val="24"/>
                    </w:rPr>
                    <w:t>Déclaration d'un conseiller</w:t>
                  </w:r>
                </w:p>
              </w:tc>
              <w:tc>
                <w:tcPr>
                  <w:tcW w:w="2171" w:type="dxa"/>
                </w:tcPr>
                <w:p w14:paraId="67D13E95" w14:textId="61214343" w:rsidR="00B6638A" w:rsidRPr="00FC14CF" w:rsidRDefault="000A51E4" w:rsidP="00FC14CF">
                  <w:pPr>
                    <w:pStyle w:val="Tabletext"/>
                    <w:framePr w:hSpace="181" w:wrap="around" w:vAnchor="page" w:hAnchor="page" w:x="1589" w:y="2314"/>
                    <w:jc w:val="center"/>
                    <w:rPr>
                      <w:sz w:val="24"/>
                      <w:szCs w:val="24"/>
                      <w:lang w:val="en-GB"/>
                    </w:rPr>
                  </w:pPr>
                  <w:r w:rsidRPr="00FC14CF">
                    <w:rPr>
                      <w:sz w:val="24"/>
                      <w:szCs w:val="24"/>
                      <w:lang w:val="en-GB"/>
                    </w:rPr>
                    <w:t>–</w:t>
                  </w:r>
                </w:p>
              </w:tc>
            </w:tr>
            <w:bookmarkEnd w:id="0"/>
          </w:tbl>
          <w:p w14:paraId="0746F7D3" w14:textId="51FDCF26" w:rsidR="00D72F49" w:rsidRPr="00B6638A" w:rsidRDefault="00D72F49" w:rsidP="00CE5172">
            <w:pPr>
              <w:pStyle w:val="Referencetext"/>
              <w:framePr w:hSpace="0" w:wrap="auto" w:vAnchor="margin" w:hAnchor="text" w:xAlign="left" w:yAlign="inline"/>
              <w:rPr>
                <w:i w:val="0"/>
                <w:iCs w:val="0"/>
              </w:rPr>
            </w:pPr>
          </w:p>
        </w:tc>
      </w:tr>
    </w:tbl>
    <w:p w14:paraId="75363C74" w14:textId="77777777" w:rsidR="00A51849" w:rsidRPr="0019129B" w:rsidRDefault="00A51849" w:rsidP="00CF0534"/>
    <w:p w14:paraId="3CBA378F" w14:textId="77777777" w:rsidR="00A51849" w:rsidRDefault="00A51849">
      <w:pPr>
        <w:tabs>
          <w:tab w:val="clear" w:pos="567"/>
          <w:tab w:val="clear" w:pos="1134"/>
          <w:tab w:val="clear" w:pos="1701"/>
          <w:tab w:val="clear" w:pos="2268"/>
          <w:tab w:val="clear" w:pos="2835"/>
        </w:tabs>
        <w:overflowPunct/>
        <w:autoSpaceDE/>
        <w:autoSpaceDN/>
        <w:adjustRightInd/>
        <w:spacing w:before="0"/>
        <w:textAlignment w:val="auto"/>
      </w:pPr>
      <w:r>
        <w:br w:type="page"/>
      </w:r>
    </w:p>
    <w:p w14:paraId="0FD1B53C" w14:textId="32035FD7" w:rsidR="008013F0" w:rsidRPr="00812300" w:rsidRDefault="008013F0" w:rsidP="00812300">
      <w:pPr>
        <w:pStyle w:val="Heading1"/>
      </w:pPr>
      <w:r w:rsidRPr="00812300">
        <w:lastRenderedPageBreak/>
        <w:t>1</w:t>
      </w:r>
      <w:r w:rsidRPr="00812300">
        <w:tab/>
        <w:t>Rapport d'activité sur l'assistance et l'appui à la Palestine (</w:t>
      </w:r>
      <w:r w:rsidRPr="00B86ED7">
        <w:rPr>
          <w:i/>
          <w:iCs/>
        </w:rPr>
        <w:t>suite</w:t>
      </w:r>
      <w:r w:rsidRPr="00812300">
        <w:t xml:space="preserve">) </w:t>
      </w:r>
      <w:r w:rsidR="00C74B66">
        <w:t>(</w:t>
      </w:r>
      <w:r w:rsidR="00C74B66" w:rsidRPr="00C74B66">
        <w:t xml:space="preserve">Document </w:t>
      </w:r>
      <w:hyperlink r:id="rId14" w:history="1">
        <w:proofErr w:type="spellStart"/>
        <w:r w:rsidRPr="00812300">
          <w:rPr>
            <w:rStyle w:val="Hyperlink"/>
            <w:rFonts w:eastAsia="Times New Roman" w:cs="Times New Roman"/>
            <w:szCs w:val="20"/>
          </w:rPr>
          <w:t>C26</w:t>
        </w:r>
        <w:proofErr w:type="spellEnd"/>
        <w:r w:rsidRPr="00812300">
          <w:rPr>
            <w:rStyle w:val="Hyperlink"/>
            <w:rFonts w:eastAsia="Times New Roman" w:cs="Times New Roman"/>
            <w:szCs w:val="20"/>
          </w:rPr>
          <w:t>/69</w:t>
        </w:r>
      </w:hyperlink>
      <w:r w:rsidRPr="00812300">
        <w:t>)</w:t>
      </w:r>
    </w:p>
    <w:p w14:paraId="1FEB4B17" w14:textId="77777777" w:rsidR="008013F0" w:rsidRPr="00750D66" w:rsidRDefault="008013F0" w:rsidP="00C04023">
      <w:pPr>
        <w:spacing w:before="100"/>
        <w:jc w:val="both"/>
      </w:pPr>
      <w:r w:rsidRPr="00750D66">
        <w:t>1.1</w:t>
      </w:r>
      <w:r w:rsidRPr="00750D66">
        <w:tab/>
        <w:t>Poursuivant l'examen de ce point, plusieurs conseillers et une observatrice dénoncent la destruction systématique de l'infrastructure des télécommunications et l'imposition de restrictions au secteur des télécommunications en Palestine. Ces destructions ont de graves conséquences économiques, sociales, sanitaires et humanitaires. Un conseiller et deux observateurs soulignent le droit des Palestiniens à l'utilisation pleine et effective des services de télécommunication et insistent sur le fait que ce droit ne doit pas être compromis. Une observatrice insiste en outre sur la nécessité de protéger l'infrastructure des télécommunications en cas de conflit militaire, compte tenu de son rôle essentiel pour la population civile. Deux conseillers et un observateur soulignent que la communauté internationale a la responsabilité historique de soutenir la reconstruction du secteur des télécommunications en Palestine.</w:t>
      </w:r>
    </w:p>
    <w:p w14:paraId="20AC7AB6" w14:textId="39862051" w:rsidR="008013F0" w:rsidRPr="00750D66" w:rsidRDefault="008013F0" w:rsidP="00C04023">
      <w:pPr>
        <w:spacing w:before="100"/>
        <w:jc w:val="both"/>
      </w:pPr>
      <w:r w:rsidRPr="00750D66">
        <w:t>1.2</w:t>
      </w:r>
      <w:r w:rsidRPr="00750D66">
        <w:tab/>
        <w:t>De nombreux conseillers et observateurs expriment leur soutien aux activités de l'UIT visant à mettre en œuvre la Résolution 1424 (C24) du Conseil, conformément au principe consistant à ne laisser personne de côté. Le rapport d'activité figurant dans le Document</w:t>
      </w:r>
      <w:r w:rsidR="00AF06B2" w:rsidRPr="00750D66">
        <w:t> </w:t>
      </w:r>
      <w:r w:rsidRPr="00750D66">
        <w:t>C26/69 met en évidence l'importance du rôle technique de l'Union dans les situations de crise et sa capacité à coordonner une réponse dans ses domaines de compétence. Une conseillère et une observatrice soulignent le caractère purement technique des activités de l'UIT en Palestine.</w:t>
      </w:r>
    </w:p>
    <w:p w14:paraId="13EC6B4A" w14:textId="53BF6D7E" w:rsidR="008013F0" w:rsidRPr="00750D66" w:rsidRDefault="008013F0" w:rsidP="00C04023">
      <w:pPr>
        <w:spacing w:before="100"/>
        <w:jc w:val="both"/>
      </w:pPr>
      <w:r w:rsidRPr="00750D66">
        <w:t>1.3</w:t>
      </w:r>
      <w:r w:rsidRPr="00750D66">
        <w:tab/>
        <w:t xml:space="preserve">Les efforts déployés par l'UIT pour créer un </w:t>
      </w:r>
      <w:r w:rsidR="00750D66" w:rsidRPr="00750D66">
        <w:t>g</w:t>
      </w:r>
      <w:r w:rsidRPr="00750D66">
        <w:t xml:space="preserve">roupe d'action intersectoriel et un fonds d'affectation spéciale, ainsi que les mesures prises pour faciliter la participation de la Palestine aux travaux de l'Union, sont particulièrement appréciés. Deux conseillers insistent sur l'importance de mobiliser des ressources suffisantes pour ce fonds afin de garantir une reconstruction concrète et rapide. Plusieurs conseillers demandent au </w:t>
      </w:r>
      <w:r w:rsidR="002C5198">
        <w:t>S</w:t>
      </w:r>
      <w:r w:rsidRPr="00750D66">
        <w:t>ecrétariat d'inclure des échéances, des priorités et des indicateurs fondamentaux de performance clairs dans le plan de mise en œuvre.</w:t>
      </w:r>
    </w:p>
    <w:p w14:paraId="6FDCC12F" w14:textId="77777777" w:rsidR="008013F0" w:rsidRPr="00750D66" w:rsidRDefault="008013F0" w:rsidP="00C04023">
      <w:pPr>
        <w:spacing w:before="100"/>
        <w:jc w:val="both"/>
      </w:pPr>
      <w:r w:rsidRPr="00750D66">
        <w:t>1.4</w:t>
      </w:r>
      <w:r w:rsidRPr="00750D66">
        <w:tab/>
        <w:t>Certains conseillers encouragent l'UIT à continuer de collaborer étroitement avec les organisations internationales, afin d'obtenir un appui suffisant pour la reconstruction de la Palestine. L'UIT devrait également poursuivre sa collaboration avec des partenaires internationaux pour évaluer l'ampleur des dégâts causés à l'infrastructure des télécommunications en Palestine.</w:t>
      </w:r>
    </w:p>
    <w:p w14:paraId="02EC16F9" w14:textId="77777777" w:rsidR="008013F0" w:rsidRPr="00750D66" w:rsidRDefault="008013F0" w:rsidP="00C04023">
      <w:pPr>
        <w:spacing w:before="100"/>
        <w:jc w:val="both"/>
      </w:pPr>
      <w:r w:rsidRPr="00750D66">
        <w:t>1.5</w:t>
      </w:r>
      <w:r w:rsidRPr="00750D66">
        <w:tab/>
        <w:t>Soulignant la gravité de la situation humanitaire en Palestine, un conseiller plaide pour un accès libre et sans entrave de l'aide humanitaire. Une observatrice se déclare favorable à l'utilisation de l'indicatif de pays +970 pour la Palestine, afin d'assurer la fourniture fiable de services de télécommunication.</w:t>
      </w:r>
    </w:p>
    <w:p w14:paraId="3639FB57" w14:textId="77777777" w:rsidR="008013F0" w:rsidRPr="00C74B66" w:rsidRDefault="008013F0" w:rsidP="00C04023">
      <w:pPr>
        <w:spacing w:before="100"/>
        <w:jc w:val="both"/>
        <w:rPr>
          <w:spacing w:val="-3"/>
        </w:rPr>
      </w:pPr>
      <w:r w:rsidRPr="00C74B66">
        <w:rPr>
          <w:spacing w:val="-3"/>
        </w:rPr>
        <w:t>1.6</w:t>
      </w:r>
      <w:r w:rsidRPr="00C74B66">
        <w:rPr>
          <w:spacing w:val="-3"/>
        </w:rPr>
        <w:tab/>
        <w:t>Deux conseillers expriment leur soutien au droit légitime du peuple palestinien à l'établissement d'un État indépendant et pleinement souverain, avec Jérusalem comme capitale.</w:t>
      </w:r>
    </w:p>
    <w:p w14:paraId="696C0AE0" w14:textId="00D4E08F" w:rsidR="008013F0" w:rsidRPr="00CD5FCC" w:rsidRDefault="008013F0" w:rsidP="00C04023">
      <w:pPr>
        <w:spacing w:before="100"/>
        <w:jc w:val="both"/>
        <w:rPr>
          <w:spacing w:val="-3"/>
        </w:rPr>
      </w:pPr>
      <w:r w:rsidRPr="00CD5FCC">
        <w:rPr>
          <w:spacing w:val="-3"/>
        </w:rPr>
        <w:t>1.7</w:t>
      </w:r>
      <w:r w:rsidRPr="00CD5FCC">
        <w:rPr>
          <w:spacing w:val="-3"/>
        </w:rPr>
        <w:tab/>
        <w:t xml:space="preserve">Un conseiller se déclare favorable à la solution des deux États, où les deux États coexisteraient dans la liberté et la sécurité, avec Jérusalem comme capitale commune, et souligne que seule une solution politique crédible peut briser le cycle de la guerre et permettre la reprise économique. Il réitère également l'opposition de son pays à la colonisation, considérée comme une violation du droit international, ainsi que son soutien à la Déclaration de New York sur le règlement pacifique de la question de Palestine et la mise en œuvre de la solution des deux États, ainsi qu'à la </w:t>
      </w:r>
      <w:r w:rsidR="00750D66" w:rsidRPr="00CD5FCC">
        <w:rPr>
          <w:spacing w:val="-3"/>
        </w:rPr>
        <w:t>R</w:t>
      </w:r>
      <w:r w:rsidRPr="00CD5FCC">
        <w:rPr>
          <w:spacing w:val="-3"/>
        </w:rPr>
        <w:t>ésolution 2803 (2025) adoptée par le Conseil de sécurité des Nations Unies.</w:t>
      </w:r>
    </w:p>
    <w:p w14:paraId="70EA3526" w14:textId="1A6AB38F" w:rsidR="008013F0" w:rsidRPr="00750D66" w:rsidRDefault="008013F0" w:rsidP="002F1ACC">
      <w:pPr>
        <w:jc w:val="both"/>
      </w:pPr>
      <w:r w:rsidRPr="00750D66">
        <w:lastRenderedPageBreak/>
        <w:t>1.8</w:t>
      </w:r>
      <w:r w:rsidRPr="00750D66">
        <w:tab/>
        <w:t>Un conseiller et une observatrice précisent que les services 4G devraient être lancés en Palestine d'ici à juillet 2026, dans le cadre de la coopération bilatérale en cours entre Israël et</w:t>
      </w:r>
      <w:r w:rsidR="00C04023">
        <w:t> </w:t>
      </w:r>
      <w:r w:rsidRPr="00750D66">
        <w:t>l'Autorité palestinienne. La coopération bilatérale est le moyen approprié pour traiter les</w:t>
      </w:r>
      <w:r w:rsidR="00C04023">
        <w:t> </w:t>
      </w:r>
      <w:r w:rsidRPr="00750D66">
        <w:t>questions de télécommunication. Ils mettent en garde contre la politisation des travaux du</w:t>
      </w:r>
      <w:r w:rsidR="00C04023">
        <w:t> </w:t>
      </w:r>
      <w:r w:rsidRPr="00750D66">
        <w:t>Conseil.</w:t>
      </w:r>
    </w:p>
    <w:p w14:paraId="6405E3B8" w14:textId="77777777" w:rsidR="008013F0" w:rsidRPr="00750D66" w:rsidRDefault="008013F0" w:rsidP="002F1ACC">
      <w:pPr>
        <w:jc w:val="both"/>
      </w:pPr>
      <w:r w:rsidRPr="00750D66">
        <w:t>1.9</w:t>
      </w:r>
      <w:r w:rsidRPr="00750D66">
        <w:tab/>
        <w:t>De nombreux conseillers soulignent l'engagement de leur pays à appuyer la mise en œuvre de la Résolution 1424 (C24). La reconstruction devrait être menée dans le respect du droit international, de l'intégrité territoriale de la Palestine et des droits fondamentaux du peuple palestinien, et s'accompagner de la pleine participation des autorités palestiniennes. Un observateur met l'accent sur le fait que toutes les parties doivent assumer leurs responsabilités internationales, y compris la responsabilité de protéger les infrastructures civiles essentielles et d'assurer la continuité des services vitaux.</w:t>
      </w:r>
    </w:p>
    <w:p w14:paraId="50FDFFDB" w14:textId="77777777" w:rsidR="008013F0" w:rsidRPr="00750D66" w:rsidRDefault="008013F0" w:rsidP="002F1ACC">
      <w:pPr>
        <w:jc w:val="both"/>
      </w:pPr>
      <w:r w:rsidRPr="00750D66">
        <w:t>1.10</w:t>
      </w:r>
      <w:r w:rsidRPr="00750D66">
        <w:tab/>
        <w:t>Le conseiller des États-Unis dit que son pays continuera d'œuvrer à des avancées concrètes en favorisant des échanges d'experts à caractère non politique afin de promouvoir la connectivité et les perspectives offertes par le numérique.</w:t>
      </w:r>
    </w:p>
    <w:p w14:paraId="3B4D519F" w14:textId="77777777" w:rsidR="008013F0" w:rsidRPr="00750D66" w:rsidRDefault="008013F0" w:rsidP="002F1ACC">
      <w:pPr>
        <w:jc w:val="both"/>
      </w:pPr>
      <w:r w:rsidRPr="00750D66">
        <w:t>1.11</w:t>
      </w:r>
      <w:r w:rsidRPr="00750D66">
        <w:tab/>
        <w:t>Deux conseillers demandent au secrétariat de maintenir ce point à l'ordre du jour des sessions futures du Conseil.</w:t>
      </w:r>
    </w:p>
    <w:p w14:paraId="20410B2B" w14:textId="58AB4BBD" w:rsidR="008013F0" w:rsidRPr="00750D66" w:rsidRDefault="008013F0" w:rsidP="002F1ACC">
      <w:pPr>
        <w:jc w:val="both"/>
      </w:pPr>
      <w:r w:rsidRPr="00750D66">
        <w:t>1.12</w:t>
      </w:r>
      <w:r w:rsidRPr="00750D66">
        <w:tab/>
        <w:t xml:space="preserve">L'observatrice d'Israël déclare que diverses déclarations à caractère politique ont présenté une vision déséquilibrée des réalités complexes de la région et détourné l'attention du mandat professionnel et technique de l'UIT. Le représentant de l'Autorité palestinienne a choisi de s'exprimer au nom de l'organisation terroriste Hamas, qui exerce un contrôle sur la population et les infrastructures de Gaza et empêche la mise en œuvre de la </w:t>
      </w:r>
      <w:r w:rsidR="00750D66" w:rsidRPr="00750D66">
        <w:t>R</w:t>
      </w:r>
      <w:r w:rsidRPr="00750D66">
        <w:t>ésolution</w:t>
      </w:r>
      <w:r w:rsidR="00750D66" w:rsidRPr="00750D66">
        <w:t> </w:t>
      </w:r>
      <w:r w:rsidRPr="00750D66">
        <w:t>2803</w:t>
      </w:r>
      <w:r w:rsidR="00750D66" w:rsidRPr="00750D66">
        <w:t> </w:t>
      </w:r>
      <w:r w:rsidRPr="00750D66">
        <w:t xml:space="preserve">(2025) du Conseil de sécurité. Toute préoccupation concernant les opérations civiles et logistiques à Gaza doit être adressée au Conseil de la paix créé en vertu de cette </w:t>
      </w:r>
      <w:r w:rsidR="00750D66" w:rsidRPr="00750D66">
        <w:t>R</w:t>
      </w:r>
      <w:r w:rsidRPr="00750D66">
        <w:t>ésolution.</w:t>
      </w:r>
    </w:p>
    <w:p w14:paraId="7A563241" w14:textId="77777777" w:rsidR="008013F0" w:rsidRPr="00750D66" w:rsidRDefault="008013F0" w:rsidP="002F1ACC">
      <w:pPr>
        <w:jc w:val="both"/>
      </w:pPr>
      <w:r w:rsidRPr="00750D66">
        <w:t>1.13</w:t>
      </w:r>
      <w:r w:rsidRPr="00750D66">
        <w:tab/>
        <w:t>L'observateur de l'État de Palestine, s'exprimant au titre du droit de réponse accordé en vertu de la Résolution 99 (Rév. Dubaï, 2018) de la Conférence des plénipotentiaires, déclare que les délégations ont discuté, d'une manière tout à fait apolitique, de la meilleure façon de collaborer pour atténuer la situation humanitaire catastrophique qui règne dans les territoires palestiniens occupés. Les accusations portées contre le représentant qui s'est exprimé au nom de l'État de Palestine sont absurdes. Il se demande si, dans ce cas, l'observatrice représentant Israël pense que tous les Palestiniens sont des terroristes. Il ne faut pas oublier les conséquences des multiples guerres génocidaires menées contre le peuple palestinien; la communauté internationale doit assumer sa responsabilité éthique et morale afin de rétablir les services de télécommunication de base.</w:t>
      </w:r>
    </w:p>
    <w:p w14:paraId="57D2EC4F" w14:textId="77777777" w:rsidR="008013F0" w:rsidRPr="00750D66" w:rsidRDefault="008013F0" w:rsidP="002F1ACC">
      <w:pPr>
        <w:jc w:val="both"/>
      </w:pPr>
      <w:r w:rsidRPr="00750D66">
        <w:t>1.14</w:t>
      </w:r>
      <w:r w:rsidRPr="00750D66">
        <w:tab/>
        <w:t>Le conseiller des États-Unis soulève un point d'ordre et déclare que l'intervention de l'observateur de l'État de Palestine a outrepassé le cadre du droit de réponse prévu au titre de la Résolution 99 (Rév. Dubaï, 2018) de la Conférence de plénipotentiaires et constitue une deuxième intervention sur ce point.</w:t>
      </w:r>
    </w:p>
    <w:p w14:paraId="51C086EA" w14:textId="1E9109A6" w:rsidR="008013F0" w:rsidRPr="00750D66" w:rsidRDefault="008013F0" w:rsidP="002F1ACC">
      <w:pPr>
        <w:jc w:val="both"/>
      </w:pPr>
      <w:r w:rsidRPr="00750D66">
        <w:t>1.15</w:t>
      </w:r>
      <w:r w:rsidRPr="00750D66">
        <w:tab/>
        <w:t xml:space="preserve">Le Directeur du Bureau régional pour les États arabes dit que des experts de l'UIT élaborent actuellement un plan de mise en œuvre en étroite collaboration avec l'Autorité palestinienne. Le plan sera à nouveau modifié à la lumière de l'évaluation technique de l'étendue des dégâts. Le </w:t>
      </w:r>
      <w:r w:rsidR="00750D66" w:rsidRPr="00750D66">
        <w:t>S</w:t>
      </w:r>
      <w:r w:rsidRPr="00750D66">
        <w:t>ecrétariat se félicite de l'invitation à se rendre en Palestine et prendra les dispositions nécessaires en temps voulu.</w:t>
      </w:r>
    </w:p>
    <w:p w14:paraId="62048E48" w14:textId="7BD37BF7" w:rsidR="008013F0" w:rsidRPr="008013F0" w:rsidRDefault="008013F0" w:rsidP="00C04023">
      <w:pPr>
        <w:pStyle w:val="Heading1"/>
        <w:ind w:right="-170"/>
      </w:pPr>
      <w:r w:rsidRPr="008013F0">
        <w:rPr>
          <w:bCs/>
        </w:rPr>
        <w:lastRenderedPageBreak/>
        <w:t>2</w:t>
      </w:r>
      <w:r w:rsidRPr="008013F0">
        <w:tab/>
        <w:t>Point sur la mise en œuvre de la Résolution 1408 (C22,</w:t>
      </w:r>
      <w:r w:rsidR="00750D66">
        <w:t> </w:t>
      </w:r>
      <w:r w:rsidRPr="008013F0">
        <w:t>dernière</w:t>
      </w:r>
      <w:r w:rsidR="00750D66">
        <w:t> </w:t>
      </w:r>
      <w:r w:rsidRPr="008013F0">
        <w:t>mod.</w:t>
      </w:r>
      <w:r w:rsidR="00672F94">
        <w:t> </w:t>
      </w:r>
      <w:r w:rsidRPr="008013F0">
        <w:t>C23) du Conseil sur l'assistance et l'appui à l'Ukraine</w:t>
      </w:r>
      <w:r w:rsidR="00750D66">
        <w:t> </w:t>
      </w:r>
      <w:r w:rsidRPr="008013F0">
        <w:t>pour la reconstruction de son secteur des télécommunications</w:t>
      </w:r>
      <w:r w:rsidR="002F1ACC">
        <w:t xml:space="preserve"> </w:t>
      </w:r>
      <w:r w:rsidRPr="008013F0">
        <w:t>(</w:t>
      </w:r>
      <w:r w:rsidR="002F1ACC" w:rsidRPr="002F1ACC">
        <w:t xml:space="preserve">Document </w:t>
      </w:r>
      <w:hyperlink r:id="rId15" w:history="1">
        <w:proofErr w:type="spellStart"/>
        <w:r w:rsidR="00672F94" w:rsidRPr="00750D66">
          <w:rPr>
            <w:rStyle w:val="Hyperlink"/>
          </w:rPr>
          <w:t>C26</w:t>
        </w:r>
        <w:proofErr w:type="spellEnd"/>
        <w:r w:rsidR="00672F94" w:rsidRPr="00750D66">
          <w:rPr>
            <w:rStyle w:val="Hyperlink"/>
          </w:rPr>
          <w:t>/68</w:t>
        </w:r>
      </w:hyperlink>
      <w:r w:rsidRPr="008013F0">
        <w:t>)</w:t>
      </w:r>
      <w:hyperlink r:id="rId16" w:history="1"/>
    </w:p>
    <w:p w14:paraId="63D340BD" w14:textId="07CC769F" w:rsidR="008013F0" w:rsidRPr="002F1ACC" w:rsidRDefault="008013F0" w:rsidP="00C04023">
      <w:pPr>
        <w:spacing w:before="100"/>
        <w:jc w:val="both"/>
        <w:rPr>
          <w:spacing w:val="-2"/>
        </w:rPr>
      </w:pPr>
      <w:r w:rsidRPr="002F1ACC">
        <w:rPr>
          <w:spacing w:val="-2"/>
        </w:rPr>
        <w:t>2.1</w:t>
      </w:r>
      <w:r w:rsidRPr="002F1ACC">
        <w:rPr>
          <w:spacing w:val="-2"/>
        </w:rPr>
        <w:tab/>
        <w:t>Le Chef du Bureau de l'UIT pour l'Europe présente le Document C26/68, qui fait le point sur les mesures prises par l'UIT depuis la session de 2025 du Conseil en ce qui concerne l'assistance et l'appui à l'Ukraine pour la reconstruction de son secteur des télécommunications, en application de la Résolution 1408 (C22, dernière mod. C23) du Conseil, s'agissant en particulier du suivi et de l'établissement de rapports, des mécanismes de coordination, de la fourniture d'une assistance technique, de la mobilisation de ressources et des activités de renforcement des capacités. L'engagement et l'appui de la communauté internationale en faveur des projets prioritaires recensés seront appréciés. L'orateur attend avec intérêt la Conférence sur le relèvement de l'Ukraine, qui se tiendra en juin</w:t>
      </w:r>
      <w:r w:rsidR="00750D66" w:rsidRPr="002F1ACC">
        <w:rPr>
          <w:spacing w:val="-2"/>
        </w:rPr>
        <w:t> </w:t>
      </w:r>
      <w:r w:rsidRPr="002F1ACC">
        <w:rPr>
          <w:spacing w:val="-2"/>
        </w:rPr>
        <w:t>2026, et remercie toutes les parties prenantes qui ont apporté une aide financière ou un soutien en nature.</w:t>
      </w:r>
    </w:p>
    <w:p w14:paraId="3A6771AB" w14:textId="2D0A9041" w:rsidR="008013F0" w:rsidRPr="002F1ACC" w:rsidRDefault="008013F0" w:rsidP="00C04023">
      <w:pPr>
        <w:spacing w:before="100"/>
        <w:jc w:val="both"/>
      </w:pPr>
      <w:r w:rsidRPr="002F1ACC">
        <w:rPr>
          <w:spacing w:val="-2"/>
        </w:rPr>
        <w:t>2.2</w:t>
      </w:r>
      <w:r w:rsidRPr="002F1ACC">
        <w:rPr>
          <w:spacing w:val="-2"/>
        </w:rPr>
        <w:tab/>
        <w:t xml:space="preserve">L'observateur de l'Ukraine, s'exprimant au nom de 43 pays, prononce la déclaration disponible à l'adresse </w:t>
      </w:r>
      <w:proofErr w:type="gramStart"/>
      <w:r w:rsidRPr="002F1ACC">
        <w:rPr>
          <w:spacing w:val="-2"/>
        </w:rPr>
        <w:t>suivante:</w:t>
      </w:r>
      <w:proofErr w:type="gramEnd"/>
      <w:r w:rsidRPr="002F1ACC">
        <w:rPr>
          <w:spacing w:val="-2"/>
        </w:rPr>
        <w:t xml:space="preserve"> </w:t>
      </w:r>
      <w:hyperlink r:id="rId17" w:history="1">
        <w:proofErr w:type="spellStart"/>
        <w:r w:rsidR="00A07954" w:rsidRPr="002F1ACC">
          <w:rPr>
            <w:rStyle w:val="Hyperlink"/>
            <w:spacing w:val="-2"/>
          </w:rPr>
          <w:t>council.itu.int</w:t>
        </w:r>
        <w:proofErr w:type="spellEnd"/>
        <w:r w:rsidR="00A07954" w:rsidRPr="002F1ACC">
          <w:rPr>
            <w:rStyle w:val="Hyperlink"/>
            <w:spacing w:val="-2"/>
          </w:rPr>
          <w:t>/2</w:t>
        </w:r>
        <w:r w:rsidR="00A07954" w:rsidRPr="002F1ACC">
          <w:rPr>
            <w:rStyle w:val="Hyperlink"/>
            <w:spacing w:val="-2"/>
          </w:rPr>
          <w:t>0</w:t>
        </w:r>
        <w:r w:rsidR="00A07954" w:rsidRPr="002F1ACC">
          <w:rPr>
            <w:rStyle w:val="Hyperlink"/>
            <w:spacing w:val="-2"/>
          </w:rPr>
          <w:t>26/</w:t>
        </w:r>
        <w:proofErr w:type="spellStart"/>
        <w:r w:rsidR="00A07954" w:rsidRPr="002F1ACC">
          <w:rPr>
            <w:rStyle w:val="Hyperlink"/>
            <w:spacing w:val="-2"/>
          </w:rPr>
          <w:t>wp</w:t>
        </w:r>
        <w:proofErr w:type="spellEnd"/>
        <w:r w:rsidR="003705F5">
          <w:rPr>
            <w:rStyle w:val="Hyperlink"/>
            <w:spacing w:val="-2"/>
          </w:rPr>
          <w:t>-</w:t>
        </w:r>
        <w:r w:rsidR="00A07954" w:rsidRPr="002F1ACC">
          <w:rPr>
            <w:rStyle w:val="Hyperlink"/>
            <w:spacing w:val="-2"/>
          </w:rPr>
          <w:t>content/</w:t>
        </w:r>
        <w:proofErr w:type="spellStart"/>
        <w:r w:rsidR="00A07954" w:rsidRPr="002F1ACC">
          <w:rPr>
            <w:rStyle w:val="Hyperlink"/>
            <w:spacing w:val="-2"/>
          </w:rPr>
          <w:t>uploads</w:t>
        </w:r>
        <w:proofErr w:type="spellEnd"/>
        <w:r w:rsidR="00A07954" w:rsidRPr="002F1ACC">
          <w:rPr>
            <w:rStyle w:val="Hyperlink"/>
            <w:spacing w:val="-2"/>
          </w:rPr>
          <w:t>/sites/6/2026/06/</w:t>
        </w:r>
        <w:r w:rsidR="002F1ACC">
          <w:rPr>
            <w:rStyle w:val="Hyperlink"/>
            <w:spacing w:val="-2"/>
          </w:rPr>
          <w:br/>
        </w:r>
        <w:r w:rsidR="00A07954" w:rsidRPr="002F1ACC">
          <w:rPr>
            <w:rStyle w:val="Hyperlink"/>
            <w:spacing w:val="-2"/>
          </w:rPr>
          <w:t>26.05.07-</w:t>
        </w:r>
        <w:proofErr w:type="spellStart"/>
        <w:r w:rsidR="00A07954" w:rsidRPr="002F1ACC">
          <w:rPr>
            <w:rStyle w:val="Hyperlink"/>
            <w:spacing w:val="-2"/>
          </w:rPr>
          <w:t>Ukraine_43</w:t>
        </w:r>
        <w:proofErr w:type="spellEnd"/>
        <w:r w:rsidR="00A07954" w:rsidRPr="002F1ACC">
          <w:rPr>
            <w:rStyle w:val="Hyperlink"/>
            <w:spacing w:val="-2"/>
          </w:rPr>
          <w:t>-Joint-</w:t>
        </w:r>
        <w:proofErr w:type="spellStart"/>
        <w:r w:rsidR="00A07954" w:rsidRPr="002F1ACC">
          <w:rPr>
            <w:rStyle w:val="Hyperlink"/>
            <w:spacing w:val="-2"/>
          </w:rPr>
          <w:t>Statement</w:t>
        </w:r>
        <w:proofErr w:type="spellEnd"/>
        <w:r w:rsidR="00A07954" w:rsidRPr="002F1ACC">
          <w:rPr>
            <w:rStyle w:val="Hyperlink"/>
            <w:spacing w:val="-2"/>
          </w:rPr>
          <w:t>-</w:t>
        </w:r>
        <w:proofErr w:type="spellStart"/>
        <w:r w:rsidR="00A07954" w:rsidRPr="002F1ACC">
          <w:rPr>
            <w:rStyle w:val="Hyperlink"/>
            <w:spacing w:val="-2"/>
          </w:rPr>
          <w:t>PL7.pdf</w:t>
        </w:r>
        <w:proofErr w:type="spellEnd"/>
      </w:hyperlink>
      <w:r w:rsidRPr="002F1ACC">
        <w:rPr>
          <w:spacing w:val="-2"/>
        </w:rPr>
        <w:t>.</w:t>
      </w:r>
      <w:hyperlink r:id="rId18" w:history="1"/>
    </w:p>
    <w:p w14:paraId="2D809340" w14:textId="43AE8E7D" w:rsidR="008013F0" w:rsidRPr="00750D66" w:rsidRDefault="008013F0" w:rsidP="00C04023">
      <w:pPr>
        <w:spacing w:before="100"/>
        <w:jc w:val="both"/>
      </w:pPr>
      <w:r w:rsidRPr="00750D66">
        <w:t>2.3</w:t>
      </w:r>
      <w:r w:rsidRPr="00750D66">
        <w:tab/>
        <w:t xml:space="preserve">Le conseiller du Brésil prononce la déclaration disponible à l'adresse </w:t>
      </w:r>
      <w:proofErr w:type="gramStart"/>
      <w:r w:rsidRPr="00750D66">
        <w:t>suivante:</w:t>
      </w:r>
      <w:proofErr w:type="gramEnd"/>
      <w:r w:rsidRPr="00750D66">
        <w:t xml:space="preserve"> </w:t>
      </w:r>
      <w:hyperlink r:id="rId19" w:history="1">
        <w:r w:rsidR="00A07954" w:rsidRPr="00750D66">
          <w:rPr>
            <w:rStyle w:val="Hyperlink"/>
          </w:rPr>
          <w:t>council.itu.int/2026/wp-content/uploads/sites/6/</w:t>
        </w:r>
        <w:r w:rsidR="00A07954" w:rsidRPr="00750D66">
          <w:rPr>
            <w:rStyle w:val="Hyperlink"/>
          </w:rPr>
          <w:t>2</w:t>
        </w:r>
        <w:r w:rsidR="00A07954" w:rsidRPr="00750D66">
          <w:rPr>
            <w:rStyle w:val="Hyperlink"/>
          </w:rPr>
          <w:t>026/06/26.05.07-Brazil-statement-on-Ukraine-PL7.pdf</w:t>
        </w:r>
      </w:hyperlink>
      <w:r w:rsidRPr="00750D66">
        <w:t>.</w:t>
      </w:r>
      <w:hyperlink r:id="rId20" w:history="1"/>
    </w:p>
    <w:p w14:paraId="389DC7D5" w14:textId="02BBDDD4" w:rsidR="008013F0" w:rsidRPr="00750D66" w:rsidRDefault="008013F0" w:rsidP="00C04023">
      <w:pPr>
        <w:spacing w:before="100"/>
        <w:jc w:val="both"/>
      </w:pPr>
      <w:r w:rsidRPr="00750D66">
        <w:t>2.4</w:t>
      </w:r>
      <w:r w:rsidRPr="00750D66">
        <w:tab/>
        <w:t xml:space="preserve">Le conseiller de l'Italie, s'exprimant au nom des pays de l'Union européenne, prononce la déclaration disponible à l'adresse </w:t>
      </w:r>
      <w:proofErr w:type="gramStart"/>
      <w:r w:rsidRPr="00750D66">
        <w:t>suivante:</w:t>
      </w:r>
      <w:proofErr w:type="gramEnd"/>
      <w:r w:rsidRPr="00750D66">
        <w:t xml:space="preserve"> </w:t>
      </w:r>
      <w:hyperlink r:id="rId21" w:history="1">
        <w:proofErr w:type="spellStart"/>
        <w:r w:rsidR="00A07954" w:rsidRPr="00750D66">
          <w:rPr>
            <w:rStyle w:val="Hyperlink"/>
          </w:rPr>
          <w:t>council.i</w:t>
        </w:r>
        <w:r w:rsidR="00A07954" w:rsidRPr="00750D66">
          <w:rPr>
            <w:rStyle w:val="Hyperlink"/>
          </w:rPr>
          <w:t>t</w:t>
        </w:r>
        <w:r w:rsidR="00A07954" w:rsidRPr="00750D66">
          <w:rPr>
            <w:rStyle w:val="Hyperlink"/>
          </w:rPr>
          <w:t>u.int</w:t>
        </w:r>
        <w:proofErr w:type="spellEnd"/>
        <w:r w:rsidR="00A07954" w:rsidRPr="00750D66">
          <w:rPr>
            <w:rStyle w:val="Hyperlink"/>
          </w:rPr>
          <w:t>/2026/</w:t>
        </w:r>
        <w:proofErr w:type="spellStart"/>
        <w:r w:rsidR="00A07954" w:rsidRPr="00750D66">
          <w:rPr>
            <w:rStyle w:val="Hyperlink"/>
          </w:rPr>
          <w:t>wp</w:t>
        </w:r>
        <w:proofErr w:type="spellEnd"/>
        <w:r w:rsidR="00750D66">
          <w:rPr>
            <w:rStyle w:val="Hyperlink"/>
          </w:rPr>
          <w:noBreakHyphen/>
        </w:r>
        <w:r w:rsidR="00A07954" w:rsidRPr="00750D66">
          <w:rPr>
            <w:rStyle w:val="Hyperlink"/>
          </w:rPr>
          <w:t>content/</w:t>
        </w:r>
        <w:proofErr w:type="spellStart"/>
        <w:r w:rsidR="00A07954" w:rsidRPr="00750D66">
          <w:rPr>
            <w:rStyle w:val="Hyperlink"/>
          </w:rPr>
          <w:t>uploads</w:t>
        </w:r>
        <w:proofErr w:type="spellEnd"/>
        <w:r w:rsidR="00A07954" w:rsidRPr="00750D66">
          <w:rPr>
            <w:rStyle w:val="Hyperlink"/>
          </w:rPr>
          <w:t>/sites/</w:t>
        </w:r>
        <w:r w:rsidR="002F1ACC">
          <w:rPr>
            <w:rStyle w:val="Hyperlink"/>
          </w:rPr>
          <w:br/>
        </w:r>
        <w:r w:rsidR="00A07954" w:rsidRPr="00750D66">
          <w:rPr>
            <w:rStyle w:val="Hyperlink"/>
          </w:rPr>
          <w:t>6/2026/06/26.05.07-</w:t>
        </w:r>
        <w:proofErr w:type="spellStart"/>
        <w:r w:rsidR="00A07954" w:rsidRPr="00750D66">
          <w:rPr>
            <w:rStyle w:val="Hyperlink"/>
          </w:rPr>
          <w:t>Italy_EU</w:t>
        </w:r>
        <w:proofErr w:type="spellEnd"/>
        <w:r w:rsidR="00A07954" w:rsidRPr="00750D66">
          <w:rPr>
            <w:rStyle w:val="Hyperlink"/>
          </w:rPr>
          <w:t>-</w:t>
        </w:r>
        <w:proofErr w:type="spellStart"/>
        <w:r w:rsidR="00A07954" w:rsidRPr="00750D66">
          <w:rPr>
            <w:rStyle w:val="Hyperlink"/>
          </w:rPr>
          <w:t>statement</w:t>
        </w:r>
        <w:proofErr w:type="spellEnd"/>
        <w:r w:rsidR="00A07954" w:rsidRPr="00750D66">
          <w:rPr>
            <w:rStyle w:val="Hyperlink"/>
          </w:rPr>
          <w:t>-on-Ukraine-</w:t>
        </w:r>
        <w:proofErr w:type="spellStart"/>
        <w:r w:rsidR="00A07954" w:rsidRPr="00750D66">
          <w:rPr>
            <w:rStyle w:val="Hyperlink"/>
          </w:rPr>
          <w:t>PL7.pdf</w:t>
        </w:r>
        <w:proofErr w:type="spellEnd"/>
      </w:hyperlink>
      <w:r w:rsidRPr="00750D66">
        <w:t>.</w:t>
      </w:r>
      <w:hyperlink r:id="rId22" w:history="1"/>
    </w:p>
    <w:p w14:paraId="1807F818" w14:textId="77777777" w:rsidR="008013F0" w:rsidRPr="00750D66" w:rsidRDefault="008013F0" w:rsidP="00C04023">
      <w:pPr>
        <w:spacing w:before="100"/>
        <w:jc w:val="both"/>
      </w:pPr>
      <w:r w:rsidRPr="00750D66">
        <w:t>2.5</w:t>
      </w:r>
      <w:r w:rsidRPr="00750D66">
        <w:tab/>
        <w:t>Plusieurs conseillers condamnent avec la plus grande fermeté l'agression non provoquée de la Fédération de Russie contre l'Ukraine, qui constitue une violation du droit international et de la Charte des Nations Unies. Ils appellent la Fédération de Russie à mettre immédiatement fin à ses attaques, y compris contre les infrastructures de télécommunication et les infrastructures civiles, et expriment leur soutien indéfectible à une paix juste, globale et durable, qui respecte la souveraineté, l'intégrité territoriale, la sécurité à long terme et l'indépendance de l'Ukraine. Ils saluent le rôle important joué par l'UIT dans le recensement des dégâts subis par le secteur des télécommunications ukrainien, ainsi que dans le renforcement de la résilience et des capacités du secteur, et saluent sa coopération active avec le Gouvernement ukrainien. Un conseiller souligne que l'assistance fournie par l'UIT à tous les États Membres touchés par un conflit doit être impartiale, inclusive et proportionnée et être guidée par le mandat de l'Union en tant qu'organisation technique.</w:t>
      </w:r>
    </w:p>
    <w:p w14:paraId="04C56FAA" w14:textId="19A67647" w:rsidR="008013F0" w:rsidRPr="00750D66" w:rsidRDefault="008013F0" w:rsidP="00C04023">
      <w:pPr>
        <w:spacing w:before="100"/>
        <w:jc w:val="both"/>
      </w:pPr>
      <w:r w:rsidRPr="00750D66">
        <w:t>2.6</w:t>
      </w:r>
      <w:r w:rsidRPr="00750D66">
        <w:tab/>
        <w:t xml:space="preserve">L'observateur de la Fédération de Russie prononce la déclaration disponible à l'adresse suivante: </w:t>
      </w:r>
      <w:hyperlink r:id="rId23" w:history="1">
        <w:r w:rsidRPr="00750D66">
          <w:rPr>
            <w:rStyle w:val="Hyperlink"/>
          </w:rPr>
          <w:t>council.itu.int/2026/wp-content/upload</w:t>
        </w:r>
        <w:r w:rsidRPr="00750D66">
          <w:rPr>
            <w:rStyle w:val="Hyperlink"/>
          </w:rPr>
          <w:t>s</w:t>
        </w:r>
        <w:r w:rsidRPr="00750D66">
          <w:rPr>
            <w:rStyle w:val="Hyperlink"/>
          </w:rPr>
          <w:t>/sites/6/2026/06/26.05.07-E-Russian-Federation-statement-C26_68-PL7.pdf</w:t>
        </w:r>
      </w:hyperlink>
      <w:r w:rsidRPr="00750D66">
        <w:t>.</w:t>
      </w:r>
      <w:hyperlink r:id="rId24" w:history="1"/>
    </w:p>
    <w:p w14:paraId="2559700D" w14:textId="77777777" w:rsidR="008013F0" w:rsidRPr="00750D66" w:rsidRDefault="008013F0" w:rsidP="00C04023">
      <w:pPr>
        <w:spacing w:before="100"/>
        <w:jc w:val="both"/>
      </w:pPr>
      <w:r w:rsidRPr="00750D66">
        <w:t>2.7</w:t>
      </w:r>
      <w:r w:rsidRPr="00750D66">
        <w:tab/>
        <w:t>L'observateur de l'Ukraine, après avoir demandé la parole pour exercer son droit de réponse, déclare que les conséquences néfastes évoquées par l'orateur précédent cesseront lorsque la Fédération de Russie aura mis fin à son agression contre l'Ukraine. Il souligne également que les référendums organisés par la Fédération de Russie sont illégaux et que le territoire de l'Ukraine s'entend de celui délimité par ses frontières internationalement reconnues. Son pays ne politise pas la question; la Fédération de Russie influe directement sur la situation en perpétrant des attaques contre l'infrastructure de communication de l'Ukraine.</w:t>
      </w:r>
    </w:p>
    <w:p w14:paraId="732C6B66" w14:textId="7A2CA825" w:rsidR="008013F0" w:rsidRPr="00750D66" w:rsidRDefault="008013F0" w:rsidP="002F1ACC">
      <w:pPr>
        <w:jc w:val="both"/>
      </w:pPr>
      <w:r w:rsidRPr="00750D66">
        <w:lastRenderedPageBreak/>
        <w:t>2.8</w:t>
      </w:r>
      <w:r w:rsidRPr="00750D66">
        <w:tab/>
        <w:t>Un représentant de l'Unité des affaires juridiques, en réponse à un point d'ordre soulevé par un observateur, explique que le Règlement intérieur du Conseil ne prévoit pas expressément un droit de réponse pour les États Membres ayant le statut d'observateur et que l'Article 7.3 établit un cadre exhaustif et limité pour la participation des États Membres ayant le statut d'observateur. De même, les États Membres ayant le statut d'observateur ne peuvent pas soulever de points d'ordre au Conseil, ce droit n'étant pas expressément prévu dans le Règlement intérieur.</w:t>
      </w:r>
    </w:p>
    <w:p w14:paraId="0A212F9B" w14:textId="77777777" w:rsidR="008013F0" w:rsidRPr="00750D66" w:rsidRDefault="008013F0" w:rsidP="002F1ACC">
      <w:pPr>
        <w:jc w:val="both"/>
      </w:pPr>
      <w:r w:rsidRPr="00750D66">
        <w:t>2.9</w:t>
      </w:r>
      <w:r w:rsidRPr="00750D66">
        <w:tab/>
        <w:t>Le Président déclare que les interventions devront être consignées au compte rendu de la séance.</w:t>
      </w:r>
    </w:p>
    <w:p w14:paraId="362BF10D" w14:textId="77777777" w:rsidR="008013F0" w:rsidRPr="00750D66" w:rsidRDefault="008013F0" w:rsidP="002F1ACC">
      <w:pPr>
        <w:jc w:val="both"/>
      </w:pPr>
      <w:r w:rsidRPr="00750D66">
        <w:t>2.10</w:t>
      </w:r>
      <w:r w:rsidRPr="00750D66">
        <w:tab/>
        <w:t xml:space="preserve">Le Conseil </w:t>
      </w:r>
      <w:r w:rsidRPr="00750D66">
        <w:rPr>
          <w:b/>
          <w:bCs/>
        </w:rPr>
        <w:t>prend note</w:t>
      </w:r>
      <w:r w:rsidRPr="00750D66">
        <w:t xml:space="preserve"> du Document C26/68.</w:t>
      </w:r>
    </w:p>
    <w:p w14:paraId="4ECB4BD9" w14:textId="4F33CB46" w:rsidR="008013F0" w:rsidRPr="008013F0" w:rsidRDefault="008013F0" w:rsidP="00C04023">
      <w:pPr>
        <w:pStyle w:val="Heading1"/>
        <w:spacing w:before="240"/>
      </w:pPr>
      <w:r w:rsidRPr="008013F0">
        <w:rPr>
          <w:bCs/>
        </w:rPr>
        <w:t>3</w:t>
      </w:r>
      <w:r w:rsidRPr="008013F0">
        <w:tab/>
        <w:t>Action menée pour protéger les télécommunications utilisées à des fins humanitaires lors des conflits et des catastrophes (</w:t>
      </w:r>
      <w:r w:rsidR="002F1ACC" w:rsidRPr="002F1ACC">
        <w:t xml:space="preserve">Document </w:t>
      </w:r>
      <w:hyperlink r:id="rId25" w:history="1">
        <w:proofErr w:type="spellStart"/>
        <w:r w:rsidR="00976746" w:rsidRPr="00750D66">
          <w:rPr>
            <w:rStyle w:val="Hyperlink"/>
            <w:szCs w:val="24"/>
          </w:rPr>
          <w:t>C26</w:t>
        </w:r>
        <w:proofErr w:type="spellEnd"/>
        <w:r w:rsidR="00976746" w:rsidRPr="00750D66">
          <w:rPr>
            <w:rStyle w:val="Hyperlink"/>
            <w:szCs w:val="24"/>
          </w:rPr>
          <w:t>/64</w:t>
        </w:r>
      </w:hyperlink>
      <w:r w:rsidRPr="008013F0">
        <w:t>)</w:t>
      </w:r>
    </w:p>
    <w:p w14:paraId="6829B2A6" w14:textId="08238B69" w:rsidR="008013F0" w:rsidRPr="00CD5FCC" w:rsidRDefault="008013F0" w:rsidP="002F1ACC">
      <w:pPr>
        <w:jc w:val="both"/>
        <w:rPr>
          <w:spacing w:val="-2"/>
        </w:rPr>
      </w:pPr>
      <w:r w:rsidRPr="00CD5FCC">
        <w:rPr>
          <w:spacing w:val="-2"/>
        </w:rPr>
        <w:t>3.1</w:t>
      </w:r>
      <w:r w:rsidRPr="00CD5FCC">
        <w:rPr>
          <w:spacing w:val="-2"/>
        </w:rPr>
        <w:tab/>
        <w:t>La Chef du Département de la planification stratégique et des relations avec les membres présente le Document C26/64, qui décrit l'action menée par l'UIT afin de protéger les réseaux et services de télécommunication publics et de faciliter leur mise à disposition depuis l'adoption par les États Membres de l'UIT d'une déclaration à la Conférence mondiale de développement des télécommunications de 2025 (CMDT-25) sur la reconnaissance de l'importance des réseaux et des services publics de télécommunication en tant que services humanitaires essentiels que l'on doit protéger et faciliter lors des conflits armés et des catastrophes.</w:t>
      </w:r>
    </w:p>
    <w:p w14:paraId="22B77CF2" w14:textId="1E3B7F6A" w:rsidR="008013F0" w:rsidRPr="00750D66" w:rsidRDefault="008013F0" w:rsidP="002F1ACC">
      <w:pPr>
        <w:jc w:val="both"/>
      </w:pPr>
      <w:r w:rsidRPr="00750D66">
        <w:t>3.2</w:t>
      </w:r>
      <w:r w:rsidRPr="00750D66">
        <w:tab/>
        <w:t>Des conseillères et des observatrices se félicitent de la reconnaissance de l'importance décisive des réseaux et services de télécommunication pour ce qui est de sauver des vies, d'appuyer les opérations d'urgence et de maintenir la continuité des communications lors des conflits armés et des catastrophes. L'accès aux télécommunications d'urgence ne devrait pas être un privilège et des efforts sont nécessaires pour garantir que l'architecture juridique existante est pleinement appliquée afin de soutenir des systèmes de communication résilients, en particulier pour les plus vulnérables. La collaboration renforcée de l'UIT au sein du système des Nations Unies, ainsi que son soutien à l'élaboration de plans nationaux de télécommunication d'urgence, au renforcement de la résilience et à la facilitation de l'accès aux télécommunications à des fins humanitaires sont particulièrement appréciés. L'échange de bonnes pratiques est essentiel pour améliorer les protocoles nationaux de communication d'urgence, les interventions et la coordination.</w:t>
      </w:r>
    </w:p>
    <w:p w14:paraId="7441264E" w14:textId="6B93D59B" w:rsidR="008013F0" w:rsidRPr="00CD5FCC" w:rsidRDefault="008013F0" w:rsidP="002F1ACC">
      <w:pPr>
        <w:jc w:val="both"/>
        <w:rPr>
          <w:spacing w:val="-2"/>
        </w:rPr>
      </w:pPr>
      <w:r w:rsidRPr="00CD5FCC">
        <w:rPr>
          <w:spacing w:val="-2"/>
        </w:rPr>
        <w:t>3.3</w:t>
      </w:r>
      <w:r w:rsidRPr="00CD5FCC">
        <w:rPr>
          <w:spacing w:val="-2"/>
        </w:rPr>
        <w:tab/>
        <w:t>D'autres conseillers conviennent que, bien que les questions à l'examen revêtent une importance significative, elles sont extrêmement complexes et comportent des considérations d'ordre juridique, humanitaire, technique et opérationnel. Bien qu'elle ait un rôle important à jouer dans le cadre de son mandat et de ses compétences, l'UIT n'est pas l'instance appropriée pour examiner les questions relatives au droit international humanitaire, aux conflits armés ou à la protection des civils. Des progrès significatifs seront réalisés grâce à la participation d'un large éventail de parties prenantes ayant des rôles clairement définis, à la coordination à l'échelle du système des Nations Unies et au-delà, ainsi qu'à la mobilisation des cadres et des partenariats existants. Une observatrice souligne que certains des concepts figurant dans la déclaration adoptée à la CMDT-25 outrepassent le mandat de l'UIT; certaines instructions données à la Secrétaire générale sont problématiques et risquent de semer la discorde.</w:t>
      </w:r>
    </w:p>
    <w:p w14:paraId="026768BD" w14:textId="317474A3" w:rsidR="008013F0" w:rsidRPr="00750D66" w:rsidRDefault="008013F0" w:rsidP="002F1ACC">
      <w:pPr>
        <w:jc w:val="both"/>
      </w:pPr>
      <w:r w:rsidRPr="00750D66">
        <w:t>3.4</w:t>
      </w:r>
      <w:r w:rsidRPr="00750D66">
        <w:tab/>
        <w:t xml:space="preserve">La conseillère des États-Unis prononce la déclaration disponible à l'adresse suivante: </w:t>
      </w:r>
      <w:hyperlink r:id="rId26" w:history="1">
        <w:r w:rsidR="00D8102D" w:rsidRPr="000028C6">
          <w:rPr>
            <w:rStyle w:val="Hyperlink"/>
            <w:rFonts w:eastAsia="Times New Roman" w:cs="Times New Roman"/>
            <w:szCs w:val="20"/>
          </w:rPr>
          <w:t>council.itu.int/2026/wp-content/uploads/sites/6/2026/</w:t>
        </w:r>
        <w:r w:rsidR="00D8102D" w:rsidRPr="000028C6">
          <w:rPr>
            <w:rStyle w:val="Hyperlink"/>
            <w:rFonts w:eastAsia="Times New Roman" w:cs="Times New Roman"/>
            <w:szCs w:val="20"/>
          </w:rPr>
          <w:t>0</w:t>
        </w:r>
        <w:r w:rsidR="00D8102D" w:rsidRPr="000028C6">
          <w:rPr>
            <w:rStyle w:val="Hyperlink"/>
            <w:rFonts w:eastAsia="Times New Roman" w:cs="Times New Roman"/>
            <w:szCs w:val="20"/>
          </w:rPr>
          <w:t>6/26.05.07-USA-PL7.pdf</w:t>
        </w:r>
      </w:hyperlink>
      <w:r w:rsidR="00D8102D" w:rsidRPr="000028C6">
        <w:t>.</w:t>
      </w:r>
    </w:p>
    <w:p w14:paraId="5429CB70" w14:textId="56A802DA" w:rsidR="008013F0" w:rsidRPr="00750D66" w:rsidRDefault="008013F0" w:rsidP="00CD5FCC">
      <w:pPr>
        <w:jc w:val="both"/>
      </w:pPr>
      <w:r w:rsidRPr="00750D66">
        <w:lastRenderedPageBreak/>
        <w:t>3.5</w:t>
      </w:r>
      <w:r w:rsidRPr="00750D66">
        <w:tab/>
        <w:t>Une observatrice souligne que les efforts visant à protéger l'infrastructure des télécommunications en cas de conflit armé et de catastrophe doivent être entrepris dans le plein respect de l'intégrité territoriale et de la souveraineté nationale des États Membres. Elle demande à l'UIT de fournir une assistance technique pour la reconstruction de l'infrastructure des TIC de son pays, détruite lors des récentes attaques. Une autre observatrice déclare que les services de télécommunication devraient être considérés comme des services protégés. Les plans d'urgence nationaux et régionaux doivent être harmonisés et les télécommunications doivent être intégrées aux services d'alerte avancée.</w:t>
      </w:r>
      <w:bookmarkStart w:id="1" w:name="OLE_LINK1"/>
      <w:bookmarkEnd w:id="1"/>
    </w:p>
    <w:p w14:paraId="626E6B0B" w14:textId="4CBEF931" w:rsidR="008013F0" w:rsidRPr="00750D66" w:rsidRDefault="008013F0" w:rsidP="00CD5FCC">
      <w:pPr>
        <w:jc w:val="both"/>
      </w:pPr>
      <w:r w:rsidRPr="00750D66">
        <w:t>3.6</w:t>
      </w:r>
      <w:r w:rsidRPr="00750D66">
        <w:tab/>
        <w:t xml:space="preserve">Le Conseil </w:t>
      </w:r>
      <w:r w:rsidRPr="00750D66">
        <w:rPr>
          <w:b/>
          <w:bCs/>
        </w:rPr>
        <w:t>prend note</w:t>
      </w:r>
      <w:r w:rsidRPr="00750D66">
        <w:t xml:space="preserve"> du Document C26/64 et </w:t>
      </w:r>
      <w:r w:rsidRPr="00750D66">
        <w:rPr>
          <w:b/>
          <w:bCs/>
        </w:rPr>
        <w:t>demande</w:t>
      </w:r>
      <w:r w:rsidRPr="00750D66">
        <w:t xml:space="preserve"> au </w:t>
      </w:r>
      <w:r w:rsidR="00750D66">
        <w:t>S</w:t>
      </w:r>
      <w:r w:rsidRPr="00750D66">
        <w:t>ecrétariat de tenir compte des observations formulées à ce sujet lors de l'élaboration du rapport à la Conférence de plénipotentiaires de 2026 (PP-26).</w:t>
      </w:r>
    </w:p>
    <w:p w14:paraId="410D704B" w14:textId="6603B802" w:rsidR="008013F0" w:rsidRPr="008013F0" w:rsidRDefault="008013F0" w:rsidP="00CD5FCC">
      <w:pPr>
        <w:pStyle w:val="Heading1"/>
      </w:pPr>
      <w:r w:rsidRPr="008013F0">
        <w:rPr>
          <w:bCs/>
        </w:rPr>
        <w:t>4</w:t>
      </w:r>
      <w:r w:rsidRPr="008013F0">
        <w:tab/>
        <w:t xml:space="preserve">Rapport du Président du Groupe de travail du Conseil chargé d'élaborer le </w:t>
      </w:r>
      <w:r w:rsidR="002C5198">
        <w:t>P</w:t>
      </w:r>
      <w:r w:rsidRPr="008013F0">
        <w:t xml:space="preserve">lan stratégique et le </w:t>
      </w:r>
      <w:r w:rsidR="002C5198">
        <w:t>P</w:t>
      </w:r>
      <w:r w:rsidRPr="008013F0">
        <w:t xml:space="preserve">lan financier pour la période 2028-2031 et projet de plan stratégique pour la période 2028-2031 </w:t>
      </w:r>
      <w:r w:rsidRPr="008013F0">
        <w:rPr>
          <w:i/>
          <w:iCs/>
        </w:rPr>
        <w:t xml:space="preserve">(suite) </w:t>
      </w:r>
      <w:r w:rsidR="00CD5FCC">
        <w:rPr>
          <w:i/>
          <w:iCs/>
        </w:rPr>
        <w:br/>
      </w:r>
      <w:r w:rsidRPr="008013F0">
        <w:t>(</w:t>
      </w:r>
      <w:r w:rsidR="00CD5FCC" w:rsidRPr="00CD5FCC">
        <w:t>Document</w:t>
      </w:r>
      <w:r w:rsidR="00CD5FCC">
        <w:t>s</w:t>
      </w:r>
      <w:r w:rsidR="00CD5FCC" w:rsidRPr="00CD5FCC">
        <w:t xml:space="preserve"> </w:t>
      </w:r>
      <w:hyperlink r:id="rId27" w:history="1">
        <w:proofErr w:type="spellStart"/>
        <w:r w:rsidRPr="00750D66">
          <w:rPr>
            <w:rStyle w:val="Hyperlink"/>
            <w:rFonts w:eastAsia="Times New Roman" w:cs="Times New Roman"/>
            <w:szCs w:val="20"/>
          </w:rPr>
          <w:t>C26</w:t>
        </w:r>
        <w:proofErr w:type="spellEnd"/>
        <w:r w:rsidRPr="00750D66">
          <w:rPr>
            <w:rStyle w:val="Hyperlink"/>
            <w:rFonts w:eastAsia="Times New Roman" w:cs="Times New Roman"/>
            <w:szCs w:val="20"/>
          </w:rPr>
          <w:t>/</w:t>
        </w:r>
        <w:proofErr w:type="spellStart"/>
        <w:r w:rsidRPr="00750D66">
          <w:rPr>
            <w:rStyle w:val="Hyperlink"/>
            <w:rFonts w:eastAsia="Times New Roman" w:cs="Times New Roman"/>
            <w:szCs w:val="20"/>
          </w:rPr>
          <w:t>31+Add.1</w:t>
        </w:r>
        <w:proofErr w:type="spellEnd"/>
        <w:r w:rsidRPr="00750D66">
          <w:rPr>
            <w:rStyle w:val="Hyperlink"/>
            <w:rFonts w:eastAsia="Times New Roman" w:cs="Times New Roman"/>
            <w:szCs w:val="20"/>
          </w:rPr>
          <w:t xml:space="preserve"> et 2</w:t>
        </w:r>
      </w:hyperlink>
      <w:r w:rsidRPr="008013F0">
        <w:t xml:space="preserve"> et </w:t>
      </w:r>
      <w:hyperlink r:id="rId28" w:history="1">
        <w:r w:rsidR="00976746" w:rsidRPr="00976746">
          <w:rPr>
            <w:rStyle w:val="Hyperlink"/>
            <w:szCs w:val="24"/>
          </w:rPr>
          <w:t>C26/83</w:t>
        </w:r>
      </w:hyperlink>
      <w:r w:rsidRPr="008013F0">
        <w:t>)</w:t>
      </w:r>
    </w:p>
    <w:p w14:paraId="3B99CB48" w14:textId="3F4086DB" w:rsidR="008013F0" w:rsidRPr="00750D66" w:rsidRDefault="008013F0" w:rsidP="00CD5FCC">
      <w:pPr>
        <w:jc w:val="both"/>
      </w:pPr>
      <w:r w:rsidRPr="00750D66">
        <w:t>4.1</w:t>
      </w:r>
      <w:r w:rsidRPr="00750D66">
        <w:tab/>
        <w:t xml:space="preserve">Le Président du Groupe de travail du Conseil chargé d'élaborer le </w:t>
      </w:r>
      <w:r w:rsidR="00750D66">
        <w:t>P</w:t>
      </w:r>
      <w:r w:rsidRPr="00750D66">
        <w:t xml:space="preserve">lan stratégique et le </w:t>
      </w:r>
      <w:r w:rsidR="00750D66">
        <w:t>P</w:t>
      </w:r>
      <w:r w:rsidRPr="00750D66">
        <w:t>lan financier pour la période 2028-2031 (GTC-SFP) indique qu'à l'issue de consultations informelles, certaines questions relatives au projet de plan stratégique, figurant dans le projet d'Annexe 1 du projet de révision de la Résolution 71 (Rév. Bucarest, 2022), ont été résolues. Le Secrétariat général et les Bureaux travailleront de concert, d'ici à la PP-26, pour continuer d'améliorer le libellé des cibles 1.5, 1.6 et 1.7. Le Président du GTC-SFP poursuivra sa collaboration avec les groupes régionaux en vue d'accélérer les discussions à la Conférence.</w:t>
      </w:r>
    </w:p>
    <w:p w14:paraId="1618616D" w14:textId="77777777" w:rsidR="008013F0" w:rsidRPr="00750D66" w:rsidRDefault="008013F0" w:rsidP="00CD5FCC">
      <w:pPr>
        <w:jc w:val="both"/>
      </w:pPr>
      <w:r w:rsidRPr="00750D66">
        <w:t>4.2</w:t>
      </w:r>
      <w:r w:rsidRPr="00750D66">
        <w:tab/>
        <w:t>Les conseillers approuvent l'approche proposée. Le projet de plan stratégique, dans sa version actuelle, constitue une base solide pour les débats qui auront lieu à la PP-26.</w:t>
      </w:r>
    </w:p>
    <w:p w14:paraId="405E4506" w14:textId="446F6967" w:rsidR="008013F0" w:rsidRPr="00750D66" w:rsidRDefault="008013F0" w:rsidP="00CD5FCC">
      <w:pPr>
        <w:jc w:val="both"/>
      </w:pPr>
      <w:r w:rsidRPr="00750D66">
        <w:t>4.3</w:t>
      </w:r>
      <w:r w:rsidRPr="00750D66">
        <w:tab/>
        <w:t>Conformément aux recommandations formulées par le Président du GTC-</w:t>
      </w:r>
      <w:r w:rsidR="00D8102D" w:rsidRPr="00750D66">
        <w:t>S</w:t>
      </w:r>
      <w:r w:rsidR="00D8102D">
        <w:t>FP</w:t>
      </w:r>
      <w:r w:rsidR="00D8102D" w:rsidRPr="00750D66">
        <w:t xml:space="preserve"> </w:t>
      </w:r>
      <w:r w:rsidRPr="00750D66">
        <w:t xml:space="preserve">et la Présidente du Groupe de travail du Conseil sur les ressources financières et les ressources humaines (GTC-FHR) dans le Document C26/112, deux conseillers demandent au </w:t>
      </w:r>
      <w:r w:rsidR="00750D66">
        <w:t>S</w:t>
      </w:r>
      <w:r w:rsidRPr="00750D66">
        <w:t xml:space="preserve">ecrétariat d'organiser une séance d'information ad hoc à l'intention des États Membres. En outre, le </w:t>
      </w:r>
      <w:r w:rsidR="00750D66">
        <w:t>P</w:t>
      </w:r>
      <w:r w:rsidRPr="00750D66">
        <w:t>lan financier devrait comporter des montants détaillés pour les charges de chaque Bureau et du Secrétariat général, ainsi qu'une explication détaillée du processus d'établissement du budget, conformément aux recommandations des présidents des groupes de travail et du Comité consultatif indépendant pour les questions de gestion (CCIG).</w:t>
      </w:r>
    </w:p>
    <w:p w14:paraId="7B8ADA62" w14:textId="79165495" w:rsidR="008013F0" w:rsidRPr="00750D66" w:rsidRDefault="008013F0" w:rsidP="00CD5FCC">
      <w:pPr>
        <w:jc w:val="both"/>
      </w:pPr>
      <w:r w:rsidRPr="00750D66">
        <w:t>4.4</w:t>
      </w:r>
      <w:r w:rsidRPr="00750D66">
        <w:tab/>
        <w:t xml:space="preserve">Un conseiller souligne l'importance d'utiliser des indicateurs spécifiques, mesurables et pertinents et d'assurer la coordination entre le </w:t>
      </w:r>
      <w:r w:rsidR="00750D66">
        <w:t>P</w:t>
      </w:r>
      <w:r w:rsidRPr="00750D66">
        <w:t xml:space="preserve">lan stratégique, le </w:t>
      </w:r>
      <w:r w:rsidR="00750D66">
        <w:t>P</w:t>
      </w:r>
      <w:r w:rsidRPr="00750D66">
        <w:t xml:space="preserve">lan financier et le </w:t>
      </w:r>
      <w:r w:rsidR="00750D66">
        <w:t>P</w:t>
      </w:r>
      <w:r w:rsidRPr="00750D66">
        <w:t>lan opérationnel. Un autre conseiller met l'accent sur l'importance de la planification stratégique et financière, comme en témoigne le niveau d'engagement dont ont fait preuve les participants lors des discussions sur ce point.</w:t>
      </w:r>
    </w:p>
    <w:p w14:paraId="18E8CE53" w14:textId="77777777" w:rsidR="008013F0" w:rsidRPr="00750D66" w:rsidRDefault="008013F0" w:rsidP="00CD5FCC">
      <w:pPr>
        <w:jc w:val="both"/>
      </w:pPr>
      <w:r w:rsidRPr="00750D66">
        <w:t>4.5</w:t>
      </w:r>
      <w:r w:rsidRPr="00750D66">
        <w:tab/>
        <w:t>Les conseillers attendent avec intérêt de poursuivre les discussions sur le projet de plan stratégique lors de la PP-26.</w:t>
      </w:r>
    </w:p>
    <w:p w14:paraId="36400F35" w14:textId="476F93DB" w:rsidR="008013F0" w:rsidRPr="00750D66" w:rsidRDefault="008013F0" w:rsidP="00CD5FCC">
      <w:pPr>
        <w:jc w:val="both"/>
      </w:pPr>
      <w:r w:rsidRPr="00750D66">
        <w:t>4.6</w:t>
      </w:r>
      <w:r w:rsidRPr="00750D66">
        <w:tab/>
        <w:t>Le Président du GTC-SFP, en réponse aux observations formulées par des conseillers, déclare que l'Appendice B du projet d'Annexe 1, qui contient un tableau sur l'attribution des ressources, sera mis à jour une fois que le projet de plan financier pour la période 2028</w:t>
      </w:r>
      <w:r w:rsidR="002C5198">
        <w:noBreakHyphen/>
      </w:r>
      <w:r w:rsidRPr="00750D66">
        <w:t xml:space="preserve">2031 </w:t>
      </w:r>
      <w:r w:rsidRPr="00750D66">
        <w:lastRenderedPageBreak/>
        <w:t xml:space="preserve">aura été approuvé. Le </w:t>
      </w:r>
      <w:r w:rsidR="00750D66">
        <w:t>S</w:t>
      </w:r>
      <w:r w:rsidRPr="00750D66">
        <w:t>ecrétariat établira la version définitive du tableau en étroite collaboration avec les États Membres lors d'une séance de consultation.</w:t>
      </w:r>
    </w:p>
    <w:p w14:paraId="529441EA" w14:textId="77777777" w:rsidR="008013F0" w:rsidRPr="00750D66" w:rsidRDefault="008013F0" w:rsidP="00CD5FCC">
      <w:pPr>
        <w:jc w:val="both"/>
      </w:pPr>
      <w:r w:rsidRPr="00750D66">
        <w:t>4.7</w:t>
      </w:r>
      <w:r w:rsidRPr="00750D66">
        <w:tab/>
        <w:t xml:space="preserve">Le Conseil </w:t>
      </w:r>
      <w:r w:rsidRPr="00750D66">
        <w:rPr>
          <w:b/>
          <w:bCs/>
        </w:rPr>
        <w:t>prend note</w:t>
      </w:r>
      <w:r w:rsidRPr="00750D66">
        <w:t xml:space="preserve"> du Document C26/31 et de ses Addenda; </w:t>
      </w:r>
      <w:r w:rsidRPr="00750D66">
        <w:rPr>
          <w:b/>
          <w:bCs/>
        </w:rPr>
        <w:t>approuve</w:t>
      </w:r>
      <w:r w:rsidRPr="00750D66">
        <w:t xml:space="preserve"> le projet d'Annexe 1, qui contient le projet de plan stratégique pour la période 2028-2031, ainsi que les projets d'Annexes 2 et 3, en vue de les soumettre à la Conférence de plénipotentiaires, ainsi que la proposition de révision de la Résolution 71 (Rév. Bucarest, 2022); et charge la Secrétaire générale d'organiser une séance d'information sur le projet de plan financier pour la période 2028-2031 avant la PP-26.</w:t>
      </w:r>
    </w:p>
    <w:p w14:paraId="1CB189CC" w14:textId="77777777" w:rsidR="008013F0" w:rsidRPr="008013F0" w:rsidRDefault="008013F0" w:rsidP="00976746">
      <w:pPr>
        <w:pStyle w:val="Heading1"/>
      </w:pPr>
      <w:r w:rsidRPr="008013F0">
        <w:rPr>
          <w:bCs/>
        </w:rPr>
        <w:t>5</w:t>
      </w:r>
      <w:r w:rsidRPr="008013F0">
        <w:tab/>
        <w:t>Déclaration du Directeur général de l'Organisation des Nations Unies pour l'éducation, la science et la culture</w:t>
      </w:r>
    </w:p>
    <w:p w14:paraId="62001E24" w14:textId="1C2F3854" w:rsidR="008013F0" w:rsidRPr="00750D66" w:rsidRDefault="008013F0" w:rsidP="00CD5FCC">
      <w:pPr>
        <w:jc w:val="both"/>
      </w:pPr>
      <w:r w:rsidRPr="00750D66">
        <w:t>5.1</w:t>
      </w:r>
      <w:r w:rsidRPr="00750D66">
        <w:tab/>
        <w:t xml:space="preserve">Le Directeur général de l'Organisation des Nations Unies pour l'éducation, la science et la culture (UNESCO), M. Khaled El-Enany, prononce la déclaration disponible à l'adresse suivante: </w:t>
      </w:r>
      <w:hyperlink r:id="rId29" w:history="1">
        <w:r w:rsidRPr="00750D66">
          <w:rPr>
            <w:rStyle w:val="Hyperlink"/>
          </w:rPr>
          <w:t>council.itu.int/2026/wp-content/uplo</w:t>
        </w:r>
        <w:r w:rsidRPr="00750D66">
          <w:rPr>
            <w:rStyle w:val="Hyperlink"/>
          </w:rPr>
          <w:t>a</w:t>
        </w:r>
        <w:r w:rsidRPr="00750D66">
          <w:rPr>
            <w:rStyle w:val="Hyperlink"/>
          </w:rPr>
          <w:t>ds/sites/6/2026/06/26.05.07-UNESCO-DG-speech-PL7.pdf</w:t>
        </w:r>
      </w:hyperlink>
      <w:r w:rsidRPr="00750D66">
        <w:t>.</w:t>
      </w:r>
      <w:hyperlink r:id="rId30" w:history="1"/>
    </w:p>
    <w:p w14:paraId="39912C69" w14:textId="77777777" w:rsidR="008013F0" w:rsidRPr="00750D66" w:rsidRDefault="008013F0" w:rsidP="00CD5FCC">
      <w:pPr>
        <w:jc w:val="both"/>
      </w:pPr>
      <w:r w:rsidRPr="00750D66">
        <w:t>5.2</w:t>
      </w:r>
      <w:r w:rsidRPr="00750D66">
        <w:tab/>
        <w:t>Les conseillers expriment leur ferme soutien à la poursuite de la collaboration entre l'UNESCO et l'UIT, compte tenu de la forte complémentarité de leurs mandats dans divers domaines. Le leadership de l'UNESCO en matière de renforcement des capacités et de développement éthique concernant l'intelligence artificielle (IA), ainsi que sa participation au processus d'examen des 20 ans du Sommet mondial sur la société de l'information, sont particulièrement appréciés.</w:t>
      </w:r>
    </w:p>
    <w:p w14:paraId="1161901D" w14:textId="02F79651" w:rsidR="008013F0" w:rsidRPr="008013F0" w:rsidRDefault="008013F0" w:rsidP="00976746">
      <w:pPr>
        <w:pStyle w:val="Heading1"/>
      </w:pPr>
      <w:r w:rsidRPr="008013F0">
        <w:rPr>
          <w:bCs/>
        </w:rPr>
        <w:t>6</w:t>
      </w:r>
      <w:r w:rsidRPr="008013F0">
        <w:tab/>
        <w:t>Projet de plan opérationnel quadriennal glissant de l'Union pour la période 2027-2030 (</w:t>
      </w:r>
      <w:r w:rsidRPr="00750D66">
        <w:rPr>
          <w:i/>
          <w:iCs/>
        </w:rPr>
        <w:t>suite</w:t>
      </w:r>
      <w:r w:rsidRPr="008013F0">
        <w:t>) (</w:t>
      </w:r>
      <w:r w:rsidR="00CD5FCC" w:rsidRPr="00CD5FCC">
        <w:t xml:space="preserve">Document </w:t>
      </w:r>
      <w:hyperlink r:id="rId31" w:history="1">
        <w:proofErr w:type="spellStart"/>
        <w:r w:rsidRPr="00EE60BA">
          <w:rPr>
            <w:rStyle w:val="Hyperlink"/>
            <w:rFonts w:eastAsia="Times New Roman" w:cs="Times New Roman"/>
            <w:szCs w:val="20"/>
          </w:rPr>
          <w:t>C26</w:t>
        </w:r>
        <w:proofErr w:type="spellEnd"/>
        <w:r w:rsidRPr="00EE60BA">
          <w:rPr>
            <w:rStyle w:val="Hyperlink"/>
            <w:rFonts w:eastAsia="Times New Roman" w:cs="Times New Roman"/>
            <w:szCs w:val="20"/>
          </w:rPr>
          <w:t>/28(</w:t>
        </w:r>
        <w:proofErr w:type="spellStart"/>
        <w:r w:rsidRPr="00EE60BA">
          <w:rPr>
            <w:rStyle w:val="Hyperlink"/>
            <w:rFonts w:eastAsia="Times New Roman" w:cs="Times New Roman"/>
            <w:szCs w:val="20"/>
          </w:rPr>
          <w:t>Rév.1</w:t>
        </w:r>
        <w:proofErr w:type="spellEnd"/>
        <w:r w:rsidRPr="00EE60BA">
          <w:rPr>
            <w:rStyle w:val="Hyperlink"/>
            <w:rFonts w:eastAsia="Times New Roman" w:cs="Times New Roman"/>
            <w:szCs w:val="20"/>
          </w:rPr>
          <w:t>)</w:t>
        </w:r>
      </w:hyperlink>
      <w:r w:rsidRPr="008013F0">
        <w:t>)</w:t>
      </w:r>
    </w:p>
    <w:p w14:paraId="66E26573" w14:textId="1A6CB915" w:rsidR="008013F0" w:rsidRPr="00EE60BA" w:rsidRDefault="008013F0" w:rsidP="00CD5FCC">
      <w:pPr>
        <w:jc w:val="both"/>
      </w:pPr>
      <w:r w:rsidRPr="00EE60BA">
        <w:t>6.1</w:t>
      </w:r>
      <w:r w:rsidRPr="00EE60BA">
        <w:tab/>
        <w:t>Le Chef du Département de la gestion des ressources financières présente le Document</w:t>
      </w:r>
      <w:r w:rsidR="00976746" w:rsidRPr="00EE60BA">
        <w:t> </w:t>
      </w:r>
      <w:r w:rsidRPr="00EE60BA">
        <w:t xml:space="preserve">C26/28(Rév.1), qui a été modifié à la lumière des discussions tenues plus tôt au cours de la session. Étant donné que l'UIT n'a pas encore approuvé le </w:t>
      </w:r>
      <w:r w:rsidR="00EE60BA">
        <w:t>P</w:t>
      </w:r>
      <w:r w:rsidRPr="00EE60BA">
        <w:t xml:space="preserve">lan stratégique et le </w:t>
      </w:r>
      <w:r w:rsidR="00EE60BA">
        <w:t>P</w:t>
      </w:r>
      <w:r w:rsidRPr="00EE60BA">
        <w:t xml:space="preserve">lan financier pour la période 2028-2031, conformément auxquels les </w:t>
      </w:r>
      <w:r w:rsidR="00EE60BA">
        <w:t>P</w:t>
      </w:r>
      <w:r w:rsidRPr="00EE60BA">
        <w:t xml:space="preserve">lans opérationnels pour la période 2028-2030 seront élaborés, le rapport est désormais axé sur le projet de plan opérationnel pour l'année 2027 et fournit des informations sur les cinq priorités thématiques et les 43 produits recensés dans le </w:t>
      </w:r>
      <w:r w:rsidR="00EE60BA">
        <w:t>P</w:t>
      </w:r>
      <w:r w:rsidRPr="00EE60BA">
        <w:t>lan stratégique pour la période 2024</w:t>
      </w:r>
      <w:r w:rsidR="00EE60BA">
        <w:noBreakHyphen/>
      </w:r>
      <w:r w:rsidRPr="00EE60BA">
        <w:t xml:space="preserve">2027. Un projet de </w:t>
      </w:r>
      <w:r w:rsidR="002C5198">
        <w:t>R</w:t>
      </w:r>
      <w:r w:rsidRPr="00EE60BA">
        <w:t>ésolution sur le plan opérationnel de l'Union pour 2027 figure en annexe du document.</w:t>
      </w:r>
    </w:p>
    <w:p w14:paraId="165AE078" w14:textId="2D102E8B" w:rsidR="008013F0" w:rsidRPr="00EE60BA" w:rsidRDefault="008013F0" w:rsidP="00CD5FCC">
      <w:pPr>
        <w:jc w:val="both"/>
      </w:pPr>
      <w:r w:rsidRPr="00EE60BA">
        <w:t>6.2</w:t>
      </w:r>
      <w:r w:rsidRPr="00EE60BA">
        <w:tab/>
        <w:t xml:space="preserve">Des conseillères se félicitent de l'alignement du projet de plan opérationnel pour 2027 sur le </w:t>
      </w:r>
      <w:r w:rsidR="002C5198">
        <w:t>P</w:t>
      </w:r>
      <w:r w:rsidRPr="00EE60BA">
        <w:t xml:space="preserve">lan stratégique et le </w:t>
      </w:r>
      <w:r w:rsidR="002C5198">
        <w:t>P</w:t>
      </w:r>
      <w:r w:rsidRPr="00EE60BA">
        <w:t>lan financier pour la période 2024-2027. Des informations complémentaires sur la manière dont l'allocation des ressources se traduirait par des effets mesurables sur le développement des États Membres seraient les bienvenues. Il convient de maintenir un juste équilibre entre l'appui administratif et l'exécution des programmes, en</w:t>
      </w:r>
      <w:r w:rsidR="00EE60BA">
        <w:t> </w:t>
      </w:r>
      <w:r w:rsidRPr="00EE60BA">
        <w:t>particulier au sein de l'UIT-D, et la mobilisation de ressources extrabudgétaires doit rester en adéquation avec les priorités des États Membres et être répartie de manière équitable entre les régions. Il convient de continuer de renforcer la responsabilité et la supervision de l'exécution. Deux conseillers font remarquer que le projet actuel de plan opérationnel ne ressemble en rien aux versions examinées par les groupes consultatifs des trois Secteurs. Le</w:t>
      </w:r>
      <w:r w:rsidR="00EE60BA">
        <w:t> </w:t>
      </w:r>
      <w:r w:rsidRPr="00EE60BA">
        <w:t xml:space="preserve">GTC-FHR devrait réfléchir à la manière d'améliorer les processus d'élaboration du document. </w:t>
      </w:r>
    </w:p>
    <w:p w14:paraId="37622074" w14:textId="1628BC68" w:rsidR="008013F0" w:rsidRPr="00EE60BA" w:rsidRDefault="008013F0" w:rsidP="00CD5FCC">
      <w:pPr>
        <w:jc w:val="both"/>
      </w:pPr>
      <w:r w:rsidRPr="00EE60BA">
        <w:lastRenderedPageBreak/>
        <w:t>6.3</w:t>
      </w:r>
      <w:r w:rsidRPr="00EE60BA">
        <w:tab/>
        <w:t xml:space="preserve">Le Conseil </w:t>
      </w:r>
      <w:r w:rsidRPr="00EE60BA">
        <w:rPr>
          <w:b/>
          <w:bCs/>
        </w:rPr>
        <w:t>approuve</w:t>
      </w:r>
      <w:r w:rsidRPr="00EE60BA">
        <w:t xml:space="preserve"> le Document C26/28(Rév.1) et adopte le projet de Résolution figurant en annexe.</w:t>
      </w:r>
    </w:p>
    <w:p w14:paraId="4A83D935" w14:textId="77777777" w:rsidR="008013F0" w:rsidRPr="008013F0" w:rsidRDefault="008013F0" w:rsidP="005145F4">
      <w:pPr>
        <w:pStyle w:val="Heading1"/>
      </w:pPr>
      <w:r w:rsidRPr="008013F0">
        <w:rPr>
          <w:bCs/>
        </w:rPr>
        <w:t>7</w:t>
      </w:r>
      <w:r w:rsidRPr="008013F0">
        <w:tab/>
        <w:t>Déclaration d'un conseiller</w:t>
      </w:r>
    </w:p>
    <w:p w14:paraId="3F30A2A4" w14:textId="3F494D56" w:rsidR="008013F0" w:rsidRDefault="008013F0" w:rsidP="00CD5FCC">
      <w:pPr>
        <w:jc w:val="both"/>
        <w:rPr>
          <w:rFonts w:asciiTheme="minorHAnsi" w:hAnsiTheme="minorHAnsi" w:cstheme="minorHAnsi"/>
          <w:szCs w:val="24"/>
        </w:rPr>
      </w:pPr>
      <w:r w:rsidRPr="008013F0">
        <w:rPr>
          <w:rFonts w:asciiTheme="minorHAnsi" w:hAnsiTheme="minorHAnsi" w:cstheme="minorHAnsi"/>
          <w:szCs w:val="24"/>
        </w:rPr>
        <w:t>7.1</w:t>
      </w:r>
      <w:r w:rsidRPr="008013F0">
        <w:rPr>
          <w:rFonts w:asciiTheme="minorHAnsi" w:hAnsiTheme="minorHAnsi" w:cstheme="minorHAnsi"/>
          <w:szCs w:val="24"/>
        </w:rPr>
        <w:tab/>
        <w:t>Le conseiller de l'Ouganda fait savoir que son pays représentera sa candidature en vue de sa réélection au Conseil lors de la PP-26.</w:t>
      </w:r>
    </w:p>
    <w:p w14:paraId="2C269D39" w14:textId="4589E906" w:rsidR="00EE60BA" w:rsidRDefault="005145F4" w:rsidP="005145F4">
      <w:pPr>
        <w:tabs>
          <w:tab w:val="clear" w:pos="567"/>
          <w:tab w:val="clear" w:pos="1134"/>
          <w:tab w:val="clear" w:pos="1701"/>
          <w:tab w:val="clear" w:pos="2268"/>
          <w:tab w:val="clear" w:pos="2835"/>
          <w:tab w:val="center" w:pos="7088"/>
        </w:tabs>
        <w:spacing w:before="840"/>
      </w:pPr>
      <w:r w:rsidRPr="008013F0">
        <w:t>La Secrétaire générale:</w:t>
      </w:r>
      <w:r w:rsidR="00EE60BA">
        <w:tab/>
      </w:r>
      <w:r w:rsidR="00EE60BA" w:rsidRPr="008013F0">
        <w:t>Le Président:</w:t>
      </w:r>
    </w:p>
    <w:p w14:paraId="3EC4400A" w14:textId="7CC9B38B" w:rsidR="00897553" w:rsidRPr="00EE60BA" w:rsidRDefault="005145F4" w:rsidP="00E40A7D">
      <w:pPr>
        <w:tabs>
          <w:tab w:val="clear" w:pos="567"/>
          <w:tab w:val="clear" w:pos="1134"/>
          <w:tab w:val="clear" w:pos="1701"/>
          <w:tab w:val="clear" w:pos="2268"/>
          <w:tab w:val="clear" w:pos="2835"/>
          <w:tab w:val="center" w:pos="6887"/>
        </w:tabs>
        <w:spacing w:before="0"/>
        <w:rPr>
          <w:rFonts w:eastAsia="Calibri"/>
        </w:rPr>
      </w:pPr>
      <w:r w:rsidRPr="008013F0">
        <w:t>D. BOGDAN-MARTIN</w:t>
      </w:r>
      <w:r w:rsidR="00EE60BA">
        <w:tab/>
      </w:r>
      <w:r w:rsidR="00EE60BA" w:rsidRPr="008013F0">
        <w:t>B. TIJANI</w:t>
      </w:r>
    </w:p>
    <w:sectPr w:rsidR="00897553" w:rsidRPr="00EE60BA" w:rsidSect="00D72F49">
      <w:headerReference w:type="even" r:id="rId32"/>
      <w:footerReference w:type="even" r:id="rId33"/>
      <w:footerReference w:type="default" r:id="rId34"/>
      <w:headerReference w:type="first" r:id="rId35"/>
      <w:footerReference w:type="first" r:id="rId36"/>
      <w:pgSz w:w="11907" w:h="16840" w:code="9"/>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0F083" w14:textId="77777777" w:rsidR="009A47DC" w:rsidRDefault="009A47DC">
      <w:r>
        <w:separator/>
      </w:r>
    </w:p>
  </w:endnote>
  <w:endnote w:type="continuationSeparator" w:id="0">
    <w:p w14:paraId="5C994448" w14:textId="77777777" w:rsidR="009A47DC" w:rsidRDefault="009A4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C5EC3" w14:textId="7C63F26B" w:rsidR="00732045" w:rsidRPr="00B41E99" w:rsidRDefault="00487D2D">
    <w:pPr>
      <w:pStyle w:val="Footer"/>
      <w:rPr>
        <w:lang w:val="en-GB"/>
      </w:rPr>
    </w:pPr>
    <w:r>
      <w:fldChar w:fldCharType="begin"/>
    </w:r>
    <w:r w:rsidRPr="00B41E99">
      <w:rPr>
        <w:lang w:val="en-GB"/>
      </w:rPr>
      <w:instrText xml:space="preserve"> FILENAME \p \* MERGEFORMAT </w:instrText>
    </w:r>
    <w:r>
      <w:fldChar w:fldCharType="separate"/>
    </w:r>
    <w:r w:rsidRPr="00B41E99">
      <w:rPr>
        <w:lang w:val="en-GB"/>
      </w:rPr>
      <w:t>P:\FRA\gDoc\SG\C26\2601344F.docx</w:t>
    </w:r>
    <w:r>
      <w:fldChar w:fldCharType="end"/>
    </w:r>
    <w:r w:rsidR="00732045" w:rsidRPr="00B41E99">
      <w:rPr>
        <w:lang w:val="en-GB"/>
      </w:rPr>
      <w:tab/>
    </w:r>
    <w:r w:rsidR="002F1B76">
      <w:fldChar w:fldCharType="begin"/>
    </w:r>
    <w:r w:rsidR="00732045">
      <w:instrText xml:space="preserve"> savedate \@ dd.MM.yy </w:instrText>
    </w:r>
    <w:r w:rsidR="002F1B76">
      <w:fldChar w:fldCharType="separate"/>
    </w:r>
    <w:r w:rsidR="00A22955">
      <w:t>04.08.26</w:t>
    </w:r>
    <w:r w:rsidR="002F1B76">
      <w:fldChar w:fldCharType="end"/>
    </w:r>
    <w:r w:rsidR="00732045" w:rsidRPr="00B41E99">
      <w:rPr>
        <w:lang w:val="en-GB"/>
      </w:rPr>
      <w:tab/>
    </w:r>
    <w:r w:rsidR="002F1B76">
      <w:fldChar w:fldCharType="begin"/>
    </w:r>
    <w:r w:rsidR="00732045">
      <w:instrText xml:space="preserve"> printdate \@ dd.MM.yy </w:instrText>
    </w:r>
    <w:r w:rsidR="002F1B76">
      <w:fldChar w:fldCharType="separate"/>
    </w:r>
    <w:r>
      <w:t>18.07.00</w:t>
    </w:r>
    <w:r w:rsidR="002F1B7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51849" w:rsidRPr="00784011" w14:paraId="60B71E7B" w14:textId="77777777" w:rsidTr="00E31DCE">
      <w:trPr>
        <w:jc w:val="center"/>
      </w:trPr>
      <w:tc>
        <w:tcPr>
          <w:tcW w:w="1803" w:type="dxa"/>
          <w:vAlign w:val="center"/>
        </w:tcPr>
        <w:p w14:paraId="5F8E8250" w14:textId="695607D0" w:rsidR="00A51849" w:rsidRDefault="00812300" w:rsidP="00A51849">
          <w:pPr>
            <w:pStyle w:val="Header"/>
            <w:jc w:val="left"/>
            <w:rPr>
              <w:noProof/>
            </w:rPr>
          </w:pPr>
          <w:r>
            <w:rPr>
              <w:noProof/>
            </w:rPr>
            <w:t>2601344</w:t>
          </w:r>
        </w:p>
      </w:tc>
      <w:tc>
        <w:tcPr>
          <w:tcW w:w="8261" w:type="dxa"/>
        </w:tcPr>
        <w:p w14:paraId="792A2414" w14:textId="1D364ADE" w:rsidR="00A51849" w:rsidRPr="00E06FD5" w:rsidRDefault="00A51849" w:rsidP="00C049D7">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E4448E">
            <w:rPr>
              <w:bCs/>
            </w:rPr>
            <w:t>6</w:t>
          </w:r>
          <w:r w:rsidRPr="00623AE3">
            <w:rPr>
              <w:bCs/>
            </w:rPr>
            <w:t>/</w:t>
          </w:r>
          <w:r w:rsidR="00AF06B2">
            <w:rPr>
              <w:bCs/>
            </w:rPr>
            <w:t>124</w:t>
          </w:r>
          <w:r w:rsidRPr="00623AE3">
            <w:rPr>
              <w:bCs/>
            </w:rPr>
            <w:t>-</w:t>
          </w:r>
          <w:r w:rsidR="00973F53">
            <w:rPr>
              <w:bCs/>
            </w:rPr>
            <w:t>F</w:t>
          </w:r>
          <w:r>
            <w:rPr>
              <w:bCs/>
            </w:rPr>
            <w:tab/>
          </w:r>
          <w:r>
            <w:fldChar w:fldCharType="begin"/>
          </w:r>
          <w:r>
            <w:instrText>PAGE</w:instrText>
          </w:r>
          <w:r>
            <w:fldChar w:fldCharType="separate"/>
          </w:r>
          <w:r>
            <w:t>1</w:t>
          </w:r>
          <w:r>
            <w:rPr>
              <w:noProof/>
            </w:rPr>
            <w:fldChar w:fldCharType="end"/>
          </w:r>
        </w:p>
      </w:tc>
    </w:tr>
  </w:tbl>
  <w:p w14:paraId="6C194167" w14:textId="77777777" w:rsidR="00732045" w:rsidRPr="00A51849" w:rsidRDefault="00732045" w:rsidP="00FC6D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51849" w:rsidRPr="00784011" w14:paraId="596528DD" w14:textId="77777777" w:rsidTr="00E31DCE">
      <w:trPr>
        <w:jc w:val="center"/>
      </w:trPr>
      <w:tc>
        <w:tcPr>
          <w:tcW w:w="1803" w:type="dxa"/>
          <w:vAlign w:val="center"/>
        </w:tcPr>
        <w:p w14:paraId="093C08DE" w14:textId="77777777" w:rsidR="00A51849" w:rsidRPr="00FC6D7D" w:rsidRDefault="00E4448E" w:rsidP="00A51849">
          <w:pPr>
            <w:pStyle w:val="Header"/>
            <w:jc w:val="left"/>
            <w:rPr>
              <w:noProof/>
              <w:color w:val="0563C1"/>
            </w:rPr>
          </w:pPr>
          <w:hyperlink r:id="rId1" w:anchor="/fr" w:history="1">
            <w:r>
              <w:rPr>
                <w:rStyle w:val="Hyperlink"/>
              </w:rPr>
              <w:t>council.itu.int/2026</w:t>
            </w:r>
          </w:hyperlink>
        </w:p>
      </w:tc>
      <w:tc>
        <w:tcPr>
          <w:tcW w:w="8261" w:type="dxa"/>
        </w:tcPr>
        <w:p w14:paraId="5F2CEBF6" w14:textId="451FFE3F" w:rsidR="00A51849" w:rsidRPr="00E06FD5" w:rsidRDefault="00A51849" w:rsidP="00C049D7">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E4448E">
            <w:rPr>
              <w:bCs/>
            </w:rPr>
            <w:t>6</w:t>
          </w:r>
          <w:r w:rsidRPr="00623AE3">
            <w:rPr>
              <w:bCs/>
            </w:rPr>
            <w:t>/</w:t>
          </w:r>
          <w:r w:rsidR="00F16DBE">
            <w:rPr>
              <w:bCs/>
            </w:rPr>
            <w:t>124</w:t>
          </w:r>
          <w:r w:rsidRPr="00623AE3">
            <w:rPr>
              <w:bCs/>
            </w:rPr>
            <w:t>-</w:t>
          </w:r>
          <w:r w:rsidR="00D72F49">
            <w:rPr>
              <w:bCs/>
            </w:rPr>
            <w:t>F</w:t>
          </w:r>
          <w:r>
            <w:rPr>
              <w:bCs/>
            </w:rPr>
            <w:tab/>
          </w:r>
          <w:r>
            <w:fldChar w:fldCharType="begin"/>
          </w:r>
          <w:r>
            <w:instrText>PAGE</w:instrText>
          </w:r>
          <w:r>
            <w:fldChar w:fldCharType="separate"/>
          </w:r>
          <w:r>
            <w:t>1</w:t>
          </w:r>
          <w:r>
            <w:rPr>
              <w:noProof/>
            </w:rPr>
            <w:fldChar w:fldCharType="end"/>
          </w:r>
        </w:p>
      </w:tc>
    </w:tr>
  </w:tbl>
  <w:p w14:paraId="18DD80BA" w14:textId="77777777" w:rsidR="00732045" w:rsidRPr="00A51849" w:rsidRDefault="00732045" w:rsidP="00FC6D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8FF78" w14:textId="77777777" w:rsidR="009A47DC" w:rsidRDefault="009A47DC">
      <w:r>
        <w:t>____________________</w:t>
      </w:r>
    </w:p>
  </w:footnote>
  <w:footnote w:type="continuationSeparator" w:id="0">
    <w:p w14:paraId="329ADD45" w14:textId="77777777" w:rsidR="009A47DC" w:rsidRDefault="009A4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2064C" w14:textId="77777777" w:rsidR="00732045" w:rsidRDefault="00732045">
    <w:pPr>
      <w:pStyle w:val="Header"/>
    </w:pPr>
    <w:r>
      <w:t xml:space="preserve">- </w:t>
    </w:r>
    <w:r w:rsidR="00C27A7C">
      <w:fldChar w:fldCharType="begin"/>
    </w:r>
    <w:r w:rsidR="00C27A7C">
      <w:instrText>PAGE</w:instrText>
    </w:r>
    <w:r w:rsidR="00C27A7C">
      <w:fldChar w:fldCharType="separate"/>
    </w:r>
    <w:r>
      <w:rPr>
        <w:noProof/>
      </w:rPr>
      <w:t>2</w:t>
    </w:r>
    <w:r w:rsidR="00C27A7C">
      <w:rPr>
        <w:noProof/>
      </w:rPr>
      <w:fldChar w:fldCharType="end"/>
    </w:r>
    <w:r>
      <w:t xml:space="preserve"> -</w:t>
    </w:r>
  </w:p>
  <w:p w14:paraId="3698903D" w14:textId="77777777" w:rsidR="00732045" w:rsidRDefault="00732045">
    <w:pPr>
      <w:pStyle w:val="Header"/>
    </w:pPr>
    <w:r>
      <w:t>C2001/#-F</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D3EAF" w14:textId="77777777" w:rsidR="00A51849" w:rsidRPr="001342E0" w:rsidRDefault="001342E0" w:rsidP="001342E0">
    <w:pPr>
      <w:pStyle w:val="Header"/>
    </w:pPr>
    <w:r>
      <w:rPr>
        <w:noProof/>
      </w:rPr>
      <w:drawing>
        <wp:inline distT="0" distB="0" distL="0" distR="0" wp14:anchorId="135C3DDA" wp14:editId="54BD83C6">
          <wp:extent cx="5760085" cy="840740"/>
          <wp:effectExtent l="0" t="0" r="0" b="0"/>
          <wp:docPr id="322889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89409" name="Picture 322889409"/>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8364A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FC17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52E2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324F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EA3A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3050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D0D2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22DA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4A9B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22DCA6"/>
    <w:lvl w:ilvl="0">
      <w:start w:val="1"/>
      <w:numFmt w:val="bullet"/>
      <w:lvlText w:val=""/>
      <w:lvlJc w:val="left"/>
      <w:pPr>
        <w:tabs>
          <w:tab w:val="num" w:pos="360"/>
        </w:tabs>
        <w:ind w:left="360" w:hanging="360"/>
      </w:pPr>
      <w:rPr>
        <w:rFonts w:ascii="Symbol" w:hAnsi="Symbol" w:hint="default"/>
      </w:rPr>
    </w:lvl>
  </w:abstractNum>
  <w:num w:numId="1" w16cid:durableId="2141997742">
    <w:abstractNumId w:val="9"/>
  </w:num>
  <w:num w:numId="2" w16cid:durableId="1093237244">
    <w:abstractNumId w:val="7"/>
  </w:num>
  <w:num w:numId="3" w16cid:durableId="1257253301">
    <w:abstractNumId w:val="6"/>
  </w:num>
  <w:num w:numId="4" w16cid:durableId="643581644">
    <w:abstractNumId w:val="5"/>
  </w:num>
  <w:num w:numId="5" w16cid:durableId="540091390">
    <w:abstractNumId w:val="4"/>
  </w:num>
  <w:num w:numId="6" w16cid:durableId="1505516473">
    <w:abstractNumId w:val="8"/>
  </w:num>
  <w:num w:numId="7" w16cid:durableId="1805656832">
    <w:abstractNumId w:val="3"/>
  </w:num>
  <w:num w:numId="8" w16cid:durableId="1976178018">
    <w:abstractNumId w:val="2"/>
  </w:num>
  <w:num w:numId="9" w16cid:durableId="1874616385">
    <w:abstractNumId w:val="1"/>
  </w:num>
  <w:num w:numId="10" w16cid:durableId="397560822">
    <w:abstractNumId w:val="0"/>
  </w:num>
  <w:num w:numId="11" w16cid:durableId="316111279">
    <w:abstractNumId w:val="8"/>
  </w:num>
  <w:num w:numId="12" w16cid:durableId="198591369">
    <w:abstractNumId w:val="3"/>
  </w:num>
  <w:num w:numId="13" w16cid:durableId="1147698827">
    <w:abstractNumId w:val="2"/>
  </w:num>
  <w:num w:numId="14" w16cid:durableId="1121074654">
    <w:abstractNumId w:val="1"/>
  </w:num>
  <w:num w:numId="15" w16cid:durableId="592979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38A"/>
    <w:rsid w:val="000028C6"/>
    <w:rsid w:val="00076A2C"/>
    <w:rsid w:val="000A4FA4"/>
    <w:rsid w:val="000A51E4"/>
    <w:rsid w:val="000D0D0A"/>
    <w:rsid w:val="00103163"/>
    <w:rsid w:val="00106B19"/>
    <w:rsid w:val="001133EF"/>
    <w:rsid w:val="00115D93"/>
    <w:rsid w:val="001247A8"/>
    <w:rsid w:val="001342E0"/>
    <w:rsid w:val="001370B2"/>
    <w:rsid w:val="001378C0"/>
    <w:rsid w:val="001521A8"/>
    <w:rsid w:val="001658F9"/>
    <w:rsid w:val="0018694A"/>
    <w:rsid w:val="0019129B"/>
    <w:rsid w:val="001A3287"/>
    <w:rsid w:val="001A6508"/>
    <w:rsid w:val="001B3B74"/>
    <w:rsid w:val="001D4C31"/>
    <w:rsid w:val="001E4D21"/>
    <w:rsid w:val="00207CD1"/>
    <w:rsid w:val="00226657"/>
    <w:rsid w:val="00234B24"/>
    <w:rsid w:val="00236E4A"/>
    <w:rsid w:val="002477A2"/>
    <w:rsid w:val="00263A51"/>
    <w:rsid w:val="00267E02"/>
    <w:rsid w:val="00271321"/>
    <w:rsid w:val="00277DEA"/>
    <w:rsid w:val="002A5D44"/>
    <w:rsid w:val="002B1A72"/>
    <w:rsid w:val="002C3F32"/>
    <w:rsid w:val="002C4E3D"/>
    <w:rsid w:val="002C5198"/>
    <w:rsid w:val="002D2336"/>
    <w:rsid w:val="002E0BC4"/>
    <w:rsid w:val="002F1ACC"/>
    <w:rsid w:val="002F1B76"/>
    <w:rsid w:val="00327AE5"/>
    <w:rsid w:val="0033568E"/>
    <w:rsid w:val="00355FF5"/>
    <w:rsid w:val="00361350"/>
    <w:rsid w:val="003705F5"/>
    <w:rsid w:val="003B276A"/>
    <w:rsid w:val="003C3FAE"/>
    <w:rsid w:val="004038CB"/>
    <w:rsid w:val="0040546F"/>
    <w:rsid w:val="004177BD"/>
    <w:rsid w:val="0042404A"/>
    <w:rsid w:val="0042797B"/>
    <w:rsid w:val="0044618F"/>
    <w:rsid w:val="00465C35"/>
    <w:rsid w:val="0046769A"/>
    <w:rsid w:val="00475FB3"/>
    <w:rsid w:val="00487D2D"/>
    <w:rsid w:val="004C37A9"/>
    <w:rsid w:val="004D1D50"/>
    <w:rsid w:val="004D7D3B"/>
    <w:rsid w:val="004F259E"/>
    <w:rsid w:val="004F633A"/>
    <w:rsid w:val="00504C7F"/>
    <w:rsid w:val="00511F1D"/>
    <w:rsid w:val="005145F4"/>
    <w:rsid w:val="00520F36"/>
    <w:rsid w:val="00524E8D"/>
    <w:rsid w:val="00534E13"/>
    <w:rsid w:val="00540615"/>
    <w:rsid w:val="00540A6D"/>
    <w:rsid w:val="00553536"/>
    <w:rsid w:val="0055439A"/>
    <w:rsid w:val="00564D28"/>
    <w:rsid w:val="00566679"/>
    <w:rsid w:val="00571EEA"/>
    <w:rsid w:val="00575417"/>
    <w:rsid w:val="005768E1"/>
    <w:rsid w:val="005B1938"/>
    <w:rsid w:val="005C3890"/>
    <w:rsid w:val="005D07DD"/>
    <w:rsid w:val="005F7BFE"/>
    <w:rsid w:val="00600017"/>
    <w:rsid w:val="00602682"/>
    <w:rsid w:val="006121D2"/>
    <w:rsid w:val="006235CA"/>
    <w:rsid w:val="0062366E"/>
    <w:rsid w:val="006643AB"/>
    <w:rsid w:val="00672F94"/>
    <w:rsid w:val="006A0A51"/>
    <w:rsid w:val="006A11AE"/>
    <w:rsid w:val="006B224B"/>
    <w:rsid w:val="006C49A4"/>
    <w:rsid w:val="006F0A53"/>
    <w:rsid w:val="0071402E"/>
    <w:rsid w:val="007210CD"/>
    <w:rsid w:val="00732045"/>
    <w:rsid w:val="0073275D"/>
    <w:rsid w:val="007369DB"/>
    <w:rsid w:val="00750D66"/>
    <w:rsid w:val="0077110E"/>
    <w:rsid w:val="007956C2"/>
    <w:rsid w:val="00796BDB"/>
    <w:rsid w:val="007A187E"/>
    <w:rsid w:val="007C72C2"/>
    <w:rsid w:val="007D4436"/>
    <w:rsid w:val="007D6577"/>
    <w:rsid w:val="007F257A"/>
    <w:rsid w:val="007F3665"/>
    <w:rsid w:val="00800037"/>
    <w:rsid w:val="008013F0"/>
    <w:rsid w:val="00812300"/>
    <w:rsid w:val="0082299A"/>
    <w:rsid w:val="0083391C"/>
    <w:rsid w:val="0084546D"/>
    <w:rsid w:val="00852277"/>
    <w:rsid w:val="00861D73"/>
    <w:rsid w:val="00882919"/>
    <w:rsid w:val="00897553"/>
    <w:rsid w:val="008A4E87"/>
    <w:rsid w:val="008D76E6"/>
    <w:rsid w:val="0092392D"/>
    <w:rsid w:val="0093234A"/>
    <w:rsid w:val="00956A78"/>
    <w:rsid w:val="0097363B"/>
    <w:rsid w:val="00973F53"/>
    <w:rsid w:val="00976746"/>
    <w:rsid w:val="0098348E"/>
    <w:rsid w:val="009A47DC"/>
    <w:rsid w:val="009A6BAA"/>
    <w:rsid w:val="009A76A8"/>
    <w:rsid w:val="009C307F"/>
    <w:rsid w:val="009C353C"/>
    <w:rsid w:val="009D5955"/>
    <w:rsid w:val="009F0FB8"/>
    <w:rsid w:val="00A01F4F"/>
    <w:rsid w:val="00A07954"/>
    <w:rsid w:val="00A109AF"/>
    <w:rsid w:val="00A125FB"/>
    <w:rsid w:val="00A2113E"/>
    <w:rsid w:val="00A22955"/>
    <w:rsid w:val="00A23A51"/>
    <w:rsid w:val="00A24607"/>
    <w:rsid w:val="00A25CD3"/>
    <w:rsid w:val="00A51849"/>
    <w:rsid w:val="00A709FE"/>
    <w:rsid w:val="00A73C60"/>
    <w:rsid w:val="00A82767"/>
    <w:rsid w:val="00AA332F"/>
    <w:rsid w:val="00AA7BBB"/>
    <w:rsid w:val="00AB64A8"/>
    <w:rsid w:val="00AC0266"/>
    <w:rsid w:val="00AC0F1D"/>
    <w:rsid w:val="00AD24EC"/>
    <w:rsid w:val="00AF06B2"/>
    <w:rsid w:val="00B27B00"/>
    <w:rsid w:val="00B309F9"/>
    <w:rsid w:val="00B32B60"/>
    <w:rsid w:val="00B41E99"/>
    <w:rsid w:val="00B51005"/>
    <w:rsid w:val="00B61619"/>
    <w:rsid w:val="00B6638A"/>
    <w:rsid w:val="00B86ED7"/>
    <w:rsid w:val="00BB1A42"/>
    <w:rsid w:val="00BB38C1"/>
    <w:rsid w:val="00BB4545"/>
    <w:rsid w:val="00BD5873"/>
    <w:rsid w:val="00BF4B60"/>
    <w:rsid w:val="00C04023"/>
    <w:rsid w:val="00C049D7"/>
    <w:rsid w:val="00C04BE3"/>
    <w:rsid w:val="00C25D29"/>
    <w:rsid w:val="00C2625E"/>
    <w:rsid w:val="00C27A7C"/>
    <w:rsid w:val="00C42437"/>
    <w:rsid w:val="00C73BB5"/>
    <w:rsid w:val="00C74B66"/>
    <w:rsid w:val="00CA08ED"/>
    <w:rsid w:val="00CC6EAA"/>
    <w:rsid w:val="00CD5FCC"/>
    <w:rsid w:val="00CE0AA3"/>
    <w:rsid w:val="00CE5172"/>
    <w:rsid w:val="00CF0534"/>
    <w:rsid w:val="00CF183B"/>
    <w:rsid w:val="00D375CD"/>
    <w:rsid w:val="00D37B53"/>
    <w:rsid w:val="00D553A2"/>
    <w:rsid w:val="00D72F49"/>
    <w:rsid w:val="00D774D3"/>
    <w:rsid w:val="00D8102D"/>
    <w:rsid w:val="00D904E8"/>
    <w:rsid w:val="00DA08C3"/>
    <w:rsid w:val="00DB5A3E"/>
    <w:rsid w:val="00DB6190"/>
    <w:rsid w:val="00DC22AA"/>
    <w:rsid w:val="00DD1A99"/>
    <w:rsid w:val="00DE62C6"/>
    <w:rsid w:val="00DF74DD"/>
    <w:rsid w:val="00E25AD0"/>
    <w:rsid w:val="00E33426"/>
    <w:rsid w:val="00E40A7D"/>
    <w:rsid w:val="00E4428F"/>
    <w:rsid w:val="00E4448E"/>
    <w:rsid w:val="00E47427"/>
    <w:rsid w:val="00E93668"/>
    <w:rsid w:val="00E95647"/>
    <w:rsid w:val="00EB6350"/>
    <w:rsid w:val="00EC27DA"/>
    <w:rsid w:val="00ED799B"/>
    <w:rsid w:val="00EE60BA"/>
    <w:rsid w:val="00F114FD"/>
    <w:rsid w:val="00F15B57"/>
    <w:rsid w:val="00F16DBE"/>
    <w:rsid w:val="00F35EF4"/>
    <w:rsid w:val="00F37FE5"/>
    <w:rsid w:val="00F427DB"/>
    <w:rsid w:val="00F66750"/>
    <w:rsid w:val="00FA5EB1"/>
    <w:rsid w:val="00FA7439"/>
    <w:rsid w:val="00FC14CF"/>
    <w:rsid w:val="00FC4EC0"/>
    <w:rsid w:val="00FC6D7D"/>
    <w:rsid w:val="00FF018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D48C9A"/>
  <w15:docId w15:val="{096BE525-9DF4-4D93-86E8-42836097B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366E"/>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ED799B"/>
    <w:pPr>
      <w:keepNext/>
      <w:keepLines/>
      <w:spacing w:before="360"/>
      <w:ind w:left="567" w:hanging="567"/>
      <w:outlineLvl w:val="0"/>
    </w:pPr>
    <w:rPr>
      <w:b/>
      <w:sz w:val="28"/>
    </w:rPr>
  </w:style>
  <w:style w:type="paragraph" w:styleId="Heading2">
    <w:name w:val="heading 2"/>
    <w:basedOn w:val="Heading1"/>
    <w:next w:val="Normal"/>
    <w:qFormat/>
    <w:rsid w:val="00ED799B"/>
    <w:pPr>
      <w:spacing w:before="200"/>
      <w:outlineLvl w:val="1"/>
    </w:pPr>
    <w:rPr>
      <w:sz w:val="24"/>
    </w:rPr>
  </w:style>
  <w:style w:type="paragraph" w:styleId="Heading3">
    <w:name w:val="heading 3"/>
    <w:basedOn w:val="Heading1"/>
    <w:next w:val="Normal"/>
    <w:qFormat/>
    <w:rsid w:val="00ED799B"/>
    <w:pPr>
      <w:spacing w:before="200"/>
      <w:outlineLvl w:val="2"/>
    </w:pPr>
    <w:rPr>
      <w:sz w:val="24"/>
    </w:rPr>
  </w:style>
  <w:style w:type="paragraph" w:styleId="Heading4">
    <w:name w:val="heading 4"/>
    <w:basedOn w:val="Heading3"/>
    <w:next w:val="Normal"/>
    <w:qFormat/>
    <w:rsid w:val="00732045"/>
    <w:pPr>
      <w:ind w:left="1134" w:hanging="1134"/>
      <w:outlineLvl w:val="3"/>
    </w:pPr>
  </w:style>
  <w:style w:type="paragraph" w:styleId="Heading5">
    <w:name w:val="heading 5"/>
    <w:basedOn w:val="Heading4"/>
    <w:next w:val="Normal"/>
    <w:qFormat/>
    <w:rsid w:val="00732045"/>
    <w:pPr>
      <w:outlineLvl w:val="4"/>
    </w:pPr>
  </w:style>
  <w:style w:type="paragraph" w:styleId="Heading6">
    <w:name w:val="heading 6"/>
    <w:basedOn w:val="Heading4"/>
    <w:next w:val="Normal"/>
    <w:qFormat/>
    <w:rsid w:val="00732045"/>
    <w:pPr>
      <w:outlineLvl w:val="5"/>
    </w:pPr>
  </w:style>
  <w:style w:type="paragraph" w:styleId="Heading7">
    <w:name w:val="heading 7"/>
    <w:basedOn w:val="Heading4"/>
    <w:next w:val="Normal"/>
    <w:qFormat/>
    <w:rsid w:val="00732045"/>
    <w:pPr>
      <w:ind w:left="1701" w:hanging="1701"/>
      <w:outlineLvl w:val="6"/>
    </w:pPr>
  </w:style>
  <w:style w:type="paragraph" w:styleId="Heading8">
    <w:name w:val="heading 8"/>
    <w:basedOn w:val="Heading4"/>
    <w:next w:val="Normal"/>
    <w:qFormat/>
    <w:rsid w:val="00732045"/>
    <w:pPr>
      <w:ind w:left="1701" w:hanging="1701"/>
      <w:outlineLvl w:val="7"/>
    </w:pPr>
  </w:style>
  <w:style w:type="paragraph" w:styleId="Heading9">
    <w:name w:val="heading 9"/>
    <w:basedOn w:val="Heading4"/>
    <w:next w:val="Normal"/>
    <w:qFormat/>
    <w:rsid w:val="00732045"/>
    <w:pPr>
      <w:ind w:left="1701" w:hanging="1701"/>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19129B"/>
  </w:style>
  <w:style w:type="paragraph" w:styleId="TOC3">
    <w:name w:val="toc 3"/>
    <w:basedOn w:val="TOC1"/>
    <w:next w:val="Normal"/>
    <w:rsid w:val="001658F9"/>
  </w:style>
  <w:style w:type="paragraph" w:styleId="TOC2">
    <w:name w:val="toc 2"/>
    <w:basedOn w:val="TOC1"/>
    <w:next w:val="Normal"/>
    <w:rsid w:val="001658F9"/>
    <w:pPr>
      <w:spacing w:before="160"/>
    </w:pPr>
  </w:style>
  <w:style w:type="paragraph" w:styleId="TOC1">
    <w:name w:val="toc 1"/>
    <w:basedOn w:val="Normal"/>
    <w:rsid w:val="001658F9"/>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19129B"/>
  </w:style>
  <w:style w:type="paragraph" w:styleId="TOC6">
    <w:name w:val="toc 6"/>
    <w:basedOn w:val="TOC5"/>
    <w:next w:val="Normal"/>
    <w:rsid w:val="0019129B"/>
  </w:style>
  <w:style w:type="paragraph" w:styleId="TOC5">
    <w:name w:val="toc 5"/>
    <w:basedOn w:val="TOC4"/>
    <w:next w:val="Normal"/>
    <w:rsid w:val="0019129B"/>
    <w:rPr>
      <w:lang w:val="fr-CH"/>
    </w:rPr>
  </w:style>
  <w:style w:type="paragraph" w:styleId="TOC4">
    <w:name w:val="toc 4"/>
    <w:basedOn w:val="TOC1"/>
    <w:next w:val="Normal"/>
    <w:rsid w:val="0019129B"/>
  </w:style>
  <w:style w:type="paragraph" w:styleId="Index7">
    <w:name w:val="index 7"/>
    <w:basedOn w:val="Normal"/>
    <w:next w:val="Normal"/>
    <w:rsid w:val="005C3890"/>
    <w:pPr>
      <w:ind w:left="1698"/>
    </w:pPr>
  </w:style>
  <w:style w:type="paragraph" w:styleId="Index6">
    <w:name w:val="index 6"/>
    <w:basedOn w:val="Normal"/>
    <w:next w:val="Normal"/>
    <w:rsid w:val="005C3890"/>
    <w:pPr>
      <w:ind w:left="1415"/>
    </w:pPr>
  </w:style>
  <w:style w:type="paragraph" w:styleId="Index5">
    <w:name w:val="index 5"/>
    <w:basedOn w:val="Normal"/>
    <w:next w:val="Normal"/>
    <w:rsid w:val="005C3890"/>
    <w:pPr>
      <w:ind w:left="1132"/>
    </w:pPr>
  </w:style>
  <w:style w:type="paragraph" w:styleId="Index4">
    <w:name w:val="index 4"/>
    <w:basedOn w:val="Normal"/>
    <w:next w:val="Normal"/>
    <w:rsid w:val="005C3890"/>
    <w:pPr>
      <w:ind w:left="849"/>
    </w:pPr>
  </w:style>
  <w:style w:type="paragraph" w:styleId="Index3">
    <w:name w:val="index 3"/>
    <w:basedOn w:val="Normal"/>
    <w:next w:val="Normal"/>
    <w:rsid w:val="005C3890"/>
    <w:pPr>
      <w:ind w:left="566"/>
    </w:pPr>
  </w:style>
  <w:style w:type="paragraph" w:styleId="Index2">
    <w:name w:val="index 2"/>
    <w:basedOn w:val="Normal"/>
    <w:next w:val="Normal"/>
    <w:rsid w:val="005C3890"/>
    <w:pPr>
      <w:ind w:left="283"/>
    </w:pPr>
  </w:style>
  <w:style w:type="paragraph" w:styleId="Index1">
    <w:name w:val="index 1"/>
    <w:basedOn w:val="Normal"/>
    <w:next w:val="Normal"/>
    <w:rsid w:val="005C3890"/>
  </w:style>
  <w:style w:type="character" w:styleId="LineNumber">
    <w:name w:val="line number"/>
    <w:basedOn w:val="DefaultParagraphFont"/>
    <w:rsid w:val="005C3890"/>
  </w:style>
  <w:style w:type="paragraph" w:styleId="IndexHeading">
    <w:name w:val="index heading"/>
    <w:basedOn w:val="Normal"/>
    <w:next w:val="Index1"/>
    <w:rsid w:val="005C3890"/>
  </w:style>
  <w:style w:type="paragraph" w:styleId="Footer">
    <w:name w:val="footer"/>
    <w:basedOn w:val="Normal"/>
    <w:rsid w:val="0073204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73204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732045"/>
    <w:rPr>
      <w:rFonts w:ascii="Calibri" w:hAnsi="Calibri"/>
      <w:position w:val="6"/>
      <w:sz w:val="16"/>
    </w:rPr>
  </w:style>
  <w:style w:type="paragraph" w:styleId="FootnoteText">
    <w:name w:val="footnote text"/>
    <w:basedOn w:val="Normal"/>
    <w:rsid w:val="00ED799B"/>
    <w:pPr>
      <w:keepLines/>
      <w:tabs>
        <w:tab w:val="left" w:pos="256"/>
      </w:tabs>
      <w:ind w:left="256" w:hanging="256"/>
    </w:pPr>
    <w:rPr>
      <w:sz w:val="22"/>
    </w:rPr>
  </w:style>
  <w:style w:type="paragraph" w:styleId="NormalIndent">
    <w:name w:val="Normal Indent"/>
    <w:basedOn w:val="Normal"/>
    <w:rsid w:val="00732045"/>
    <w:pPr>
      <w:ind w:left="567"/>
    </w:pPr>
  </w:style>
  <w:style w:type="paragraph" w:customStyle="1" w:styleId="enumlev1">
    <w:name w:val="enumlev1"/>
    <w:basedOn w:val="Normal"/>
    <w:rsid w:val="009D5955"/>
    <w:pPr>
      <w:spacing w:before="80"/>
      <w:ind w:left="567" w:hanging="567"/>
    </w:pPr>
  </w:style>
  <w:style w:type="paragraph" w:customStyle="1" w:styleId="enumlev2">
    <w:name w:val="enumlev2"/>
    <w:basedOn w:val="enumlev1"/>
    <w:rsid w:val="00732045"/>
    <w:pPr>
      <w:ind w:left="1134"/>
    </w:pPr>
  </w:style>
  <w:style w:type="paragraph" w:customStyle="1" w:styleId="enumlev3">
    <w:name w:val="enumlev3"/>
    <w:basedOn w:val="enumlev2"/>
    <w:rsid w:val="009D5955"/>
    <w:pPr>
      <w:ind w:left="1701"/>
    </w:pPr>
  </w:style>
  <w:style w:type="paragraph" w:customStyle="1" w:styleId="Equation">
    <w:name w:val="Equation"/>
    <w:basedOn w:val="Normal"/>
    <w:rsid w:val="005C3890"/>
    <w:pPr>
      <w:tabs>
        <w:tab w:val="center" w:pos="4820"/>
        <w:tab w:val="right" w:pos="9639"/>
      </w:tabs>
    </w:pPr>
  </w:style>
  <w:style w:type="paragraph" w:customStyle="1" w:styleId="Head">
    <w:name w:val="Head"/>
    <w:basedOn w:val="Normal"/>
    <w:rsid w:val="005C3890"/>
    <w:pPr>
      <w:tabs>
        <w:tab w:val="left" w:pos="6663"/>
      </w:tabs>
      <w:overflowPunct/>
      <w:autoSpaceDE/>
      <w:autoSpaceDN/>
      <w:adjustRightInd/>
      <w:spacing w:before="0"/>
      <w:textAlignment w:val="auto"/>
    </w:pPr>
  </w:style>
  <w:style w:type="paragraph" w:customStyle="1" w:styleId="Normalaftertitle">
    <w:name w:val="Normal after title"/>
    <w:basedOn w:val="Normal"/>
    <w:next w:val="Normal"/>
    <w:rsid w:val="00732045"/>
    <w:pPr>
      <w:spacing w:before="240"/>
    </w:pPr>
  </w:style>
  <w:style w:type="paragraph" w:customStyle="1" w:styleId="Call">
    <w:name w:val="Call"/>
    <w:basedOn w:val="Normal"/>
    <w:next w:val="Normal"/>
    <w:rsid w:val="00732045"/>
    <w:pPr>
      <w:keepNext/>
      <w:keepLines/>
      <w:tabs>
        <w:tab w:val="clear" w:pos="1134"/>
        <w:tab w:val="clear" w:pos="1701"/>
        <w:tab w:val="clear" w:pos="2268"/>
        <w:tab w:val="clear" w:pos="2835"/>
      </w:tabs>
      <w:spacing w:before="160"/>
      <w:ind w:left="567"/>
    </w:pPr>
    <w:rPr>
      <w:i/>
    </w:rPr>
  </w:style>
  <w:style w:type="paragraph" w:customStyle="1" w:styleId="toc0">
    <w:name w:val="toc 0"/>
    <w:basedOn w:val="Normal"/>
    <w:next w:val="TOC1"/>
    <w:rsid w:val="00732045"/>
    <w:pPr>
      <w:tabs>
        <w:tab w:val="clear" w:pos="567"/>
        <w:tab w:val="clear" w:pos="1134"/>
        <w:tab w:val="clear" w:pos="1701"/>
        <w:tab w:val="clear" w:pos="2268"/>
        <w:tab w:val="clear" w:pos="2835"/>
        <w:tab w:val="right" w:pos="9781"/>
      </w:tabs>
    </w:pPr>
    <w:rPr>
      <w:b/>
    </w:rPr>
  </w:style>
  <w:style w:type="paragraph" w:styleId="List">
    <w:name w:val="List"/>
    <w:basedOn w:val="Normal"/>
    <w:rsid w:val="005C3890"/>
    <w:pPr>
      <w:tabs>
        <w:tab w:val="left" w:pos="2127"/>
      </w:tabs>
      <w:ind w:left="2127" w:hanging="2127"/>
    </w:pPr>
  </w:style>
  <w:style w:type="paragraph" w:customStyle="1" w:styleId="Part">
    <w:name w:val="Part"/>
    <w:basedOn w:val="Normal"/>
    <w:rsid w:val="005C3890"/>
    <w:pPr>
      <w:tabs>
        <w:tab w:val="left" w:pos="1276"/>
      </w:tabs>
      <w:spacing w:before="199"/>
      <w:ind w:left="1701" w:hanging="1701"/>
    </w:pPr>
    <w:rPr>
      <w:caps/>
    </w:rPr>
  </w:style>
  <w:style w:type="paragraph" w:customStyle="1" w:styleId="Reasons">
    <w:name w:val="Reasons"/>
    <w:basedOn w:val="Normal"/>
    <w:qFormat/>
    <w:rsid w:val="00732045"/>
  </w:style>
  <w:style w:type="paragraph" w:customStyle="1" w:styleId="meeting">
    <w:name w:val="meeting"/>
    <w:basedOn w:val="Head"/>
    <w:next w:val="Head"/>
    <w:rsid w:val="005C3890"/>
    <w:pPr>
      <w:tabs>
        <w:tab w:val="left" w:pos="7371"/>
      </w:tabs>
      <w:spacing w:after="567"/>
    </w:pPr>
  </w:style>
  <w:style w:type="paragraph" w:customStyle="1" w:styleId="Subject">
    <w:name w:val="Subject"/>
    <w:basedOn w:val="Normal"/>
    <w:next w:val="Source"/>
    <w:rsid w:val="005C3890"/>
    <w:pPr>
      <w:tabs>
        <w:tab w:val="left" w:pos="709"/>
      </w:tabs>
      <w:spacing w:before="0"/>
      <w:ind w:left="709" w:hanging="709"/>
    </w:pPr>
  </w:style>
  <w:style w:type="paragraph" w:customStyle="1" w:styleId="Source">
    <w:name w:val="Source"/>
    <w:basedOn w:val="Normal"/>
    <w:next w:val="Title1"/>
    <w:rsid w:val="00732045"/>
    <w:pPr>
      <w:spacing w:before="840"/>
      <w:jc w:val="center"/>
    </w:pPr>
    <w:rPr>
      <w:b/>
      <w:sz w:val="28"/>
    </w:rPr>
  </w:style>
  <w:style w:type="paragraph" w:customStyle="1" w:styleId="Object">
    <w:name w:val="Object"/>
    <w:basedOn w:val="Subject"/>
    <w:next w:val="Subject"/>
    <w:rsid w:val="005C3890"/>
  </w:style>
  <w:style w:type="paragraph" w:customStyle="1" w:styleId="Data">
    <w:name w:val="Data"/>
    <w:basedOn w:val="Subject"/>
    <w:next w:val="Subject"/>
    <w:rsid w:val="005C3890"/>
  </w:style>
  <w:style w:type="paragraph" w:customStyle="1" w:styleId="Headingb">
    <w:name w:val="Heading_b"/>
    <w:basedOn w:val="Heading3"/>
    <w:next w:val="Normal"/>
    <w:rsid w:val="00ED799B"/>
    <w:pPr>
      <w:spacing w:before="160"/>
      <w:ind w:left="0" w:firstLine="0"/>
      <w:outlineLvl w:val="0"/>
    </w:pPr>
  </w:style>
  <w:style w:type="paragraph" w:customStyle="1" w:styleId="Title1">
    <w:name w:val="Title 1"/>
    <w:basedOn w:val="Normal"/>
    <w:next w:val="Normalaftertitle"/>
    <w:rsid w:val="0071402E"/>
    <w:pPr>
      <w:spacing w:before="360"/>
      <w:jc w:val="center"/>
    </w:pPr>
    <w:rPr>
      <w:caps/>
    </w:rPr>
  </w:style>
  <w:style w:type="paragraph" w:customStyle="1" w:styleId="dnum">
    <w:name w:val="dnum"/>
    <w:basedOn w:val="Normal"/>
    <w:rsid w:val="005C3890"/>
    <w:pPr>
      <w:framePr w:hSpace="181" w:wrap="notBeside" w:vAnchor="page" w:hAnchor="margin" w:x="1" w:y="852"/>
      <w:shd w:val="solid" w:color="FFFFFF" w:fill="FFFFFF"/>
      <w:tabs>
        <w:tab w:val="left" w:pos="1871"/>
      </w:tabs>
    </w:pPr>
    <w:rPr>
      <w:b/>
      <w:bCs/>
    </w:rPr>
  </w:style>
  <w:style w:type="paragraph" w:customStyle="1" w:styleId="FirstFooter">
    <w:name w:val="FirstFooter"/>
    <w:basedOn w:val="Footer"/>
    <w:rsid w:val="00732045"/>
    <w:rPr>
      <w:caps w:val="0"/>
    </w:rPr>
  </w:style>
  <w:style w:type="paragraph" w:customStyle="1" w:styleId="Note">
    <w:name w:val="Note"/>
    <w:basedOn w:val="Normal"/>
    <w:rsid w:val="0071402E"/>
    <w:pPr>
      <w:spacing w:before="80"/>
    </w:pPr>
    <w:rPr>
      <w:sz w:val="22"/>
    </w:rPr>
  </w:style>
  <w:style w:type="paragraph" w:styleId="TOC9">
    <w:name w:val="toc 9"/>
    <w:basedOn w:val="Normal"/>
    <w:next w:val="Normal"/>
    <w:rsid w:val="00732045"/>
    <w:pPr>
      <w:tabs>
        <w:tab w:val="clear" w:pos="567"/>
        <w:tab w:val="clear" w:pos="1134"/>
        <w:tab w:val="clear" w:pos="1701"/>
        <w:tab w:val="clear" w:pos="2268"/>
        <w:tab w:val="clear" w:pos="2835"/>
        <w:tab w:val="right" w:leader="dot" w:pos="9645"/>
      </w:tabs>
      <w:ind w:left="1920"/>
    </w:pPr>
  </w:style>
  <w:style w:type="paragraph" w:customStyle="1" w:styleId="ddate">
    <w:name w:val="ddate"/>
    <w:basedOn w:val="Normal"/>
    <w:rsid w:val="005C3890"/>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5C3890"/>
    <w:pPr>
      <w:framePr w:hSpace="181" w:wrap="notBeside" w:vAnchor="page" w:hAnchor="margin" w:x="1" w:y="852"/>
      <w:shd w:val="solid" w:color="FFFFFF" w:fill="FFFFFF"/>
      <w:tabs>
        <w:tab w:val="left" w:pos="1871"/>
      </w:tabs>
      <w:spacing w:before="0"/>
    </w:pPr>
    <w:rPr>
      <w:b/>
      <w:bCs/>
    </w:rPr>
  </w:style>
  <w:style w:type="character" w:styleId="Hyperlink">
    <w:name w:val="Hyperlink"/>
    <w:basedOn w:val="DefaultParagraphFont"/>
    <w:rsid w:val="00C74B66"/>
    <w:rPr>
      <w:rFonts w:eastAsiaTheme="minorHAnsi" w:cstheme="minorBidi"/>
      <w:color w:val="4F81BD" w:themeColor="accent1"/>
      <w:szCs w:val="22"/>
      <w:u w:val="single"/>
    </w:rPr>
  </w:style>
  <w:style w:type="character" w:styleId="FollowedHyperlink">
    <w:name w:val="FollowedHyperlink"/>
    <w:basedOn w:val="DefaultParagraphFont"/>
    <w:rsid w:val="005C3890"/>
    <w:rPr>
      <w:color w:val="800080"/>
      <w:u w:val="single"/>
    </w:rPr>
  </w:style>
  <w:style w:type="paragraph" w:customStyle="1" w:styleId="AnnexNo">
    <w:name w:val="Annex_No"/>
    <w:basedOn w:val="Normal"/>
    <w:next w:val="Annexref"/>
    <w:rsid w:val="00BB38C1"/>
    <w:pPr>
      <w:keepNext/>
      <w:keepLines/>
      <w:spacing w:before="720"/>
      <w:jc w:val="center"/>
    </w:pPr>
    <w:rPr>
      <w:caps/>
      <w:sz w:val="28"/>
    </w:rPr>
  </w:style>
  <w:style w:type="paragraph" w:customStyle="1" w:styleId="Annexref">
    <w:name w:val="Annex_ref"/>
    <w:basedOn w:val="Normal"/>
    <w:next w:val="Annextitle"/>
    <w:rsid w:val="00BB38C1"/>
    <w:pPr>
      <w:keepNext/>
      <w:keepLines/>
      <w:jc w:val="center"/>
    </w:pPr>
    <w:rPr>
      <w:sz w:val="28"/>
    </w:rPr>
  </w:style>
  <w:style w:type="paragraph" w:customStyle="1" w:styleId="Annextitle">
    <w:name w:val="Annex_title"/>
    <w:basedOn w:val="Normal"/>
    <w:next w:val="Normalaftertitle"/>
    <w:rsid w:val="00BB38C1"/>
    <w:pPr>
      <w:keepNext/>
      <w:keepLines/>
      <w:spacing w:before="240" w:after="240"/>
      <w:jc w:val="center"/>
    </w:pPr>
    <w:rPr>
      <w:b/>
      <w:sz w:val="28"/>
    </w:rPr>
  </w:style>
  <w:style w:type="paragraph" w:customStyle="1" w:styleId="AppendixNo">
    <w:name w:val="Appendix_No"/>
    <w:basedOn w:val="AnnexNo"/>
    <w:next w:val="Appendixref"/>
    <w:rsid w:val="00BB38C1"/>
  </w:style>
  <w:style w:type="paragraph" w:customStyle="1" w:styleId="Appendixref">
    <w:name w:val="Appendix_ref"/>
    <w:basedOn w:val="Annexref"/>
    <w:next w:val="Appendixtitle"/>
    <w:rsid w:val="00732045"/>
  </w:style>
  <w:style w:type="paragraph" w:customStyle="1" w:styleId="Appendixtitle">
    <w:name w:val="Appendix_title"/>
    <w:basedOn w:val="Annextitle"/>
    <w:next w:val="Normalaftertitle"/>
    <w:rsid w:val="00BB38C1"/>
  </w:style>
  <w:style w:type="paragraph" w:customStyle="1" w:styleId="Artheading">
    <w:name w:val="Art_heading"/>
    <w:basedOn w:val="Normal"/>
    <w:next w:val="Normalaftertitle"/>
    <w:rsid w:val="00732045"/>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BB38C1"/>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BB38C1"/>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732045"/>
  </w:style>
  <w:style w:type="paragraph" w:customStyle="1" w:styleId="Chaptitle">
    <w:name w:val="Chap_title"/>
    <w:basedOn w:val="Arttitle"/>
    <w:next w:val="Normalaftertitle"/>
    <w:rsid w:val="00732045"/>
  </w:style>
  <w:style w:type="paragraph" w:customStyle="1" w:styleId="Equationlegend">
    <w:name w:val="Equation_legend"/>
    <w:basedOn w:val="NormalIndent"/>
    <w:rsid w:val="005C3890"/>
    <w:pPr>
      <w:tabs>
        <w:tab w:val="right" w:pos="1531"/>
      </w:tabs>
      <w:spacing w:before="80"/>
      <w:ind w:left="1701" w:hanging="1701"/>
    </w:pPr>
  </w:style>
  <w:style w:type="paragraph" w:customStyle="1" w:styleId="Figure">
    <w:name w:val="Figure"/>
    <w:basedOn w:val="Normal"/>
    <w:next w:val="Normal"/>
    <w:rsid w:val="009D5955"/>
    <w:pPr>
      <w:spacing w:after="240"/>
      <w:jc w:val="center"/>
    </w:pPr>
  </w:style>
  <w:style w:type="paragraph" w:customStyle="1" w:styleId="Figurelegend">
    <w:name w:val="Figure_legend"/>
    <w:basedOn w:val="Normal"/>
    <w:next w:val="Normal"/>
    <w:rsid w:val="009D5955"/>
    <w:pPr>
      <w:spacing w:before="20" w:after="240"/>
    </w:pPr>
    <w:rPr>
      <w:sz w:val="18"/>
    </w:rPr>
  </w:style>
  <w:style w:type="paragraph" w:customStyle="1" w:styleId="TableNo">
    <w:name w:val="Table_No"/>
    <w:basedOn w:val="Normal"/>
    <w:next w:val="Tabletitle"/>
    <w:rsid w:val="0071402E"/>
    <w:pPr>
      <w:keepNext/>
      <w:keepLines/>
      <w:spacing w:before="480" w:after="120"/>
      <w:jc w:val="center"/>
    </w:pPr>
    <w:rPr>
      <w:caps/>
    </w:rPr>
  </w:style>
  <w:style w:type="paragraph" w:customStyle="1" w:styleId="Tabletitle">
    <w:name w:val="Table_title"/>
    <w:basedOn w:val="TableNo"/>
    <w:next w:val="Tabletext"/>
    <w:rsid w:val="0071402E"/>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Figuretitle">
    <w:name w:val="Figure_title"/>
    <w:basedOn w:val="Tabletitle"/>
    <w:next w:val="Normalaftertitle"/>
    <w:rsid w:val="009D5955"/>
    <w:pPr>
      <w:spacing w:before="120" w:after="0"/>
    </w:pPr>
  </w:style>
  <w:style w:type="paragraph" w:customStyle="1" w:styleId="Figurewithouttitle">
    <w:name w:val="Figure_without_title"/>
    <w:basedOn w:val="Figure"/>
    <w:next w:val="Normal"/>
    <w:rsid w:val="00ED799B"/>
  </w:style>
  <w:style w:type="paragraph" w:customStyle="1" w:styleId="Headingi">
    <w:name w:val="Heading_i"/>
    <w:basedOn w:val="Heading3"/>
    <w:next w:val="Normal"/>
    <w:rsid w:val="00ED799B"/>
    <w:pPr>
      <w:spacing w:before="160"/>
      <w:ind w:left="0" w:firstLine="0"/>
      <w:outlineLvl w:val="0"/>
    </w:pPr>
    <w:rPr>
      <w:b w:val="0"/>
      <w:i/>
    </w:rPr>
  </w:style>
  <w:style w:type="character" w:styleId="PageNumber">
    <w:name w:val="page number"/>
    <w:basedOn w:val="DefaultParagraphFont"/>
    <w:rsid w:val="00732045"/>
    <w:rPr>
      <w:rFonts w:ascii="Calibri" w:hAnsi="Calibri"/>
    </w:rPr>
  </w:style>
  <w:style w:type="paragraph" w:customStyle="1" w:styleId="PartNo">
    <w:name w:val="Part_No"/>
    <w:basedOn w:val="AnnexNo"/>
    <w:next w:val="Parttitle"/>
    <w:rsid w:val="005C3890"/>
  </w:style>
  <w:style w:type="paragraph" w:customStyle="1" w:styleId="Partref">
    <w:name w:val="Part_ref"/>
    <w:basedOn w:val="Annexref"/>
    <w:next w:val="Normalaftertitle"/>
    <w:rsid w:val="005C3890"/>
  </w:style>
  <w:style w:type="paragraph" w:customStyle="1" w:styleId="Parttitle">
    <w:name w:val="Part_title"/>
    <w:basedOn w:val="Annextitle"/>
    <w:next w:val="Partref"/>
    <w:rsid w:val="005C3890"/>
  </w:style>
  <w:style w:type="paragraph" w:customStyle="1" w:styleId="RecNo">
    <w:name w:val="Rec_No"/>
    <w:basedOn w:val="Normal"/>
    <w:next w:val="Rectitle"/>
    <w:rsid w:val="0071402E"/>
    <w:pPr>
      <w:keepNext/>
      <w:keepLines/>
      <w:spacing w:before="720"/>
      <w:jc w:val="center"/>
    </w:pPr>
    <w:rPr>
      <w:caps/>
      <w:sz w:val="28"/>
    </w:rPr>
  </w:style>
  <w:style w:type="paragraph" w:customStyle="1" w:styleId="Rectitle">
    <w:name w:val="Rec_title"/>
    <w:basedOn w:val="Normal"/>
    <w:next w:val="Heading1"/>
    <w:rsid w:val="0071402E"/>
    <w:pPr>
      <w:keepNext/>
      <w:keepLines/>
      <w:jc w:val="center"/>
    </w:pPr>
    <w:rPr>
      <w:b/>
      <w:sz w:val="28"/>
    </w:rPr>
  </w:style>
  <w:style w:type="paragraph" w:customStyle="1" w:styleId="Recref">
    <w:name w:val="Rec_ref"/>
    <w:basedOn w:val="Rectitle"/>
    <w:next w:val="Recdate"/>
    <w:rsid w:val="005C3890"/>
    <w:rPr>
      <w:rFonts w:ascii="Times New Roman" w:hAnsi="Times New Roman"/>
      <w:b w:val="0"/>
      <w:sz w:val="24"/>
    </w:rPr>
  </w:style>
  <w:style w:type="paragraph" w:customStyle="1" w:styleId="Recdate">
    <w:name w:val="Rec_date"/>
    <w:basedOn w:val="Recref"/>
    <w:next w:val="Normalaftertitle"/>
    <w:rsid w:val="005C3890"/>
    <w:pPr>
      <w:jc w:val="right"/>
    </w:pPr>
    <w:rPr>
      <w:sz w:val="22"/>
    </w:rPr>
  </w:style>
  <w:style w:type="paragraph" w:customStyle="1" w:styleId="Questiondate">
    <w:name w:val="Question_date"/>
    <w:basedOn w:val="Recdate"/>
    <w:next w:val="Normalaftertitle"/>
    <w:rsid w:val="0071402E"/>
  </w:style>
  <w:style w:type="paragraph" w:customStyle="1" w:styleId="QuestionNo">
    <w:name w:val="Question_No"/>
    <w:basedOn w:val="RecNo"/>
    <w:next w:val="Questiontitle"/>
    <w:rsid w:val="0071402E"/>
  </w:style>
  <w:style w:type="paragraph" w:customStyle="1" w:styleId="Questionref">
    <w:name w:val="Question_ref"/>
    <w:basedOn w:val="Recref"/>
    <w:next w:val="Questiondate"/>
    <w:rsid w:val="005C3890"/>
  </w:style>
  <w:style w:type="paragraph" w:customStyle="1" w:styleId="Questiontitle">
    <w:name w:val="Question_title"/>
    <w:basedOn w:val="Rectitle"/>
    <w:next w:val="Questionref"/>
    <w:rsid w:val="005C3890"/>
  </w:style>
  <w:style w:type="paragraph" w:customStyle="1" w:styleId="Reftext">
    <w:name w:val="Ref_text"/>
    <w:basedOn w:val="Normal"/>
    <w:rsid w:val="00732045"/>
    <w:pPr>
      <w:ind w:left="567" w:hanging="567"/>
    </w:pPr>
  </w:style>
  <w:style w:type="paragraph" w:customStyle="1" w:styleId="Reftitle">
    <w:name w:val="Ref_title"/>
    <w:basedOn w:val="Normal"/>
    <w:next w:val="Reftext"/>
    <w:rsid w:val="00732045"/>
    <w:pPr>
      <w:spacing w:before="480"/>
      <w:jc w:val="center"/>
    </w:pPr>
    <w:rPr>
      <w:caps/>
      <w:sz w:val="28"/>
    </w:rPr>
  </w:style>
  <w:style w:type="paragraph" w:customStyle="1" w:styleId="Repdate">
    <w:name w:val="Rep_date"/>
    <w:basedOn w:val="Recdate"/>
    <w:next w:val="Normalaftertitle"/>
    <w:rsid w:val="005C3890"/>
  </w:style>
  <w:style w:type="paragraph" w:customStyle="1" w:styleId="RepNo">
    <w:name w:val="Rep_No"/>
    <w:basedOn w:val="RecNo"/>
    <w:next w:val="Reptitle"/>
    <w:rsid w:val="0071402E"/>
  </w:style>
  <w:style w:type="paragraph" w:customStyle="1" w:styleId="Repref">
    <w:name w:val="Rep_ref"/>
    <w:basedOn w:val="Recref"/>
    <w:next w:val="Repdate"/>
    <w:rsid w:val="005C3890"/>
  </w:style>
  <w:style w:type="paragraph" w:customStyle="1" w:styleId="Reptitle">
    <w:name w:val="Rep_title"/>
    <w:basedOn w:val="Rectitle"/>
    <w:next w:val="Repref"/>
    <w:rsid w:val="005C3890"/>
  </w:style>
  <w:style w:type="paragraph" w:customStyle="1" w:styleId="Resdate">
    <w:name w:val="Res_date"/>
    <w:basedOn w:val="Recdate"/>
    <w:next w:val="Normalaftertitle"/>
    <w:rsid w:val="005C3890"/>
  </w:style>
  <w:style w:type="paragraph" w:customStyle="1" w:styleId="ResNo">
    <w:name w:val="Res_No"/>
    <w:basedOn w:val="AnnexNo"/>
    <w:next w:val="Restitle"/>
    <w:rsid w:val="0071402E"/>
  </w:style>
  <w:style w:type="paragraph" w:customStyle="1" w:styleId="Resref">
    <w:name w:val="Res_ref"/>
    <w:basedOn w:val="Recref"/>
    <w:next w:val="Resdate"/>
    <w:rsid w:val="005C3890"/>
  </w:style>
  <w:style w:type="paragraph" w:customStyle="1" w:styleId="Restitle">
    <w:name w:val="Res_title"/>
    <w:basedOn w:val="Annextitle"/>
    <w:next w:val="Normal"/>
    <w:rsid w:val="00732045"/>
  </w:style>
  <w:style w:type="paragraph" w:customStyle="1" w:styleId="SectionNo">
    <w:name w:val="Section_No"/>
    <w:basedOn w:val="AnnexNo"/>
    <w:next w:val="Sectiontitle"/>
    <w:rsid w:val="0071402E"/>
  </w:style>
  <w:style w:type="paragraph" w:customStyle="1" w:styleId="Sectiontitle">
    <w:name w:val="Section_title"/>
    <w:basedOn w:val="Normal"/>
    <w:next w:val="Normalaftertitle"/>
    <w:rsid w:val="005C3890"/>
    <w:rPr>
      <w:sz w:val="28"/>
    </w:rPr>
  </w:style>
  <w:style w:type="paragraph" w:customStyle="1" w:styleId="SpecialFooter">
    <w:name w:val="Special Footer"/>
    <w:basedOn w:val="Footer"/>
    <w:rsid w:val="005C3890"/>
    <w:pPr>
      <w:tabs>
        <w:tab w:val="left" w:pos="567"/>
        <w:tab w:val="left" w:pos="1134"/>
        <w:tab w:val="left" w:pos="1701"/>
        <w:tab w:val="left" w:pos="2268"/>
        <w:tab w:val="left" w:pos="2835"/>
      </w:tabs>
      <w:jc w:val="both"/>
    </w:pPr>
    <w:rPr>
      <w:caps w:val="0"/>
      <w:noProof w:val="0"/>
    </w:rPr>
  </w:style>
  <w:style w:type="paragraph" w:customStyle="1" w:styleId="Tabletext">
    <w:name w:val="Table_text"/>
    <w:basedOn w:val="Normal"/>
    <w:rsid w:val="0071402E"/>
    <w:pPr>
      <w:tabs>
        <w:tab w:val="clear" w:pos="1134"/>
        <w:tab w:val="clear" w:pos="1701"/>
        <w:tab w:val="clear" w:pos="2268"/>
        <w:tab w:val="clear" w:pos="2835"/>
        <w:tab w:val="left" w:pos="284"/>
        <w:tab w:val="left" w:pos="851"/>
      </w:tabs>
      <w:spacing w:before="40" w:after="40"/>
    </w:pPr>
    <w:rPr>
      <w:sz w:val="22"/>
    </w:rPr>
  </w:style>
  <w:style w:type="paragraph" w:customStyle="1" w:styleId="Tablehead">
    <w:name w:val="Table_head"/>
    <w:basedOn w:val="Tabletext"/>
    <w:rsid w:val="0071402E"/>
    <w:pPr>
      <w:keepNext/>
      <w:keepLines/>
      <w:spacing w:before="80" w:after="80"/>
      <w:jc w:val="center"/>
    </w:pPr>
    <w:rPr>
      <w:b/>
    </w:rPr>
  </w:style>
  <w:style w:type="paragraph" w:customStyle="1" w:styleId="Tablelegend">
    <w:name w:val="Table_legend"/>
    <w:basedOn w:val="Tabletext"/>
    <w:rsid w:val="0071402E"/>
    <w:pPr>
      <w:ind w:left="284" w:hanging="284"/>
    </w:pPr>
    <w:rPr>
      <w:sz w:val="20"/>
    </w:rPr>
  </w:style>
  <w:style w:type="paragraph" w:customStyle="1" w:styleId="Tableref">
    <w:name w:val="Table_ref"/>
    <w:basedOn w:val="Normal"/>
    <w:next w:val="Tabletitle"/>
    <w:rsid w:val="0071402E"/>
    <w:pPr>
      <w:keepNext/>
      <w:keepLines/>
      <w:jc w:val="center"/>
    </w:pPr>
    <w:rPr>
      <w:sz w:val="20"/>
    </w:rPr>
  </w:style>
  <w:style w:type="paragraph" w:customStyle="1" w:styleId="Title2">
    <w:name w:val="Title 2"/>
    <w:basedOn w:val="Title1"/>
    <w:next w:val="Normalaftertitle"/>
    <w:rsid w:val="006B224B"/>
    <w:pPr>
      <w:keepNext/>
      <w:keepLines/>
      <w:spacing w:before="240"/>
    </w:pPr>
    <w:rPr>
      <w:b/>
      <w:caps w:val="0"/>
    </w:rPr>
  </w:style>
  <w:style w:type="paragraph" w:customStyle="1" w:styleId="Title3">
    <w:name w:val="Title 3"/>
    <w:basedOn w:val="Title2"/>
    <w:next w:val="Normalaftertitle"/>
    <w:rsid w:val="006B224B"/>
    <w:rPr>
      <w:b w:val="0"/>
      <w:caps/>
    </w:rPr>
  </w:style>
  <w:style w:type="paragraph" w:customStyle="1" w:styleId="Title4">
    <w:name w:val="Title 4"/>
    <w:basedOn w:val="Annextitle"/>
    <w:next w:val="Normal"/>
    <w:rsid w:val="00CE5172"/>
    <w:pPr>
      <w:spacing w:after="120"/>
    </w:pPr>
    <w:rPr>
      <w:b w:val="0"/>
    </w:rPr>
  </w:style>
  <w:style w:type="paragraph" w:customStyle="1" w:styleId="FigureNo">
    <w:name w:val="Figure_No"/>
    <w:basedOn w:val="Normal"/>
    <w:next w:val="Figuretitle"/>
    <w:rsid w:val="009D5955"/>
    <w:pPr>
      <w:keepNext/>
      <w:keepLines/>
      <w:spacing w:before="480" w:after="120"/>
      <w:jc w:val="center"/>
    </w:pPr>
    <w:rPr>
      <w:caps/>
    </w:rPr>
  </w:style>
  <w:style w:type="paragraph" w:customStyle="1" w:styleId="firstfooter0">
    <w:name w:val="firstfooter"/>
    <w:basedOn w:val="Normal"/>
    <w:rsid w:val="00732045"/>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Subtitle">
    <w:name w:val="Sub_title"/>
    <w:basedOn w:val="Normal"/>
    <w:qFormat/>
    <w:rsid w:val="00A51849"/>
    <w:pPr>
      <w:framePr w:hSpace="180" w:wrap="around" w:hAnchor="page" w:x="1821" w:y="2317"/>
      <w:spacing w:after="160"/>
    </w:pPr>
    <w:rPr>
      <w:sz w:val="34"/>
      <w:lang w:val="en-GB"/>
    </w:rPr>
  </w:style>
  <w:style w:type="character" w:customStyle="1" w:styleId="HeaderChar">
    <w:name w:val="Header Char"/>
    <w:basedOn w:val="DefaultParagraphFont"/>
    <w:link w:val="Header"/>
    <w:uiPriority w:val="99"/>
    <w:rsid w:val="00A51849"/>
    <w:rPr>
      <w:rFonts w:ascii="Calibri" w:hAnsi="Calibri"/>
      <w:sz w:val="18"/>
      <w:lang w:val="fr-FR" w:eastAsia="en-US"/>
    </w:rPr>
  </w:style>
  <w:style w:type="table" w:styleId="TableGrid">
    <w:name w:val="Table Grid"/>
    <w:basedOn w:val="TableNormal"/>
    <w:uiPriority w:val="39"/>
    <w:rsid w:val="00A51849"/>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95647"/>
    <w:rPr>
      <w:rFonts w:ascii="Calibri" w:hAnsi="Calibri"/>
      <w:sz w:val="24"/>
      <w:lang w:val="fr-FR" w:eastAsia="en-US"/>
    </w:rPr>
  </w:style>
  <w:style w:type="character" w:styleId="PlaceholderText">
    <w:name w:val="Placeholder Text"/>
    <w:basedOn w:val="DefaultParagraphFont"/>
    <w:uiPriority w:val="99"/>
    <w:semiHidden/>
    <w:rsid w:val="00FC6D7D"/>
    <w:rPr>
      <w:color w:val="666666"/>
    </w:rPr>
  </w:style>
  <w:style w:type="character" w:styleId="UnresolvedMention">
    <w:name w:val="Unresolved Mention"/>
    <w:basedOn w:val="DefaultParagraphFont"/>
    <w:uiPriority w:val="99"/>
    <w:semiHidden/>
    <w:unhideWhenUsed/>
    <w:rsid w:val="00FC6D7D"/>
    <w:rPr>
      <w:color w:val="605E5C"/>
      <w:shd w:val="clear" w:color="auto" w:fill="E1DFDD"/>
    </w:rPr>
  </w:style>
  <w:style w:type="paragraph" w:customStyle="1" w:styleId="Referencetext">
    <w:name w:val="Reference_text"/>
    <w:basedOn w:val="Normal"/>
    <w:rsid w:val="00CE5172"/>
    <w:pPr>
      <w:framePr w:hSpace="181" w:wrap="around" w:vAnchor="page" w:hAnchor="page" w:x="1589" w:y="2314"/>
      <w:spacing w:after="160"/>
    </w:pPr>
    <w:rPr>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md/S26-CL-C-0028/fr" TargetMode="External"/><Relationship Id="rId18" Type="http://schemas.openxmlformats.org/officeDocument/2006/relationships/hyperlink" Target="http://council.itu.int/2026/wp-content/uploads/sites/6/2026/06/26.05.07-Ukraine_43-Joint-Statement-PL7.pdf" TargetMode="External"/><Relationship Id="rId26" Type="http://schemas.openxmlformats.org/officeDocument/2006/relationships/hyperlink" Target="http://council.itu.int/2026/wp-content/uploads/sites/6/2026/06/26.05.07-USA-PL7.pdf" TargetMode="External"/><Relationship Id="rId21" Type="http://schemas.openxmlformats.org/officeDocument/2006/relationships/hyperlink" Target="http://council.itu.int/2026/wp-content/uploads/sites/6/2026/06/26.05.07-Italy_EU-statement-on-Ukraine-PL7.pdf"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itu.int/md/S26-CL-C-0083/fr" TargetMode="External"/><Relationship Id="rId17" Type="http://schemas.openxmlformats.org/officeDocument/2006/relationships/hyperlink" Target="http://council.itu.int/2026/wp-content/uploads/sites/6/2026/06/26.05.07-Ukraine_43-Joint-Statement-PL7.pdf" TargetMode="External"/><Relationship Id="rId25" Type="http://schemas.openxmlformats.org/officeDocument/2006/relationships/hyperlink" Target="https://www.itu.int/md/S26-CL-C-0064/fr"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tu.int/md/S26-CL-C-0068/en" TargetMode="External"/><Relationship Id="rId20" Type="http://schemas.openxmlformats.org/officeDocument/2006/relationships/hyperlink" Target="http://council.itu.int/2026/wp-content/uploads/sites/6/2026/06/26.05.07-Brazil-statement-on-Ukraine-PL7.pdf" TargetMode="External"/><Relationship Id="rId29" Type="http://schemas.openxmlformats.org/officeDocument/2006/relationships/hyperlink" Target="http://council.itu.int/2026/wp-content/uploads/sites/6/2026/06/26.05.07-UNESCO-DG-speech-PL7.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S26-CL-C-0031/fr" TargetMode="External"/><Relationship Id="rId24" Type="http://schemas.openxmlformats.org/officeDocument/2006/relationships/hyperlink" Target="http://council.itu.int/2026/wp-content/uploads/sites/6/2026/06/26.05.07-E-Russian-Federation-statement-C26_68-PL7.pdf" TargetMode="External"/><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tu.int/md/S26-CL-C-0068/fr" TargetMode="External"/><Relationship Id="rId23" Type="http://schemas.openxmlformats.org/officeDocument/2006/relationships/hyperlink" Target="https://council.itu.int/2026/wp-content/uploads/sites/6/2026/06/26.05.07-E-Russian-Federation-statement-C26_68-PL7.pdf" TargetMode="External"/><Relationship Id="rId28" Type="http://schemas.openxmlformats.org/officeDocument/2006/relationships/hyperlink" Target="https://www.itu.int/md/S26-CL-C-0083/fr" TargetMode="External"/><Relationship Id="rId36" Type="http://schemas.openxmlformats.org/officeDocument/2006/relationships/footer" Target="footer3.xml"/><Relationship Id="rId10" Type="http://schemas.openxmlformats.org/officeDocument/2006/relationships/hyperlink" Target="https://www.itu.int/md/S26-CL-C-0064/fr" TargetMode="External"/><Relationship Id="rId19" Type="http://schemas.openxmlformats.org/officeDocument/2006/relationships/hyperlink" Target="http://council.itu.int/2026/wp-content/uploads/sites/6/2026/06/26.05.07-Brazil-statement-on-Ukraine-PL7.pdf" TargetMode="External"/><Relationship Id="rId31" Type="http://schemas.openxmlformats.org/officeDocument/2006/relationships/hyperlink" Target="https://www.itu.int/md/S26-CL-C-0028/fr" TargetMode="External"/><Relationship Id="rId4" Type="http://schemas.openxmlformats.org/officeDocument/2006/relationships/settings" Target="settings.xml"/><Relationship Id="rId9" Type="http://schemas.openxmlformats.org/officeDocument/2006/relationships/hyperlink" Target="https://www.itu.int/md/S26-CL-C-0068/fr" TargetMode="External"/><Relationship Id="rId14" Type="http://schemas.openxmlformats.org/officeDocument/2006/relationships/hyperlink" Target="https://www.itu.int/md/S26-CL-C-0069/fr" TargetMode="External"/><Relationship Id="rId22" Type="http://schemas.openxmlformats.org/officeDocument/2006/relationships/hyperlink" Target="http://council.itu.int/2026/wp-content/uploads/sites/6/2026/06/26.05.07-Italy_EU-statement-on-Ukraine-PL7.pdf" TargetMode="External"/><Relationship Id="rId27" Type="http://schemas.openxmlformats.org/officeDocument/2006/relationships/hyperlink" Target="https://www.itu.int/md/S26-CL-C-0031/fr" TargetMode="External"/><Relationship Id="rId30" Type="http://schemas.openxmlformats.org/officeDocument/2006/relationships/hyperlink" Target="http://council.itu.int/2026/wp-content/uploads/sites/6/2026/06/26.05.07-UNESCO-DG-speech-PL7.pdf" TargetMode="External"/><Relationship Id="rId35" Type="http://schemas.openxmlformats.org/officeDocument/2006/relationships/header" Target="header2.xml"/><Relationship Id="rId8" Type="http://schemas.openxmlformats.org/officeDocument/2006/relationships/hyperlink" Target="https://www.itu.int/md/S26-CL-C-0069/fr" TargetMode="External"/><Relationship Id="rId3"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3C693-1AB6-49C3-9A8D-EBCA1C5BA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3540</Words>
  <Characters>21565</Characters>
  <Application>Microsoft Office Word</Application>
  <DocSecurity>0</DocSecurity>
  <Lines>365</Lines>
  <Paragraphs>116</Paragraphs>
  <ScaleCrop>false</ScaleCrop>
  <HeadingPairs>
    <vt:vector size="2" baseType="variant">
      <vt:variant>
        <vt:lpstr>Title</vt:lpstr>
      </vt:variant>
      <vt:variant>
        <vt:i4>1</vt:i4>
      </vt:variant>
    </vt:vector>
  </HeadingPairs>
  <TitlesOfParts>
    <vt:vector size="1" baseType="lpstr">
      <vt:lpstr>Compte rendu PROVISOIRE de la septième séance plénière</vt:lpstr>
    </vt:vector>
  </TitlesOfParts>
  <Manager>Secrétariat général - Pool</Manager>
  <Company>Union internationale des télécommunications (UIT)</Company>
  <LinksUpToDate>false</LinksUpToDate>
  <CharactersWithSpaces>24989</CharactersWithSpaces>
  <SharedDoc>false</SharedDoc>
  <HLinks>
    <vt:vector size="6" baseType="variant">
      <vt:variant>
        <vt:i4>3342371</vt:i4>
      </vt:variant>
      <vt:variant>
        <vt:i4>24</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Compte rendu de la septième séance plénière</dc:title>
  <dc:subject>Conseil 2026 de l'UIT</dc:subject>
  <cp:keywords>C26; C2026; Council 2026; PP26</cp:keywords>
  <dc:description/>
  <cp:lastPrinted>2000-07-18T08:55:00Z</cp:lastPrinted>
  <dcterms:created xsi:type="dcterms:W3CDTF">2026-08-06T13:12:00Z</dcterms:created>
  <dcterms:modified xsi:type="dcterms:W3CDTF">2026-08-06T14:09:00Z</dcterms:modified>
  <cp:category>Document de conférence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C17/-F</vt:lpwstr>
  </property>
  <property fmtid="{D5CDD505-2E9C-101B-9397-08002B2CF9AE}" pid="3" name="Docdate">
    <vt:lpwstr>janvier 2017</vt:lpwstr>
  </property>
  <property fmtid="{D5CDD505-2E9C-101B-9397-08002B2CF9AE}" pid="4" name="Docorlang">
    <vt:lpwstr>Original: anglais</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3b117b70c20e9b2783321a6b7cab6c2f080bb257cb74c6787543e88ec12dc3bd</vt:lpwstr>
  </property>
</Properties>
</file>