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9"/>
        <w:gridCol w:w="2972"/>
      </w:tblGrid>
      <w:tr w:rsidR="007B0AA0" w14:paraId="5B964C3B" w14:textId="77777777" w:rsidTr="001D085F">
        <w:tc>
          <w:tcPr>
            <w:tcW w:w="6099" w:type="dxa"/>
          </w:tcPr>
          <w:p w14:paraId="51474095" w14:textId="569C3CFA" w:rsidR="007B0AA0" w:rsidRPr="007B0AA0" w:rsidRDefault="007B0AA0" w:rsidP="00F363FE">
            <w:pPr>
              <w:spacing w:before="60" w:after="60" w:line="260" w:lineRule="exact"/>
              <w:rPr>
                <w:b/>
                <w:bCs/>
                <w:rtl/>
                <w:lang w:bidi="ar-EG"/>
              </w:rPr>
            </w:pPr>
          </w:p>
        </w:tc>
        <w:tc>
          <w:tcPr>
            <w:tcW w:w="2972" w:type="dxa"/>
          </w:tcPr>
          <w:p w14:paraId="358572EA" w14:textId="4D5CF961"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2100CF">
              <w:rPr>
                <w:b/>
                <w:bCs/>
                <w:lang w:bidi="ar-EG"/>
              </w:rPr>
              <w:t>124</w:t>
            </w:r>
            <w:r w:rsidRPr="007B0AA0">
              <w:rPr>
                <w:b/>
                <w:bCs/>
                <w:lang w:bidi="ar-EG"/>
              </w:rPr>
              <w:t>-A</w:t>
            </w:r>
          </w:p>
        </w:tc>
      </w:tr>
      <w:tr w:rsidR="007B0AA0" w14:paraId="31F96485" w14:textId="77777777" w:rsidTr="001D085F">
        <w:tc>
          <w:tcPr>
            <w:tcW w:w="6099" w:type="dxa"/>
          </w:tcPr>
          <w:p w14:paraId="2FF74961" w14:textId="77777777" w:rsidR="007B0AA0" w:rsidRPr="007B0AA0" w:rsidRDefault="007B0AA0" w:rsidP="00F363FE">
            <w:pPr>
              <w:spacing w:before="60" w:after="60" w:line="260" w:lineRule="exact"/>
              <w:rPr>
                <w:b/>
                <w:bCs/>
                <w:rtl/>
                <w:lang w:bidi="ar-EG"/>
              </w:rPr>
            </w:pPr>
          </w:p>
        </w:tc>
        <w:tc>
          <w:tcPr>
            <w:tcW w:w="2972" w:type="dxa"/>
          </w:tcPr>
          <w:p w14:paraId="3CC6CED4" w14:textId="21A4FB91" w:rsidR="007B0AA0" w:rsidRPr="007B0AA0" w:rsidRDefault="00040198" w:rsidP="00F363FE">
            <w:pPr>
              <w:spacing w:before="60" w:after="60" w:line="260" w:lineRule="exact"/>
              <w:rPr>
                <w:b/>
                <w:bCs/>
                <w:rtl/>
                <w:lang w:bidi="ar-EG"/>
              </w:rPr>
            </w:pPr>
            <w:r>
              <w:rPr>
                <w:rFonts w:hint="cs"/>
                <w:b/>
                <w:bCs/>
                <w:rtl/>
                <w:lang w:bidi="ar-EG"/>
              </w:rPr>
              <w:t xml:space="preserve">3 أغسطس </w:t>
            </w:r>
            <w:r w:rsidR="001D085F">
              <w:rPr>
                <w:b/>
                <w:bCs/>
                <w:lang w:bidi="ar-EG"/>
              </w:rPr>
              <w:t>2026</w:t>
            </w:r>
          </w:p>
        </w:tc>
      </w:tr>
      <w:tr w:rsidR="007B0AA0" w14:paraId="78DC4FAC" w14:textId="77777777" w:rsidTr="001D085F">
        <w:tc>
          <w:tcPr>
            <w:tcW w:w="6099" w:type="dxa"/>
          </w:tcPr>
          <w:p w14:paraId="4792236C" w14:textId="77777777" w:rsidR="007B0AA0" w:rsidRPr="007B0AA0" w:rsidRDefault="007B0AA0" w:rsidP="00F363FE">
            <w:pPr>
              <w:spacing w:before="60" w:after="60" w:line="260" w:lineRule="exact"/>
              <w:rPr>
                <w:b/>
                <w:bCs/>
                <w:rtl/>
                <w:lang w:bidi="ar-EG"/>
              </w:rPr>
            </w:pPr>
          </w:p>
        </w:tc>
        <w:tc>
          <w:tcPr>
            <w:tcW w:w="2972" w:type="dxa"/>
          </w:tcPr>
          <w:p w14:paraId="4C65CFA8"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263F9FD5" w14:textId="77777777" w:rsidTr="001D085F">
        <w:tc>
          <w:tcPr>
            <w:tcW w:w="6099" w:type="dxa"/>
          </w:tcPr>
          <w:p w14:paraId="36E96C0D" w14:textId="77777777" w:rsidR="007B0AA0" w:rsidRDefault="007B0AA0" w:rsidP="00F363FE">
            <w:pPr>
              <w:spacing w:before="60" w:after="60" w:line="260" w:lineRule="exact"/>
              <w:rPr>
                <w:lang w:bidi="ar-EG"/>
              </w:rPr>
            </w:pPr>
          </w:p>
        </w:tc>
        <w:tc>
          <w:tcPr>
            <w:tcW w:w="2972" w:type="dxa"/>
          </w:tcPr>
          <w:p w14:paraId="33E2FE39" w14:textId="77777777" w:rsidR="007B0AA0" w:rsidRDefault="007B0AA0" w:rsidP="00F363FE">
            <w:pPr>
              <w:spacing w:before="60" w:after="60" w:line="260" w:lineRule="exact"/>
              <w:rPr>
                <w:rtl/>
                <w:lang w:bidi="ar-EG"/>
              </w:rPr>
            </w:pPr>
          </w:p>
        </w:tc>
      </w:tr>
      <w:tr w:rsidR="007B0AA0" w14:paraId="3FD9AA6E" w14:textId="77777777" w:rsidTr="001D085F">
        <w:tc>
          <w:tcPr>
            <w:tcW w:w="9071" w:type="dxa"/>
            <w:gridSpan w:val="2"/>
          </w:tcPr>
          <w:p w14:paraId="71E38106" w14:textId="1AC9636F" w:rsidR="007B0AA0" w:rsidRDefault="00414AF9" w:rsidP="00414AF9">
            <w:pPr>
              <w:pStyle w:val="Source"/>
              <w:rPr>
                <w:lang w:bidi="ar-EG"/>
              </w:rPr>
            </w:pPr>
            <w:r w:rsidRPr="00414AF9">
              <w:rPr>
                <w:rtl/>
              </w:rPr>
              <w:t>محضر موجز للجلسة العامة السابعة</w:t>
            </w:r>
          </w:p>
        </w:tc>
      </w:tr>
      <w:tr w:rsidR="007B0AA0" w14:paraId="7B9A50F7" w14:textId="77777777" w:rsidTr="00C146FE">
        <w:tc>
          <w:tcPr>
            <w:tcW w:w="9071" w:type="dxa"/>
            <w:gridSpan w:val="2"/>
          </w:tcPr>
          <w:p w14:paraId="6B366F2B" w14:textId="6B7E4BD2" w:rsidR="009A2F44" w:rsidRPr="009A2F44" w:rsidRDefault="009A2F44" w:rsidP="009A2F44">
            <w:pPr>
              <w:jc w:val="center"/>
            </w:pPr>
            <w:r w:rsidRPr="009A2F44">
              <w:rPr>
                <w:rtl/>
              </w:rPr>
              <w:t>الثل</w:t>
            </w:r>
            <w:r>
              <w:rPr>
                <w:rFonts w:hint="cs"/>
                <w:rtl/>
                <w:lang w:bidi="ar-EG"/>
              </w:rPr>
              <w:t>ا</w:t>
            </w:r>
            <w:r w:rsidRPr="009A2F44">
              <w:rPr>
                <w:rtl/>
              </w:rPr>
              <w:t>ثاء، 7 مايو 2026، من الساعة 14:30 إلى الساعة 17:40</w:t>
            </w:r>
          </w:p>
          <w:p w14:paraId="1C6C237E" w14:textId="2253AB46" w:rsidR="007B0AA0" w:rsidRPr="005546CF" w:rsidRDefault="009A2F44" w:rsidP="009A2F44">
            <w:pPr>
              <w:jc w:val="center"/>
            </w:pPr>
            <w:r w:rsidRPr="009A2F44">
              <w:rPr>
                <w:rtl/>
              </w:rPr>
              <w:t>الرئيس: السيد ب. تيجاني (نيجيريا)</w:t>
            </w:r>
          </w:p>
        </w:tc>
      </w:tr>
      <w:tr w:rsidR="001D085F" w14:paraId="313A69D6" w14:textId="77777777" w:rsidTr="00C146FE">
        <w:tc>
          <w:tcPr>
            <w:tcW w:w="9071" w:type="dxa"/>
            <w:gridSpan w:val="2"/>
          </w:tcPr>
          <w:p w14:paraId="7F606CC9" w14:textId="77777777" w:rsidR="001D085F" w:rsidRPr="001D085F" w:rsidRDefault="001D085F" w:rsidP="001D085F">
            <w:pPr>
              <w:jc w:val="center"/>
              <w:rPr>
                <w:rtl/>
              </w:rPr>
            </w:pPr>
          </w:p>
        </w:tc>
      </w:tr>
    </w:tbl>
    <w:tbl>
      <w:tblPr>
        <w:bidiVisual/>
        <w:tblW w:w="5000" w:type="pct"/>
        <w:jc w:val="center"/>
        <w:tblLayout w:type="fixed"/>
        <w:tblLook w:val="04A0" w:firstRow="1" w:lastRow="0" w:firstColumn="1" w:lastColumn="0" w:noHBand="0" w:noVBand="1"/>
      </w:tblPr>
      <w:tblGrid>
        <w:gridCol w:w="443"/>
        <w:gridCol w:w="6490"/>
        <w:gridCol w:w="2138"/>
      </w:tblGrid>
      <w:tr w:rsidR="001D085F" w:rsidRPr="001D085F" w14:paraId="3A696498" w14:textId="77777777" w:rsidTr="00C146FE">
        <w:trPr>
          <w:jc w:val="center"/>
        </w:trPr>
        <w:tc>
          <w:tcPr>
            <w:tcW w:w="443" w:type="dxa"/>
          </w:tcPr>
          <w:p w14:paraId="28FAF250" w14:textId="77777777" w:rsidR="001D085F" w:rsidRPr="001D085F" w:rsidRDefault="001D085F" w:rsidP="001D085F">
            <w:pPr>
              <w:spacing w:before="480"/>
              <w:rPr>
                <w:b/>
                <w:bCs/>
                <w:lang w:val="en-GB"/>
              </w:rPr>
            </w:pPr>
            <w:r w:rsidRPr="001D085F">
              <w:rPr>
                <w:b/>
                <w:bCs/>
                <w:lang w:val="en-GB"/>
              </w:rPr>
              <w:br w:type="page"/>
            </w:r>
            <w:r w:rsidRPr="001D085F">
              <w:rPr>
                <w:b/>
                <w:bCs/>
                <w:lang w:val="en-GB"/>
              </w:rPr>
              <w:br w:type="page"/>
            </w:r>
          </w:p>
        </w:tc>
        <w:tc>
          <w:tcPr>
            <w:tcW w:w="6490" w:type="dxa"/>
            <w:hideMark/>
          </w:tcPr>
          <w:p w14:paraId="3E2EAA0D" w14:textId="5A163387" w:rsidR="001D085F" w:rsidRPr="001D085F" w:rsidRDefault="001D085F" w:rsidP="001D085F">
            <w:pPr>
              <w:spacing w:before="480"/>
              <w:rPr>
                <w:b/>
                <w:bCs/>
                <w:lang w:val="en-GB"/>
              </w:rPr>
            </w:pPr>
            <w:r w:rsidRPr="001D085F">
              <w:rPr>
                <w:rFonts w:hint="eastAsia"/>
                <w:b/>
                <w:bCs/>
                <w:color w:val="000000"/>
                <w:rtl/>
              </w:rPr>
              <w:t>المواضيع</w:t>
            </w:r>
            <w:r w:rsidRPr="001D085F">
              <w:rPr>
                <w:b/>
                <w:bCs/>
                <w:color w:val="000000"/>
                <w:rtl/>
              </w:rPr>
              <w:t xml:space="preserve"> </w:t>
            </w:r>
            <w:r w:rsidRPr="001D085F">
              <w:rPr>
                <w:rFonts w:hint="eastAsia"/>
                <w:b/>
                <w:bCs/>
                <w:color w:val="000000"/>
                <w:rtl/>
              </w:rPr>
              <w:t>التي</w:t>
            </w:r>
            <w:r w:rsidRPr="001D085F">
              <w:rPr>
                <w:b/>
                <w:bCs/>
                <w:color w:val="000000"/>
                <w:rtl/>
              </w:rPr>
              <w:t xml:space="preserve"> </w:t>
            </w:r>
            <w:r w:rsidRPr="001D085F">
              <w:rPr>
                <w:rFonts w:hint="eastAsia"/>
                <w:b/>
                <w:bCs/>
                <w:color w:val="000000"/>
                <w:rtl/>
              </w:rPr>
              <w:t>نوقشت</w:t>
            </w:r>
          </w:p>
        </w:tc>
        <w:tc>
          <w:tcPr>
            <w:tcW w:w="2138" w:type="dxa"/>
            <w:hideMark/>
          </w:tcPr>
          <w:p w14:paraId="1F3E7709" w14:textId="0AD8836F" w:rsidR="001D085F" w:rsidRPr="001D085F" w:rsidRDefault="001D085F" w:rsidP="001D085F">
            <w:pPr>
              <w:spacing w:before="480"/>
              <w:jc w:val="center"/>
              <w:rPr>
                <w:b/>
                <w:bCs/>
                <w:lang w:val="en-GB"/>
              </w:rPr>
            </w:pPr>
            <w:r w:rsidRPr="001D085F">
              <w:rPr>
                <w:rFonts w:hint="eastAsia"/>
                <w:b/>
                <w:bCs/>
                <w:color w:val="000000"/>
                <w:rtl/>
              </w:rPr>
              <w:t>الوثائق</w:t>
            </w:r>
          </w:p>
        </w:tc>
      </w:tr>
      <w:tr w:rsidR="00723174" w:rsidRPr="001D085F" w14:paraId="636F5F6F" w14:textId="77777777" w:rsidTr="00B94B45">
        <w:trPr>
          <w:trHeight w:val="20"/>
          <w:jc w:val="center"/>
        </w:trPr>
        <w:tc>
          <w:tcPr>
            <w:tcW w:w="443" w:type="dxa"/>
            <w:hideMark/>
          </w:tcPr>
          <w:p w14:paraId="7844EA44" w14:textId="77777777" w:rsidR="00723174" w:rsidRPr="001D085F" w:rsidRDefault="00723174" w:rsidP="00723174">
            <w:pPr>
              <w:spacing w:before="80" w:after="80"/>
              <w:rPr>
                <w:lang w:val="en-GB"/>
              </w:rPr>
            </w:pPr>
            <w:r w:rsidRPr="001D085F">
              <w:rPr>
                <w:lang w:val="en-GB"/>
              </w:rPr>
              <w:t>1</w:t>
            </w:r>
          </w:p>
        </w:tc>
        <w:tc>
          <w:tcPr>
            <w:tcW w:w="6490" w:type="dxa"/>
          </w:tcPr>
          <w:p w14:paraId="06DC24BF" w14:textId="7C89627A" w:rsidR="00723174" w:rsidRPr="00903BC0" w:rsidRDefault="00723174" w:rsidP="00723174">
            <w:pPr>
              <w:spacing w:before="80" w:after="80"/>
              <w:rPr>
                <w:lang w:val="en-GB"/>
              </w:rPr>
            </w:pPr>
            <w:r w:rsidRPr="00903BC0">
              <w:rPr>
                <w:color w:val="000000"/>
                <w:rtl/>
              </w:rPr>
              <w:t>تقرير حالة عن المساعدة والدعم المقدمين إلى فلسطين (</w:t>
            </w:r>
            <w:r w:rsidR="00AF06E4" w:rsidRPr="00903BC0">
              <w:rPr>
                <w:rFonts w:hint="eastAsia"/>
                <w:color w:val="000000"/>
                <w:rtl/>
                <w:lang w:bidi="ar-EG"/>
              </w:rPr>
              <w:t> </w:t>
            </w:r>
            <w:r w:rsidRPr="00903BC0">
              <w:rPr>
                <w:i/>
                <w:iCs/>
                <w:color w:val="000000"/>
                <w:rtl/>
              </w:rPr>
              <w:t>تابع</w:t>
            </w:r>
            <w:r w:rsidRPr="00903BC0">
              <w:rPr>
                <w:color w:val="000000"/>
                <w:rtl/>
              </w:rPr>
              <w:t>)</w:t>
            </w:r>
          </w:p>
        </w:tc>
        <w:tc>
          <w:tcPr>
            <w:tcW w:w="2138" w:type="dxa"/>
          </w:tcPr>
          <w:p w14:paraId="467A788C" w14:textId="56E6E8F7" w:rsidR="00723174" w:rsidRPr="001D085F" w:rsidRDefault="00723174" w:rsidP="00723174">
            <w:pPr>
              <w:spacing w:before="80" w:after="80"/>
              <w:jc w:val="center"/>
              <w:rPr>
                <w:lang w:val="en-GB"/>
              </w:rPr>
            </w:pPr>
            <w:hyperlink r:id="rId8" w:history="1">
              <w:r w:rsidRPr="00FA0C65">
                <w:rPr>
                  <w:rStyle w:val="Hyperlink"/>
                  <w:rFonts w:eastAsia="Times New Roman" w:cs="Times New Roman"/>
                  <w:szCs w:val="20"/>
                </w:rPr>
                <w:t>C26/69</w:t>
              </w:r>
            </w:hyperlink>
          </w:p>
        </w:tc>
      </w:tr>
      <w:tr w:rsidR="00723174" w:rsidRPr="001D085F" w14:paraId="45B32986" w14:textId="77777777" w:rsidTr="00B94B45">
        <w:trPr>
          <w:trHeight w:val="20"/>
          <w:jc w:val="center"/>
        </w:trPr>
        <w:tc>
          <w:tcPr>
            <w:tcW w:w="443" w:type="dxa"/>
          </w:tcPr>
          <w:p w14:paraId="42AD1797" w14:textId="77777777" w:rsidR="00723174" w:rsidRPr="001D085F" w:rsidRDefault="00723174" w:rsidP="00723174">
            <w:pPr>
              <w:spacing w:before="80" w:after="80"/>
              <w:rPr>
                <w:lang w:val="en-GB"/>
              </w:rPr>
            </w:pPr>
            <w:r w:rsidRPr="001D085F">
              <w:rPr>
                <w:lang w:val="en-GB"/>
              </w:rPr>
              <w:t>2</w:t>
            </w:r>
          </w:p>
        </w:tc>
        <w:tc>
          <w:tcPr>
            <w:tcW w:w="6490" w:type="dxa"/>
          </w:tcPr>
          <w:p w14:paraId="056ED5C6" w14:textId="6DB95C99" w:rsidR="00723174" w:rsidRPr="00903BC0" w:rsidRDefault="00723174" w:rsidP="00723174">
            <w:pPr>
              <w:spacing w:before="80" w:after="80"/>
              <w:rPr>
                <w:rFonts w:asciiTheme="minorHAnsi" w:hAnsiTheme="minorHAnsi"/>
                <w:color w:val="2F2F2F"/>
                <w:shd w:val="clear" w:color="auto" w:fill="FFFFFF"/>
                <w:lang w:val="en-GB"/>
              </w:rPr>
            </w:pPr>
            <w:r w:rsidRPr="00903BC0">
              <w:rPr>
                <w:color w:val="000000"/>
                <w:rtl/>
              </w:rPr>
              <w:t>معلومات محدَّثة عن تنفيذ قرار المجلس 1408 (الصادر في دورة المجلس لعام</w:t>
            </w:r>
            <w:r w:rsidR="00AF06E4" w:rsidRPr="00903BC0">
              <w:rPr>
                <w:rFonts w:hint="cs"/>
                <w:color w:val="000000"/>
                <w:rtl/>
              </w:rPr>
              <w:t> </w:t>
            </w:r>
            <w:r w:rsidRPr="00903BC0">
              <w:rPr>
                <w:color w:val="000000"/>
                <w:rtl/>
              </w:rPr>
              <w:t>2022، والمعدّل آخر مرة في دورته لعام 2023)، بشأن تقديم المساعدة والدعم إلى أوكرانيا لإعادة بناء قطاع اتصالاتها</w:t>
            </w:r>
          </w:p>
        </w:tc>
        <w:tc>
          <w:tcPr>
            <w:tcW w:w="2138" w:type="dxa"/>
            <w:vAlign w:val="center"/>
          </w:tcPr>
          <w:p w14:paraId="080BBF36" w14:textId="2F601DB1" w:rsidR="00723174" w:rsidRPr="001D085F" w:rsidRDefault="00723174" w:rsidP="00723174">
            <w:pPr>
              <w:spacing w:before="80" w:after="80"/>
              <w:jc w:val="center"/>
              <w:rPr>
                <w:lang w:val="en-GB"/>
              </w:rPr>
            </w:pPr>
            <w:hyperlink r:id="rId9" w:history="1">
              <w:r w:rsidRPr="00FA0C65">
                <w:rPr>
                  <w:rStyle w:val="Hyperlink"/>
                  <w:rFonts w:eastAsia="Times New Roman" w:cs="Times New Roman"/>
                  <w:szCs w:val="24"/>
                </w:rPr>
                <w:t>C26/68</w:t>
              </w:r>
            </w:hyperlink>
          </w:p>
        </w:tc>
      </w:tr>
      <w:tr w:rsidR="00723174" w:rsidRPr="001D085F" w14:paraId="19D546DC" w14:textId="77777777" w:rsidTr="00B94B45">
        <w:trPr>
          <w:trHeight w:val="20"/>
          <w:jc w:val="center"/>
        </w:trPr>
        <w:tc>
          <w:tcPr>
            <w:tcW w:w="443" w:type="dxa"/>
          </w:tcPr>
          <w:p w14:paraId="054CC849" w14:textId="77777777" w:rsidR="00723174" w:rsidRPr="001D085F" w:rsidRDefault="00723174" w:rsidP="00723174">
            <w:pPr>
              <w:spacing w:before="80" w:after="80"/>
              <w:rPr>
                <w:lang w:val="en-GB"/>
              </w:rPr>
            </w:pPr>
            <w:r w:rsidRPr="001D085F">
              <w:rPr>
                <w:lang w:val="en-GB"/>
              </w:rPr>
              <w:t>3</w:t>
            </w:r>
          </w:p>
        </w:tc>
        <w:tc>
          <w:tcPr>
            <w:tcW w:w="6490" w:type="dxa"/>
          </w:tcPr>
          <w:p w14:paraId="6DAC3A62" w14:textId="369C6658" w:rsidR="00723174" w:rsidRPr="00903BC0" w:rsidRDefault="00723174" w:rsidP="00723174">
            <w:pPr>
              <w:spacing w:before="80" w:after="80"/>
              <w:rPr>
                <w:lang w:val="en-GB"/>
              </w:rPr>
            </w:pPr>
            <w:r w:rsidRPr="00903BC0">
              <w:rPr>
                <w:color w:val="000000"/>
                <w:rtl/>
              </w:rPr>
              <w:t>الجهود المبذولة لحماية الاتصالات الإنسانية في حالات النزاعات والكوارث</w:t>
            </w:r>
          </w:p>
        </w:tc>
        <w:tc>
          <w:tcPr>
            <w:tcW w:w="2138" w:type="dxa"/>
          </w:tcPr>
          <w:p w14:paraId="0348C5B4" w14:textId="170D8EF7" w:rsidR="00723174" w:rsidRPr="001D085F" w:rsidRDefault="00723174" w:rsidP="00723174">
            <w:pPr>
              <w:spacing w:before="80" w:after="80"/>
              <w:jc w:val="center"/>
              <w:rPr>
                <w:lang w:val="en-GB"/>
              </w:rPr>
            </w:pPr>
            <w:hyperlink r:id="rId10" w:history="1">
              <w:r w:rsidRPr="00FA0C65">
                <w:rPr>
                  <w:rStyle w:val="Hyperlink"/>
                  <w:rFonts w:eastAsia="Times New Roman" w:cs="Times New Roman"/>
                  <w:szCs w:val="24"/>
                </w:rPr>
                <w:t>C26/64</w:t>
              </w:r>
            </w:hyperlink>
          </w:p>
        </w:tc>
      </w:tr>
      <w:tr w:rsidR="00723174" w:rsidRPr="001D085F" w14:paraId="57E613A7" w14:textId="77777777" w:rsidTr="00B94B45">
        <w:trPr>
          <w:trHeight w:val="20"/>
          <w:jc w:val="center"/>
        </w:trPr>
        <w:tc>
          <w:tcPr>
            <w:tcW w:w="443" w:type="dxa"/>
          </w:tcPr>
          <w:p w14:paraId="260C2FCE" w14:textId="77777777" w:rsidR="00723174" w:rsidRPr="001D085F" w:rsidRDefault="00723174" w:rsidP="00723174">
            <w:pPr>
              <w:spacing w:before="80" w:after="80"/>
              <w:rPr>
                <w:lang w:val="en-GB"/>
              </w:rPr>
            </w:pPr>
            <w:r w:rsidRPr="001D085F">
              <w:rPr>
                <w:lang w:val="en-GB"/>
              </w:rPr>
              <w:t>4</w:t>
            </w:r>
          </w:p>
        </w:tc>
        <w:tc>
          <w:tcPr>
            <w:tcW w:w="6490" w:type="dxa"/>
          </w:tcPr>
          <w:p w14:paraId="3C92C010" w14:textId="5B0AB595" w:rsidR="00723174" w:rsidRPr="00903BC0" w:rsidRDefault="00723174" w:rsidP="00903BC0">
            <w:pPr>
              <w:spacing w:before="80" w:after="80"/>
              <w:rPr>
                <w:lang w:val="en-GB" w:eastAsia="en-GB"/>
              </w:rPr>
            </w:pPr>
            <w:r w:rsidRPr="00903BC0">
              <w:rPr>
                <w:color w:val="000000"/>
                <w:rtl/>
              </w:rPr>
              <w:t>تقرير من رئيس فريق العمل التابع للمجلس والمعني بالخطتين الاستراتيجية والمالية للفترة 2028-2031، ومن ضمنه مشروع الخطة الاستراتيجية للاتحاد للفترة</w:t>
            </w:r>
            <w:r w:rsidR="00903BC0" w:rsidRPr="00903BC0">
              <w:rPr>
                <w:rFonts w:hint="cs"/>
                <w:color w:val="000000"/>
                <w:rtl/>
              </w:rPr>
              <w:t> </w:t>
            </w:r>
            <w:r w:rsidR="00903BC0" w:rsidRPr="00903BC0">
              <w:rPr>
                <w:color w:val="000000"/>
              </w:rPr>
              <w:t>2031-2028</w:t>
            </w:r>
            <w:r w:rsidR="00903BC0" w:rsidRPr="00903BC0">
              <w:rPr>
                <w:color w:val="000000"/>
                <w:rtl/>
              </w:rPr>
              <w:t xml:space="preserve"> </w:t>
            </w:r>
            <w:r w:rsidRPr="00903BC0">
              <w:rPr>
                <w:color w:val="000000"/>
                <w:rtl/>
              </w:rPr>
              <w:t>(</w:t>
            </w:r>
            <w:r w:rsidR="00991776">
              <w:rPr>
                <w:rFonts w:hint="cs"/>
                <w:color w:val="000000"/>
                <w:rtl/>
              </w:rPr>
              <w:t> </w:t>
            </w:r>
            <w:r w:rsidRPr="00991776">
              <w:rPr>
                <w:i/>
                <w:iCs/>
                <w:color w:val="000000"/>
                <w:rtl/>
              </w:rPr>
              <w:t>تابع</w:t>
            </w:r>
            <w:r w:rsidRPr="00903BC0">
              <w:rPr>
                <w:color w:val="000000"/>
                <w:rtl/>
              </w:rPr>
              <w:t>)</w:t>
            </w:r>
          </w:p>
        </w:tc>
        <w:tc>
          <w:tcPr>
            <w:tcW w:w="2138" w:type="dxa"/>
          </w:tcPr>
          <w:p w14:paraId="64DEF190" w14:textId="1609E377" w:rsidR="00723174" w:rsidRPr="00B94B45" w:rsidRDefault="00723174" w:rsidP="00723174">
            <w:pPr>
              <w:spacing w:before="80" w:after="80"/>
              <w:jc w:val="center"/>
              <w:rPr>
                <w:rtl/>
                <w:lang w:bidi="ar-EG"/>
              </w:rPr>
            </w:pPr>
            <w:hyperlink r:id="rId11" w:history="1">
              <w:r w:rsidRPr="00B94B45">
                <w:rPr>
                  <w:rStyle w:val="Hyperlink"/>
                  <w:rFonts w:eastAsia="Times New Roman"/>
                </w:rPr>
                <w:t>C26/31</w:t>
              </w:r>
            </w:hyperlink>
            <w:r w:rsidRPr="00B94B45">
              <w:rPr>
                <w:rStyle w:val="Hyperlink"/>
                <w:rFonts w:eastAsia="Times New Roman" w:hint="eastAsia"/>
                <w:rtl/>
                <w:lang w:bidi="ar-EG"/>
              </w:rPr>
              <w:t> </w:t>
            </w:r>
            <w:r w:rsidRPr="00B94B45">
              <w:rPr>
                <w:rStyle w:val="Hyperlink"/>
                <w:rFonts w:eastAsia="Times New Roman" w:hint="cs"/>
                <w:rtl/>
                <w:lang w:bidi="ar-EG"/>
              </w:rPr>
              <w:t>+</w:t>
            </w:r>
            <w:r>
              <w:rPr>
                <w:rStyle w:val="Hyperlink"/>
                <w:rFonts w:eastAsia="Times New Roman" w:hint="cs"/>
                <w:rtl/>
                <w:lang w:bidi="ar-EG"/>
              </w:rPr>
              <w:t xml:space="preserve"> </w:t>
            </w:r>
            <w:r w:rsidRPr="00B94B45">
              <w:rPr>
                <w:rStyle w:val="Hyperlink"/>
                <w:rFonts w:eastAsia="Times New Roman" w:hint="cs"/>
                <w:rtl/>
                <w:lang w:bidi="ar-EG"/>
              </w:rPr>
              <w:t>الإضافتان</w:t>
            </w:r>
            <w:r>
              <w:rPr>
                <w:rStyle w:val="Hyperlink"/>
                <w:rFonts w:eastAsia="Times New Roman" w:hint="eastAsia"/>
                <w:rtl/>
                <w:lang w:bidi="ar-EG"/>
              </w:rPr>
              <w:t> </w:t>
            </w:r>
            <w:r w:rsidRPr="00B94B45">
              <w:rPr>
                <w:rStyle w:val="Hyperlink"/>
                <w:rFonts w:eastAsia="Times New Roman" w:hint="cs"/>
                <w:rtl/>
                <w:lang w:bidi="ar-EG"/>
              </w:rPr>
              <w:t>1</w:t>
            </w:r>
            <w:r>
              <w:rPr>
                <w:rStyle w:val="Hyperlink"/>
                <w:rFonts w:eastAsia="Times New Roman" w:hint="eastAsia"/>
                <w:rtl/>
                <w:lang w:bidi="ar-EG"/>
              </w:rPr>
              <w:t> </w:t>
            </w:r>
            <w:r w:rsidRPr="00B94B45">
              <w:rPr>
                <w:rStyle w:val="Hyperlink"/>
                <w:rFonts w:eastAsia="Times New Roman" w:hint="cs"/>
                <w:rtl/>
                <w:lang w:bidi="ar-EG"/>
              </w:rPr>
              <w:t>و2</w:t>
            </w:r>
            <w:r w:rsidRPr="002634EE">
              <w:rPr>
                <w:rFonts w:hint="cs"/>
                <w:rtl/>
              </w:rPr>
              <w:t xml:space="preserve"> و</w:t>
            </w:r>
            <w:hyperlink r:id="rId12" w:history="1">
              <w:r w:rsidRPr="00B94B45">
                <w:rPr>
                  <w:rStyle w:val="Hyperlink"/>
                  <w:rFonts w:eastAsia="Times New Roman"/>
                </w:rPr>
                <w:t>C26/83</w:t>
              </w:r>
            </w:hyperlink>
          </w:p>
        </w:tc>
      </w:tr>
      <w:tr w:rsidR="00723174" w:rsidRPr="001D085F" w14:paraId="02F62434" w14:textId="77777777" w:rsidTr="00B94B45">
        <w:trPr>
          <w:trHeight w:val="20"/>
          <w:jc w:val="center"/>
        </w:trPr>
        <w:tc>
          <w:tcPr>
            <w:tcW w:w="443" w:type="dxa"/>
          </w:tcPr>
          <w:p w14:paraId="308CCE8D" w14:textId="77777777" w:rsidR="00723174" w:rsidRPr="001D085F" w:rsidRDefault="00723174" w:rsidP="00723174">
            <w:pPr>
              <w:spacing w:before="80" w:after="80"/>
              <w:rPr>
                <w:lang w:val="en-GB"/>
              </w:rPr>
            </w:pPr>
            <w:r w:rsidRPr="001D085F">
              <w:rPr>
                <w:lang w:val="en-GB"/>
              </w:rPr>
              <w:t>5</w:t>
            </w:r>
          </w:p>
        </w:tc>
        <w:tc>
          <w:tcPr>
            <w:tcW w:w="6490" w:type="dxa"/>
          </w:tcPr>
          <w:p w14:paraId="24DCCBBE" w14:textId="5323A4E4" w:rsidR="00723174" w:rsidRPr="00903BC0" w:rsidRDefault="00723174" w:rsidP="00723174">
            <w:pPr>
              <w:spacing w:before="80" w:after="80"/>
              <w:rPr>
                <w:lang w:val="en-GB" w:eastAsia="en-GB"/>
              </w:rPr>
            </w:pPr>
            <w:r w:rsidRPr="00903BC0">
              <w:rPr>
                <w:color w:val="000000"/>
                <w:rtl/>
              </w:rPr>
              <w:t>بيان المدير العام لمنظمة الأمم المتحدة للتربية والعلم والثقافة (اليونسكو)</w:t>
            </w:r>
          </w:p>
        </w:tc>
        <w:tc>
          <w:tcPr>
            <w:tcW w:w="2138" w:type="dxa"/>
          </w:tcPr>
          <w:p w14:paraId="45810DAB" w14:textId="32A5BC75" w:rsidR="00723174" w:rsidRPr="001D085F" w:rsidRDefault="00723174" w:rsidP="00723174">
            <w:pPr>
              <w:spacing w:before="80" w:after="80"/>
              <w:jc w:val="center"/>
              <w:rPr>
                <w:lang w:val="en-GB"/>
              </w:rPr>
            </w:pPr>
            <w:r w:rsidRPr="00FA0C65">
              <w:rPr>
                <w:lang w:val="en-GB"/>
              </w:rPr>
              <w:t>–</w:t>
            </w:r>
          </w:p>
        </w:tc>
      </w:tr>
      <w:tr w:rsidR="00723174" w:rsidRPr="001D085F" w14:paraId="6D41A023" w14:textId="77777777" w:rsidTr="00B94B45">
        <w:trPr>
          <w:trHeight w:val="20"/>
          <w:jc w:val="center"/>
        </w:trPr>
        <w:tc>
          <w:tcPr>
            <w:tcW w:w="443" w:type="dxa"/>
          </w:tcPr>
          <w:p w14:paraId="37D79284" w14:textId="77777777" w:rsidR="00723174" w:rsidRPr="001D085F" w:rsidRDefault="00723174" w:rsidP="00723174">
            <w:pPr>
              <w:spacing w:before="80" w:after="80"/>
              <w:rPr>
                <w:lang w:val="en-GB"/>
              </w:rPr>
            </w:pPr>
            <w:r w:rsidRPr="001D085F">
              <w:rPr>
                <w:lang w:val="en-GB"/>
              </w:rPr>
              <w:t>6</w:t>
            </w:r>
          </w:p>
        </w:tc>
        <w:tc>
          <w:tcPr>
            <w:tcW w:w="6490" w:type="dxa"/>
          </w:tcPr>
          <w:p w14:paraId="641CB190" w14:textId="7B2254E9" w:rsidR="00723174" w:rsidRPr="00903BC0" w:rsidRDefault="00723174" w:rsidP="00723174">
            <w:pPr>
              <w:spacing w:before="80" w:after="80"/>
              <w:rPr>
                <w:lang w:val="en-GB" w:eastAsia="en-GB"/>
              </w:rPr>
            </w:pPr>
            <w:r w:rsidRPr="00903BC0">
              <w:rPr>
                <w:color w:val="000000"/>
                <w:rtl/>
              </w:rPr>
              <w:t>مشروع الخطة التشغيلية الرباعية المتجددة للاتحاد للفترة 2027-2030 (</w:t>
            </w:r>
            <w:r w:rsidR="00AF06E4" w:rsidRPr="00903BC0">
              <w:rPr>
                <w:rFonts w:hint="cs"/>
                <w:color w:val="000000"/>
                <w:rtl/>
              </w:rPr>
              <w:t> </w:t>
            </w:r>
            <w:r w:rsidRPr="00903BC0">
              <w:rPr>
                <w:i/>
                <w:iCs/>
                <w:color w:val="000000"/>
                <w:rtl/>
              </w:rPr>
              <w:t>تابع</w:t>
            </w:r>
            <w:r w:rsidRPr="00903BC0">
              <w:rPr>
                <w:color w:val="000000"/>
                <w:rtl/>
              </w:rPr>
              <w:t>)</w:t>
            </w:r>
          </w:p>
        </w:tc>
        <w:tc>
          <w:tcPr>
            <w:tcW w:w="2138" w:type="dxa"/>
          </w:tcPr>
          <w:p w14:paraId="3BD4C977" w14:textId="5BC76416" w:rsidR="00723174" w:rsidRPr="001D085F" w:rsidRDefault="00723174" w:rsidP="00723174">
            <w:pPr>
              <w:spacing w:before="80" w:after="80"/>
              <w:jc w:val="center"/>
              <w:rPr>
                <w:lang w:val="en-GB"/>
              </w:rPr>
            </w:pPr>
            <w:hyperlink r:id="rId13" w:history="1">
              <w:r w:rsidRPr="00FA0C65">
                <w:rPr>
                  <w:rStyle w:val="Hyperlink"/>
                  <w:rFonts w:eastAsia="Times New Roman" w:cs="Times New Roman"/>
                  <w:szCs w:val="20"/>
                </w:rPr>
                <w:t>C26/28(Rev.1)</w:t>
              </w:r>
            </w:hyperlink>
          </w:p>
        </w:tc>
      </w:tr>
      <w:tr w:rsidR="00723174" w:rsidRPr="001D085F" w14:paraId="1A8BC73E" w14:textId="77777777" w:rsidTr="00B94B45">
        <w:trPr>
          <w:trHeight w:val="20"/>
          <w:jc w:val="center"/>
        </w:trPr>
        <w:tc>
          <w:tcPr>
            <w:tcW w:w="443" w:type="dxa"/>
          </w:tcPr>
          <w:p w14:paraId="09A94A9D" w14:textId="77777777" w:rsidR="00723174" w:rsidRPr="001D085F" w:rsidRDefault="00723174" w:rsidP="00723174">
            <w:pPr>
              <w:spacing w:before="80" w:after="80"/>
              <w:rPr>
                <w:lang w:val="en-GB"/>
              </w:rPr>
            </w:pPr>
            <w:r w:rsidRPr="001D085F">
              <w:rPr>
                <w:lang w:val="en-GB"/>
              </w:rPr>
              <w:t>7</w:t>
            </w:r>
          </w:p>
        </w:tc>
        <w:tc>
          <w:tcPr>
            <w:tcW w:w="6490" w:type="dxa"/>
          </w:tcPr>
          <w:p w14:paraId="3EA03217" w14:textId="11F5A4D8" w:rsidR="00723174" w:rsidRPr="00903BC0" w:rsidRDefault="00723174" w:rsidP="00723174">
            <w:pPr>
              <w:spacing w:before="80" w:after="80"/>
              <w:rPr>
                <w:lang w:val="en-GB" w:eastAsia="en-GB"/>
              </w:rPr>
            </w:pPr>
            <w:r w:rsidRPr="00903BC0">
              <w:rPr>
                <w:color w:val="000000"/>
                <w:rtl/>
              </w:rPr>
              <w:t>بيان أدلى به أحد أعضاء المجلس</w:t>
            </w:r>
          </w:p>
        </w:tc>
        <w:tc>
          <w:tcPr>
            <w:tcW w:w="2138" w:type="dxa"/>
          </w:tcPr>
          <w:p w14:paraId="22AE7A05" w14:textId="375C815E" w:rsidR="00723174" w:rsidRPr="001D085F" w:rsidRDefault="00723174" w:rsidP="00723174">
            <w:pPr>
              <w:spacing w:before="80" w:after="80"/>
              <w:jc w:val="center"/>
              <w:rPr>
                <w:lang w:val="en-GB"/>
              </w:rPr>
            </w:pPr>
            <w:r w:rsidRPr="00FA0C65">
              <w:rPr>
                <w:lang w:val="en-GB"/>
              </w:rPr>
              <w:t>–</w:t>
            </w:r>
          </w:p>
        </w:tc>
      </w:tr>
    </w:tbl>
    <w:p w14:paraId="0BE54DD4" w14:textId="77777777" w:rsidR="00F50E3F" w:rsidRDefault="00F50E3F" w:rsidP="0043260A">
      <w:pPr>
        <w:rPr>
          <w:rtl/>
          <w:lang w:bidi="ar-EG"/>
        </w:rPr>
      </w:pPr>
      <w:r>
        <w:rPr>
          <w:rtl/>
          <w:lang w:bidi="ar-EG"/>
        </w:rPr>
        <w:br w:type="page"/>
      </w:r>
    </w:p>
    <w:p w14:paraId="5A17AA35" w14:textId="77777777" w:rsidR="00E97DB3" w:rsidRPr="00E97DB3" w:rsidRDefault="00E97DB3" w:rsidP="00E97DB3">
      <w:pPr>
        <w:pStyle w:val="Heading1"/>
        <w:rPr>
          <w:lang w:val="en-GB"/>
        </w:rPr>
      </w:pPr>
      <w:r w:rsidRPr="00E97DB3">
        <w:rPr>
          <w:lang w:val="en-GB"/>
        </w:rPr>
        <w:lastRenderedPageBreak/>
        <w:t>1</w:t>
      </w:r>
      <w:r w:rsidRPr="00E97DB3">
        <w:rPr>
          <w:lang w:val="en-GB"/>
        </w:rPr>
        <w:tab/>
      </w:r>
      <w:r w:rsidRPr="00E97DB3">
        <w:rPr>
          <w:rtl/>
        </w:rPr>
        <w:t>تقرير حالة عن المساعدة والدعم المقدمين إلى فلسطين (</w:t>
      </w:r>
      <w:r w:rsidRPr="00E97DB3">
        <w:rPr>
          <w:rFonts w:hint="eastAsia"/>
          <w:rtl/>
          <w:lang w:bidi="ar-EG"/>
        </w:rPr>
        <w:t> </w:t>
      </w:r>
      <w:r w:rsidRPr="00E97DB3">
        <w:rPr>
          <w:i/>
          <w:iCs/>
          <w:rtl/>
        </w:rPr>
        <w:t>تابع</w:t>
      </w:r>
      <w:r w:rsidRPr="00E97DB3">
        <w:rPr>
          <w:rtl/>
        </w:rPr>
        <w:t>)</w:t>
      </w:r>
      <w:r w:rsidRPr="00E97DB3">
        <w:rPr>
          <w:rFonts w:hint="cs"/>
          <w:rtl/>
        </w:rPr>
        <w:t xml:space="preserve"> (الوثيقة </w:t>
      </w:r>
      <w:hyperlink r:id="rId14" w:history="1">
        <w:r w:rsidRPr="00E97DB3">
          <w:rPr>
            <w:rStyle w:val="Hyperlink"/>
            <w:noProof w:val="0"/>
            <w:lang w:eastAsia="zh-CN"/>
          </w:rPr>
          <w:t>C26/69</w:t>
        </w:r>
      </w:hyperlink>
      <w:r w:rsidRPr="00E97DB3">
        <w:rPr>
          <w:rFonts w:hint="cs"/>
          <w:rtl/>
        </w:rPr>
        <w:t>)</w:t>
      </w:r>
    </w:p>
    <w:p w14:paraId="4F28F953" w14:textId="6764EE64" w:rsidR="00D16AF4" w:rsidRPr="00D16AF4" w:rsidRDefault="00BD433D" w:rsidP="00D16AF4">
      <w:r>
        <w:t>1.1</w:t>
      </w:r>
      <w:r w:rsidR="00D16AF4" w:rsidRPr="00D16AF4">
        <w:rPr>
          <w:rtl/>
        </w:rPr>
        <w:tab/>
        <w:t>في معرض مواصلة مناقشة هذا البند، أدان العديد من أعضاء المجلس ومراقب واحد التدمير المنتظم للبنية التحتية للاتصالات وفرض قيود على قطاع الاتصالات في فلسطين. واعتبروا أن هذا التدمير ينطوي على عواقب اقتصادية واجتماعية وصحية وإنسانية خطيرة. وأكد عضو في المجلس ومراقبان حق الفلسطينيين في الاستعمال الكامل والفعال لخدمات الاتصالات وشددوا على وجوب عدم المساس بهذا الحق. وشدد أحد المراقبين أيضاً على ضرورة حماية البنية التحتية للاتصالات أثناء النزاعات العسكرية، بسبب دورها المدني الواسع. وأكد عضوان في المجلس ومراقب واحد أن المجتمع الدولي يتحمل مسؤولية تاريخية في دعم إعادة بناء قطاع الاتصالات في فلسطين.</w:t>
      </w:r>
    </w:p>
    <w:p w14:paraId="71F1D159" w14:textId="38F95DA1" w:rsidR="00D16AF4" w:rsidRPr="00D16AF4" w:rsidRDefault="00BD433D" w:rsidP="00D16AF4">
      <w:r>
        <w:t>2.1</w:t>
      </w:r>
      <w:r w:rsidR="00D16AF4" w:rsidRPr="00D16AF4">
        <w:rPr>
          <w:rtl/>
        </w:rPr>
        <w:tab/>
        <w:t>وأعرب العديد من أعضاء المجلس والمراقبين عن دعمهم أنشطة الاتحاد الرامية إلى تنفيذ قرار المجلس 1424 (</w:t>
      </w:r>
      <w:r w:rsidR="00E97DB3">
        <w:rPr>
          <w:rFonts w:hint="cs"/>
          <w:rtl/>
        </w:rPr>
        <w:t xml:space="preserve">الصادر في دورة المجلس لعام </w:t>
      </w:r>
      <w:proofErr w:type="gramStart"/>
      <w:r w:rsidR="00E97DB3">
        <w:t>2024</w:t>
      </w:r>
      <w:r w:rsidR="00D16AF4" w:rsidRPr="00D16AF4">
        <w:rPr>
          <w:rtl/>
        </w:rPr>
        <w:t>)،</w:t>
      </w:r>
      <w:proofErr w:type="gramEnd"/>
      <w:r w:rsidR="00D16AF4" w:rsidRPr="00D16AF4">
        <w:rPr>
          <w:rtl/>
        </w:rPr>
        <w:t xml:space="preserve"> بما يتماشى مع مبدأ عدم ترك أي أحد خلف الركب. وقالوا إن تقرير الحالة الوارد في الوثيقة C26/69 يجسد أهمية الدور التقني للاتحاد في حالات الأزمات وقدرته على تنسيق الاستجابة في مجالات خبراته. وشدد عضو في المجلس ومراقب على الطبيعة التقنية البحتة لأنشطة الاتحاد في فلسطين.</w:t>
      </w:r>
    </w:p>
    <w:p w14:paraId="64F92842" w14:textId="362C91B9" w:rsidR="00D16AF4" w:rsidRPr="00D16AF4" w:rsidRDefault="00BD433D" w:rsidP="00D16AF4">
      <w:r>
        <w:t>3.1</w:t>
      </w:r>
      <w:r w:rsidR="00D16AF4" w:rsidRPr="00D16AF4">
        <w:rPr>
          <w:rtl/>
        </w:rPr>
        <w:tab/>
        <w:t>وأثنوا على جهود الاتحاد الرامية إلى إنشاء فريق مهام مشترك بين القطاعات وصندوق استئماني، فضلاً عن التدابير المتخذة لتسهيل مشاركة فلسطين في أعمال الاتحاد. وشدد عضوان في المجلس على أهمية تعبئة موارد كافية للصندوق بغية ضمان إعادة البناء الملموسة والسريعة. وطلب العديد من أعضاء المجلس من الأمانة إدراج جداول زمنية وأولويات ومؤشرات أداء رئيسية واضحة في خطة التنفيذ.</w:t>
      </w:r>
    </w:p>
    <w:p w14:paraId="458A5F97" w14:textId="61513F15" w:rsidR="00D16AF4" w:rsidRPr="00D16AF4" w:rsidRDefault="00BD433D" w:rsidP="00D16AF4">
      <w:r>
        <w:t>4.1</w:t>
      </w:r>
      <w:r w:rsidR="00D16AF4" w:rsidRPr="00D16AF4">
        <w:rPr>
          <w:rtl/>
        </w:rPr>
        <w:tab/>
        <w:t>وشجع بعض أعضاء المجلس الاتحاد على مواصلة العمل بصورة وثيقة مع المنظمات الدولية لتأمين الدعم الكافي لإعادة الإعمار في فلسطين. ورأو</w:t>
      </w:r>
      <w:r>
        <w:rPr>
          <w:rFonts w:hint="cs"/>
          <w:rtl/>
        </w:rPr>
        <w:t>ا</w:t>
      </w:r>
      <w:r w:rsidR="00D16AF4" w:rsidRPr="00D16AF4">
        <w:rPr>
          <w:rtl/>
        </w:rPr>
        <w:t xml:space="preserve"> أنه ينبغي للاتحاد أيضاً أن يواصل تعاونه مع الشركاء الدوليين لتقييم مدى الأضرار التي لحقت بالبنية التحتية للاتصالات في فلسطين.</w:t>
      </w:r>
    </w:p>
    <w:p w14:paraId="6882081B" w14:textId="5228EC22" w:rsidR="00D16AF4" w:rsidRPr="00D16AF4" w:rsidRDefault="00BD433D" w:rsidP="00D16AF4">
      <w:r>
        <w:t>5.1</w:t>
      </w:r>
      <w:r w:rsidR="00D16AF4" w:rsidRPr="00D16AF4">
        <w:rPr>
          <w:rtl/>
        </w:rPr>
        <w:tab/>
        <w:t xml:space="preserve">وشدد أحد أعضاء المجلس على خطورة الحالة الإنسانية في فلسطين، ودعا إلى دخول المعونة الإنسانية بحرية ودون عوائق. وأعرب أحد المراقبين عن تأييده استخدام الرمز الدليلي للبلد </w:t>
      </w:r>
      <w:r>
        <w:t>+970</w:t>
      </w:r>
      <w:r w:rsidR="00D16AF4" w:rsidRPr="00D16AF4">
        <w:rPr>
          <w:rtl/>
        </w:rPr>
        <w:t xml:space="preserve"> لفلسطين من أجل ضمان توفير خدمات الاتصالات بشكل موثوق.</w:t>
      </w:r>
    </w:p>
    <w:p w14:paraId="5F7DF55C" w14:textId="6D20F39C" w:rsidR="00D16AF4" w:rsidRPr="00D16AF4" w:rsidRDefault="00BD433D" w:rsidP="00D16AF4">
      <w:r>
        <w:t>6.1</w:t>
      </w:r>
      <w:r w:rsidR="00D16AF4" w:rsidRPr="00D16AF4">
        <w:rPr>
          <w:rtl/>
        </w:rPr>
        <w:tab/>
        <w:t>وأعرب عضوان في المجلس عن تأييدهما الحق المشروع للشعب الفلسطيني في إقامة دولة مستقلة ذات سيادة كاملة وعاصمتها القدس.</w:t>
      </w:r>
    </w:p>
    <w:p w14:paraId="7E3AA66E" w14:textId="528CCF0B" w:rsidR="00D16AF4" w:rsidRPr="00D16AF4" w:rsidRDefault="00BD433D" w:rsidP="00D16AF4">
      <w:r>
        <w:t>7.1</w:t>
      </w:r>
      <w:r w:rsidR="00D16AF4" w:rsidRPr="00D16AF4">
        <w:rPr>
          <w:rtl/>
        </w:rPr>
        <w:tab/>
        <w:t>وأعرب أحد أعضاء المجلس عن تأييده حل الدولتين، حيث تعيش الدولتان جنباً إلى جنب في حرية وأمن، مع القدس عاصمة مشتركة، وشدد على أن الحل السياسي الموثوق هو وحده الذي يمكن أن يكسر حلقة الحرب ويسمح بالانتعاش الاقتصادي. وكرر أيضاً معارضة بلده للاستعمار، باعتباره انتهاكاً للقانون الدولي، فضلاً عن دعمه كل من إعلان نيويورك بشأن التسوية السلمية لقضية فلسطين وتنفيذ حل الدولتين وقرار مجلس الأمن التابع للأمم المتحدة رقم</w:t>
      </w:r>
      <w:r>
        <w:rPr>
          <w:rFonts w:hint="cs"/>
          <w:rtl/>
        </w:rPr>
        <w:t> </w:t>
      </w:r>
      <w:r w:rsidR="00D16AF4" w:rsidRPr="00D16AF4">
        <w:rPr>
          <w:rtl/>
        </w:rPr>
        <w:t>2803 (2025).</w:t>
      </w:r>
    </w:p>
    <w:p w14:paraId="2B0FCC43" w14:textId="0E01FDD6" w:rsidR="00D16AF4" w:rsidRPr="00D16AF4" w:rsidRDefault="00BD433D" w:rsidP="00D16AF4">
      <w:r>
        <w:t>8.1</w:t>
      </w:r>
      <w:r w:rsidR="00D16AF4" w:rsidRPr="00D16AF4">
        <w:rPr>
          <w:rtl/>
        </w:rPr>
        <w:tab/>
        <w:t>وأشار عضو في المجلس ومراقب إلى أنه من المتوقع إطلاق خدمات الجيل الرابع في فلسطين بحلول يوليو 2026 نتيجة التعاون الثنائي المستمر بين إسرائيل والسلطة الفلسطينية. وقالا إن التعاون الثنائي هو القناة الملائمة لمعالجة قضايا الاتصالات. وحذرا من تسييس عمل المجلس.</w:t>
      </w:r>
    </w:p>
    <w:p w14:paraId="181BFB63" w14:textId="1BE1496E" w:rsidR="00D16AF4" w:rsidRPr="00D16AF4" w:rsidRDefault="00BD433D" w:rsidP="00D16AF4">
      <w:r>
        <w:t>9.1</w:t>
      </w:r>
      <w:r w:rsidR="00D16AF4" w:rsidRPr="00D16AF4">
        <w:rPr>
          <w:rtl/>
        </w:rPr>
        <w:tab/>
        <w:t>وأكد العديد من أعضاء المجلس التزام بلدانهم بدعم تنفيذ القرار 1424 (</w:t>
      </w:r>
      <w:r w:rsidR="004F275E">
        <w:rPr>
          <w:rFonts w:hint="cs"/>
          <w:rtl/>
        </w:rPr>
        <w:t xml:space="preserve">الصادر في دورة المجلس لعام </w:t>
      </w:r>
      <w:r w:rsidR="004F275E">
        <w:t>2024</w:t>
      </w:r>
      <w:r w:rsidR="00D16AF4" w:rsidRPr="00D16AF4">
        <w:rPr>
          <w:rtl/>
        </w:rPr>
        <w:t>). ورأوا أنه ينبغي أن تحترم عملية إعادة الإعمار القانون الدولي والسلامة الإقليمية لفلسطين والحقوق الأساسية للشعب الفلسطيني وينبغي أن تنطوي على مشاركة كاملة من السلطة الفلسطينية. وشدد أحد المراقبين على أنه يجب على جميع الأطراف الوفاء بمسؤولياتها الدولية، بما في ذلك مسؤولية حماية البنية التحتية المدنية الأساسية وضمان استمرار الخدمات الحيوية.</w:t>
      </w:r>
    </w:p>
    <w:p w14:paraId="0487BEAA" w14:textId="3327270C" w:rsidR="00D16AF4" w:rsidRPr="00D16AF4" w:rsidRDefault="00BD433D" w:rsidP="00D16AF4">
      <w:r>
        <w:t>10.1</w:t>
      </w:r>
      <w:r w:rsidR="00D16AF4" w:rsidRPr="00D16AF4">
        <w:rPr>
          <w:rtl/>
        </w:rPr>
        <w:tab/>
        <w:t>وقال عضو المجلس من الولايات المتحدة إن بلده سيواصل السعي إلى إحداث تغيير ملموس من خلال تبادل آراء الخبراء غير السياسيين من أجل تعزيز التوصيلية والفرص الرقمية.</w:t>
      </w:r>
    </w:p>
    <w:p w14:paraId="66AA2DFD" w14:textId="11F78821" w:rsidR="00D16AF4" w:rsidRPr="00D16AF4" w:rsidRDefault="00BD433D" w:rsidP="00D16AF4">
      <w:r>
        <w:t>11.1</w:t>
      </w:r>
      <w:r w:rsidR="00D16AF4" w:rsidRPr="00D16AF4">
        <w:rPr>
          <w:rtl/>
        </w:rPr>
        <w:tab/>
        <w:t>وطلب عضوان من أعضاء المجلس من الأمانة الإبقاء على هذا البند في جدول أعمال المجلس في دوراته المقبلة.</w:t>
      </w:r>
    </w:p>
    <w:p w14:paraId="29B31F86" w14:textId="4C935266" w:rsidR="00D16AF4" w:rsidRPr="00D16AF4" w:rsidRDefault="00BD433D" w:rsidP="00D16AF4">
      <w:r>
        <w:t>12.1</w:t>
      </w:r>
      <w:r w:rsidR="00D16AF4" w:rsidRPr="00D16AF4">
        <w:rPr>
          <w:rtl/>
        </w:rPr>
        <w:tab/>
        <w:t xml:space="preserve">وقال المراقب عن إسرائيل إنه تم الإدلاء ببيانات سياسية مختلفة عرضت رؤية غير متوازنة بشأن التعقيدات الإقليمية وصرفت الانتباه عن الولاية المهنية والتقنية للاتحاد. وأردف أن ممثل السلطة الفلسطينية اختار التحدث باسم منظمة حماس الإرهابية، التي تسيطر على سكان غزة وبنيتها التحتية وتمنع تنفيذ قرار مجلس الأمن 2803 (2025). </w:t>
      </w:r>
      <w:r w:rsidR="00D16AF4" w:rsidRPr="00D16AF4">
        <w:rPr>
          <w:rtl/>
        </w:rPr>
        <w:lastRenderedPageBreak/>
        <w:t>وتابع أنه ينبغي توجيه أي شواغل بشأن العمليات المدنية واللوجستية في غزة إلى مجلس السلام المُنشأ عملاً بذلك القرار.</w:t>
      </w:r>
    </w:p>
    <w:p w14:paraId="57CD1EA3" w14:textId="03FCFAA2" w:rsidR="00D16AF4" w:rsidRPr="00D16AF4" w:rsidRDefault="00BD433D" w:rsidP="00D16AF4">
      <w:r>
        <w:t>13.1</w:t>
      </w:r>
      <w:r w:rsidR="00D16AF4" w:rsidRPr="00D16AF4">
        <w:rPr>
          <w:rtl/>
        </w:rPr>
        <w:tab/>
        <w:t>وتحدث المراقب عن دولة فلسطين بحق الرد الممنوح عملاً بالقرار 99 (المراجَع في دبي، 2018) لمؤتمر المندوبين المفوضين، فقال إن الوفود تناقش، بطريقة غير سياسية تماماً، أفضل السبل للعمل معاً من أجل التخفيف من حدة الوضع الإنساني الكارثي في الأراضي الفلسطينية المحتلة. وأضاف أن الاتهامات الموجهة إلى الممثل الذي تحدث باسم دولة فلسطين هي اتهامات سخيفة. وتساءل عما إذا كان المراقب عن إسرائيل يعتقد أن جميع الفلسطينيين إرهابيون، في هذه الحالة. واسترسل أنه لا ينبغي نسيان تأثير حروب الإبادة الجماعية المتعددة ضد الشعب الفلسطيني؛ وأن على المجتمع الدولي أن يتحمل مسؤوليته الأخلاقية والأخلاقية عن استعادة خدمات الاتصالات الأساسية.</w:t>
      </w:r>
    </w:p>
    <w:p w14:paraId="731D2D93" w14:textId="7543FC55" w:rsidR="00D16AF4" w:rsidRPr="00D16AF4" w:rsidRDefault="00BD433D" w:rsidP="00D16AF4">
      <w:r>
        <w:t>14.1</w:t>
      </w:r>
      <w:r w:rsidR="00D16AF4" w:rsidRPr="00D16AF4">
        <w:rPr>
          <w:rtl/>
        </w:rPr>
        <w:tab/>
        <w:t>وذكر عضو المجلس من الولايات المتحدة، مثيراً نقطة نظام، أن مداخلة المراقب عن دولة فلسطين تجاوزت نطاق حق الرد بموجب القرار 99 (المراجَع في دبي، 2018) لمؤتمر المندوبين المفوضين وترقى إلى حد مداخلة ثانية بشأن هذا البند.</w:t>
      </w:r>
    </w:p>
    <w:p w14:paraId="416A62DA" w14:textId="4C90D683" w:rsidR="00D16AF4" w:rsidRPr="00D16AF4" w:rsidRDefault="00BD433D" w:rsidP="00D16AF4">
      <w:r>
        <w:t>15.1</w:t>
      </w:r>
      <w:r w:rsidR="00D16AF4" w:rsidRPr="00D16AF4">
        <w:rPr>
          <w:rtl/>
        </w:rPr>
        <w:tab/>
        <w:t>وقال مدير المكتب الإقليمي لمنطقة الدول العربية إن خبراء الاتحاد يضعون خطة تنفيذ بالتعاون الوثيق مع السلطة الفلسطينية. وأوضح أن الخطة ستخضع لمزيد من التعديل في ضوء التقييم التقني بشأن نطاق الأضرار. ورحبت الأمانة بالدعوة إلى زيارة فلسطين وستتخذ الترتيبات اللازمة في الوقت المناسب.</w:t>
      </w:r>
    </w:p>
    <w:p w14:paraId="471B6D39" w14:textId="77777777" w:rsidR="00E97DB3" w:rsidRPr="00E97DB3" w:rsidRDefault="00E97DB3" w:rsidP="00E97DB3">
      <w:pPr>
        <w:pStyle w:val="Heading1"/>
        <w:rPr>
          <w:lang w:val="en-GB"/>
        </w:rPr>
      </w:pPr>
      <w:r w:rsidRPr="00E97DB3">
        <w:rPr>
          <w:lang w:val="en-GB"/>
        </w:rPr>
        <w:t>2</w:t>
      </w:r>
      <w:r w:rsidRPr="00E97DB3">
        <w:rPr>
          <w:lang w:val="en-GB"/>
        </w:rPr>
        <w:tab/>
      </w:r>
      <w:r w:rsidRPr="00E97DB3">
        <w:rPr>
          <w:rtl/>
        </w:rPr>
        <w:t>معلومات محدَّثة عن تنفيذ قرار المجلس 1408 (الصادر في دورة المجلس لعام</w:t>
      </w:r>
      <w:r w:rsidRPr="00E97DB3">
        <w:rPr>
          <w:rFonts w:hint="cs"/>
          <w:rtl/>
        </w:rPr>
        <w:t> </w:t>
      </w:r>
      <w:r w:rsidRPr="00E97DB3">
        <w:rPr>
          <w:rtl/>
        </w:rPr>
        <w:t>2022، والمعدّل آخر مرة في دورته لعام 2023)، بشأن تقديم المساعدة والدعم إلى أوكرانيا لإعادة بناء قطاع اتصالاتها</w:t>
      </w:r>
      <w:r w:rsidRPr="00E97DB3">
        <w:rPr>
          <w:rFonts w:hint="cs"/>
          <w:rtl/>
        </w:rPr>
        <w:t xml:space="preserve"> (الوثيقة </w:t>
      </w:r>
      <w:hyperlink r:id="rId15" w:history="1">
        <w:r w:rsidRPr="00E97DB3">
          <w:rPr>
            <w:rStyle w:val="Hyperlink"/>
            <w:noProof w:val="0"/>
            <w:lang w:eastAsia="zh-CN"/>
          </w:rPr>
          <w:t>C26/68</w:t>
        </w:r>
      </w:hyperlink>
      <w:r w:rsidRPr="00E97DB3">
        <w:rPr>
          <w:rFonts w:hint="cs"/>
          <w:rtl/>
        </w:rPr>
        <w:t>)</w:t>
      </w:r>
    </w:p>
    <w:p w14:paraId="42951E2A" w14:textId="729B3CE0" w:rsidR="00D16AF4" w:rsidRPr="00D16AF4" w:rsidRDefault="004F275E" w:rsidP="00D16AF4">
      <w:r>
        <w:t>1.2</w:t>
      </w:r>
      <w:r w:rsidR="00D16AF4" w:rsidRPr="00D16AF4">
        <w:rPr>
          <w:rtl/>
        </w:rPr>
        <w:tab/>
        <w:t>قدم رئيس مكتب الاتحاد لمنطقة أوروبا الوثيقة C26/</w:t>
      </w:r>
      <w:proofErr w:type="gramStart"/>
      <w:r w:rsidR="00D16AF4" w:rsidRPr="00D16AF4">
        <w:rPr>
          <w:rtl/>
        </w:rPr>
        <w:t>68، التي تلخص الإجراءات التي اتخذها الاتحاد منذ دورة المجلس لعام 2025 بشأن تقديم المساعدة والدعم إلى أوكرانيا لإعادة بناء قطاع اتصالاتها، استجابةً للقرار 1408 (</w:t>
      </w:r>
      <w:r w:rsidR="00B36132">
        <w:rPr>
          <w:rFonts w:hint="cs"/>
          <w:rtl/>
        </w:rPr>
        <w:t xml:space="preserve">الصادر في </w:t>
      </w:r>
      <w:r w:rsidR="00D16AF4" w:rsidRPr="00D16AF4">
        <w:rPr>
          <w:rtl/>
        </w:rPr>
        <w:t>دورة المجلس لعام</w:t>
      </w:r>
      <w:proofErr w:type="gramEnd"/>
      <w:r w:rsidR="00D16AF4" w:rsidRPr="00D16AF4">
        <w:rPr>
          <w:rtl/>
        </w:rPr>
        <w:t xml:space="preserve"> 2022، </w:t>
      </w:r>
      <w:r w:rsidR="00B36132">
        <w:rPr>
          <w:rFonts w:hint="cs"/>
          <w:rtl/>
        </w:rPr>
        <w:t xml:space="preserve">والمعدل آخر مرة في دورته </w:t>
      </w:r>
      <w:r w:rsidR="00D16AF4" w:rsidRPr="00D16AF4">
        <w:rPr>
          <w:rtl/>
        </w:rPr>
        <w:t xml:space="preserve">لعام </w:t>
      </w:r>
      <w:proofErr w:type="gramStart"/>
      <w:r w:rsidR="00D16AF4" w:rsidRPr="00D16AF4">
        <w:rPr>
          <w:rtl/>
        </w:rPr>
        <w:t>2023)،</w:t>
      </w:r>
      <w:proofErr w:type="gramEnd"/>
      <w:r w:rsidR="00D16AF4" w:rsidRPr="00D16AF4">
        <w:rPr>
          <w:rtl/>
        </w:rPr>
        <w:t xml:space="preserve"> مع إيلاء تركيز خاص على الرصد والإبلاغ، وآليات التنسيق، والمساعدة التقنية، وتعبئة الموارد وأنشطة بناء القدرات. وأضاف أن مشاركة المجتمع الدولي ودعمه في المشاريع ذات الأولوية المحددة ستكون موضع تقدير. وقال إنه يتطلع إلى مؤتمر إنعاش أوكرانيا المقرر عقده في يونيو</w:t>
      </w:r>
      <w:r w:rsidR="00B36132">
        <w:rPr>
          <w:rFonts w:hint="cs"/>
          <w:rtl/>
        </w:rPr>
        <w:t> </w:t>
      </w:r>
      <w:r w:rsidR="00D16AF4" w:rsidRPr="00D16AF4">
        <w:rPr>
          <w:rtl/>
        </w:rPr>
        <w:t>2026 وشكر جميع أصحاب المصلحة الذين قدموا الموارد المالية أو الدعم العيني.</w:t>
      </w:r>
    </w:p>
    <w:p w14:paraId="6DB30699" w14:textId="709CC85D" w:rsidR="00D16AF4" w:rsidRPr="00D16AF4" w:rsidRDefault="004F275E" w:rsidP="00D16AF4">
      <w:r>
        <w:t>2.2</w:t>
      </w:r>
      <w:r w:rsidR="00D16AF4" w:rsidRPr="00D16AF4">
        <w:rPr>
          <w:rtl/>
        </w:rPr>
        <w:tab/>
        <w:t xml:space="preserve">وأدلى المراقب عن أوكرانيا، متحدثاً بالنيابة عن </w:t>
      </w:r>
      <w:r w:rsidR="00991776">
        <w:t>43</w:t>
      </w:r>
      <w:r w:rsidR="00D16AF4" w:rsidRPr="00D16AF4">
        <w:rPr>
          <w:rtl/>
        </w:rPr>
        <w:t xml:space="preserve"> بلداً، بالبيان التالي</w:t>
      </w:r>
      <w:r w:rsidR="00991776" w:rsidRPr="00991776">
        <w:rPr>
          <w:rtl/>
        </w:rPr>
        <w:t xml:space="preserve"> </w:t>
      </w:r>
      <w:r w:rsidR="00991776" w:rsidRPr="00D16AF4">
        <w:rPr>
          <w:rtl/>
        </w:rPr>
        <w:t>المُتاح في الموقع التالي</w:t>
      </w:r>
      <w:r w:rsidR="00991776">
        <w:rPr>
          <w:rFonts w:hint="cs"/>
          <w:rtl/>
        </w:rPr>
        <w:t>:</w:t>
      </w:r>
      <w:r w:rsidR="00D16AF4" w:rsidRPr="00D16AF4">
        <w:rPr>
          <w:rtl/>
        </w:rPr>
        <w:t xml:space="preserve"> </w:t>
      </w:r>
      <w:hyperlink r:id="rId16" w:history="1">
        <w:r w:rsidR="0079262A" w:rsidRPr="00EC78B2">
          <w:rPr>
            <w:rStyle w:val="Hyperlink"/>
            <w:rFonts w:eastAsia="Times New Roman" w:cs="Times New Roman"/>
            <w:szCs w:val="20"/>
          </w:rPr>
          <w:t>council.itu.int/2026/wp-conten</w:t>
        </w:r>
        <w:r w:rsidR="0079262A" w:rsidRPr="00EC78B2">
          <w:rPr>
            <w:rStyle w:val="Hyperlink"/>
            <w:rFonts w:eastAsia="Times New Roman" w:cs="Times New Roman"/>
            <w:szCs w:val="20"/>
          </w:rPr>
          <w:t>t</w:t>
        </w:r>
        <w:r w:rsidR="0079262A" w:rsidRPr="00EC78B2">
          <w:rPr>
            <w:rStyle w:val="Hyperlink"/>
            <w:rFonts w:eastAsia="Times New Roman" w:cs="Times New Roman"/>
            <w:szCs w:val="20"/>
          </w:rPr>
          <w:t>/uploads/sites/6/2026/06/26.05.07-Ukraine_43-Joint-Statement-PL7.pdf</w:t>
        </w:r>
      </w:hyperlink>
      <w:r w:rsidR="0079262A">
        <w:rPr>
          <w:rFonts w:hint="cs"/>
          <w:rtl/>
          <w:lang w:val="en-GB"/>
        </w:rPr>
        <w:t>.</w:t>
      </w:r>
      <w:hyperlink r:id="rId17" w:history="1"/>
    </w:p>
    <w:p w14:paraId="08111784" w14:textId="0B1AC220" w:rsidR="00D16AF4" w:rsidRPr="00D16AF4" w:rsidRDefault="004F275E" w:rsidP="00D16AF4">
      <w:r>
        <w:t>3.2</w:t>
      </w:r>
      <w:r w:rsidR="00D16AF4" w:rsidRPr="00D16AF4">
        <w:rPr>
          <w:rtl/>
        </w:rPr>
        <w:tab/>
        <w:t>وأدلى عضو المجلس من البرازيل بالبيان المُتاح في الموقع التالي</w:t>
      </w:r>
      <w:r w:rsidR="00D16AF4" w:rsidRPr="00D16AF4">
        <w:t>:</w:t>
      </w:r>
      <w:r w:rsidR="00D16AF4" w:rsidRPr="00D16AF4">
        <w:rPr>
          <w:rtl/>
        </w:rPr>
        <w:t xml:space="preserve"> </w:t>
      </w:r>
      <w:hyperlink r:id="rId18" w:history="1">
        <w:r w:rsidR="00317A1A" w:rsidRPr="00EC78B2">
          <w:rPr>
            <w:rStyle w:val="Hyperlink"/>
            <w:rFonts w:eastAsia="Times New Roman" w:cs="Times New Roman"/>
            <w:szCs w:val="20"/>
          </w:rPr>
          <w:t>council.itu.int/2026/wp-content/uploads/site</w:t>
        </w:r>
        <w:r w:rsidR="00317A1A" w:rsidRPr="00EC78B2">
          <w:rPr>
            <w:rStyle w:val="Hyperlink"/>
            <w:rFonts w:eastAsia="Times New Roman" w:cs="Times New Roman"/>
            <w:szCs w:val="20"/>
          </w:rPr>
          <w:t>s</w:t>
        </w:r>
        <w:r w:rsidR="00317A1A" w:rsidRPr="00EC78B2">
          <w:rPr>
            <w:rStyle w:val="Hyperlink"/>
            <w:rFonts w:eastAsia="Times New Roman" w:cs="Times New Roman"/>
            <w:szCs w:val="20"/>
          </w:rPr>
          <w:t>/6/2026/06/26.05.07-Brazil-statement-on-Ukraine-PL7.pdf</w:t>
        </w:r>
      </w:hyperlink>
      <w:r w:rsidR="00317A1A">
        <w:rPr>
          <w:rFonts w:hint="cs"/>
          <w:rtl/>
          <w:lang w:val="en-GB"/>
        </w:rPr>
        <w:t>.</w:t>
      </w:r>
      <w:hyperlink r:id="rId19" w:history="1"/>
    </w:p>
    <w:p w14:paraId="12BFE737" w14:textId="7A3C72F4" w:rsidR="00D16AF4" w:rsidRPr="00D16AF4" w:rsidRDefault="004F275E" w:rsidP="00D16AF4">
      <w:r>
        <w:t>4.2</w:t>
      </w:r>
      <w:r w:rsidR="00D16AF4" w:rsidRPr="00D16AF4">
        <w:rPr>
          <w:rtl/>
        </w:rPr>
        <w:tab/>
        <w:t xml:space="preserve">وأدلى عضو المجلس من إيطاليا، متحدثاً بالنيابة عن بلدان الاتحاد الأوروبي، بالبيان المُتاح في </w:t>
      </w:r>
      <w:r w:rsidR="00991776">
        <w:rPr>
          <w:rFonts w:hint="cs"/>
          <w:rtl/>
        </w:rPr>
        <w:t>الموقع</w:t>
      </w:r>
      <w:r w:rsidR="00D16AF4" w:rsidRPr="00D16AF4">
        <w:rPr>
          <w:rtl/>
        </w:rPr>
        <w:t xml:space="preserve"> التالي</w:t>
      </w:r>
      <w:r w:rsidR="00D16AF4" w:rsidRPr="00D16AF4">
        <w:t>:</w:t>
      </w:r>
      <w:r w:rsidR="00D16AF4" w:rsidRPr="00D16AF4">
        <w:rPr>
          <w:rtl/>
        </w:rPr>
        <w:t xml:space="preserve"> </w:t>
      </w:r>
      <w:hyperlink r:id="rId20" w:history="1">
        <w:r w:rsidR="00387B87" w:rsidRPr="00EC78B2">
          <w:rPr>
            <w:rStyle w:val="Hyperlink"/>
            <w:rFonts w:eastAsia="Times New Roman" w:cs="Times New Roman"/>
            <w:szCs w:val="20"/>
          </w:rPr>
          <w:t>council.itu.int/2026/wp-content/uploads/sites/6/2026/06</w:t>
        </w:r>
        <w:r w:rsidR="00387B87" w:rsidRPr="00EC78B2">
          <w:rPr>
            <w:rStyle w:val="Hyperlink"/>
            <w:rFonts w:eastAsia="Times New Roman" w:cs="Times New Roman"/>
            <w:szCs w:val="20"/>
          </w:rPr>
          <w:t>/</w:t>
        </w:r>
        <w:r w:rsidR="00387B87" w:rsidRPr="00EC78B2">
          <w:rPr>
            <w:rStyle w:val="Hyperlink"/>
            <w:rFonts w:eastAsia="Times New Roman" w:cs="Times New Roman"/>
            <w:szCs w:val="20"/>
          </w:rPr>
          <w:t>26.05.07-Italy_EU-statement-on-Ukraine-PL7.pdf</w:t>
        </w:r>
      </w:hyperlink>
      <w:r w:rsidR="00387B87">
        <w:rPr>
          <w:rFonts w:hint="cs"/>
          <w:rtl/>
          <w:lang w:val="en-GB"/>
        </w:rPr>
        <w:t>.</w:t>
      </w:r>
      <w:hyperlink r:id="rId21" w:history="1"/>
    </w:p>
    <w:p w14:paraId="6715EEA9" w14:textId="3ACBAB0A" w:rsidR="00D16AF4" w:rsidRPr="00D16AF4" w:rsidRDefault="004F275E" w:rsidP="00D16AF4">
      <w:r>
        <w:t>5.2</w:t>
      </w:r>
      <w:r w:rsidR="00D16AF4" w:rsidRPr="00D16AF4">
        <w:rPr>
          <w:rtl/>
        </w:rPr>
        <w:tab/>
        <w:t>وأدان عدد من أعضاء المجلس بأشد العبارات العدوان غير المبرر على أوكرانيا الذي يشنه الاتحاد الروسي والذي ينتهك القانون الدولي وميثاق الأمم المتحدة. ودعوا الاتحاد الروسي إلى الوقف الفوري لهجماته، بما في ذلك على الاتصالات والبنية التحتية المدنية، وأعربوا عن دعمهم الثابت لتحقيق سلام عادل وشامل ودائم يحترم سيادة أوكرانيا وسلامة أراضيها وأمنها واستقلالها على الأجل الطويل. وأشادوا بالدور الهام للاتحاد في توثيق الأضرار التي لحقت بقطاع الاتصالات في أوكرانيا وبناء قدرته على الصمود والقدرات، وتعاونه النشط مع حكومة أوكرانيا. وشدد أحد أعضاء المجلس على أن المساعدة التي يقدمها الاتحاد إلى جميع الدول الأعضاء المتضررة من النزاعات يجب أن تكون محايدة وشاملة ومتناسبة، وأن تسترشد بولاية الاتحاد بصفته منظمة تقنية.</w:t>
      </w:r>
    </w:p>
    <w:p w14:paraId="4F71C6C0" w14:textId="5A4A9BE9" w:rsidR="00D16AF4" w:rsidRPr="00D16AF4" w:rsidRDefault="004F275E" w:rsidP="00D16AF4">
      <w:r>
        <w:t>6.2</w:t>
      </w:r>
      <w:r w:rsidR="00D16AF4" w:rsidRPr="00D16AF4">
        <w:rPr>
          <w:rtl/>
        </w:rPr>
        <w:tab/>
        <w:t xml:space="preserve">وأدلى المراقب عن الاتحاد الروسي بالبيان المُتاح في </w:t>
      </w:r>
      <w:r w:rsidR="00991776">
        <w:rPr>
          <w:rFonts w:hint="cs"/>
          <w:rtl/>
        </w:rPr>
        <w:t>الموقع</w:t>
      </w:r>
      <w:r w:rsidR="00991776" w:rsidRPr="00D16AF4">
        <w:rPr>
          <w:rtl/>
        </w:rPr>
        <w:t xml:space="preserve"> </w:t>
      </w:r>
      <w:r w:rsidR="00D16AF4" w:rsidRPr="00D16AF4">
        <w:rPr>
          <w:rtl/>
        </w:rPr>
        <w:t>التالي</w:t>
      </w:r>
      <w:r w:rsidR="00D16AF4" w:rsidRPr="00D16AF4">
        <w:t>:</w:t>
      </w:r>
      <w:r w:rsidR="00D16AF4" w:rsidRPr="00D16AF4">
        <w:rPr>
          <w:rtl/>
        </w:rPr>
        <w:t xml:space="preserve"> </w:t>
      </w:r>
      <w:hyperlink r:id="rId22" w:history="1">
        <w:r w:rsidR="00B36132" w:rsidRPr="00EC78B2">
          <w:rPr>
            <w:rStyle w:val="Hyperlink"/>
            <w:rFonts w:eastAsia="Times New Roman" w:cs="Times New Roman"/>
            <w:szCs w:val="20"/>
          </w:rPr>
          <w:t>council.itu.int/2026/wp-content/uploads/sites/6/2</w:t>
        </w:r>
        <w:r w:rsidR="00B36132" w:rsidRPr="00EC78B2">
          <w:rPr>
            <w:rStyle w:val="Hyperlink"/>
            <w:rFonts w:eastAsia="Times New Roman" w:cs="Times New Roman"/>
            <w:szCs w:val="20"/>
          </w:rPr>
          <w:t>0</w:t>
        </w:r>
        <w:r w:rsidR="00B36132" w:rsidRPr="00EC78B2">
          <w:rPr>
            <w:rStyle w:val="Hyperlink"/>
            <w:rFonts w:eastAsia="Times New Roman" w:cs="Times New Roman"/>
            <w:szCs w:val="20"/>
          </w:rPr>
          <w:t>26/06/26.05.07-E-Russian-Federation-statement-C26_68-PL7.pdf</w:t>
        </w:r>
      </w:hyperlink>
      <w:r w:rsidR="00B36132">
        <w:rPr>
          <w:rFonts w:hint="cs"/>
          <w:rtl/>
          <w:lang w:val="en-GB"/>
        </w:rPr>
        <w:t>.</w:t>
      </w:r>
      <w:hyperlink r:id="rId23" w:history="1"/>
    </w:p>
    <w:p w14:paraId="5AE2892B" w14:textId="42EEF164" w:rsidR="00D16AF4" w:rsidRPr="00D16AF4" w:rsidRDefault="004F275E" w:rsidP="00D16AF4">
      <w:r>
        <w:lastRenderedPageBreak/>
        <w:t>7.2</w:t>
      </w:r>
      <w:r w:rsidR="00D16AF4" w:rsidRPr="00D16AF4">
        <w:rPr>
          <w:rtl/>
        </w:rPr>
        <w:tab/>
        <w:t>وقال المراقب عن أوكرانيا، بعد أن طلب الكلمة ممارسةً لحق الرد، إن الآثار الضارة التي أشار إليها المتحدث السابق ستتوقف بمجرد أن ينهي الاتحاد الروسي عدوانه على أوكرانيا. وأشار أيضاً إلى أن الاستفتاءات التي أجراها الاتحاد الروسي غير قانونية وأن أراضي أوكرانيا تقوم على حدودها المعترف بها دولياً. وقال إن بلده لا يسيس هذه المسألة؛ وإن الاتحاد الروسي يؤثر مباشرةً على الوضع من خلال مهاجمته البنية التحتية للاتصالات في أوكرانيا.</w:t>
      </w:r>
    </w:p>
    <w:p w14:paraId="3FB51328" w14:textId="52BE5EB1" w:rsidR="00D16AF4" w:rsidRPr="00D16AF4" w:rsidRDefault="004F275E" w:rsidP="00D16AF4">
      <w:r>
        <w:t>8.2</w:t>
      </w:r>
      <w:r w:rsidR="00D16AF4" w:rsidRPr="00D16AF4">
        <w:rPr>
          <w:rtl/>
        </w:rPr>
        <w:tab/>
        <w:t>وقال ممثل وحدة الشؤون القانونية، رداً على نقطة نظام أثارها أحد المراقبين، إن النظام الداخلي للمجلس لا</w:t>
      </w:r>
      <w:r>
        <w:rPr>
          <w:rFonts w:hint="cs"/>
          <w:rtl/>
        </w:rPr>
        <w:t> </w:t>
      </w:r>
      <w:r w:rsidR="00D16AF4" w:rsidRPr="00D16AF4">
        <w:rPr>
          <w:rtl/>
        </w:rPr>
        <w:t xml:space="preserve">ينص تحديداً على حق الرد للدول الأعضاء التي تتمتع بصفة مراقب، وإن القاعدة </w:t>
      </w:r>
      <w:r w:rsidR="00B36132">
        <w:t>3.7</w:t>
      </w:r>
      <w:r w:rsidR="00D16AF4" w:rsidRPr="00D16AF4">
        <w:rPr>
          <w:rtl/>
        </w:rPr>
        <w:t xml:space="preserve"> تضع إطاراً شاملاً ومحدوداً لمشاركة الدول الأعضاء التي تتمتع بصفة مراقب. وأضاف أن الدول الأعضاء التي تتمتع بصفة مراقب لا يمكنها على غرار ذلك أن تثير نقاط نظام في المجلس، لأن هذا الحق غير منصوص عليه تحديداً في النظام الداخلي.</w:t>
      </w:r>
    </w:p>
    <w:p w14:paraId="20ACCBE3" w14:textId="659DDF43" w:rsidR="00D16AF4" w:rsidRPr="00D16AF4" w:rsidRDefault="004F275E" w:rsidP="00D16AF4">
      <w:r>
        <w:t>9.2</w:t>
      </w:r>
      <w:r w:rsidR="00D16AF4" w:rsidRPr="00D16AF4">
        <w:rPr>
          <w:rtl/>
        </w:rPr>
        <w:tab/>
        <w:t>وقال الرئيس إن المداخلات ينبغي أن تنعكس في المحضر الموجز للاجتماع.</w:t>
      </w:r>
    </w:p>
    <w:p w14:paraId="20167B97" w14:textId="3B97C3B9" w:rsidR="00D16AF4" w:rsidRPr="00D16AF4" w:rsidRDefault="004F275E" w:rsidP="00D16AF4">
      <w:r>
        <w:t>10.2</w:t>
      </w:r>
      <w:r w:rsidR="00D16AF4" w:rsidRPr="00D16AF4">
        <w:rPr>
          <w:rtl/>
        </w:rPr>
        <w:tab/>
        <w:t>و</w:t>
      </w:r>
      <w:r w:rsidR="00D16AF4" w:rsidRPr="00D16AF4">
        <w:rPr>
          <w:b/>
          <w:bCs/>
          <w:rtl/>
        </w:rPr>
        <w:t>أحاط</w:t>
      </w:r>
      <w:r w:rsidR="00D16AF4" w:rsidRPr="00D16AF4">
        <w:rPr>
          <w:rtl/>
        </w:rPr>
        <w:t xml:space="preserve"> المجلس </w:t>
      </w:r>
      <w:r w:rsidR="00D16AF4" w:rsidRPr="00D16AF4">
        <w:rPr>
          <w:b/>
          <w:bCs/>
          <w:rtl/>
        </w:rPr>
        <w:t>علماً</w:t>
      </w:r>
      <w:r w:rsidR="00D16AF4" w:rsidRPr="00D16AF4">
        <w:rPr>
          <w:rtl/>
        </w:rPr>
        <w:t xml:space="preserve"> بالوثيقة C26/68.</w:t>
      </w:r>
    </w:p>
    <w:p w14:paraId="56978250" w14:textId="77777777" w:rsidR="00E97DB3" w:rsidRPr="00E97DB3" w:rsidRDefault="00E97DB3" w:rsidP="00E97DB3">
      <w:pPr>
        <w:pStyle w:val="Heading1"/>
        <w:rPr>
          <w:lang w:val="en-GB"/>
        </w:rPr>
      </w:pPr>
      <w:r w:rsidRPr="00E97DB3">
        <w:rPr>
          <w:lang w:val="en-GB"/>
        </w:rPr>
        <w:t>3</w:t>
      </w:r>
      <w:r w:rsidRPr="00E97DB3">
        <w:rPr>
          <w:lang w:val="en-GB"/>
        </w:rPr>
        <w:tab/>
      </w:r>
      <w:r w:rsidRPr="00E97DB3">
        <w:rPr>
          <w:rtl/>
        </w:rPr>
        <w:t>الجهود المبذولة لحماية الاتصالات الإنسانية في حالات النزاعات والكوارث</w:t>
      </w:r>
      <w:r w:rsidRPr="00E97DB3">
        <w:rPr>
          <w:rFonts w:hint="cs"/>
          <w:rtl/>
        </w:rPr>
        <w:t xml:space="preserve"> (الوثيقة </w:t>
      </w:r>
      <w:hyperlink r:id="rId24" w:history="1">
        <w:r w:rsidRPr="00E97DB3">
          <w:rPr>
            <w:rStyle w:val="Hyperlink"/>
            <w:noProof w:val="0"/>
            <w:lang w:eastAsia="zh-CN"/>
          </w:rPr>
          <w:t>C26/64</w:t>
        </w:r>
      </w:hyperlink>
      <w:r w:rsidRPr="00E97DB3">
        <w:rPr>
          <w:rFonts w:hint="cs"/>
          <w:rtl/>
        </w:rPr>
        <w:t>)</w:t>
      </w:r>
    </w:p>
    <w:p w14:paraId="45248251" w14:textId="2883EF5C" w:rsidR="00D16AF4" w:rsidRPr="00D16AF4" w:rsidRDefault="00B36132" w:rsidP="00D16AF4">
      <w:r>
        <w:t>1.3</w:t>
      </w:r>
      <w:r w:rsidR="00D16AF4" w:rsidRPr="00D16AF4">
        <w:rPr>
          <w:rtl/>
        </w:rPr>
        <w:tab/>
        <w:t xml:space="preserve">قدم رئيس دائرة التخطيط الاستراتيجي وشؤون الأعضاء الوثيقة C26/64 التي أوجزت جهود الاتحاد الرامية إلى صون وتيسير شبكات وخدمات الاتصالات العمومية منذ اعتماد الدول الأعضاء في الاتحاد بياناً في المؤتمر العالمي لتنمية الاتصالات لعام 2025 بشأن الاعتراف بأهمية شبكات وخدمات الاتصالات العمومية بالنسبة </w:t>
      </w:r>
      <w:r w:rsidR="00991776">
        <w:rPr>
          <w:rFonts w:hint="cs"/>
          <w:rtl/>
        </w:rPr>
        <w:t>إلى ا</w:t>
      </w:r>
      <w:r w:rsidR="00D16AF4" w:rsidRPr="00D16AF4">
        <w:rPr>
          <w:rtl/>
        </w:rPr>
        <w:t>لخدمات الإنسانية الأساسية التي يتعين صونها وتيسيرها أثناء النزاعات المسلحة والكوارث.</w:t>
      </w:r>
    </w:p>
    <w:p w14:paraId="24A842E1" w14:textId="7176BDC6" w:rsidR="00D16AF4" w:rsidRPr="00D16AF4" w:rsidRDefault="00B36132" w:rsidP="00D16AF4">
      <w:r>
        <w:t>2.3</w:t>
      </w:r>
      <w:r w:rsidR="00D16AF4" w:rsidRPr="00D16AF4">
        <w:rPr>
          <w:rtl/>
        </w:rPr>
        <w:tab/>
        <w:t xml:space="preserve">ورحب أعضاء المجلس والمراقبون بالاعتراف بالدور الأساسي لشبكات الاتصالات وخدماتها في إنقاذ الأرواح ودعم الاستجابة للطوارئ والحفاظ على استمرارية الاتصالات أثناء النزاعات المسلحة والكوارث. وقالوا إنه ينبغي ألا يكون النفاذ إلى اتصالات الطوارئ امتيازاً، وهناك حاجة إلى بذل الجهود لضمان التطبيق الكامل للهيكل القانوني القائم لدعم أنظمة الاتصالات القادرة على الصمود، خاصة بالنسبة للفئات الأكثر ضعفاً. وأعربوا عن تقدير تعاون الاتحاد المعزز عبر منظومة الأمم المتحدة ودعمه في وضع خطط وطنية للاتصالات في حالات الطوارئ وبناء القدرة على الصمود وتيسير النفاذ إلى الاتصالات للأغراض الإنسانية. وأشاروا إلى أن </w:t>
      </w:r>
      <w:r w:rsidR="00991776">
        <w:rPr>
          <w:rFonts w:hint="cs"/>
          <w:rtl/>
        </w:rPr>
        <w:t>تبادل</w:t>
      </w:r>
      <w:r w:rsidR="00D16AF4" w:rsidRPr="00D16AF4">
        <w:rPr>
          <w:rtl/>
        </w:rPr>
        <w:t xml:space="preserve"> الممارسات الفضلى أمر أساسي لتحسين بروتوكولات الاتصالات في حالات الطوارئ والاستجابة لها وتنسيقها على الصعيد الوطني.</w:t>
      </w:r>
    </w:p>
    <w:p w14:paraId="661A8954" w14:textId="665083AD" w:rsidR="00D16AF4" w:rsidRPr="00D16AF4" w:rsidRDefault="00B36132" w:rsidP="00D16AF4">
      <w:r>
        <w:t>3.3</w:t>
      </w:r>
      <w:r w:rsidR="00D16AF4" w:rsidRPr="00D16AF4">
        <w:rPr>
          <w:rtl/>
        </w:rPr>
        <w:tab/>
        <w:t>واتفق أعضاء آخرون في المجلس على أن القضايا قيد المناقشة مع أنها ذات أهمية كبيرة، فهي معقدة للغاية وتشمل اعتبارات قانونية وإنسانية وتقنية وتشغيلية. وقالوا إنه على الرغم من اضطلاع الاتحاد بدور هام في إطار ولايته وخبراته، فهو ليس المحفل المناسب للنظر في المسائل المتصلة بالقانون الإنساني الدولي أو النزاعات المسلحة أو حماية المدنيين. وأضافوا أنه يمكن تحقيق تقدم ملموس من خلال إشراك طائفة واسعة من أصحاب المصلحة ذوي الأدوار المحددة بوضوح، والتنسيق عبر منظومة الأمم المتحدة الأوسع نطاقاً وخارجها، وتعبئة الأطر والشراكات القائمة. وأشار أحد المراقبين إلى أن بعض المفاهيم الواردة في البيان المعتمد في المؤتمر العالمي لتنمية الاتصالات لعام 2025 تتجاوز ولاية الاتحاد؛ وتضمنت بعض التعليمات الموجهة إلى الأمينة العامة إشكالية ويمكن أن تؤدي إلى الانقسام.</w:t>
      </w:r>
    </w:p>
    <w:p w14:paraId="23134252" w14:textId="33596976" w:rsidR="00D16AF4" w:rsidRPr="00D16AF4" w:rsidRDefault="00B36132" w:rsidP="00972837">
      <w:r w:rsidRPr="00972837">
        <w:t>4.3</w:t>
      </w:r>
      <w:r w:rsidR="00D16AF4" w:rsidRPr="00972837">
        <w:rPr>
          <w:rtl/>
        </w:rPr>
        <w:tab/>
        <w:t xml:space="preserve">وألقى عضو المجلس من الولايات المتحدة البيان المُتاح في العنوان التالي: </w:t>
      </w:r>
      <w:hyperlink r:id="rId25" w:history="1">
        <w:r w:rsidR="00972837" w:rsidRPr="00972837">
          <w:rPr>
            <w:rStyle w:val="Hyperlink"/>
            <w:noProof w:val="0"/>
            <w:lang w:eastAsia="zh-CN"/>
          </w:rPr>
          <w:t>council.itu.int/2026/wp-content/uploads/sites/6/2026/06/26.05.07-USA-PL7.pdf</w:t>
        </w:r>
      </w:hyperlink>
      <w:r w:rsidR="00972837" w:rsidRPr="00972837">
        <w:rPr>
          <w:rFonts w:hint="cs"/>
          <w:rtl/>
        </w:rPr>
        <w:t>.</w:t>
      </w:r>
    </w:p>
    <w:p w14:paraId="34E3FF5C" w14:textId="1E79EA93" w:rsidR="00D16AF4" w:rsidRPr="00D16AF4" w:rsidRDefault="00B36132" w:rsidP="00D16AF4">
      <w:r>
        <w:t>5.3</w:t>
      </w:r>
      <w:r w:rsidR="00D16AF4" w:rsidRPr="00D16AF4">
        <w:rPr>
          <w:rtl/>
        </w:rPr>
        <w:tab/>
        <w:t xml:space="preserve">وشددت إحدى المراقبات على أن الجهود الرامية إلى صون البنية التحتية للاتصالات أثناء النزاعات المسلحة والكوارث يجب أن تُبذل مع الاحترام الكامل للسلامة الإقليمية والسيادة الوطنية للدول الأعضاء. وطلبت من الاتحاد تقديم المساعدة التقنية لإعادة بناء البنية التحتية لتكنولوجيا المعلومات والاتصالات في بلدها المدمرة في الهجمات الأخيرة. وقال مراقب آخر إنه ينبغي اعتبار خدمات الاتصالات خدمة محمية. واعتبر أنه ينبغي مواءمة خطط الطوارئ الوطنية والإقليمية، وأن تكون الاتصالات جزءاً من خدمات الإنذار المبكر. </w:t>
      </w:r>
      <w:bookmarkStart w:id="0" w:name="OLE_LINK1"/>
      <w:bookmarkEnd w:id="0"/>
    </w:p>
    <w:p w14:paraId="29C82F69" w14:textId="724F4680" w:rsidR="00D16AF4" w:rsidRPr="00D16AF4" w:rsidRDefault="00B36132" w:rsidP="00D16AF4">
      <w:r>
        <w:t>6.3</w:t>
      </w:r>
      <w:r w:rsidR="00D16AF4" w:rsidRPr="00D16AF4">
        <w:rPr>
          <w:rtl/>
        </w:rPr>
        <w:tab/>
        <w:t>و</w:t>
      </w:r>
      <w:r w:rsidR="00D16AF4" w:rsidRPr="00D16AF4">
        <w:rPr>
          <w:b/>
          <w:bCs/>
          <w:rtl/>
        </w:rPr>
        <w:t>أحاط</w:t>
      </w:r>
      <w:r w:rsidR="00D16AF4" w:rsidRPr="00D16AF4">
        <w:rPr>
          <w:rtl/>
        </w:rPr>
        <w:t xml:space="preserve"> المجلس </w:t>
      </w:r>
      <w:r w:rsidR="00D16AF4" w:rsidRPr="00D16AF4">
        <w:rPr>
          <w:b/>
          <w:bCs/>
          <w:rtl/>
        </w:rPr>
        <w:t>علماً</w:t>
      </w:r>
      <w:r w:rsidR="00D16AF4" w:rsidRPr="00D16AF4">
        <w:rPr>
          <w:rtl/>
        </w:rPr>
        <w:t xml:space="preserve"> بالوثيقة C26/64 و</w:t>
      </w:r>
      <w:r w:rsidR="00D16AF4" w:rsidRPr="00D16AF4">
        <w:rPr>
          <w:b/>
          <w:bCs/>
          <w:rtl/>
        </w:rPr>
        <w:t>طلب</w:t>
      </w:r>
      <w:r w:rsidR="00D16AF4" w:rsidRPr="00D16AF4">
        <w:rPr>
          <w:rtl/>
        </w:rPr>
        <w:t xml:space="preserve"> من الأمانة أن تراعيَ التعليقات بشأنها عند إعداد التقرير المقدَّم إلى مؤتمر المندوبين المفوضين لعام 2026 (PP-26).</w:t>
      </w:r>
    </w:p>
    <w:p w14:paraId="4759FD65" w14:textId="51EED081" w:rsidR="00E97DB3" w:rsidRPr="00E97DB3" w:rsidRDefault="00E97DB3" w:rsidP="00903BC0">
      <w:pPr>
        <w:pStyle w:val="Heading1"/>
        <w:rPr>
          <w:rtl/>
          <w:lang w:bidi="ar-EG"/>
        </w:rPr>
      </w:pPr>
      <w:r w:rsidRPr="00E97DB3">
        <w:rPr>
          <w:lang w:val="en-GB"/>
        </w:rPr>
        <w:lastRenderedPageBreak/>
        <w:t>4</w:t>
      </w:r>
      <w:r w:rsidRPr="00E97DB3">
        <w:rPr>
          <w:lang w:val="en-GB"/>
        </w:rPr>
        <w:tab/>
      </w:r>
      <w:r w:rsidRPr="00E97DB3">
        <w:rPr>
          <w:rtl/>
        </w:rPr>
        <w:t xml:space="preserve">تقرير من رئيس فريق العمل التابع للمجلس والمعني بالخطتين الاستراتيجية والمالية للفترة 2028-2031، ومن ضمنه مشروع الخطة الاستراتيجية للاتحاد للفترة </w:t>
      </w:r>
      <w:r w:rsidR="00903BC0" w:rsidRPr="00903BC0">
        <w:t>2031-2028</w:t>
      </w:r>
      <w:r w:rsidR="00903BC0" w:rsidRPr="00903BC0">
        <w:rPr>
          <w:rtl/>
        </w:rPr>
        <w:t xml:space="preserve"> </w:t>
      </w:r>
      <w:r w:rsidRPr="00E97DB3">
        <w:rPr>
          <w:rtl/>
        </w:rPr>
        <w:t>(</w:t>
      </w:r>
      <w:r w:rsidR="00C02C60">
        <w:rPr>
          <w:rFonts w:hint="eastAsia"/>
          <w:rtl/>
          <w:lang w:bidi="ar-EG"/>
        </w:rPr>
        <w:t> </w:t>
      </w:r>
      <w:r w:rsidRPr="00E97DB3">
        <w:rPr>
          <w:i/>
          <w:iCs/>
          <w:rtl/>
        </w:rPr>
        <w:t>تابع</w:t>
      </w:r>
      <w:r w:rsidRPr="00E97DB3">
        <w:rPr>
          <w:rtl/>
        </w:rPr>
        <w:t>)</w:t>
      </w:r>
      <w:r w:rsidRPr="00E97DB3">
        <w:rPr>
          <w:rFonts w:hint="cs"/>
          <w:rtl/>
        </w:rPr>
        <w:t xml:space="preserve"> (الوثائق </w:t>
      </w:r>
      <w:hyperlink r:id="rId26" w:history="1">
        <w:r w:rsidRPr="00E97DB3">
          <w:rPr>
            <w:rStyle w:val="Hyperlink"/>
            <w:noProof w:val="0"/>
            <w:lang w:eastAsia="zh-CN"/>
          </w:rPr>
          <w:t>C26/31</w:t>
        </w:r>
        <w:r w:rsidRPr="00E97DB3">
          <w:rPr>
            <w:rStyle w:val="Hyperlink"/>
            <w:rFonts w:hint="eastAsia"/>
            <w:noProof w:val="0"/>
            <w:rtl/>
            <w:lang w:val="en-US" w:eastAsia="zh-CN" w:bidi="ar-EG"/>
          </w:rPr>
          <w:t> </w:t>
        </w:r>
        <w:r w:rsidRPr="00E97DB3">
          <w:rPr>
            <w:rStyle w:val="Hyperlink"/>
            <w:rFonts w:hint="cs"/>
            <w:noProof w:val="0"/>
            <w:rtl/>
            <w:lang w:val="en-US" w:eastAsia="zh-CN" w:bidi="ar-EG"/>
          </w:rPr>
          <w:t>+ الإضافتان</w:t>
        </w:r>
        <w:r w:rsidRPr="00E97DB3">
          <w:rPr>
            <w:rStyle w:val="Hyperlink"/>
            <w:rFonts w:hint="eastAsia"/>
            <w:noProof w:val="0"/>
            <w:rtl/>
            <w:lang w:val="en-US" w:eastAsia="zh-CN" w:bidi="ar-EG"/>
          </w:rPr>
          <w:t> </w:t>
        </w:r>
        <w:r w:rsidRPr="00E97DB3">
          <w:rPr>
            <w:rStyle w:val="Hyperlink"/>
            <w:rFonts w:hint="cs"/>
            <w:noProof w:val="0"/>
            <w:rtl/>
            <w:lang w:val="en-US" w:eastAsia="zh-CN" w:bidi="ar-EG"/>
          </w:rPr>
          <w:t>1</w:t>
        </w:r>
        <w:r w:rsidRPr="00E97DB3">
          <w:rPr>
            <w:rStyle w:val="Hyperlink"/>
            <w:rFonts w:hint="eastAsia"/>
            <w:noProof w:val="0"/>
            <w:rtl/>
            <w:lang w:val="en-US" w:eastAsia="zh-CN" w:bidi="ar-EG"/>
          </w:rPr>
          <w:t> </w:t>
        </w:r>
        <w:r w:rsidRPr="00E97DB3">
          <w:rPr>
            <w:rStyle w:val="Hyperlink"/>
            <w:rFonts w:hint="cs"/>
            <w:noProof w:val="0"/>
            <w:rtl/>
            <w:lang w:val="en-US" w:eastAsia="zh-CN" w:bidi="ar-EG"/>
          </w:rPr>
          <w:t>و2</w:t>
        </w:r>
      </w:hyperlink>
      <w:r w:rsidRPr="00E97DB3">
        <w:rPr>
          <w:rFonts w:hint="cs"/>
          <w:rtl/>
          <w:lang w:bidi="ar-EG"/>
        </w:rPr>
        <w:t xml:space="preserve"> </w:t>
      </w:r>
      <w:r w:rsidRPr="00E97DB3">
        <w:rPr>
          <w:rFonts w:hint="cs"/>
          <w:u w:val="single"/>
          <w:rtl/>
          <w:lang w:bidi="ar-EG"/>
        </w:rPr>
        <w:t>و</w:t>
      </w:r>
      <w:hyperlink r:id="rId27" w:history="1">
        <w:r w:rsidRPr="00E97DB3">
          <w:rPr>
            <w:rStyle w:val="Hyperlink"/>
            <w:noProof w:val="0"/>
            <w:lang w:eastAsia="zh-CN"/>
          </w:rPr>
          <w:t>C26/83</w:t>
        </w:r>
      </w:hyperlink>
      <w:r w:rsidRPr="00E97DB3">
        <w:rPr>
          <w:rFonts w:hint="cs"/>
          <w:rtl/>
        </w:rPr>
        <w:t>)</w:t>
      </w:r>
    </w:p>
    <w:p w14:paraId="590C05D3" w14:textId="5712E093" w:rsidR="00D16AF4" w:rsidRPr="00D16AF4" w:rsidRDefault="00903BC0" w:rsidP="00D16AF4">
      <w:r>
        <w:rPr>
          <w:rFonts w:hint="cs"/>
          <w:rtl/>
        </w:rPr>
        <w:t>1.4</w:t>
      </w:r>
      <w:r w:rsidR="00D16AF4" w:rsidRPr="00D16AF4">
        <w:rPr>
          <w:rtl/>
        </w:rPr>
        <w:tab/>
        <w:t xml:space="preserve">قال رئيس فريق العمل التابع للمجلس </w:t>
      </w:r>
      <w:r w:rsidR="00C43E40">
        <w:rPr>
          <w:rFonts w:hint="cs"/>
          <w:rtl/>
        </w:rPr>
        <w:t>و</w:t>
      </w:r>
      <w:r w:rsidR="00D16AF4" w:rsidRPr="00D16AF4">
        <w:rPr>
          <w:rtl/>
        </w:rPr>
        <w:t xml:space="preserve">المعني بالخطتين الاستراتيجية والمالية للفترة </w:t>
      </w:r>
      <w:r>
        <w:t>2031-2028</w:t>
      </w:r>
      <w:r w:rsidR="00D16AF4" w:rsidRPr="00D16AF4">
        <w:rPr>
          <w:rtl/>
        </w:rPr>
        <w:t xml:space="preserve"> (CWG</w:t>
      </w:r>
      <w:r w:rsidR="00C02C60">
        <w:noBreakHyphen/>
      </w:r>
      <w:r w:rsidR="00D16AF4" w:rsidRPr="00D16AF4">
        <w:rPr>
          <w:rtl/>
        </w:rPr>
        <w:t xml:space="preserve">SFP) إنه بَعْد مشاورات غير رسمية، حُلَّت بعض القضايا المذكورة في مشروع الخطة الاستراتيجية الوارد في مشروع الملحق 1 للمراجعة المقترحة بشأن القرار 71 (المراجَع في بوخارست، 2022). وأوضح أن الأمانة العامة والمكاتب ستعملان معاً، في الفترة التي تسبق مؤتمر المندوبين المفوضين لعام 2026، من أجل زيادة تحسين نص المقاصد </w:t>
      </w:r>
      <w:r>
        <w:t>5.1</w:t>
      </w:r>
      <w:r w:rsidR="00D16AF4" w:rsidRPr="00D16AF4">
        <w:rPr>
          <w:rtl/>
        </w:rPr>
        <w:t xml:space="preserve"> و</w:t>
      </w:r>
      <w:r>
        <w:t>6.1</w:t>
      </w:r>
      <w:r w:rsidR="00D16AF4" w:rsidRPr="00D16AF4">
        <w:rPr>
          <w:rtl/>
        </w:rPr>
        <w:t xml:space="preserve"> و</w:t>
      </w:r>
      <w:r>
        <w:t>7.1</w:t>
      </w:r>
      <w:r w:rsidR="00D16AF4" w:rsidRPr="00D16AF4">
        <w:rPr>
          <w:rtl/>
        </w:rPr>
        <w:t>. وتابع أنه سيواصل تعاونه مع المجموعات الإقليمية بغية التعجيل في وتيرة المناقشات في المؤتمر.</w:t>
      </w:r>
    </w:p>
    <w:p w14:paraId="3D486511" w14:textId="30419076" w:rsidR="00D16AF4" w:rsidRPr="00D16AF4" w:rsidRDefault="00903BC0" w:rsidP="00D16AF4">
      <w:r>
        <w:rPr>
          <w:rFonts w:hint="cs"/>
          <w:rtl/>
        </w:rPr>
        <w:t>2.4</w:t>
      </w:r>
      <w:r w:rsidR="00D16AF4" w:rsidRPr="00D16AF4">
        <w:rPr>
          <w:rtl/>
        </w:rPr>
        <w:tab/>
        <w:t>ووافق أعضاء المجلس على النهج المقتَرَح. واعتبروا أن مشروع الخطة الاستراتيجية، بصيغته الحالية، يقدم أساساً راسخاً للمناقشات في مؤتمر المندوبين المفوضين لعام 2026.</w:t>
      </w:r>
    </w:p>
    <w:p w14:paraId="1D5A08DB" w14:textId="0A3E5CE5" w:rsidR="00D16AF4" w:rsidRPr="00D16AF4" w:rsidRDefault="00903BC0" w:rsidP="00D16AF4">
      <w:r>
        <w:rPr>
          <w:rFonts w:hint="cs"/>
          <w:rtl/>
        </w:rPr>
        <w:t>3.4</w:t>
      </w:r>
      <w:r w:rsidR="00D16AF4" w:rsidRPr="00D16AF4">
        <w:rPr>
          <w:rtl/>
        </w:rPr>
        <w:tab/>
        <w:t xml:space="preserve">وعملاً بالتوصيات المقدَّمة من رئيسي فريق العمل التابع للمجلس </w:t>
      </w:r>
      <w:r w:rsidR="00C43E40">
        <w:rPr>
          <w:rFonts w:hint="cs"/>
          <w:rtl/>
        </w:rPr>
        <w:t>و</w:t>
      </w:r>
      <w:r w:rsidR="00D16AF4" w:rsidRPr="00D16AF4">
        <w:rPr>
          <w:rtl/>
        </w:rPr>
        <w:t>المعني بالخطتين الاستراتيجية والمالية</w:t>
      </w:r>
      <w:r>
        <w:rPr>
          <w:rFonts w:hint="cs"/>
          <w:rtl/>
        </w:rPr>
        <w:t> </w:t>
      </w:r>
      <w:r w:rsidR="00D16AF4" w:rsidRPr="00D16AF4">
        <w:t>(CWG-SF</w:t>
      </w:r>
      <w:r w:rsidR="00991776">
        <w:t>P</w:t>
      </w:r>
      <w:r w:rsidR="00D16AF4" w:rsidRPr="00D16AF4">
        <w:t>)</w:t>
      </w:r>
      <w:r w:rsidR="00D16AF4" w:rsidRPr="00D16AF4">
        <w:rPr>
          <w:rtl/>
        </w:rPr>
        <w:t xml:space="preserve"> وفريق العمل التابع للمجلس والمعني بالموارد المالية والبشرية </w:t>
      </w:r>
      <w:r w:rsidR="00D16AF4" w:rsidRPr="00D16AF4">
        <w:t>(CWG-FHR)</w:t>
      </w:r>
      <w:r w:rsidR="00D16AF4" w:rsidRPr="00D16AF4">
        <w:rPr>
          <w:rtl/>
        </w:rPr>
        <w:t xml:space="preserve"> الواردة في الوثيقة</w:t>
      </w:r>
      <w:r>
        <w:rPr>
          <w:rFonts w:hint="cs"/>
          <w:rtl/>
        </w:rPr>
        <w:t> </w:t>
      </w:r>
      <w:r w:rsidR="00D16AF4" w:rsidRPr="00D16AF4">
        <w:rPr>
          <w:rtl/>
        </w:rPr>
        <w:t>C26/112، طلب عضوان في المجلس من الأمانة عقد جلسة إعلامية مخصصة للدول الأعضاء. واعتبرا أنه ينبغي أن تتضمن الخطة المالية المبالغ النقدية المدرجة في الميزانية لنفقات كل مكتب والأمانة العامة، فضلاً عن شرح مفصل لعملية الميزانية، حسبما أوصى به رئيسا فريقي العمل واللجنة الاستشارية المستقلة للإدارة.</w:t>
      </w:r>
    </w:p>
    <w:p w14:paraId="22127E92" w14:textId="5E8E96A6" w:rsidR="00D16AF4" w:rsidRPr="00D16AF4" w:rsidRDefault="00903BC0" w:rsidP="00D16AF4">
      <w:r>
        <w:rPr>
          <w:rFonts w:hint="cs"/>
          <w:rtl/>
        </w:rPr>
        <w:t>4.4</w:t>
      </w:r>
      <w:r w:rsidR="00D16AF4" w:rsidRPr="00D16AF4">
        <w:rPr>
          <w:rtl/>
        </w:rPr>
        <w:tab/>
        <w:t>وشدد أحد أعضاء المجلس على أهمية استعمال مؤشرات محدَّدة وقابلة للقياس وذات صلة وضمان التنسيق بين الخطط الاستراتيجية والمالية والتشغيلية. وشدد عضو آخر في المجلس على أهمية التخطيط الاستراتيجي والمالي، حسبما يتضح من مستوى الالتزام بالمناقشات المتعلقة بهذا البند.</w:t>
      </w:r>
    </w:p>
    <w:p w14:paraId="3A8E65AE" w14:textId="091137D7" w:rsidR="00D16AF4" w:rsidRPr="00D16AF4" w:rsidRDefault="00903BC0" w:rsidP="00D16AF4">
      <w:r>
        <w:t>5.4</w:t>
      </w:r>
      <w:r w:rsidR="00D16AF4" w:rsidRPr="00D16AF4">
        <w:rPr>
          <w:rtl/>
        </w:rPr>
        <w:tab/>
        <w:t>وقال أعضاء المجلس إنهم يتطلعون إلى المشاركة في مزيد من المناقشات حول مشروع الخطة الاستراتيجية في مؤتمر المندوبين المفوضين لعام 2026.</w:t>
      </w:r>
    </w:p>
    <w:p w14:paraId="03DF985C" w14:textId="157E697A" w:rsidR="00D16AF4" w:rsidRPr="00D16AF4" w:rsidRDefault="00903BC0" w:rsidP="00D16AF4">
      <w:r>
        <w:t>6.4</w:t>
      </w:r>
      <w:r w:rsidR="00D16AF4" w:rsidRPr="00D16AF4">
        <w:rPr>
          <w:rtl/>
        </w:rPr>
        <w:tab/>
        <w:t xml:space="preserve">ورد رئيس فريق العمل التابع للمجلس </w:t>
      </w:r>
      <w:r w:rsidR="00C43E40">
        <w:rPr>
          <w:rFonts w:hint="cs"/>
          <w:rtl/>
        </w:rPr>
        <w:t>و</w:t>
      </w:r>
      <w:r w:rsidR="00D16AF4" w:rsidRPr="00D16AF4">
        <w:rPr>
          <w:rtl/>
        </w:rPr>
        <w:t xml:space="preserve">المعني بالخطتين الاستراتيجية والمالية على تعليقات أعضاء المجلس، فقال إن التذييل </w:t>
      </w:r>
      <w:r w:rsidR="00D16AF4" w:rsidRPr="00D16AF4">
        <w:t>B</w:t>
      </w:r>
      <w:r w:rsidR="00D16AF4" w:rsidRPr="00D16AF4">
        <w:rPr>
          <w:rtl/>
        </w:rPr>
        <w:t xml:space="preserve"> </w:t>
      </w:r>
      <w:r w:rsidR="00991776">
        <w:rPr>
          <w:rFonts w:hint="cs"/>
          <w:rtl/>
          <w:lang w:bidi="ar-EG"/>
        </w:rPr>
        <w:t>ب</w:t>
      </w:r>
      <w:r w:rsidR="00D16AF4" w:rsidRPr="00D16AF4">
        <w:rPr>
          <w:rtl/>
        </w:rPr>
        <w:t xml:space="preserve">مشروع الملحق 1، الذي يحتوي على جدول بشأن تخصيص الموارد، سيُحدَّث بمجرد الموافقة على مشروع الخطة المالية للفترة </w:t>
      </w:r>
      <w:r>
        <w:t>2031-2028</w:t>
      </w:r>
      <w:r w:rsidR="00D16AF4" w:rsidRPr="00D16AF4">
        <w:rPr>
          <w:rtl/>
        </w:rPr>
        <w:t>. واسترسل أن الأمانة ستضع الصيغة النهائية للجدول بالتعاون الوثيق مع الدول الأعضاء في جلسة تشاورية.</w:t>
      </w:r>
    </w:p>
    <w:p w14:paraId="33E4B439" w14:textId="29143859" w:rsidR="00D16AF4" w:rsidRPr="00D16AF4" w:rsidRDefault="00903BC0" w:rsidP="00D16AF4">
      <w:r>
        <w:t>7.4</w:t>
      </w:r>
      <w:r w:rsidR="00D16AF4" w:rsidRPr="00D16AF4">
        <w:rPr>
          <w:rtl/>
        </w:rPr>
        <w:tab/>
        <w:t>و</w:t>
      </w:r>
      <w:r w:rsidR="00D16AF4" w:rsidRPr="00D16AF4">
        <w:rPr>
          <w:b/>
          <w:bCs/>
          <w:rtl/>
        </w:rPr>
        <w:t>أحاط</w:t>
      </w:r>
      <w:r w:rsidR="00D16AF4" w:rsidRPr="00D16AF4">
        <w:rPr>
          <w:rtl/>
        </w:rPr>
        <w:t xml:space="preserve"> المجلس </w:t>
      </w:r>
      <w:r w:rsidR="00D16AF4" w:rsidRPr="00D16AF4">
        <w:rPr>
          <w:b/>
          <w:bCs/>
          <w:rtl/>
        </w:rPr>
        <w:t>علماً</w:t>
      </w:r>
      <w:r w:rsidR="00D16AF4" w:rsidRPr="00D16AF4">
        <w:rPr>
          <w:rtl/>
        </w:rPr>
        <w:t xml:space="preserve"> بالوثيقة C26/31 وإضافاتها؛ و</w:t>
      </w:r>
      <w:r w:rsidR="00D16AF4" w:rsidRPr="00D16AF4">
        <w:rPr>
          <w:b/>
          <w:bCs/>
          <w:rtl/>
        </w:rPr>
        <w:t>أيّد</w:t>
      </w:r>
      <w:r w:rsidR="00D16AF4" w:rsidRPr="00D16AF4">
        <w:rPr>
          <w:rtl/>
        </w:rPr>
        <w:t xml:space="preserve"> مشروع الملحق 1 الذي يحتوي على مشروع الخطة الاستراتيجية للفترة </w:t>
      </w:r>
      <w:r>
        <w:t>2031-2028</w:t>
      </w:r>
      <w:r w:rsidR="00D16AF4" w:rsidRPr="00D16AF4">
        <w:rPr>
          <w:rtl/>
        </w:rPr>
        <w:t>، وكذلك مشروعي الملحقين 2 و3، من أجل إحالتها إلى مؤتمر المندوبين المفوضين، إلى جانب المراجعة المقتَرحة للقرار 71 (المراجَع في بوخارست، 2022)؛ و</w:t>
      </w:r>
      <w:r w:rsidR="00D16AF4" w:rsidRPr="00D16AF4">
        <w:rPr>
          <w:b/>
          <w:bCs/>
          <w:rtl/>
        </w:rPr>
        <w:t xml:space="preserve">كلًّف </w:t>
      </w:r>
      <w:r w:rsidR="00D16AF4" w:rsidRPr="00D16AF4">
        <w:rPr>
          <w:rtl/>
        </w:rPr>
        <w:t xml:space="preserve">الأمينة العامة بتنظيم جلسة إعلامية بشأن مشروع الخطة المالية للفترة </w:t>
      </w:r>
      <w:r>
        <w:t>2031-2028</w:t>
      </w:r>
      <w:r>
        <w:rPr>
          <w:rFonts w:hint="cs"/>
          <w:rtl/>
        </w:rPr>
        <w:t xml:space="preserve"> </w:t>
      </w:r>
      <w:r w:rsidR="00D16AF4" w:rsidRPr="00D16AF4">
        <w:rPr>
          <w:rtl/>
        </w:rPr>
        <w:t>قبل انعقاد مؤتمر المندوبين المفوضين لعام 2026.</w:t>
      </w:r>
    </w:p>
    <w:p w14:paraId="004A4F0C" w14:textId="77777777" w:rsidR="00E97DB3" w:rsidRPr="00E97DB3" w:rsidRDefault="00E97DB3" w:rsidP="00E97DB3">
      <w:pPr>
        <w:pStyle w:val="Heading1"/>
        <w:rPr>
          <w:lang w:val="en-GB"/>
        </w:rPr>
      </w:pPr>
      <w:r w:rsidRPr="00E97DB3">
        <w:rPr>
          <w:lang w:val="en-GB"/>
        </w:rPr>
        <w:t>5</w:t>
      </w:r>
      <w:r w:rsidRPr="00E97DB3">
        <w:rPr>
          <w:lang w:val="en-GB"/>
        </w:rPr>
        <w:tab/>
      </w:r>
      <w:r w:rsidRPr="00E97DB3">
        <w:rPr>
          <w:rtl/>
        </w:rPr>
        <w:t>بيان المدير العام لمنظمة الأمم المتحدة للتربية والعلم والثقافة (اليونسكو)</w:t>
      </w:r>
    </w:p>
    <w:p w14:paraId="0314AA73" w14:textId="4F880F6F" w:rsidR="00D16AF4" w:rsidRPr="00D16AF4" w:rsidRDefault="00903BC0" w:rsidP="00D16AF4">
      <w:r>
        <w:t>1.5</w:t>
      </w:r>
      <w:r w:rsidR="00D16AF4" w:rsidRPr="00D16AF4">
        <w:rPr>
          <w:rtl/>
        </w:rPr>
        <w:tab/>
        <w:t>أدلى المدير العام لمنظمة الأمم المتحدة للتربية والعلم والثقافة (اليونسكو)، السيد خالد العناني، بالبيان المُتاح في الموقع التالي</w:t>
      </w:r>
      <w:r w:rsidR="00D16AF4" w:rsidRPr="00D16AF4">
        <w:t>:</w:t>
      </w:r>
      <w:r w:rsidR="00D16AF4" w:rsidRPr="00D16AF4">
        <w:rPr>
          <w:rtl/>
        </w:rPr>
        <w:t xml:space="preserve"> </w:t>
      </w:r>
      <w:hyperlink r:id="rId28" w:history="1">
        <w:r w:rsidR="00991776" w:rsidRPr="00EC78B2">
          <w:rPr>
            <w:rStyle w:val="Hyperlink"/>
            <w:rFonts w:eastAsia="Times New Roman" w:cs="Calibri"/>
            <w:szCs w:val="20"/>
          </w:rPr>
          <w:t>council.itu.int/2026/wp-content/uploads/sites/6/2026/06/26.05.07-UNESCO-DG-speech-PL7.pdf</w:t>
        </w:r>
      </w:hyperlink>
      <w:r w:rsidR="00991776">
        <w:rPr>
          <w:rFonts w:cs="Calibri" w:hint="cs"/>
          <w:rtl/>
          <w:lang w:val="en-GB" w:bidi="ar-EG"/>
        </w:rPr>
        <w:t>.</w:t>
      </w:r>
      <w:hyperlink r:id="rId29" w:history="1"/>
    </w:p>
    <w:p w14:paraId="4ADBA244" w14:textId="3F510E91" w:rsidR="00D16AF4" w:rsidRPr="00D16AF4" w:rsidRDefault="00903BC0" w:rsidP="00D16AF4">
      <w:r>
        <w:t>2.5</w:t>
      </w:r>
      <w:r w:rsidR="00D16AF4" w:rsidRPr="00D16AF4">
        <w:rPr>
          <w:rtl/>
        </w:rPr>
        <w:tab/>
        <w:t xml:space="preserve">وأعرب أعضاء المجلس عن دعمهم القوي لاستمرار التعاون بين اليونسكو والاتحاد الدولي للاتصالات، نظراً لولايتيهما </w:t>
      </w:r>
      <w:r w:rsidR="00C43E40">
        <w:rPr>
          <w:rFonts w:hint="cs"/>
          <w:rtl/>
        </w:rPr>
        <w:t>ال</w:t>
      </w:r>
      <w:r w:rsidR="00D16AF4" w:rsidRPr="00D16AF4">
        <w:rPr>
          <w:rtl/>
        </w:rPr>
        <w:t xml:space="preserve">متكاملتين إلى حد كبير في مختلف المجالات. وقالوا إن قيادة اليونسكو في مجال بناء القدرات والتنمية الأخلاقية فيما يتعلق بالذكاء الاصطناعي </w:t>
      </w:r>
      <w:r w:rsidR="00D16AF4" w:rsidRPr="00D16AF4">
        <w:t>(AI)</w:t>
      </w:r>
      <w:r w:rsidR="00D16AF4" w:rsidRPr="00D16AF4">
        <w:rPr>
          <w:rtl/>
        </w:rPr>
        <w:t xml:space="preserve">، ومشاركتها في عملية استعراض القمة العالمية لمجتمع المعلومات </w:t>
      </w:r>
      <w:r w:rsidR="00C43E40">
        <w:rPr>
          <w:rFonts w:hint="cs"/>
          <w:rtl/>
        </w:rPr>
        <w:t>بعد مرور</w:t>
      </w:r>
      <w:r w:rsidR="00D16AF4" w:rsidRPr="00D16AF4">
        <w:rPr>
          <w:rtl/>
        </w:rPr>
        <w:t xml:space="preserve"> 20 عاماً</w:t>
      </w:r>
      <w:r w:rsidR="00C43E40">
        <w:rPr>
          <w:rFonts w:hint="cs"/>
          <w:rtl/>
        </w:rPr>
        <w:t xml:space="preserve"> على انعقادها</w:t>
      </w:r>
      <w:r w:rsidR="00D16AF4" w:rsidRPr="00D16AF4">
        <w:rPr>
          <w:rtl/>
        </w:rPr>
        <w:t>، تحظى بتقدير كبير.</w:t>
      </w:r>
    </w:p>
    <w:p w14:paraId="7A48BDCC" w14:textId="77777777" w:rsidR="00E97DB3" w:rsidRPr="00E97DB3" w:rsidRDefault="00E97DB3" w:rsidP="00E97DB3">
      <w:pPr>
        <w:pStyle w:val="Heading1"/>
        <w:rPr>
          <w:lang w:val="en-GB"/>
        </w:rPr>
      </w:pPr>
      <w:r w:rsidRPr="00E97DB3">
        <w:rPr>
          <w:lang w:val="en-GB"/>
        </w:rPr>
        <w:lastRenderedPageBreak/>
        <w:t>6</w:t>
      </w:r>
      <w:r w:rsidRPr="00E97DB3">
        <w:rPr>
          <w:lang w:val="en-GB"/>
        </w:rPr>
        <w:tab/>
      </w:r>
      <w:r w:rsidRPr="00E97DB3">
        <w:rPr>
          <w:rtl/>
        </w:rPr>
        <w:t>مشروع الخطة التشغيلية الرباعية المتجددة للاتحاد للفترة 2027-2030 (</w:t>
      </w:r>
      <w:r w:rsidRPr="00E97DB3">
        <w:rPr>
          <w:rFonts w:hint="cs"/>
          <w:rtl/>
        </w:rPr>
        <w:t> </w:t>
      </w:r>
      <w:r w:rsidRPr="00E97DB3">
        <w:rPr>
          <w:i/>
          <w:iCs/>
          <w:rtl/>
        </w:rPr>
        <w:t>تابع</w:t>
      </w:r>
      <w:r w:rsidRPr="00E97DB3">
        <w:rPr>
          <w:rtl/>
        </w:rPr>
        <w:t>)</w:t>
      </w:r>
      <w:r w:rsidRPr="00E97DB3">
        <w:rPr>
          <w:rFonts w:hint="cs"/>
          <w:rtl/>
        </w:rPr>
        <w:t xml:space="preserve"> (الوثيقة </w:t>
      </w:r>
      <w:hyperlink r:id="rId30" w:history="1">
        <w:r w:rsidRPr="00E97DB3">
          <w:rPr>
            <w:rStyle w:val="Hyperlink"/>
            <w:noProof w:val="0"/>
            <w:lang w:eastAsia="zh-CN"/>
          </w:rPr>
          <w:t>C26/28(Rev.1)</w:t>
        </w:r>
      </w:hyperlink>
      <w:r w:rsidRPr="00E97DB3">
        <w:rPr>
          <w:rFonts w:hint="cs"/>
          <w:rtl/>
        </w:rPr>
        <w:t>)</w:t>
      </w:r>
    </w:p>
    <w:p w14:paraId="2BAC12C8" w14:textId="0417C15F" w:rsidR="00D16AF4" w:rsidRPr="00D16AF4" w:rsidRDefault="00991776" w:rsidP="00903BC0">
      <w:r>
        <w:t>1.6</w:t>
      </w:r>
      <w:r w:rsidR="00D16AF4" w:rsidRPr="00D16AF4">
        <w:rPr>
          <w:rtl/>
        </w:rPr>
        <w:tab/>
        <w:t xml:space="preserve">قدم رئيس دائرة إدارة الموارد المالية الوثيقة C26/28(Rev.1) التي تم تعديلها في ضوء المناقشات الدائرة في وقت سابق من الجلسة. وقال إنه في حين لم يوافق الاتحاد بَعْد على الخطتين الاستراتيجية والمالية للفترة </w:t>
      </w:r>
      <w:r w:rsidR="00903BC0" w:rsidRPr="00903BC0">
        <w:t>2031-2028</w:t>
      </w:r>
      <w:r w:rsidR="00D16AF4" w:rsidRPr="00D16AF4">
        <w:rPr>
          <w:rtl/>
        </w:rPr>
        <w:t xml:space="preserve">، والتي ستوضع بموجبهما الخطط التشغيلية للفترة </w:t>
      </w:r>
      <w:r w:rsidR="00903BC0">
        <w:t>2030</w:t>
      </w:r>
      <w:r w:rsidR="00903BC0" w:rsidRPr="00903BC0">
        <w:t>-2028</w:t>
      </w:r>
      <w:r w:rsidR="00D16AF4" w:rsidRPr="00D16AF4">
        <w:rPr>
          <w:rtl/>
        </w:rPr>
        <w:t>، يركز التقرير الآن على مشروع الخطة التشغيلية لعام</w:t>
      </w:r>
      <w:r w:rsidR="00903BC0">
        <w:rPr>
          <w:rFonts w:hint="cs"/>
          <w:rtl/>
        </w:rPr>
        <w:t> </w:t>
      </w:r>
      <w:r w:rsidR="00D16AF4" w:rsidRPr="00D16AF4">
        <w:rPr>
          <w:rtl/>
        </w:rPr>
        <w:t xml:space="preserve">2027 ويقدم معلومات عن الأولويات المواضيعية الخمس والمخرجات البالغ عددها 43 المحددة في الخطة الاستراتيجية للفترة </w:t>
      </w:r>
      <w:r w:rsidR="00903BC0">
        <w:t>2027-2024</w:t>
      </w:r>
      <w:r w:rsidR="00D16AF4" w:rsidRPr="00D16AF4">
        <w:rPr>
          <w:rtl/>
        </w:rPr>
        <w:t>. وتابع أن ملحق الوثيقة يتضمن مشروع قرار بشأن الخطة التشغيلية للاتحاد لعام</w:t>
      </w:r>
      <w:r w:rsidR="00903BC0">
        <w:rPr>
          <w:rFonts w:hint="cs"/>
          <w:rtl/>
        </w:rPr>
        <w:t> </w:t>
      </w:r>
      <w:r w:rsidR="00D16AF4" w:rsidRPr="00D16AF4">
        <w:rPr>
          <w:rtl/>
        </w:rPr>
        <w:t>2027.</w:t>
      </w:r>
    </w:p>
    <w:p w14:paraId="0359499E" w14:textId="575BDF1B" w:rsidR="00D16AF4" w:rsidRPr="00D16AF4" w:rsidRDefault="00991776" w:rsidP="00D16AF4">
      <w:r>
        <w:t>2.6</w:t>
      </w:r>
      <w:r w:rsidR="00D16AF4" w:rsidRPr="00D16AF4">
        <w:rPr>
          <w:rtl/>
        </w:rPr>
        <w:tab/>
        <w:t>ورحب أعضاء المجلس بمواءمة مشروع الخطة التشغيلية لعام 2027 مع الخطتين الاستراتيجية والمالية للفترة 2027-2024. وأضافوا أنه من المرحَّب الحصول على مزيد من المعلومات عن كيفية ترجمة توزيع الموارد إلى تأثير إنمائي قابل للقياس على الدول الأعضاء. ورأوا أنه ينبغي الحفاظ على توازن مناسب بين الدعم الإداري وتنفيذ البرامج، ولا سيما في قطاع تنمية الاتصالات، ويجب أن تبقى تعبئة الموارد من خارج الميزانية متماشية مع أولويات الدول الأعضاء ومنصفة في جميع المناطق. وتابعوا أنه ينبغي مواصلة تعزيز المساءلة والإشراف على التنفيذ. ولاحظ عضوان في المجلس أن المشروع الحالي للخطة التشغيلية لا يشبه الصيغ التي ناقشتها الأفرقة الاستشارية للقطاعات الثلاثة. وختما بالقول إن</w:t>
      </w:r>
      <w:r w:rsidR="00C43E40">
        <w:rPr>
          <w:rFonts w:hint="cs"/>
          <w:rtl/>
        </w:rPr>
        <w:t>ه</w:t>
      </w:r>
      <w:r w:rsidR="00D16AF4" w:rsidRPr="00D16AF4">
        <w:rPr>
          <w:rtl/>
        </w:rPr>
        <w:t xml:space="preserve"> ينبغي لفريق العمل </w:t>
      </w:r>
      <w:r w:rsidR="00C43E40">
        <w:rPr>
          <w:rFonts w:hint="cs"/>
          <w:rtl/>
        </w:rPr>
        <w:t>التابع للمجلس و</w:t>
      </w:r>
      <w:r w:rsidR="00D16AF4" w:rsidRPr="00D16AF4">
        <w:rPr>
          <w:rtl/>
        </w:rPr>
        <w:t>المعني بالموارد المالية والبشرية أن ينظر في كيفية تحسين عمليات إعداد الوثيقة.</w:t>
      </w:r>
    </w:p>
    <w:p w14:paraId="1369E667" w14:textId="4B82EB20" w:rsidR="00D16AF4" w:rsidRPr="00D16AF4" w:rsidRDefault="00991776" w:rsidP="00D16AF4">
      <w:r>
        <w:t>3.6</w:t>
      </w:r>
      <w:r w:rsidR="00D16AF4" w:rsidRPr="00D16AF4">
        <w:rPr>
          <w:rtl/>
        </w:rPr>
        <w:tab/>
        <w:t>و</w:t>
      </w:r>
      <w:r w:rsidR="00D16AF4" w:rsidRPr="00D16AF4">
        <w:rPr>
          <w:b/>
          <w:bCs/>
          <w:rtl/>
        </w:rPr>
        <w:t>وافق</w:t>
      </w:r>
      <w:r w:rsidR="00D16AF4" w:rsidRPr="00D16AF4">
        <w:rPr>
          <w:rtl/>
        </w:rPr>
        <w:t xml:space="preserve"> المجلس على الوثيقة C26/28(Rev.1) و</w:t>
      </w:r>
      <w:r w:rsidR="00D16AF4" w:rsidRPr="00D16AF4">
        <w:rPr>
          <w:b/>
          <w:bCs/>
          <w:rtl/>
        </w:rPr>
        <w:t>اعتمد</w:t>
      </w:r>
      <w:r w:rsidR="00D16AF4" w:rsidRPr="00D16AF4">
        <w:rPr>
          <w:rtl/>
        </w:rPr>
        <w:t xml:space="preserve"> مشروع القرار الوارد في ملحقها.</w:t>
      </w:r>
    </w:p>
    <w:p w14:paraId="2A863CAE" w14:textId="77777777" w:rsidR="00E97DB3" w:rsidRPr="001D085F" w:rsidRDefault="00E97DB3" w:rsidP="00E97DB3">
      <w:pPr>
        <w:pStyle w:val="Heading1"/>
        <w:rPr>
          <w:lang w:val="en-GB"/>
        </w:rPr>
      </w:pPr>
      <w:r w:rsidRPr="001D085F">
        <w:rPr>
          <w:lang w:val="en-GB"/>
        </w:rPr>
        <w:t>7</w:t>
      </w:r>
      <w:r w:rsidRPr="001D085F">
        <w:rPr>
          <w:lang w:val="en-GB"/>
        </w:rPr>
        <w:tab/>
      </w:r>
      <w:r w:rsidRPr="004A2FB3">
        <w:rPr>
          <w:rtl/>
        </w:rPr>
        <w:t>بيان أدلى به أحد أعضاء المجلس</w:t>
      </w:r>
    </w:p>
    <w:p w14:paraId="28BD4EFC" w14:textId="374A1DC0" w:rsidR="00D16AF4" w:rsidRPr="00D16AF4" w:rsidRDefault="00991776" w:rsidP="00D16AF4">
      <w:r>
        <w:t>1.7</w:t>
      </w:r>
      <w:r w:rsidR="00D16AF4" w:rsidRPr="00D16AF4">
        <w:rPr>
          <w:rtl/>
        </w:rPr>
        <w:tab/>
        <w:t>أعلن عضو المجلس من أوغندا أن بلده سيترشح لإعادة انتخابه لعضوية المجلس في مؤتمر المندوبين المفوضين لعام 2026.</w:t>
      </w:r>
    </w:p>
    <w:p w14:paraId="3F5A72F8" w14:textId="46973014" w:rsidR="001D085F" w:rsidRPr="001D085F" w:rsidRDefault="001D085F" w:rsidP="001D085F">
      <w:pPr>
        <w:tabs>
          <w:tab w:val="clear" w:pos="794"/>
          <w:tab w:val="left" w:pos="4818"/>
        </w:tabs>
        <w:spacing w:before="600"/>
        <w:rPr>
          <w:lang w:val="ar-SA" w:bidi="ar-EG"/>
        </w:rPr>
      </w:pPr>
      <w:r w:rsidRPr="001D085F">
        <w:rPr>
          <w:rFonts w:hint="eastAsia"/>
          <w:rtl/>
        </w:rPr>
        <w:t>الأمينة</w:t>
      </w:r>
      <w:r w:rsidRPr="001D085F">
        <w:rPr>
          <w:rtl/>
        </w:rPr>
        <w:t xml:space="preserve"> </w:t>
      </w:r>
      <w:r w:rsidRPr="001D085F">
        <w:rPr>
          <w:rFonts w:hint="eastAsia"/>
          <w:rtl/>
        </w:rPr>
        <w:t>العامة</w:t>
      </w:r>
      <w:r w:rsidRPr="001D085F">
        <w:rPr>
          <w:rtl/>
        </w:rPr>
        <w:t>:</w:t>
      </w:r>
      <w:r w:rsidRPr="001D085F">
        <w:rPr>
          <w:rtl/>
        </w:rPr>
        <w:tab/>
      </w:r>
      <w:r w:rsidRPr="001D085F">
        <w:rPr>
          <w:rFonts w:hint="eastAsia"/>
          <w:rtl/>
        </w:rPr>
        <w:t>الرئيس</w:t>
      </w:r>
      <w:r w:rsidRPr="001D085F">
        <w:rPr>
          <w:rtl/>
        </w:rPr>
        <w:t>:</w:t>
      </w:r>
      <w:r>
        <w:br/>
      </w:r>
      <w:r w:rsidR="00ED54A9">
        <w:rPr>
          <w:rFonts w:hint="cs"/>
          <w:rtl/>
        </w:rPr>
        <w:t>د.</w:t>
      </w:r>
      <w:r w:rsidRPr="001D085F">
        <w:rPr>
          <w:rtl/>
        </w:rPr>
        <w:t xml:space="preserve"> </w:t>
      </w:r>
      <w:r w:rsidRPr="001D085F">
        <w:rPr>
          <w:rFonts w:hint="eastAsia"/>
          <w:rtl/>
        </w:rPr>
        <w:t>بوغدان</w:t>
      </w:r>
      <w:r w:rsidR="00ED54A9">
        <w:rPr>
          <w:rFonts w:hint="cs"/>
          <w:rtl/>
        </w:rPr>
        <w:t>-</w:t>
      </w:r>
      <w:r w:rsidRPr="001D085F">
        <w:rPr>
          <w:rFonts w:hint="eastAsia"/>
          <w:rtl/>
        </w:rPr>
        <w:t>مارتن</w:t>
      </w:r>
      <w:r w:rsidRPr="001D085F">
        <w:rPr>
          <w:rtl/>
        </w:rPr>
        <w:tab/>
      </w:r>
      <w:r w:rsidRPr="001D085F">
        <w:rPr>
          <w:rFonts w:hint="eastAsia"/>
          <w:rtl/>
        </w:rPr>
        <w:t>ب</w:t>
      </w:r>
      <w:r w:rsidRPr="001D085F">
        <w:rPr>
          <w:rtl/>
        </w:rPr>
        <w:t xml:space="preserve">. </w:t>
      </w:r>
      <w:r w:rsidRPr="001D085F">
        <w:rPr>
          <w:rFonts w:hint="eastAsia"/>
          <w:rtl/>
        </w:rPr>
        <w:t>تيجاني</w:t>
      </w:r>
    </w:p>
    <w:sectPr w:rsidR="001D085F" w:rsidRPr="001D085F" w:rsidSect="006F363C">
      <w:footerReference w:type="default" r:id="rId31"/>
      <w:headerReference w:type="first" r:id="rId32"/>
      <w:footerReference w:type="first" r:id="rId33"/>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C6353" w14:textId="77777777" w:rsidR="00831C1C" w:rsidRDefault="00831C1C" w:rsidP="006C3242">
      <w:pPr>
        <w:spacing w:before="0" w:line="240" w:lineRule="auto"/>
      </w:pPr>
      <w:r>
        <w:separator/>
      </w:r>
    </w:p>
  </w:endnote>
  <w:endnote w:type="continuationSeparator" w:id="0">
    <w:p w14:paraId="28E6C2B5" w14:textId="77777777" w:rsidR="00831C1C" w:rsidRDefault="00831C1C"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16D3A1A5" w14:textId="77777777" w:rsidTr="00A67F05">
      <w:trPr>
        <w:jc w:val="center"/>
      </w:trPr>
      <w:tc>
        <w:tcPr>
          <w:tcW w:w="868" w:type="pct"/>
          <w:vAlign w:val="center"/>
        </w:tcPr>
        <w:p w14:paraId="6D48AE56" w14:textId="6F2C1A74" w:rsidR="00F50E3F" w:rsidRPr="001D085F" w:rsidRDefault="002100CF" w:rsidP="00016B09">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2100CF">
            <w:rPr>
              <w:rFonts w:ascii="Calibri" w:hAnsi="Calibri" w:cs="Arial"/>
              <w:sz w:val="18"/>
              <w:szCs w:val="14"/>
              <w:lang w:val="en-US"/>
            </w:rPr>
            <w:t>2601344</w:t>
          </w:r>
        </w:p>
      </w:tc>
      <w:tc>
        <w:tcPr>
          <w:tcW w:w="3912" w:type="pct"/>
        </w:tcPr>
        <w:p w14:paraId="1854FB07" w14:textId="30DF3173" w:rsidR="00F50E3F" w:rsidRPr="007B0AA0" w:rsidRDefault="00F50E3F" w:rsidP="00016B0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proofErr w:type="spellStart"/>
          <w:r w:rsidRPr="007B0AA0">
            <w:rPr>
              <w:rFonts w:ascii="Calibri" w:hAnsi="Calibri" w:cs="Arial"/>
              <w:bCs/>
              <w:color w:val="7F7F7F"/>
              <w:sz w:val="18"/>
            </w:rPr>
            <w:t>C2</w:t>
          </w:r>
          <w:r w:rsidR="000116AF">
            <w:rPr>
              <w:rFonts w:ascii="Calibri" w:hAnsi="Calibri" w:cs="Arial"/>
              <w:bCs/>
              <w:color w:val="7F7F7F"/>
              <w:sz w:val="18"/>
            </w:rPr>
            <w:t>6</w:t>
          </w:r>
          <w:proofErr w:type="spellEnd"/>
          <w:r w:rsidRPr="007B0AA0">
            <w:rPr>
              <w:rFonts w:ascii="Calibri" w:hAnsi="Calibri" w:cs="Arial"/>
              <w:bCs/>
              <w:color w:val="7F7F7F"/>
              <w:sz w:val="18"/>
            </w:rPr>
            <w:t>/</w:t>
          </w:r>
          <w:r w:rsidR="002100CF">
            <w:rPr>
              <w:rFonts w:ascii="Calibri" w:hAnsi="Calibri" w:cs="Arial"/>
              <w:bCs/>
              <w:color w:val="7F7F7F"/>
              <w:sz w:val="18"/>
            </w:rPr>
            <w:t>124</w:t>
          </w:r>
          <w:r w:rsidRPr="007B0AA0">
            <w:rPr>
              <w:rFonts w:ascii="Calibri" w:hAnsi="Calibri" w:cs="Arial"/>
              <w:bCs/>
              <w:color w:val="7F7F7F"/>
              <w:sz w:val="18"/>
            </w:rPr>
            <w:t>-</w:t>
          </w:r>
          <w:r>
            <w:rPr>
              <w:rFonts w:ascii="Calibri" w:hAnsi="Calibri" w:cs="Arial"/>
              <w:bCs/>
              <w:color w:val="7F7F7F"/>
              <w:sz w:val="18"/>
            </w:rPr>
            <w:t>A</w:t>
          </w:r>
        </w:p>
      </w:tc>
      <w:tc>
        <w:tcPr>
          <w:tcW w:w="220" w:type="pct"/>
        </w:tcPr>
        <w:p w14:paraId="0F2EF0AC" w14:textId="77777777" w:rsidR="00F50E3F" w:rsidRPr="007B0AA0" w:rsidRDefault="00F50E3F" w:rsidP="00016B0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4FED0265"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30CE9494" w14:textId="77777777" w:rsidTr="00A67F05">
      <w:trPr>
        <w:jc w:val="center"/>
      </w:trPr>
      <w:tc>
        <w:tcPr>
          <w:tcW w:w="1013" w:type="pct"/>
          <w:vAlign w:val="center"/>
        </w:tcPr>
        <w:p w14:paraId="06FDF323" w14:textId="77777777" w:rsidR="007B0AA0" w:rsidRPr="000116AF" w:rsidRDefault="000116AF" w:rsidP="00016B09">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57653020" w14:textId="194E90CE" w:rsidR="007B0AA0" w:rsidRPr="007B0AA0" w:rsidRDefault="007B0AA0" w:rsidP="00016B0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2100CF">
            <w:rPr>
              <w:rFonts w:ascii="Calibri" w:hAnsi="Calibri" w:cs="Arial"/>
              <w:bCs/>
              <w:color w:val="7F7F7F"/>
              <w:sz w:val="18"/>
            </w:rPr>
            <w:t>124</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FF40E1F" w14:textId="77777777" w:rsidR="007B0AA0" w:rsidRPr="007B0AA0" w:rsidRDefault="00F50E3F" w:rsidP="00016B09">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026B907"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7F082" w14:textId="77777777" w:rsidR="00831C1C" w:rsidRDefault="00831C1C" w:rsidP="006C3242">
      <w:pPr>
        <w:spacing w:before="0" w:line="240" w:lineRule="auto"/>
      </w:pPr>
      <w:r>
        <w:separator/>
      </w:r>
    </w:p>
  </w:footnote>
  <w:footnote w:type="continuationSeparator" w:id="0">
    <w:p w14:paraId="5A943DCB" w14:textId="77777777" w:rsidR="00831C1C" w:rsidRDefault="00831C1C"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F6E6" w14:textId="77777777" w:rsidR="001A3E13" w:rsidRPr="00057769" w:rsidRDefault="001A3E13" w:rsidP="001A3E13">
    <w:pPr>
      <w:pStyle w:val="Header"/>
    </w:pPr>
    <w:r>
      <w:rPr>
        <w:noProof/>
      </w:rPr>
      <w:drawing>
        <wp:inline distT="0" distB="0" distL="0" distR="0" wp14:anchorId="08D3A9BB" wp14:editId="3B2328E6">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5F"/>
    <w:rsid w:val="000116AF"/>
    <w:rsid w:val="00016B09"/>
    <w:rsid w:val="00040198"/>
    <w:rsid w:val="0006468A"/>
    <w:rsid w:val="00077A58"/>
    <w:rsid w:val="00090574"/>
    <w:rsid w:val="000C1C0E"/>
    <w:rsid w:val="000C548A"/>
    <w:rsid w:val="00191059"/>
    <w:rsid w:val="001A3E13"/>
    <w:rsid w:val="001B6E2B"/>
    <w:rsid w:val="001C0169"/>
    <w:rsid w:val="001C0C21"/>
    <w:rsid w:val="001D085F"/>
    <w:rsid w:val="001D1D50"/>
    <w:rsid w:val="001D64C7"/>
    <w:rsid w:val="001D6745"/>
    <w:rsid w:val="001E446E"/>
    <w:rsid w:val="002100CF"/>
    <w:rsid w:val="002154EE"/>
    <w:rsid w:val="002276D2"/>
    <w:rsid w:val="0023283D"/>
    <w:rsid w:val="00234FBD"/>
    <w:rsid w:val="00254393"/>
    <w:rsid w:val="002634EE"/>
    <w:rsid w:val="0026373E"/>
    <w:rsid w:val="00271C43"/>
    <w:rsid w:val="00290728"/>
    <w:rsid w:val="002978F4"/>
    <w:rsid w:val="002B028D"/>
    <w:rsid w:val="002C3F32"/>
    <w:rsid w:val="002E6541"/>
    <w:rsid w:val="00317A1A"/>
    <w:rsid w:val="00334924"/>
    <w:rsid w:val="003409BC"/>
    <w:rsid w:val="00357185"/>
    <w:rsid w:val="00383829"/>
    <w:rsid w:val="00387B87"/>
    <w:rsid w:val="003B276A"/>
    <w:rsid w:val="003F4B29"/>
    <w:rsid w:val="00410B26"/>
    <w:rsid w:val="00414AF9"/>
    <w:rsid w:val="004151AB"/>
    <w:rsid w:val="00420F8A"/>
    <w:rsid w:val="0042686F"/>
    <w:rsid w:val="004317D8"/>
    <w:rsid w:val="0043260A"/>
    <w:rsid w:val="00434183"/>
    <w:rsid w:val="00443869"/>
    <w:rsid w:val="00447F32"/>
    <w:rsid w:val="00491BA9"/>
    <w:rsid w:val="00494119"/>
    <w:rsid w:val="004A2DA0"/>
    <w:rsid w:val="004A4701"/>
    <w:rsid w:val="004B7334"/>
    <w:rsid w:val="004E11DC"/>
    <w:rsid w:val="004F275E"/>
    <w:rsid w:val="005130DE"/>
    <w:rsid w:val="00513157"/>
    <w:rsid w:val="00525DDD"/>
    <w:rsid w:val="005409AC"/>
    <w:rsid w:val="005434E0"/>
    <w:rsid w:val="005546CF"/>
    <w:rsid w:val="0055516A"/>
    <w:rsid w:val="0058491B"/>
    <w:rsid w:val="00592EA5"/>
    <w:rsid w:val="005A3170"/>
    <w:rsid w:val="005D67BD"/>
    <w:rsid w:val="006051A0"/>
    <w:rsid w:val="00657019"/>
    <w:rsid w:val="00660DEA"/>
    <w:rsid w:val="00677396"/>
    <w:rsid w:val="00683F16"/>
    <w:rsid w:val="0069200F"/>
    <w:rsid w:val="006A65CB"/>
    <w:rsid w:val="006B12E5"/>
    <w:rsid w:val="006C3242"/>
    <w:rsid w:val="006C7CC0"/>
    <w:rsid w:val="006F363C"/>
    <w:rsid w:val="006F63F7"/>
    <w:rsid w:val="007025C7"/>
    <w:rsid w:val="00705758"/>
    <w:rsid w:val="00706D7A"/>
    <w:rsid w:val="00722F0D"/>
    <w:rsid w:val="00723174"/>
    <w:rsid w:val="00735081"/>
    <w:rsid w:val="0074420E"/>
    <w:rsid w:val="007648A6"/>
    <w:rsid w:val="0077110E"/>
    <w:rsid w:val="00783E26"/>
    <w:rsid w:val="0079262A"/>
    <w:rsid w:val="007A6684"/>
    <w:rsid w:val="007B0AA0"/>
    <w:rsid w:val="007C3BC7"/>
    <w:rsid w:val="007C3BCD"/>
    <w:rsid w:val="007D4ACF"/>
    <w:rsid w:val="007F0787"/>
    <w:rsid w:val="00810B7B"/>
    <w:rsid w:val="0082358A"/>
    <w:rsid w:val="008235CD"/>
    <w:rsid w:val="008247DE"/>
    <w:rsid w:val="00831C1C"/>
    <w:rsid w:val="008339C0"/>
    <w:rsid w:val="00840B10"/>
    <w:rsid w:val="008513CB"/>
    <w:rsid w:val="00874E9F"/>
    <w:rsid w:val="008A7F84"/>
    <w:rsid w:val="00903BC0"/>
    <w:rsid w:val="0091702E"/>
    <w:rsid w:val="00923B0C"/>
    <w:rsid w:val="00924F46"/>
    <w:rsid w:val="00935AAC"/>
    <w:rsid w:val="0093725D"/>
    <w:rsid w:val="0094021C"/>
    <w:rsid w:val="00952F86"/>
    <w:rsid w:val="0096716C"/>
    <w:rsid w:val="00972837"/>
    <w:rsid w:val="00982B28"/>
    <w:rsid w:val="009868AC"/>
    <w:rsid w:val="00991776"/>
    <w:rsid w:val="009A2F44"/>
    <w:rsid w:val="009D313F"/>
    <w:rsid w:val="00A47A5A"/>
    <w:rsid w:val="00A63AE6"/>
    <w:rsid w:val="00A6683B"/>
    <w:rsid w:val="00A67F05"/>
    <w:rsid w:val="00A97F94"/>
    <w:rsid w:val="00AA7EA2"/>
    <w:rsid w:val="00AB5A56"/>
    <w:rsid w:val="00AF06E4"/>
    <w:rsid w:val="00B03099"/>
    <w:rsid w:val="00B05BC8"/>
    <w:rsid w:val="00B30F5E"/>
    <w:rsid w:val="00B36132"/>
    <w:rsid w:val="00B64B47"/>
    <w:rsid w:val="00B94B45"/>
    <w:rsid w:val="00B95654"/>
    <w:rsid w:val="00B97F32"/>
    <w:rsid w:val="00BA04B2"/>
    <w:rsid w:val="00BD433D"/>
    <w:rsid w:val="00C002DE"/>
    <w:rsid w:val="00C02C60"/>
    <w:rsid w:val="00C0602B"/>
    <w:rsid w:val="00C146FE"/>
    <w:rsid w:val="00C224DA"/>
    <w:rsid w:val="00C43E40"/>
    <w:rsid w:val="00C53BF8"/>
    <w:rsid w:val="00C66157"/>
    <w:rsid w:val="00C674FE"/>
    <w:rsid w:val="00C67501"/>
    <w:rsid w:val="00C75633"/>
    <w:rsid w:val="00CE2EE1"/>
    <w:rsid w:val="00CE3349"/>
    <w:rsid w:val="00CE36E5"/>
    <w:rsid w:val="00CE4360"/>
    <w:rsid w:val="00CF27F5"/>
    <w:rsid w:val="00CF3FFD"/>
    <w:rsid w:val="00D01E1F"/>
    <w:rsid w:val="00D10CCF"/>
    <w:rsid w:val="00D13941"/>
    <w:rsid w:val="00D16AF4"/>
    <w:rsid w:val="00D23F5F"/>
    <w:rsid w:val="00D43F7D"/>
    <w:rsid w:val="00D63735"/>
    <w:rsid w:val="00D77D0F"/>
    <w:rsid w:val="00DA1CF0"/>
    <w:rsid w:val="00DA6A30"/>
    <w:rsid w:val="00DC1E02"/>
    <w:rsid w:val="00DC24B4"/>
    <w:rsid w:val="00DC5FB0"/>
    <w:rsid w:val="00DF16DC"/>
    <w:rsid w:val="00E45211"/>
    <w:rsid w:val="00E473C5"/>
    <w:rsid w:val="00E61BE8"/>
    <w:rsid w:val="00E83FF1"/>
    <w:rsid w:val="00E92863"/>
    <w:rsid w:val="00E979B2"/>
    <w:rsid w:val="00E97DB3"/>
    <w:rsid w:val="00EB796D"/>
    <w:rsid w:val="00ED003F"/>
    <w:rsid w:val="00ED54A9"/>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3DB02"/>
  <w15:chartTrackingRefBased/>
  <w15:docId w15:val="{28F478CB-5EED-4E8A-932A-2BC1C066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nhideWhenUsed/>
    <w:rsid w:val="00F974C5"/>
    <w:pPr>
      <w:ind w:left="720" w:hanging="720"/>
    </w:pPr>
  </w:style>
  <w:style w:type="paragraph" w:styleId="TOC2">
    <w:name w:val="toc 2"/>
    <w:basedOn w:val="Normal"/>
    <w:next w:val="Normal"/>
    <w:autoRedefine/>
    <w:unhideWhenUsed/>
    <w:rsid w:val="002978F4"/>
    <w:pPr>
      <w:ind w:left="1514" w:hanging="720"/>
    </w:pPr>
  </w:style>
  <w:style w:type="paragraph" w:styleId="TOC3">
    <w:name w:val="toc 3"/>
    <w:basedOn w:val="Normal"/>
    <w:next w:val="Normal"/>
    <w:autoRedefine/>
    <w:unhideWhenUsed/>
    <w:rsid w:val="002978F4"/>
    <w:pPr>
      <w:ind w:left="2308" w:hanging="720"/>
    </w:pPr>
  </w:style>
  <w:style w:type="paragraph" w:styleId="TOC4">
    <w:name w:val="toc 4"/>
    <w:basedOn w:val="Normal"/>
    <w:next w:val="Normal"/>
    <w:autoRedefine/>
    <w:unhideWhenUsed/>
    <w:rsid w:val="0023283D"/>
    <w:pPr>
      <w:ind w:left="3045" w:hanging="720"/>
    </w:pPr>
  </w:style>
  <w:style w:type="paragraph" w:styleId="TOC5">
    <w:name w:val="toc 5"/>
    <w:basedOn w:val="Normal"/>
    <w:next w:val="Normal"/>
    <w:autoRedefine/>
    <w:unhideWhenUsed/>
    <w:rsid w:val="0023283D"/>
    <w:pPr>
      <w:ind w:left="3782" w:hanging="720"/>
    </w:pPr>
  </w:style>
  <w:style w:type="paragraph" w:styleId="TOC6">
    <w:name w:val="toc 6"/>
    <w:basedOn w:val="Normal"/>
    <w:next w:val="Normal"/>
    <w:autoRedefine/>
    <w:unhideWhenUsed/>
    <w:rsid w:val="0023283D"/>
    <w:pPr>
      <w:ind w:left="4519" w:hanging="720"/>
    </w:pPr>
  </w:style>
  <w:style w:type="paragraph" w:styleId="TOC7">
    <w:name w:val="toc 7"/>
    <w:basedOn w:val="Normal"/>
    <w:next w:val="Normal"/>
    <w:autoRedefine/>
    <w:unhideWhenUsed/>
    <w:rsid w:val="0023283D"/>
    <w:pPr>
      <w:ind w:left="5256" w:hanging="720"/>
    </w:pPr>
  </w:style>
  <w:style w:type="paragraph" w:styleId="TOC8">
    <w:name w:val="toc 8"/>
    <w:basedOn w:val="Normal"/>
    <w:next w:val="Normal"/>
    <w:autoRedefine/>
    <w:unhideWhenUsed/>
    <w:rsid w:val="0023283D"/>
    <w:pPr>
      <w:ind w:left="6050" w:hanging="720"/>
    </w:pPr>
    <w:rPr>
      <w:lang w:bidi="ar-SY"/>
    </w:rPr>
  </w:style>
  <w:style w:type="paragraph" w:styleId="TOC9">
    <w:name w:val="toc 9"/>
    <w:basedOn w:val="Normal"/>
    <w:next w:val="Normal"/>
    <w:autoRedefine/>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nhideWhenUsed/>
    <w:rsid w:val="000116AF"/>
    <w:rPr>
      <w:color w:val="954F72" w:themeColor="followedHyperlink"/>
      <w:u w:val="single"/>
    </w:rPr>
  </w:style>
  <w:style w:type="paragraph" w:styleId="Index7">
    <w:name w:val="index 7"/>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698"/>
      <w:jc w:val="left"/>
      <w:textAlignment w:val="baseline"/>
    </w:pPr>
    <w:rPr>
      <w:rFonts w:ascii="Times New Roman" w:eastAsia="Times New Roman" w:hAnsi="CG Times" w:cs="Simplified Arabic" w:hint="cs"/>
      <w:sz w:val="24"/>
      <w:szCs w:val="30"/>
    </w:rPr>
  </w:style>
  <w:style w:type="paragraph" w:styleId="Index6">
    <w:name w:val="index 6"/>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415"/>
      <w:jc w:val="left"/>
      <w:textAlignment w:val="baseline"/>
    </w:pPr>
    <w:rPr>
      <w:rFonts w:ascii="Times New Roman" w:eastAsia="Times New Roman" w:hAnsi="CG Times" w:cs="Simplified Arabic" w:hint="cs"/>
      <w:sz w:val="24"/>
      <w:szCs w:val="30"/>
    </w:rPr>
  </w:style>
  <w:style w:type="paragraph" w:styleId="Index5">
    <w:name w:val="index 5"/>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132"/>
      <w:jc w:val="left"/>
      <w:textAlignment w:val="baseline"/>
    </w:pPr>
    <w:rPr>
      <w:rFonts w:ascii="Times New Roman" w:eastAsia="Times New Roman" w:hAnsi="CG Times" w:cs="Simplified Arabic" w:hint="cs"/>
      <w:sz w:val="24"/>
      <w:szCs w:val="30"/>
    </w:rPr>
  </w:style>
  <w:style w:type="paragraph" w:styleId="Index4">
    <w:name w:val="index 4"/>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849"/>
      <w:jc w:val="left"/>
      <w:textAlignment w:val="baseline"/>
    </w:pPr>
    <w:rPr>
      <w:rFonts w:ascii="Times New Roman" w:eastAsia="Times New Roman" w:hAnsi="CG Times" w:cs="Simplified Arabic" w:hint="cs"/>
      <w:sz w:val="24"/>
      <w:szCs w:val="30"/>
    </w:rPr>
  </w:style>
  <w:style w:type="paragraph" w:styleId="Index3">
    <w:name w:val="index 3"/>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6"/>
      <w:jc w:val="left"/>
      <w:textAlignment w:val="baseline"/>
    </w:pPr>
    <w:rPr>
      <w:rFonts w:ascii="Times New Roman" w:eastAsia="Times New Roman" w:hAnsi="CG Times" w:cs="Simplified Arabic" w:hint="cs"/>
      <w:sz w:val="24"/>
      <w:szCs w:val="30"/>
    </w:rPr>
  </w:style>
  <w:style w:type="paragraph" w:styleId="Index2">
    <w:name w:val="index 2"/>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283"/>
      <w:jc w:val="left"/>
      <w:textAlignment w:val="baseline"/>
    </w:pPr>
    <w:rPr>
      <w:rFonts w:ascii="Times New Roman" w:eastAsia="Times New Roman" w:hAnsi="CG Times" w:cs="Simplified Arabic" w:hint="cs"/>
      <w:sz w:val="24"/>
      <w:szCs w:val="30"/>
    </w:rPr>
  </w:style>
  <w:style w:type="paragraph" w:styleId="Index1">
    <w:name w:val="index 1"/>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character" w:styleId="LineNumber">
    <w:name w:val="line number"/>
    <w:basedOn w:val="DefaultParagraphFont"/>
    <w:rsid w:val="001D085F"/>
  </w:style>
  <w:style w:type="paragraph" w:styleId="IndexHeading">
    <w:name w:val="index heading"/>
    <w:basedOn w:val="Normal"/>
    <w:next w:val="Index1"/>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paragraph" w:styleId="NormalIndent">
    <w:name w:val="Normal Indent"/>
    <w:basedOn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jc w:val="left"/>
      <w:textAlignment w:val="baseline"/>
    </w:pPr>
    <w:rPr>
      <w:rFonts w:ascii="Times New Roman" w:eastAsia="Times New Roman" w:hAnsi="CG Times" w:cs="Simplified Arabic" w:hint="cs"/>
      <w:sz w:val="24"/>
      <w:szCs w:val="30"/>
    </w:rPr>
  </w:style>
  <w:style w:type="paragraph" w:customStyle="1" w:styleId="Head">
    <w:name w:val="Head"/>
    <w:basedOn w:val="Normal"/>
    <w:rsid w:val="001D085F"/>
    <w:pPr>
      <w:tabs>
        <w:tab w:val="clear" w:pos="794"/>
        <w:tab w:val="left" w:pos="567"/>
        <w:tab w:val="left" w:pos="1134"/>
        <w:tab w:val="left" w:pos="1701"/>
        <w:tab w:val="left" w:pos="2268"/>
        <w:tab w:val="left" w:pos="2835"/>
        <w:tab w:val="left" w:pos="6663"/>
      </w:tabs>
      <w:bidi w:val="0"/>
      <w:spacing w:before="0" w:after="0" w:line="240" w:lineRule="auto"/>
      <w:jc w:val="left"/>
    </w:pPr>
    <w:rPr>
      <w:rFonts w:ascii="Times New Roman" w:eastAsia="Times New Roman" w:hAnsi="CG Times" w:cs="Simplified Arabic" w:hint="cs"/>
      <w:sz w:val="24"/>
      <w:szCs w:val="30"/>
    </w:rPr>
  </w:style>
  <w:style w:type="paragraph" w:customStyle="1" w:styleId="toc0">
    <w:name w:val="toc 0"/>
    <w:basedOn w:val="Normal"/>
    <w:next w:val="TOC1"/>
    <w:rsid w:val="001D085F"/>
    <w:pPr>
      <w:tabs>
        <w:tab w:val="clear" w:pos="794"/>
        <w:tab w:val="right" w:pos="9781"/>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b/>
      <w:sz w:val="24"/>
      <w:szCs w:val="30"/>
    </w:rPr>
  </w:style>
  <w:style w:type="paragraph" w:styleId="List">
    <w:name w:val="List"/>
    <w:basedOn w:val="Normal"/>
    <w:rsid w:val="001D085F"/>
    <w:pPr>
      <w:tabs>
        <w:tab w:val="clear" w:pos="794"/>
        <w:tab w:val="left" w:pos="567"/>
        <w:tab w:val="left" w:pos="1134"/>
        <w:tab w:val="left" w:pos="1701"/>
        <w:tab w:val="left" w:pos="2127"/>
        <w:tab w:val="left" w:pos="2268"/>
        <w:tab w:val="left" w:pos="2835"/>
      </w:tabs>
      <w:overflowPunct w:val="0"/>
      <w:autoSpaceDE w:val="0"/>
      <w:autoSpaceDN w:val="0"/>
      <w:bidi w:val="0"/>
      <w:adjustRightInd w:val="0"/>
      <w:spacing w:after="0" w:line="240" w:lineRule="auto"/>
      <w:ind w:left="2127" w:hanging="2127"/>
      <w:jc w:val="left"/>
      <w:textAlignment w:val="baseline"/>
    </w:pPr>
    <w:rPr>
      <w:rFonts w:ascii="Times New Roman" w:eastAsia="Times New Roman" w:hAnsi="CG Times" w:cs="Simplified Arabic" w:hint="cs"/>
      <w:sz w:val="24"/>
      <w:szCs w:val="30"/>
    </w:rPr>
  </w:style>
  <w:style w:type="paragraph" w:customStyle="1" w:styleId="Part">
    <w:name w:val="Part"/>
    <w:basedOn w:val="Normal"/>
    <w:rsid w:val="001D085F"/>
    <w:pPr>
      <w:tabs>
        <w:tab w:val="clear" w:pos="794"/>
        <w:tab w:val="left" w:pos="567"/>
        <w:tab w:val="left" w:pos="1134"/>
        <w:tab w:val="left" w:pos="1276"/>
        <w:tab w:val="left" w:pos="1701"/>
        <w:tab w:val="left" w:pos="2268"/>
        <w:tab w:val="left" w:pos="2835"/>
      </w:tabs>
      <w:overflowPunct w:val="0"/>
      <w:autoSpaceDE w:val="0"/>
      <w:autoSpaceDN w:val="0"/>
      <w:bidi w:val="0"/>
      <w:adjustRightInd w:val="0"/>
      <w:spacing w:before="199" w:after="0" w:line="240" w:lineRule="auto"/>
      <w:ind w:left="1701" w:hanging="1701"/>
      <w:jc w:val="left"/>
      <w:textAlignment w:val="baseline"/>
    </w:pPr>
    <w:rPr>
      <w:rFonts w:ascii="Times New Roman" w:eastAsia="Times New Roman" w:hAnsi="CG Times" w:cs="Simplified Arabic" w:hint="cs"/>
      <w:sz w:val="24"/>
      <w:szCs w:val="30"/>
    </w:rPr>
  </w:style>
  <w:style w:type="paragraph" w:customStyle="1" w:styleId="meeting">
    <w:name w:val="meeting"/>
    <w:basedOn w:val="Head"/>
    <w:next w:val="Head"/>
    <w:rsid w:val="001D085F"/>
    <w:pPr>
      <w:tabs>
        <w:tab w:val="left" w:pos="7371"/>
      </w:tabs>
      <w:spacing w:after="567"/>
    </w:pPr>
  </w:style>
  <w:style w:type="paragraph" w:customStyle="1" w:styleId="Subject">
    <w:name w:val="Subject"/>
    <w:basedOn w:val="Normal"/>
    <w:next w:val="Source"/>
    <w:rsid w:val="001D085F"/>
    <w:pPr>
      <w:tabs>
        <w:tab w:val="clear" w:pos="794"/>
        <w:tab w:val="left" w:pos="567"/>
        <w:tab w:val="left" w:pos="709"/>
        <w:tab w:val="left" w:pos="1134"/>
        <w:tab w:val="left" w:pos="1701"/>
        <w:tab w:val="left" w:pos="2268"/>
        <w:tab w:val="left" w:pos="2835"/>
      </w:tabs>
      <w:overflowPunct w:val="0"/>
      <w:autoSpaceDE w:val="0"/>
      <w:autoSpaceDN w:val="0"/>
      <w:bidi w:val="0"/>
      <w:adjustRightInd w:val="0"/>
      <w:spacing w:before="0" w:after="0" w:line="240" w:lineRule="auto"/>
      <w:ind w:left="709" w:hanging="709"/>
      <w:jc w:val="left"/>
      <w:textAlignment w:val="baseline"/>
    </w:pPr>
    <w:rPr>
      <w:rFonts w:ascii="Times New Roman" w:eastAsia="Times New Roman" w:hAnsi="CG Times" w:cs="Simplified Arabic" w:hint="cs"/>
      <w:sz w:val="24"/>
      <w:szCs w:val="30"/>
    </w:rPr>
  </w:style>
  <w:style w:type="paragraph" w:customStyle="1" w:styleId="Object">
    <w:name w:val="Object"/>
    <w:basedOn w:val="Subject"/>
    <w:next w:val="Subject"/>
    <w:rsid w:val="001D085F"/>
  </w:style>
  <w:style w:type="paragraph" w:customStyle="1" w:styleId="Data">
    <w:name w:val="Data"/>
    <w:basedOn w:val="Subject"/>
    <w:next w:val="Subject"/>
    <w:rsid w:val="001D085F"/>
  </w:style>
  <w:style w:type="paragraph" w:customStyle="1" w:styleId="FirstFooter">
    <w:name w:val="FirstFooter"/>
    <w:basedOn w:val="Footer"/>
    <w:rsid w:val="001D085F"/>
    <w:pPr>
      <w:tabs>
        <w:tab w:val="clear" w:pos="794"/>
        <w:tab w:val="clear" w:pos="4153"/>
        <w:tab w:val="clear" w:pos="8306"/>
        <w:tab w:val="left" w:pos="5954"/>
        <w:tab w:val="right" w:pos="9639"/>
      </w:tabs>
      <w:overflowPunct w:val="0"/>
      <w:autoSpaceDE w:val="0"/>
      <w:autoSpaceDN w:val="0"/>
      <w:adjustRightInd w:val="0"/>
      <w:spacing w:after="0"/>
      <w:textAlignment w:val="baseline"/>
    </w:pPr>
    <w:rPr>
      <w:rFonts w:ascii="Times New Roman" w:hAnsi="CG Times" w:cs="Simplified Arabic" w:hint="cs"/>
      <w:noProof/>
      <w:sz w:val="16"/>
      <w:szCs w:val="30"/>
      <w:lang w:eastAsia="zh-CN"/>
    </w:rPr>
  </w:style>
  <w:style w:type="paragraph" w:customStyle="1" w:styleId="Title4">
    <w:name w:val="Title 4"/>
    <w:basedOn w:val="Annextitle"/>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before="240" w:after="120" w:line="240" w:lineRule="auto"/>
      <w:textAlignment w:val="baseline"/>
    </w:pPr>
    <w:rPr>
      <w:rFonts w:ascii="Times New Roman" w:eastAsia="Times New Roman" w:hAnsi="CG Times" w:cs="Simplified Arabic" w:hint="cs"/>
      <w:b w:val="0"/>
      <w:bCs w:val="0"/>
      <w:szCs w:val="30"/>
      <w:lang w:bidi="ar-SA"/>
    </w:rPr>
  </w:style>
  <w:style w:type="paragraph" w:customStyle="1" w:styleId="dnum">
    <w:name w:val="dnum"/>
    <w:basedOn w:val="Normal"/>
    <w:rsid w:val="001D085F"/>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b/>
      <w:bCs/>
      <w:sz w:val="24"/>
      <w:szCs w:val="30"/>
    </w:rPr>
  </w:style>
  <w:style w:type="paragraph" w:customStyle="1" w:styleId="ddate">
    <w:name w:val="ddate"/>
    <w:basedOn w:val="Normal"/>
    <w:rsid w:val="001D085F"/>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jc w:val="left"/>
      <w:textAlignment w:val="baseline"/>
    </w:pPr>
    <w:rPr>
      <w:rFonts w:ascii="Times New Roman" w:eastAsia="Times New Roman" w:hAnsi="CG Times" w:cs="Simplified Arabic" w:hint="cs"/>
      <w:b/>
      <w:bCs/>
      <w:sz w:val="24"/>
      <w:szCs w:val="30"/>
    </w:rPr>
  </w:style>
  <w:style w:type="paragraph" w:customStyle="1" w:styleId="dorlang">
    <w:name w:val="dorlang"/>
    <w:basedOn w:val="Normal"/>
    <w:rsid w:val="001D085F"/>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jc w:val="left"/>
      <w:textAlignment w:val="baseline"/>
    </w:pPr>
    <w:rPr>
      <w:rFonts w:ascii="Times New Roman" w:eastAsia="Times New Roman" w:hAnsi="CG Times" w:cs="Simplified Arabic" w:hint="cs"/>
      <w:b/>
      <w:bCs/>
      <w:sz w:val="24"/>
      <w:szCs w:val="30"/>
    </w:rPr>
  </w:style>
  <w:style w:type="paragraph" w:customStyle="1" w:styleId="Annexref">
    <w:name w:val="Annex_ref"/>
    <w:basedOn w:val="Normal"/>
    <w:next w:val="Annextitle"/>
    <w:rsid w:val="001D085F"/>
    <w:pPr>
      <w:keepNext/>
      <w:keepLines/>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ascii="Times New Roman" w:eastAsia="Times New Roman" w:hAnsi="CG Times" w:cs="Simplified Arabic" w:hint="cs"/>
      <w:sz w:val="28"/>
      <w:szCs w:val="30"/>
    </w:rPr>
  </w:style>
  <w:style w:type="paragraph" w:customStyle="1" w:styleId="Figure">
    <w:name w:val="Figure"/>
    <w:basedOn w:val="Normal"/>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Times New Roman" w:eastAsia="Times New Roman" w:hAnsi="CG Times" w:cs="Simplified Arabic" w:hint="cs"/>
      <w:sz w:val="24"/>
      <w:szCs w:val="30"/>
    </w:rPr>
  </w:style>
  <w:style w:type="paragraph" w:customStyle="1" w:styleId="Tabletext">
    <w:name w:val="Table_text"/>
    <w:basedOn w:val="Normal"/>
    <w:rsid w:val="001D085F"/>
    <w:pPr>
      <w:tabs>
        <w:tab w:val="clear" w:pos="794"/>
        <w:tab w:val="left" w:pos="284"/>
        <w:tab w:val="left" w:pos="567"/>
        <w:tab w:val="left" w:pos="851"/>
      </w:tabs>
      <w:overflowPunct w:val="0"/>
      <w:autoSpaceDE w:val="0"/>
      <w:autoSpaceDN w:val="0"/>
      <w:bidi w:val="0"/>
      <w:adjustRightInd w:val="0"/>
      <w:spacing w:before="40" w:after="40" w:line="240" w:lineRule="auto"/>
      <w:jc w:val="left"/>
      <w:textAlignment w:val="baseline"/>
    </w:pPr>
    <w:rPr>
      <w:rFonts w:ascii="Times New Roman" w:eastAsia="Times New Roman" w:hAnsi="CG Times" w:cs="Simplified Arabic" w:hint="cs"/>
      <w:szCs w:val="30"/>
    </w:rPr>
  </w:style>
  <w:style w:type="paragraph" w:customStyle="1" w:styleId="Figurewithouttitle">
    <w:name w:val="Figure_without_title"/>
    <w:basedOn w:val="Figure"/>
    <w:next w:val="Normal"/>
    <w:rsid w:val="001D085F"/>
  </w:style>
  <w:style w:type="character" w:styleId="PageNumber">
    <w:name w:val="page number"/>
    <w:basedOn w:val="DefaultParagraphFont"/>
    <w:rsid w:val="001D085F"/>
    <w:rPr>
      <w:rFonts w:ascii="Calibri" w:hAnsi="Calibri"/>
    </w:rPr>
  </w:style>
  <w:style w:type="paragraph" w:customStyle="1" w:styleId="Partref">
    <w:name w:val="Part_ref"/>
    <w:basedOn w:val="Annexref"/>
    <w:next w:val="Normalaftertitle"/>
    <w:rsid w:val="001D085F"/>
  </w:style>
  <w:style w:type="paragraph" w:customStyle="1" w:styleId="Recref">
    <w:name w:val="Rec_ref"/>
    <w:basedOn w:val="Rectitle"/>
    <w:next w:val="Recdate"/>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Times New Roman" w:cs="Simplified Arabic" w:hint="cs"/>
      <w:b w:val="0"/>
      <w:bCs w:val="0"/>
      <w:sz w:val="24"/>
      <w:szCs w:val="30"/>
    </w:rPr>
  </w:style>
  <w:style w:type="paragraph" w:customStyle="1" w:styleId="Recdate">
    <w:name w:val="Rec_date"/>
    <w:basedOn w:val="Recref"/>
    <w:next w:val="Normalaftertitle"/>
    <w:rsid w:val="001D085F"/>
    <w:pPr>
      <w:jc w:val="right"/>
    </w:pPr>
    <w:rPr>
      <w:sz w:val="22"/>
    </w:rPr>
  </w:style>
  <w:style w:type="paragraph" w:customStyle="1" w:styleId="Questiondate">
    <w:name w:val="Question_date"/>
    <w:basedOn w:val="Recdate"/>
    <w:next w:val="Normalaftertitle"/>
    <w:rsid w:val="001D085F"/>
  </w:style>
  <w:style w:type="paragraph" w:customStyle="1" w:styleId="QuestionNo">
    <w:name w:val="Question_No"/>
    <w:basedOn w:val="RecNo"/>
    <w:next w:val="Questiontitle"/>
    <w:rsid w:val="001D085F"/>
    <w:pPr>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Questionref">
    <w:name w:val="Question_ref"/>
    <w:basedOn w:val="Recref"/>
    <w:next w:val="Questiondate"/>
    <w:rsid w:val="001D085F"/>
  </w:style>
  <w:style w:type="paragraph" w:customStyle="1" w:styleId="Questiontitle">
    <w:name w:val="Question_title"/>
    <w:basedOn w:val="Rectitle"/>
    <w:next w:val="Questionref"/>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bCs w:val="0"/>
      <w:szCs w:val="30"/>
    </w:rPr>
  </w:style>
  <w:style w:type="paragraph" w:customStyle="1" w:styleId="Reftext">
    <w:name w:val="Ref_text"/>
    <w:basedOn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hanging="567"/>
      <w:jc w:val="left"/>
      <w:textAlignment w:val="baseline"/>
    </w:pPr>
    <w:rPr>
      <w:rFonts w:ascii="Times New Roman" w:eastAsia="Times New Roman" w:hAnsi="CG Times" w:cs="Simplified Arabic" w:hint="cs"/>
      <w:sz w:val="24"/>
      <w:szCs w:val="30"/>
    </w:rPr>
  </w:style>
  <w:style w:type="paragraph" w:customStyle="1" w:styleId="Resdate">
    <w:name w:val="Res_date"/>
    <w:basedOn w:val="Recdate"/>
    <w:next w:val="Normalaftertitle"/>
    <w:rsid w:val="001D085F"/>
  </w:style>
  <w:style w:type="paragraph" w:customStyle="1" w:styleId="Resref">
    <w:name w:val="Res_ref"/>
    <w:basedOn w:val="Recref"/>
    <w:next w:val="Resdate"/>
    <w:rsid w:val="001D085F"/>
  </w:style>
  <w:style w:type="paragraph" w:customStyle="1" w:styleId="Sectiontitle0">
    <w:name w:val="Section_title"/>
    <w:basedOn w:val="Normal"/>
    <w:next w:val="Normalaftertitle"/>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8"/>
      <w:szCs w:val="30"/>
    </w:rPr>
  </w:style>
  <w:style w:type="paragraph" w:customStyle="1" w:styleId="Tableref">
    <w:name w:val="Table_ref"/>
    <w:basedOn w:val="Normal"/>
    <w:next w:val="Tabletitle"/>
    <w:rsid w:val="001D085F"/>
    <w:pPr>
      <w:keepNext/>
      <w:keepLines/>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ascii="Times New Roman" w:eastAsia="Times New Roman" w:hAnsi="CG Times" w:cs="Simplified Arabic" w:hint="cs"/>
      <w:sz w:val="20"/>
      <w:szCs w:val="30"/>
    </w:rPr>
  </w:style>
  <w:style w:type="paragraph" w:customStyle="1" w:styleId="Artheading">
    <w:name w:val="Art_heading"/>
    <w:basedOn w:val="Normal"/>
    <w:next w:val="Normalaftertitle"/>
    <w:rsid w:val="001D085F"/>
    <w:pPr>
      <w:tabs>
        <w:tab w:val="clear" w:pos="794"/>
      </w:tabs>
      <w:overflowPunct w:val="0"/>
      <w:autoSpaceDE w:val="0"/>
      <w:autoSpaceDN w:val="0"/>
      <w:bidi w:val="0"/>
      <w:adjustRightInd w:val="0"/>
      <w:spacing w:before="480" w:after="0" w:line="240" w:lineRule="auto"/>
      <w:jc w:val="center"/>
      <w:textAlignment w:val="baseline"/>
    </w:pPr>
    <w:rPr>
      <w:rFonts w:ascii="Times New Roman" w:eastAsia="Times New Roman" w:hAnsi="CG Times" w:cs="Simplified Arabic" w:hint="cs"/>
      <w:b/>
      <w:sz w:val="24"/>
      <w:szCs w:val="30"/>
    </w:rPr>
  </w:style>
  <w:style w:type="paragraph" w:customStyle="1" w:styleId="ArtNo">
    <w:name w:val="Art_No"/>
    <w:basedOn w:val="Normal"/>
    <w:next w:val="Arttitle"/>
    <w:rsid w:val="001D085F"/>
    <w:pPr>
      <w:keepNext/>
      <w:keepLines/>
      <w:tabs>
        <w:tab w:val="clear" w:pos="794"/>
      </w:tabs>
      <w:overflowPunct w:val="0"/>
      <w:autoSpaceDE w:val="0"/>
      <w:autoSpaceDN w:val="0"/>
      <w:bidi w:val="0"/>
      <w:adjustRightInd w:val="0"/>
      <w:spacing w:before="600" w:after="0" w:line="240" w:lineRule="auto"/>
      <w:jc w:val="center"/>
      <w:textAlignment w:val="baseline"/>
    </w:pPr>
    <w:rPr>
      <w:rFonts w:ascii="Times New Roman" w:eastAsia="Times New Roman" w:hAnsi="CG Times" w:cs="Simplified Arabic" w:hint="cs"/>
      <w:sz w:val="28"/>
      <w:szCs w:val="30"/>
    </w:rPr>
  </w:style>
  <w:style w:type="paragraph" w:customStyle="1" w:styleId="Arttitle">
    <w:name w:val="Art_title"/>
    <w:basedOn w:val="Normal"/>
    <w:next w:val="Normal"/>
    <w:rsid w:val="001D085F"/>
    <w:pPr>
      <w:keepNext/>
      <w:keepLines/>
      <w:tabs>
        <w:tab w:val="clear" w:pos="794"/>
      </w:tabs>
      <w:overflowPunct w:val="0"/>
      <w:autoSpaceDE w:val="0"/>
      <w:autoSpaceDN w:val="0"/>
      <w:bidi w:val="0"/>
      <w:adjustRightInd w:val="0"/>
      <w:spacing w:before="240" w:after="240" w:line="240" w:lineRule="auto"/>
      <w:jc w:val="center"/>
      <w:textAlignment w:val="baseline"/>
    </w:pPr>
    <w:rPr>
      <w:rFonts w:ascii="Times New Roman" w:eastAsia="Times New Roman" w:hAnsi="CG Times" w:cs="Simplified Arabic" w:hint="cs"/>
      <w:b/>
      <w:sz w:val="28"/>
      <w:szCs w:val="30"/>
    </w:rPr>
  </w:style>
  <w:style w:type="paragraph" w:customStyle="1" w:styleId="ChapNo">
    <w:name w:val="Chap_No"/>
    <w:basedOn w:val="ArtNo"/>
    <w:next w:val="Chaptitle"/>
    <w:rsid w:val="001D085F"/>
  </w:style>
  <w:style w:type="paragraph" w:customStyle="1" w:styleId="Chaptitle">
    <w:name w:val="Chap_title"/>
    <w:basedOn w:val="Arttitle"/>
    <w:next w:val="Normalaftertitle"/>
    <w:rsid w:val="001D085F"/>
  </w:style>
  <w:style w:type="paragraph" w:customStyle="1" w:styleId="Appendixref">
    <w:name w:val="Appendix_ref"/>
    <w:basedOn w:val="Annexref"/>
    <w:next w:val="Normal"/>
    <w:rsid w:val="001D085F"/>
  </w:style>
  <w:style w:type="paragraph" w:customStyle="1" w:styleId="Equation">
    <w:name w:val="Equation"/>
    <w:basedOn w:val="Normal"/>
    <w:rsid w:val="001D085F"/>
    <w:pPr>
      <w:tabs>
        <w:tab w:val="clear" w:pos="794"/>
        <w:tab w:val="left" w:pos="567"/>
        <w:tab w:val="left" w:pos="1134"/>
        <w:tab w:val="left" w:pos="1701"/>
        <w:tab w:val="left" w:pos="2268"/>
        <w:tab w:val="left" w:pos="2835"/>
        <w:tab w:val="center" w:pos="4820"/>
        <w:tab w:val="right" w:pos="9639"/>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paragraph" w:customStyle="1" w:styleId="Equationlegend">
    <w:name w:val="Equation_legend"/>
    <w:basedOn w:val="NormalIndent"/>
    <w:rsid w:val="001D085F"/>
    <w:pPr>
      <w:tabs>
        <w:tab w:val="right" w:pos="1531"/>
      </w:tabs>
      <w:spacing w:before="80"/>
      <w:ind w:left="1701" w:hanging="1701"/>
    </w:pPr>
  </w:style>
  <w:style w:type="paragraph" w:customStyle="1" w:styleId="firstfooter0">
    <w:name w:val="firstfooter"/>
    <w:basedOn w:val="Normal"/>
    <w:rsid w:val="001D085F"/>
    <w:pPr>
      <w:tabs>
        <w:tab w:val="clear" w:pos="794"/>
      </w:tabs>
      <w:bidi w:val="0"/>
      <w:spacing w:before="100" w:beforeAutospacing="1" w:after="100" w:afterAutospacing="1" w:line="240" w:lineRule="auto"/>
      <w:jc w:val="left"/>
    </w:pPr>
    <w:rPr>
      <w:rFonts w:ascii="Times New Roman" w:eastAsia="SimSun" w:hAnsi="CG Times" w:cs="Simplified Arabic" w:hint="cs"/>
      <w:sz w:val="24"/>
      <w:szCs w:val="24"/>
    </w:rPr>
  </w:style>
  <w:style w:type="paragraph" w:customStyle="1" w:styleId="Referencetext">
    <w:name w:val="Reference_text"/>
    <w:basedOn w:val="Normal"/>
    <w:rsid w:val="001D085F"/>
    <w:pPr>
      <w:framePr w:hSpace="181" w:wrap="around" w:vAnchor="page" w:hAnchor="page" w:x="1589" w:y="2314"/>
      <w:tabs>
        <w:tab w:val="clear" w:pos="794"/>
        <w:tab w:val="left" w:pos="567"/>
        <w:tab w:val="left" w:pos="1134"/>
        <w:tab w:val="left" w:pos="1701"/>
        <w:tab w:val="left" w:pos="2268"/>
        <w:tab w:val="left" w:pos="2835"/>
      </w:tabs>
      <w:overflowPunct w:val="0"/>
      <w:autoSpaceDE w:val="0"/>
      <w:autoSpaceDN w:val="0"/>
      <w:bidi w:val="0"/>
      <w:adjustRightInd w:val="0"/>
      <w:spacing w:after="160" w:line="240" w:lineRule="auto"/>
      <w:jc w:val="left"/>
      <w:textAlignment w:val="baseline"/>
    </w:pPr>
    <w:rPr>
      <w:rFonts w:ascii="Times New Roman" w:eastAsia="Times New Roman" w:hAnsi="CG Times" w:cs="Simplified Arabic" w:hint="cs"/>
      <w:i/>
      <w:iCs/>
    </w:rPr>
  </w:style>
  <w:style w:type="paragraph" w:customStyle="1" w:styleId="Repdate">
    <w:name w:val="Rep_date"/>
    <w:basedOn w:val="Recdate"/>
    <w:next w:val="Normalaftertitle"/>
    <w:rsid w:val="001D085F"/>
  </w:style>
  <w:style w:type="paragraph" w:customStyle="1" w:styleId="RepNo">
    <w:name w:val="Rep_No"/>
    <w:basedOn w:val="RecNo"/>
    <w:next w:val="Normal"/>
    <w:rsid w:val="001D085F"/>
    <w:pPr>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Repref">
    <w:name w:val="Rep_ref"/>
    <w:basedOn w:val="Recref"/>
    <w:next w:val="Repdate"/>
    <w:rsid w:val="001D085F"/>
  </w:style>
  <w:style w:type="paragraph" w:customStyle="1" w:styleId="Reptitle">
    <w:name w:val="Rep_title"/>
    <w:basedOn w:val="Rectitle"/>
    <w:next w:val="Repref"/>
    <w:rsid w:val="001D085F"/>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bCs w:val="0"/>
      <w:szCs w:val="30"/>
    </w:rPr>
  </w:style>
  <w:style w:type="paragraph" w:customStyle="1" w:styleId="SpecialFooter">
    <w:name w:val="Special Footer"/>
    <w:basedOn w:val="Footer"/>
    <w:rsid w:val="001D085F"/>
    <w:pPr>
      <w:tabs>
        <w:tab w:val="clear" w:pos="794"/>
        <w:tab w:val="clear" w:pos="4153"/>
        <w:tab w:val="clear" w:pos="8306"/>
        <w:tab w:val="left" w:pos="567"/>
        <w:tab w:val="left" w:pos="1134"/>
        <w:tab w:val="left" w:pos="1701"/>
        <w:tab w:val="left" w:pos="2268"/>
        <w:tab w:val="left" w:pos="2835"/>
        <w:tab w:val="left" w:pos="5954"/>
        <w:tab w:val="right" w:pos="9639"/>
      </w:tabs>
      <w:overflowPunct w:val="0"/>
      <w:autoSpaceDE w:val="0"/>
      <w:autoSpaceDN w:val="0"/>
      <w:adjustRightInd w:val="0"/>
      <w:spacing w:after="0"/>
      <w:jc w:val="both"/>
      <w:textAlignment w:val="baseline"/>
    </w:pPr>
    <w:rPr>
      <w:rFonts w:ascii="Times New Roman" w:hAnsi="CG Times" w:cs="Simplified Arabic" w:hint="cs"/>
      <w:sz w:val="16"/>
      <w:szCs w:val="30"/>
      <w:lang w:eastAsia="zh-CN"/>
    </w:rPr>
  </w:style>
  <w:style w:type="character" w:customStyle="1" w:styleId="normaltextrun">
    <w:name w:val="normaltextrun"/>
    <w:basedOn w:val="DefaultParagraphFont"/>
    <w:rsid w:val="001D085F"/>
  </w:style>
  <w:style w:type="character" w:styleId="CommentReference">
    <w:name w:val="annotation reference"/>
    <w:basedOn w:val="DefaultParagraphFont"/>
    <w:uiPriority w:val="99"/>
    <w:semiHidden/>
    <w:unhideWhenUsed/>
    <w:qFormat/>
    <w:rsid w:val="001D085F"/>
    <w:rPr>
      <w:sz w:val="16"/>
      <w:szCs w:val="16"/>
    </w:rPr>
  </w:style>
  <w:style w:type="paragraph" w:styleId="CommentText">
    <w:name w:val="annotation text"/>
    <w:basedOn w:val="Normal"/>
    <w:link w:val="CommentTextChar"/>
    <w:uiPriority w:val="99"/>
    <w:unhideWhenUsed/>
    <w:rsid w:val="001D085F"/>
    <w:pPr>
      <w:tabs>
        <w:tab w:val="clear" w:pos="794"/>
      </w:tabs>
      <w:bidi w:val="0"/>
      <w:spacing w:before="0" w:after="160" w:line="240" w:lineRule="auto"/>
      <w:jc w:val="left"/>
    </w:pPr>
    <w:rPr>
      <w:rFonts w:asciiTheme="minorHAnsi" w:eastAsiaTheme="minorHAnsi" w:hAnsiTheme="minorHAnsi" w:cstheme="minorBidi" w:hint="cs"/>
      <w:kern w:val="2"/>
      <w:sz w:val="20"/>
      <w:szCs w:val="30"/>
      <w14:ligatures w14:val="standardContextual"/>
    </w:rPr>
  </w:style>
  <w:style w:type="character" w:customStyle="1" w:styleId="CommentTextChar">
    <w:name w:val="Comment Text Char"/>
    <w:basedOn w:val="DefaultParagraphFont"/>
    <w:link w:val="CommentText"/>
    <w:uiPriority w:val="99"/>
    <w:rsid w:val="001D085F"/>
    <w:rPr>
      <w:rFonts w:eastAsiaTheme="minorHAnsi"/>
      <w:kern w:val="2"/>
      <w:sz w:val="20"/>
      <w:szCs w:val="30"/>
      <w14:ligatures w14:val="standardContextual"/>
    </w:rPr>
  </w:style>
  <w:style w:type="paragraph" w:customStyle="1" w:styleId="paragraph">
    <w:name w:val="paragraph"/>
    <w:basedOn w:val="Normal"/>
    <w:rsid w:val="001D085F"/>
    <w:pPr>
      <w:tabs>
        <w:tab w:val="clear" w:pos="794"/>
      </w:tabs>
      <w:bidi w:val="0"/>
      <w:spacing w:before="100" w:beforeAutospacing="1" w:after="100" w:afterAutospacing="1" w:line="240" w:lineRule="auto"/>
      <w:jc w:val="left"/>
    </w:pPr>
    <w:rPr>
      <w:rFonts w:ascii="Times New Roman" w:eastAsia="Times New Roman" w:hAnsi="Times New Roman" w:cs="Simplified Arabic" w:hint="cs"/>
      <w:sz w:val="24"/>
      <w:szCs w:val="24"/>
    </w:rPr>
  </w:style>
  <w:style w:type="character" w:customStyle="1" w:styleId="eop">
    <w:name w:val="eop"/>
    <w:basedOn w:val="DefaultParagraphFont"/>
    <w:rsid w:val="001D085F"/>
  </w:style>
  <w:style w:type="character" w:customStyle="1" w:styleId="tabchar">
    <w:name w:val="tabchar"/>
    <w:basedOn w:val="DefaultParagraphFont"/>
    <w:rsid w:val="001D085F"/>
  </w:style>
  <w:style w:type="paragraph" w:styleId="Revision">
    <w:name w:val="Revision"/>
    <w:hidden/>
    <w:uiPriority w:val="99"/>
    <w:semiHidden/>
    <w:rsid w:val="001D085F"/>
    <w:pPr>
      <w:spacing w:after="0" w:line="240" w:lineRule="auto"/>
    </w:pPr>
    <w:rPr>
      <w:rFonts w:ascii="Calibri" w:eastAsia="Times New Roman" w:hAnsi="Calibri" w:cs="Times New Roman"/>
      <w:sz w:val="24"/>
      <w:szCs w:val="20"/>
    </w:rPr>
  </w:style>
  <w:style w:type="paragraph" w:customStyle="1" w:styleId="Summary-Record">
    <w:name w:val="Summary-Record"/>
    <w:basedOn w:val="Source"/>
    <w:rsid w:val="001D085F"/>
    <w:pPr>
      <w:keepNext w:val="0"/>
      <w:keepLines w:val="0"/>
      <w:framePr w:hSpace="181" w:wrap="around" w:vAnchor="page" w:hAnchor="page" w:x="1589" w:y="2314"/>
      <w:tabs>
        <w:tab w:val="clear" w:pos="794"/>
        <w:tab w:val="left" w:pos="567"/>
        <w:tab w:val="left" w:pos="1134"/>
        <w:tab w:val="left" w:pos="1701"/>
        <w:tab w:val="left" w:pos="2268"/>
        <w:tab w:val="left" w:pos="2835"/>
      </w:tabs>
      <w:overflowPunct w:val="0"/>
      <w:autoSpaceDE w:val="0"/>
      <w:autoSpaceDN w:val="0"/>
      <w:bidi w:val="0"/>
      <w:adjustRightInd w:val="0"/>
      <w:spacing w:before="240" w:line="240" w:lineRule="auto"/>
      <w:textAlignment w:val="baseline"/>
    </w:pPr>
    <w:rPr>
      <w:rFonts w:ascii="Times New Roman" w:eastAsia="Times New Roman" w:hAnsi="CG Times" w:cs="Simplified Arabic" w:hint="cs"/>
      <w:bCs w:val="0"/>
      <w:sz w:val="34"/>
      <w:szCs w:val="34"/>
    </w:rPr>
  </w:style>
  <w:style w:type="paragraph" w:styleId="CommentSubject">
    <w:name w:val="annotation subject"/>
    <w:basedOn w:val="CommentText"/>
    <w:next w:val="CommentText"/>
    <w:link w:val="CommentSubjectChar"/>
    <w:semiHidden/>
    <w:unhideWhenUsed/>
    <w:rsid w:val="001D085F"/>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14:ligatures w14:val="none"/>
    </w:rPr>
  </w:style>
  <w:style w:type="character" w:customStyle="1" w:styleId="CommentSubjectChar">
    <w:name w:val="Comment Subject Char"/>
    <w:basedOn w:val="CommentTextChar"/>
    <w:link w:val="CommentSubject"/>
    <w:semiHidden/>
    <w:rsid w:val="001D085F"/>
    <w:rPr>
      <w:rFonts w:ascii="Calibri" w:eastAsia="Times New Roman" w:hAnsi="Calibri" w:cs="Times New Roman"/>
      <w:b/>
      <w:bCs/>
      <w:kern w:val="2"/>
      <w:sz w:val="20"/>
      <w:szCs w:val="30"/>
      <w14:ligatures w14:val="standardContextual"/>
    </w:rPr>
  </w:style>
  <w:style w:type="character" w:styleId="Mention">
    <w:name w:val="Mention"/>
    <w:basedOn w:val="DefaultParagraphFont"/>
    <w:uiPriority w:val="99"/>
    <w:unhideWhenUsed/>
    <w:rsid w:val="001D085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28/en" TargetMode="External"/><Relationship Id="rId18" Type="http://schemas.openxmlformats.org/officeDocument/2006/relationships/hyperlink" Target="http://council.itu.int/2026/wp-content/uploads/sites/6/2026/06/26.05.07-Brazil-statement-on-Ukraine-PL7.pdf" TargetMode="External"/><Relationship Id="rId26" Type="http://schemas.openxmlformats.org/officeDocument/2006/relationships/hyperlink" Target="https://www.itu.int/md/S26-CL-C-0031/en" TargetMode="External"/><Relationship Id="rId3" Type="http://schemas.openxmlformats.org/officeDocument/2006/relationships/styles" Target="styles.xml"/><Relationship Id="rId21" Type="http://schemas.openxmlformats.org/officeDocument/2006/relationships/hyperlink" Target="http://council.itu.int/2026/wp-content/uploads/sites/6/2026/06/26.05.07-Italy_EU-statement-on-Ukraine-PL7.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tu.int/md/S26-CL-C-0083/en" TargetMode="External"/><Relationship Id="rId17" Type="http://schemas.openxmlformats.org/officeDocument/2006/relationships/hyperlink" Target="http://council.itu.int/2026/wp-content/uploads/sites/6/2026/06/26.05.07-Ukraine_43-Joint-Statement-PL7.pdf" TargetMode="External"/><Relationship Id="rId25" Type="http://schemas.openxmlformats.org/officeDocument/2006/relationships/hyperlink" Target="http://council.itu.int/2026/wp-content/uploads/sites/6/2026/06/26.05.07-USA-PL7.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council.itu.int/2026/wp-content/uploads/sites/6/2026/06/26.05.07-Ukraine_43-Joint-Statement-PL7.pdf" TargetMode="External"/><Relationship Id="rId20" Type="http://schemas.openxmlformats.org/officeDocument/2006/relationships/hyperlink" Target="http://council.itu.int/2026/wp-content/uploads/sites/6/2026/06/26.05.07-Italy_EU-statement-on-Ukraine-PL7.pdf" TargetMode="External"/><Relationship Id="rId29" Type="http://schemas.openxmlformats.org/officeDocument/2006/relationships/hyperlink" Target="http://council.itu.int/2026/wp-content/uploads/sites/6/2026/06/26.05.07-UNESCO-DG-speech-PL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31/en" TargetMode="External"/><Relationship Id="rId24" Type="http://schemas.openxmlformats.org/officeDocument/2006/relationships/hyperlink" Target="https://www.itu.int/md/S26-CL-C-0064/en"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tu.int/md/S26-CL-C-0068/en" TargetMode="External"/><Relationship Id="rId23" Type="http://schemas.openxmlformats.org/officeDocument/2006/relationships/hyperlink" Target="http://council.itu.int/2026/wp-content/uploads/sites/6/2026/06/26.05.07-E-Russian-Federation-statement-C26_68-PL7.pdf" TargetMode="External"/><Relationship Id="rId28" Type="http://schemas.openxmlformats.org/officeDocument/2006/relationships/hyperlink" Target="http://council.itu.int/2026/wp-content/uploads/sites/6/2026/06/26.05.07-UNESCO-DG-speech-PL7.pdf" TargetMode="External"/><Relationship Id="rId10" Type="http://schemas.openxmlformats.org/officeDocument/2006/relationships/hyperlink" Target="https://www.itu.int/md/S26-CL-C-0064/en" TargetMode="External"/><Relationship Id="rId19" Type="http://schemas.openxmlformats.org/officeDocument/2006/relationships/hyperlink" Target="http://council.itu.int/2026/wp-content/uploads/sites/6/2026/06/26.05.07-Brazil-statement-on-Ukraine-PL7.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md/S26-CL-C-0068/en" TargetMode="External"/><Relationship Id="rId14" Type="http://schemas.openxmlformats.org/officeDocument/2006/relationships/hyperlink" Target="https://www.itu.int/md/S26-CL-C-0069/en" TargetMode="External"/><Relationship Id="rId22" Type="http://schemas.openxmlformats.org/officeDocument/2006/relationships/hyperlink" Target="http://council.itu.int/2026/wp-content/uploads/sites/6/2026/06/26.05.07-E-Russian-Federation-statement-C26_68-PL7.pdf" TargetMode="External"/><Relationship Id="rId27" Type="http://schemas.openxmlformats.org/officeDocument/2006/relationships/hyperlink" Target="https://www.itu.int/md/S26-CL-C-0083/en" TargetMode="External"/><Relationship Id="rId30" Type="http://schemas.openxmlformats.org/officeDocument/2006/relationships/hyperlink" Target="https://www.itu.int/md/S26-CL-C-0028/en" TargetMode="External"/><Relationship Id="rId35" Type="http://schemas.openxmlformats.org/officeDocument/2006/relationships/theme" Target="theme/theme1.xml"/><Relationship Id="rId8" Type="http://schemas.openxmlformats.org/officeDocument/2006/relationships/hyperlink" Target="https://www.itu.int/md/S26-CL-C-0069/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2</TotalTime>
  <Pages>6</Pages>
  <Words>2650</Words>
  <Characters>16140</Characters>
  <Application>Microsoft Office Word</Application>
  <DocSecurity>0</DocSecurity>
  <Lines>273</Lines>
  <Paragraphs>87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seventh Plenary meeting</dc:title>
  <dc:subject>ITU Council 2026</dc:subject>
  <cp:keywords>C26; C2026; Council 2026; PP26</cp:keywords>
  <dc:description/>
  <dcterms:created xsi:type="dcterms:W3CDTF">2026-08-06T13:05:00Z</dcterms:created>
  <dcterms:modified xsi:type="dcterms:W3CDTF">2026-08-06T14:11:00Z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