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709"/>
        <w:gridCol w:w="3260"/>
        <w:gridCol w:w="3119"/>
        <w:gridCol w:w="2126"/>
      </w:tblGrid>
      <w:tr w:rsidR="004537F3" w:rsidRPr="00813E5E" w14:paraId="35D03B16" w14:textId="77777777" w:rsidTr="003502FD">
        <w:trPr>
          <w:cantSplit/>
          <w:trHeight w:val="23"/>
        </w:trPr>
        <w:tc>
          <w:tcPr>
            <w:tcW w:w="3969" w:type="dxa"/>
            <w:gridSpan w:val="2"/>
            <w:vMerge w:val="restart"/>
            <w:tcMar>
              <w:left w:w="0" w:type="dxa"/>
            </w:tcMar>
          </w:tcPr>
          <w:p w14:paraId="496F4389" w14:textId="77777777" w:rsidR="004537F3" w:rsidRPr="00E85629" w:rsidRDefault="004537F3" w:rsidP="004537F3">
            <w:pPr>
              <w:tabs>
                <w:tab w:val="left" w:pos="851"/>
              </w:tabs>
              <w:spacing w:before="0" w:line="240" w:lineRule="atLeast"/>
              <w:rPr>
                <w:b/>
              </w:rPr>
            </w:pPr>
          </w:p>
        </w:tc>
        <w:tc>
          <w:tcPr>
            <w:tcW w:w="5245" w:type="dxa"/>
            <w:gridSpan w:val="2"/>
          </w:tcPr>
          <w:p w14:paraId="4C7EC173" w14:textId="76B45CD8" w:rsidR="004537F3" w:rsidRPr="00E85629" w:rsidRDefault="004537F3" w:rsidP="004537F3">
            <w:pPr>
              <w:tabs>
                <w:tab w:val="left" w:pos="851"/>
              </w:tabs>
              <w:spacing w:before="0" w:line="240" w:lineRule="atLeast"/>
              <w:jc w:val="right"/>
              <w:rPr>
                <w:b/>
              </w:rPr>
            </w:pPr>
            <w:r>
              <w:rPr>
                <w:b/>
              </w:rPr>
              <w:t>Document C26/123-F</w:t>
            </w:r>
          </w:p>
        </w:tc>
      </w:tr>
      <w:tr w:rsidR="004537F3" w:rsidRPr="00C049D7" w14:paraId="1FB30F9A" w14:textId="77777777" w:rsidTr="003502FD">
        <w:trPr>
          <w:cantSplit/>
        </w:trPr>
        <w:tc>
          <w:tcPr>
            <w:tcW w:w="3969" w:type="dxa"/>
            <w:gridSpan w:val="2"/>
            <w:vMerge/>
          </w:tcPr>
          <w:p w14:paraId="10777A76" w14:textId="77777777" w:rsidR="004537F3" w:rsidRPr="00813E5E" w:rsidRDefault="004537F3" w:rsidP="004537F3">
            <w:pPr>
              <w:tabs>
                <w:tab w:val="left" w:pos="851"/>
              </w:tabs>
              <w:spacing w:line="240" w:lineRule="atLeast"/>
              <w:rPr>
                <w:b/>
              </w:rPr>
            </w:pPr>
          </w:p>
        </w:tc>
        <w:tc>
          <w:tcPr>
            <w:tcW w:w="5245" w:type="dxa"/>
            <w:gridSpan w:val="2"/>
          </w:tcPr>
          <w:p w14:paraId="52A1AE93" w14:textId="38143FB0" w:rsidR="004537F3" w:rsidRPr="00FC6D7D" w:rsidRDefault="008E71AE" w:rsidP="004537F3">
            <w:pPr>
              <w:tabs>
                <w:tab w:val="left" w:pos="851"/>
              </w:tabs>
              <w:spacing w:before="0"/>
              <w:jc w:val="right"/>
              <w:rPr>
                <w:b/>
                <w:lang w:val="en-GB"/>
              </w:rPr>
            </w:pPr>
            <w:r>
              <w:rPr>
                <w:b/>
              </w:rPr>
              <w:t>3 août</w:t>
            </w:r>
            <w:r w:rsidR="004537F3">
              <w:rPr>
                <w:b/>
              </w:rPr>
              <w:t xml:space="preserve"> 2026</w:t>
            </w:r>
          </w:p>
        </w:tc>
      </w:tr>
      <w:tr w:rsidR="004537F3" w:rsidRPr="00813E5E" w14:paraId="1E872B22" w14:textId="77777777" w:rsidTr="003502FD">
        <w:trPr>
          <w:cantSplit/>
          <w:trHeight w:val="23"/>
        </w:trPr>
        <w:tc>
          <w:tcPr>
            <w:tcW w:w="3969" w:type="dxa"/>
            <w:gridSpan w:val="2"/>
            <w:vMerge/>
          </w:tcPr>
          <w:p w14:paraId="336A4463" w14:textId="77777777" w:rsidR="004537F3" w:rsidRPr="00FC6D7D" w:rsidRDefault="004537F3" w:rsidP="004537F3">
            <w:pPr>
              <w:tabs>
                <w:tab w:val="left" w:pos="851"/>
              </w:tabs>
              <w:spacing w:line="240" w:lineRule="atLeast"/>
              <w:rPr>
                <w:b/>
                <w:lang w:val="en-GB"/>
              </w:rPr>
            </w:pPr>
          </w:p>
        </w:tc>
        <w:tc>
          <w:tcPr>
            <w:tcW w:w="5245" w:type="dxa"/>
            <w:gridSpan w:val="2"/>
          </w:tcPr>
          <w:p w14:paraId="0ECE61B6" w14:textId="77777777" w:rsidR="004537F3" w:rsidRPr="00E85629" w:rsidRDefault="004537F3" w:rsidP="004537F3">
            <w:pPr>
              <w:tabs>
                <w:tab w:val="left" w:pos="851"/>
              </w:tabs>
              <w:spacing w:before="0" w:line="240" w:lineRule="atLeast"/>
              <w:jc w:val="right"/>
              <w:rPr>
                <w:b/>
              </w:rPr>
            </w:pPr>
            <w:r w:rsidRPr="00122CE1">
              <w:rPr>
                <w:b/>
                <w:lang w:val="fr-CH"/>
              </w:rPr>
              <w:t>Original: anglais</w:t>
            </w:r>
          </w:p>
        </w:tc>
      </w:tr>
      <w:tr w:rsidR="004537F3" w:rsidRPr="00813E5E" w14:paraId="38241D8C" w14:textId="77777777" w:rsidTr="003502FD">
        <w:trPr>
          <w:cantSplit/>
          <w:trHeight w:val="23"/>
        </w:trPr>
        <w:tc>
          <w:tcPr>
            <w:tcW w:w="3969" w:type="dxa"/>
            <w:gridSpan w:val="2"/>
          </w:tcPr>
          <w:p w14:paraId="428E6AAD" w14:textId="77777777" w:rsidR="004537F3" w:rsidRPr="00813E5E" w:rsidRDefault="004537F3" w:rsidP="004537F3">
            <w:pPr>
              <w:tabs>
                <w:tab w:val="left" w:pos="851"/>
              </w:tabs>
              <w:spacing w:line="240" w:lineRule="atLeast"/>
              <w:rPr>
                <w:b/>
              </w:rPr>
            </w:pPr>
          </w:p>
        </w:tc>
        <w:tc>
          <w:tcPr>
            <w:tcW w:w="5245" w:type="dxa"/>
            <w:gridSpan w:val="2"/>
          </w:tcPr>
          <w:p w14:paraId="6C9F58F2" w14:textId="77777777" w:rsidR="004537F3" w:rsidRDefault="004537F3" w:rsidP="004537F3">
            <w:pPr>
              <w:tabs>
                <w:tab w:val="left" w:pos="851"/>
              </w:tabs>
              <w:spacing w:before="0" w:line="240" w:lineRule="atLeast"/>
              <w:jc w:val="right"/>
              <w:rPr>
                <w:b/>
              </w:rPr>
            </w:pPr>
          </w:p>
        </w:tc>
      </w:tr>
      <w:tr w:rsidR="004537F3" w:rsidRPr="00122CE1" w14:paraId="5AD602E8" w14:textId="77777777" w:rsidTr="003502FD">
        <w:trPr>
          <w:cantSplit/>
        </w:trPr>
        <w:tc>
          <w:tcPr>
            <w:tcW w:w="9214" w:type="dxa"/>
            <w:gridSpan w:val="4"/>
            <w:tcMar>
              <w:left w:w="0" w:type="dxa"/>
            </w:tcMar>
          </w:tcPr>
          <w:p w14:paraId="5C8E5169" w14:textId="5C8FD3A5" w:rsidR="004537F3" w:rsidRPr="00341437" w:rsidRDefault="004537F3" w:rsidP="004537F3">
            <w:pPr>
              <w:pStyle w:val="Summary-Record"/>
              <w:framePr w:hSpace="0" w:wrap="auto" w:vAnchor="margin" w:hAnchor="text" w:xAlign="left" w:yAlign="inline"/>
              <w:rPr>
                <w:bCs/>
                <w:color w:val="000000"/>
                <w:lang w:val="fr-FR"/>
              </w:rPr>
            </w:pPr>
            <w:r>
              <w:rPr>
                <w:bCs/>
                <w:color w:val="000000"/>
                <w:lang w:val="fr-FR"/>
              </w:rPr>
              <w:t>COMPTE RENDU</w:t>
            </w:r>
            <w:r>
              <w:rPr>
                <w:bCs/>
                <w:color w:val="000000"/>
                <w:lang w:val="fr-FR"/>
              </w:rPr>
              <w:br/>
            </w:r>
            <w:r>
              <w:rPr>
                <w:bCs/>
                <w:color w:val="000000"/>
                <w:lang w:val="fr-FR"/>
              </w:rPr>
              <w:br/>
              <w:t>DE LA</w:t>
            </w:r>
            <w:r>
              <w:rPr>
                <w:bCs/>
                <w:color w:val="000000"/>
                <w:lang w:val="fr-FR"/>
              </w:rPr>
              <w:br/>
            </w:r>
            <w:r>
              <w:rPr>
                <w:bCs/>
                <w:color w:val="000000"/>
                <w:lang w:val="fr-FR"/>
              </w:rPr>
              <w:br/>
            </w:r>
            <w:r w:rsidR="00025A64">
              <w:rPr>
                <w:bCs/>
                <w:color w:val="000000"/>
                <w:lang w:val="fr-FR"/>
              </w:rPr>
              <w:t xml:space="preserve">SIXIÈME </w:t>
            </w:r>
            <w:r>
              <w:rPr>
                <w:bCs/>
                <w:color w:val="000000"/>
                <w:lang w:val="fr-FR"/>
              </w:rPr>
              <w:t>SÉANCE PLÉNIÈRE</w:t>
            </w:r>
          </w:p>
        </w:tc>
      </w:tr>
      <w:tr w:rsidR="004537F3" w:rsidRPr="00813E5E" w14:paraId="1117DA53" w14:textId="77777777" w:rsidTr="003502FD">
        <w:trPr>
          <w:cantSplit/>
        </w:trPr>
        <w:tc>
          <w:tcPr>
            <w:tcW w:w="9214" w:type="dxa"/>
            <w:gridSpan w:val="4"/>
            <w:tcMar>
              <w:left w:w="0" w:type="dxa"/>
            </w:tcMar>
          </w:tcPr>
          <w:p w14:paraId="5F3A6F59" w14:textId="66A10BAD" w:rsidR="004537F3" w:rsidRPr="00341437" w:rsidRDefault="006A5DA9" w:rsidP="004537F3">
            <w:pPr>
              <w:spacing w:after="240"/>
              <w:jc w:val="center"/>
            </w:pPr>
            <w:r>
              <w:rPr>
                <w:color w:val="000000"/>
              </w:rPr>
              <w:t>Mercredi 6 mai 202</w:t>
            </w:r>
            <w:r w:rsidR="00890B79">
              <w:rPr>
                <w:color w:val="000000"/>
              </w:rPr>
              <w:t>6</w:t>
            </w:r>
            <w:r>
              <w:rPr>
                <w:color w:val="000000"/>
              </w:rPr>
              <w:t>, de 9 h 40 à 12 h 55</w:t>
            </w:r>
          </w:p>
          <w:p w14:paraId="5FCE86D7" w14:textId="77777777" w:rsidR="004537F3" w:rsidRPr="00C049D7" w:rsidRDefault="004537F3" w:rsidP="004537F3">
            <w:pPr>
              <w:spacing w:after="240"/>
              <w:jc w:val="center"/>
              <w:rPr>
                <w:sz w:val="32"/>
                <w:szCs w:val="32"/>
              </w:rPr>
            </w:pPr>
            <w:r w:rsidRPr="00341437">
              <w:rPr>
                <w:b/>
                <w:bCs/>
              </w:rPr>
              <w:t>Président</w:t>
            </w:r>
            <w:r w:rsidRPr="00341437">
              <w:t>: M. B. Tijani (Nigéria)</w:t>
            </w:r>
          </w:p>
        </w:tc>
      </w:tr>
      <w:tr w:rsidR="004537F3" w:rsidRPr="00341437" w14:paraId="675A8327" w14:textId="77777777" w:rsidTr="003502FD">
        <w:trPr>
          <w:cantSplit/>
          <w:trHeight w:val="502"/>
        </w:trPr>
        <w:tc>
          <w:tcPr>
            <w:tcW w:w="709" w:type="dxa"/>
            <w:tcMar>
              <w:left w:w="0" w:type="dxa"/>
            </w:tcMar>
          </w:tcPr>
          <w:p w14:paraId="5B1F4B10" w14:textId="77777777" w:rsidR="004537F3" w:rsidRPr="00341437" w:rsidRDefault="004537F3" w:rsidP="00E61424">
            <w:pPr>
              <w:spacing w:before="360" w:after="120"/>
              <w:jc w:val="center"/>
              <w:rPr>
                <w:b/>
                <w:bCs/>
              </w:rPr>
            </w:pPr>
          </w:p>
        </w:tc>
        <w:tc>
          <w:tcPr>
            <w:tcW w:w="6379" w:type="dxa"/>
            <w:gridSpan w:val="2"/>
          </w:tcPr>
          <w:p w14:paraId="5A8F8565" w14:textId="77777777" w:rsidR="004537F3" w:rsidRPr="00341437" w:rsidRDefault="004537F3" w:rsidP="00E61424">
            <w:pPr>
              <w:spacing w:before="360" w:after="120"/>
              <w:rPr>
                <w:b/>
                <w:bCs/>
              </w:rPr>
            </w:pPr>
            <w:r w:rsidRPr="00341437">
              <w:rPr>
                <w:b/>
                <w:bCs/>
              </w:rPr>
              <w:t>Sujets traités</w:t>
            </w:r>
          </w:p>
        </w:tc>
        <w:tc>
          <w:tcPr>
            <w:tcW w:w="2126" w:type="dxa"/>
          </w:tcPr>
          <w:p w14:paraId="4EFD52B3" w14:textId="77777777" w:rsidR="004537F3" w:rsidRPr="00341437" w:rsidRDefault="004537F3" w:rsidP="00E61424">
            <w:pPr>
              <w:spacing w:before="360" w:after="120"/>
              <w:jc w:val="center"/>
              <w:rPr>
                <w:b/>
                <w:bCs/>
              </w:rPr>
            </w:pPr>
            <w:r w:rsidRPr="00341437">
              <w:rPr>
                <w:b/>
                <w:bCs/>
              </w:rPr>
              <w:t>Documents</w:t>
            </w:r>
          </w:p>
        </w:tc>
      </w:tr>
      <w:tr w:rsidR="004537F3" w:rsidRPr="00813E5E" w14:paraId="40CCA475" w14:textId="77777777" w:rsidTr="003502FD">
        <w:trPr>
          <w:cantSplit/>
          <w:trHeight w:val="501"/>
        </w:trPr>
        <w:tc>
          <w:tcPr>
            <w:tcW w:w="709" w:type="dxa"/>
            <w:tcMar>
              <w:left w:w="0" w:type="dxa"/>
            </w:tcMar>
          </w:tcPr>
          <w:p w14:paraId="16665F1D" w14:textId="4A712F21" w:rsidR="004537F3" w:rsidRPr="00341437" w:rsidRDefault="004537F3" w:rsidP="004537F3">
            <w:pPr>
              <w:spacing w:after="120"/>
              <w:jc w:val="center"/>
            </w:pPr>
            <w:r>
              <w:rPr>
                <w:color w:val="000000"/>
                <w:szCs w:val="24"/>
              </w:rPr>
              <w:t>1</w:t>
            </w:r>
          </w:p>
        </w:tc>
        <w:tc>
          <w:tcPr>
            <w:tcW w:w="6379" w:type="dxa"/>
            <w:gridSpan w:val="2"/>
          </w:tcPr>
          <w:p w14:paraId="705B9D3F" w14:textId="26206670" w:rsidR="004537F3" w:rsidRPr="00341437" w:rsidRDefault="004537F3" w:rsidP="004537F3">
            <w:pPr>
              <w:spacing w:after="120"/>
            </w:pPr>
            <w:r>
              <w:rPr>
                <w:color w:val="000000"/>
                <w:szCs w:val="24"/>
              </w:rPr>
              <w:t>Rapports de la Présidente du Groupe de travail du Conseil sur le Sommet mondial sur la société de l</w:t>
            </w:r>
            <w:r w:rsidR="00CA53EB">
              <w:rPr>
                <w:color w:val="000000"/>
                <w:szCs w:val="24"/>
              </w:rPr>
              <w:t>'</w:t>
            </w:r>
            <w:r>
              <w:rPr>
                <w:color w:val="000000"/>
                <w:szCs w:val="24"/>
              </w:rPr>
              <w:t>information et les Objectifs de développement durable</w:t>
            </w:r>
          </w:p>
        </w:tc>
        <w:tc>
          <w:tcPr>
            <w:tcW w:w="2126" w:type="dxa"/>
          </w:tcPr>
          <w:p w14:paraId="05AC5F32" w14:textId="2028A4D4" w:rsidR="004537F3" w:rsidRPr="00341437" w:rsidRDefault="004537F3" w:rsidP="004537F3">
            <w:pPr>
              <w:spacing w:after="120"/>
              <w:jc w:val="center"/>
            </w:pPr>
            <w:hyperlink r:id="rId8" w:history="1">
              <w:r w:rsidRPr="008756BE">
                <w:rPr>
                  <w:rStyle w:val="Hyperlink"/>
                  <w:szCs w:val="24"/>
                  <w:lang w:val="en-GB"/>
                </w:rPr>
                <w:t>C26/8</w:t>
              </w:r>
            </w:hyperlink>
            <w:r w:rsidR="00293EE7">
              <w:rPr>
                <w:szCs w:val="24"/>
                <w:lang w:val="en-GB"/>
              </w:rPr>
              <w:t>;</w:t>
            </w:r>
            <w:r w:rsidRPr="008756BE">
              <w:rPr>
                <w:szCs w:val="24"/>
                <w:lang w:val="en-GB"/>
              </w:rPr>
              <w:t xml:space="preserve"> </w:t>
            </w:r>
            <w:hyperlink r:id="rId9" w:history="1">
              <w:r w:rsidRPr="008756BE">
                <w:rPr>
                  <w:rStyle w:val="Hyperlink"/>
                  <w:szCs w:val="24"/>
                  <w:lang w:val="en-GB"/>
                </w:rPr>
                <w:t>C26/10</w:t>
              </w:r>
            </w:hyperlink>
          </w:p>
        </w:tc>
      </w:tr>
      <w:tr w:rsidR="004537F3" w:rsidRPr="00813E5E" w14:paraId="12EC0CE3" w14:textId="77777777" w:rsidTr="003502FD">
        <w:trPr>
          <w:cantSplit/>
          <w:trHeight w:val="501"/>
        </w:trPr>
        <w:tc>
          <w:tcPr>
            <w:tcW w:w="709" w:type="dxa"/>
            <w:tcMar>
              <w:left w:w="0" w:type="dxa"/>
            </w:tcMar>
          </w:tcPr>
          <w:p w14:paraId="05CDE530" w14:textId="34258537" w:rsidR="004537F3" w:rsidRPr="00341437" w:rsidRDefault="004537F3" w:rsidP="004537F3">
            <w:pPr>
              <w:spacing w:after="120"/>
              <w:jc w:val="center"/>
            </w:pPr>
            <w:r>
              <w:rPr>
                <w:color w:val="000000"/>
                <w:szCs w:val="24"/>
              </w:rPr>
              <w:t>2</w:t>
            </w:r>
          </w:p>
        </w:tc>
        <w:tc>
          <w:tcPr>
            <w:tcW w:w="6379" w:type="dxa"/>
            <w:gridSpan w:val="2"/>
          </w:tcPr>
          <w:p w14:paraId="46DE1D42" w14:textId="53EB883F" w:rsidR="004537F3" w:rsidRPr="00341437" w:rsidRDefault="004537F3" w:rsidP="004537F3">
            <w:pPr>
              <w:spacing w:after="120"/>
            </w:pPr>
            <w:r>
              <w:rPr>
                <w:color w:val="000000"/>
                <w:szCs w:val="24"/>
              </w:rPr>
              <w:t>Rapport final et exhaustif sur les activités menées par l</w:t>
            </w:r>
            <w:r w:rsidR="00CA53EB">
              <w:rPr>
                <w:color w:val="000000"/>
                <w:szCs w:val="24"/>
              </w:rPr>
              <w:t>'</w:t>
            </w:r>
            <w:r>
              <w:rPr>
                <w:color w:val="000000"/>
                <w:szCs w:val="24"/>
              </w:rPr>
              <w:t>UIT dans le cadre de la mise en œuvre des résultats du SMSI et du Programme de développement durable à l</w:t>
            </w:r>
            <w:r w:rsidR="00CA53EB">
              <w:rPr>
                <w:color w:val="000000"/>
                <w:szCs w:val="24"/>
              </w:rPr>
              <w:t>'</w:t>
            </w:r>
            <w:r>
              <w:rPr>
                <w:color w:val="000000"/>
                <w:szCs w:val="24"/>
              </w:rPr>
              <w:t>horizon 2030</w:t>
            </w:r>
          </w:p>
        </w:tc>
        <w:tc>
          <w:tcPr>
            <w:tcW w:w="2126" w:type="dxa"/>
          </w:tcPr>
          <w:p w14:paraId="52153701" w14:textId="45E16954" w:rsidR="004537F3" w:rsidRPr="00341437" w:rsidRDefault="004537F3" w:rsidP="004537F3">
            <w:pPr>
              <w:spacing w:after="120"/>
              <w:jc w:val="center"/>
            </w:pPr>
            <w:hyperlink r:id="rId10" w:history="1">
              <w:r w:rsidRPr="008756BE">
                <w:rPr>
                  <w:rStyle w:val="Hyperlink"/>
                  <w:szCs w:val="24"/>
                  <w:lang w:val="en-GB"/>
                </w:rPr>
                <w:t>C26/58</w:t>
              </w:r>
            </w:hyperlink>
          </w:p>
        </w:tc>
      </w:tr>
      <w:tr w:rsidR="004537F3" w:rsidRPr="00813E5E" w14:paraId="01D4DB3E" w14:textId="77777777" w:rsidTr="003502FD">
        <w:trPr>
          <w:cantSplit/>
          <w:trHeight w:val="501"/>
        </w:trPr>
        <w:tc>
          <w:tcPr>
            <w:tcW w:w="709" w:type="dxa"/>
            <w:tcMar>
              <w:left w:w="0" w:type="dxa"/>
            </w:tcMar>
          </w:tcPr>
          <w:p w14:paraId="04B72D0C" w14:textId="66C6D652" w:rsidR="004537F3" w:rsidRPr="00341437" w:rsidRDefault="004537F3" w:rsidP="004537F3">
            <w:pPr>
              <w:spacing w:after="120"/>
              <w:jc w:val="center"/>
            </w:pPr>
            <w:r>
              <w:rPr>
                <w:color w:val="000000"/>
                <w:szCs w:val="24"/>
              </w:rPr>
              <w:t>3</w:t>
            </w:r>
          </w:p>
        </w:tc>
        <w:tc>
          <w:tcPr>
            <w:tcW w:w="6379" w:type="dxa"/>
            <w:gridSpan w:val="2"/>
          </w:tcPr>
          <w:p w14:paraId="0247CAE7" w14:textId="402978F6" w:rsidR="004537F3" w:rsidRPr="00341437" w:rsidRDefault="004537F3" w:rsidP="004537F3">
            <w:pPr>
              <w:spacing w:after="120"/>
            </w:pPr>
            <w:r>
              <w:rPr>
                <w:color w:val="000000"/>
                <w:szCs w:val="24"/>
              </w:rPr>
              <w:t>Rapport sur les résultats de l</w:t>
            </w:r>
            <w:r w:rsidR="00CA53EB">
              <w:rPr>
                <w:color w:val="000000"/>
                <w:szCs w:val="24"/>
              </w:rPr>
              <w:t>'</w:t>
            </w:r>
            <w:r>
              <w:rPr>
                <w:color w:val="000000"/>
                <w:szCs w:val="24"/>
              </w:rPr>
              <w:t>examen d</w:t>
            </w:r>
            <w:r w:rsidR="00CA53EB">
              <w:rPr>
                <w:color w:val="000000"/>
                <w:szCs w:val="24"/>
              </w:rPr>
              <w:t>'</w:t>
            </w:r>
            <w:r>
              <w:rPr>
                <w:color w:val="000000"/>
                <w:szCs w:val="24"/>
              </w:rPr>
              <w:t>ensemble des 20 ans du SMSI effectué par l</w:t>
            </w:r>
            <w:r w:rsidR="00CA53EB">
              <w:rPr>
                <w:color w:val="000000"/>
                <w:szCs w:val="24"/>
              </w:rPr>
              <w:t>'</w:t>
            </w:r>
            <w:r>
              <w:rPr>
                <w:color w:val="000000"/>
                <w:szCs w:val="24"/>
              </w:rPr>
              <w:t>Assemblée générale des Nations Unies en 2025</w:t>
            </w:r>
          </w:p>
        </w:tc>
        <w:tc>
          <w:tcPr>
            <w:tcW w:w="2126" w:type="dxa"/>
          </w:tcPr>
          <w:p w14:paraId="173FB379" w14:textId="5FD666A2" w:rsidR="004537F3" w:rsidRPr="00341437" w:rsidRDefault="004537F3" w:rsidP="004537F3">
            <w:pPr>
              <w:spacing w:after="120"/>
              <w:jc w:val="center"/>
            </w:pPr>
            <w:hyperlink r:id="rId11" w:history="1">
              <w:r w:rsidRPr="008756BE">
                <w:rPr>
                  <w:rStyle w:val="Hyperlink"/>
                  <w:szCs w:val="24"/>
                  <w:lang w:val="en-GB"/>
                </w:rPr>
                <w:t>C26/59</w:t>
              </w:r>
            </w:hyperlink>
          </w:p>
        </w:tc>
      </w:tr>
      <w:tr w:rsidR="004537F3" w:rsidRPr="00813E5E" w14:paraId="7F161EF5" w14:textId="77777777" w:rsidTr="003502FD">
        <w:trPr>
          <w:cantSplit/>
          <w:trHeight w:val="501"/>
        </w:trPr>
        <w:tc>
          <w:tcPr>
            <w:tcW w:w="709" w:type="dxa"/>
            <w:tcMar>
              <w:left w:w="0" w:type="dxa"/>
            </w:tcMar>
          </w:tcPr>
          <w:p w14:paraId="5DEB7911" w14:textId="522EDF03" w:rsidR="004537F3" w:rsidRPr="00341437" w:rsidRDefault="004537F3" w:rsidP="004537F3">
            <w:pPr>
              <w:spacing w:after="120"/>
              <w:jc w:val="center"/>
            </w:pPr>
            <w:r>
              <w:rPr>
                <w:color w:val="000000"/>
                <w:szCs w:val="24"/>
              </w:rPr>
              <w:t>4</w:t>
            </w:r>
          </w:p>
        </w:tc>
        <w:tc>
          <w:tcPr>
            <w:tcW w:w="6379" w:type="dxa"/>
            <w:gridSpan w:val="2"/>
          </w:tcPr>
          <w:p w14:paraId="2D906D14" w14:textId="1FEC1E2D" w:rsidR="004537F3" w:rsidRPr="00341437" w:rsidRDefault="004537F3" w:rsidP="004537F3">
            <w:pPr>
              <w:spacing w:after="120"/>
            </w:pPr>
            <w:r>
              <w:rPr>
                <w:color w:val="000000"/>
                <w:szCs w:val="24"/>
              </w:rPr>
              <w:t>Analyse des lacunes concernant la mise à jour des Résolutions</w:t>
            </w:r>
            <w:r w:rsidR="006A4B95">
              <w:rPr>
                <w:color w:val="000000"/>
                <w:szCs w:val="24"/>
              </w:rPr>
              <w:t> </w:t>
            </w:r>
            <w:r>
              <w:rPr>
                <w:color w:val="000000"/>
                <w:szCs w:val="24"/>
              </w:rPr>
              <w:t>1332 (C11, dernière mod. C24) et 1334 (C11,</w:t>
            </w:r>
            <w:r w:rsidR="006A4B95">
              <w:rPr>
                <w:color w:val="000000"/>
                <w:szCs w:val="24"/>
              </w:rPr>
              <w:t> </w:t>
            </w:r>
            <w:r>
              <w:rPr>
                <w:color w:val="000000"/>
                <w:szCs w:val="24"/>
              </w:rPr>
              <w:t>dernière mod. C23) du Conseil, de la Résolution</w:t>
            </w:r>
            <w:r w:rsidR="00293EE7">
              <w:rPr>
                <w:color w:val="000000"/>
                <w:szCs w:val="24"/>
              </w:rPr>
              <w:t> </w:t>
            </w:r>
            <w:r>
              <w:rPr>
                <w:color w:val="000000"/>
                <w:szCs w:val="24"/>
              </w:rPr>
              <w:t>140</w:t>
            </w:r>
            <w:r w:rsidR="00293EE7">
              <w:rPr>
                <w:color w:val="000000"/>
                <w:szCs w:val="24"/>
              </w:rPr>
              <w:t> </w:t>
            </w:r>
            <w:r>
              <w:rPr>
                <w:color w:val="000000"/>
                <w:szCs w:val="24"/>
              </w:rPr>
              <w:t>(Rév.</w:t>
            </w:r>
            <w:r w:rsidR="006A4B95">
              <w:rPr>
                <w:color w:val="000000"/>
                <w:szCs w:val="24"/>
              </w:rPr>
              <w:t> </w:t>
            </w:r>
            <w:r>
              <w:rPr>
                <w:color w:val="000000"/>
                <w:szCs w:val="24"/>
              </w:rPr>
              <w:t>Bucarest, 2022) de la Conférence de plénipotentiaires et du mandat du GTC-Internet à la lumière des résultats de l</w:t>
            </w:r>
            <w:r w:rsidR="00CA53EB">
              <w:rPr>
                <w:color w:val="000000"/>
                <w:szCs w:val="24"/>
              </w:rPr>
              <w:t>'</w:t>
            </w:r>
            <w:r>
              <w:rPr>
                <w:color w:val="000000"/>
                <w:szCs w:val="24"/>
              </w:rPr>
              <w:t>examen du SMSI+20</w:t>
            </w:r>
          </w:p>
        </w:tc>
        <w:tc>
          <w:tcPr>
            <w:tcW w:w="2126" w:type="dxa"/>
          </w:tcPr>
          <w:p w14:paraId="18B551F7" w14:textId="347B0843" w:rsidR="004537F3" w:rsidRPr="00341437" w:rsidRDefault="004537F3" w:rsidP="004537F3">
            <w:pPr>
              <w:spacing w:after="120"/>
              <w:jc w:val="center"/>
            </w:pPr>
            <w:hyperlink r:id="rId12" w:history="1">
              <w:r w:rsidRPr="008756BE">
                <w:rPr>
                  <w:rStyle w:val="Hyperlink"/>
                  <w:szCs w:val="24"/>
                  <w:lang w:val="en-GB"/>
                </w:rPr>
                <w:t>C26/60</w:t>
              </w:r>
            </w:hyperlink>
            <w:r w:rsidR="00293EE7">
              <w:rPr>
                <w:szCs w:val="24"/>
                <w:lang w:val="en-GB"/>
              </w:rPr>
              <w:t>;</w:t>
            </w:r>
            <w:r w:rsidRPr="008756BE">
              <w:rPr>
                <w:szCs w:val="24"/>
                <w:lang w:val="en-GB"/>
              </w:rPr>
              <w:t xml:space="preserve"> </w:t>
            </w:r>
            <w:hyperlink r:id="rId13" w:history="1">
              <w:r w:rsidRPr="008756BE">
                <w:rPr>
                  <w:rStyle w:val="Hyperlink"/>
                  <w:szCs w:val="24"/>
                  <w:lang w:val="en-GB"/>
                </w:rPr>
                <w:t>C26/93</w:t>
              </w:r>
            </w:hyperlink>
          </w:p>
        </w:tc>
      </w:tr>
      <w:tr w:rsidR="004537F3" w:rsidRPr="00813E5E" w14:paraId="131E4D24" w14:textId="77777777" w:rsidTr="003502FD">
        <w:trPr>
          <w:cantSplit/>
          <w:trHeight w:val="501"/>
        </w:trPr>
        <w:tc>
          <w:tcPr>
            <w:tcW w:w="709" w:type="dxa"/>
            <w:tcMar>
              <w:left w:w="0" w:type="dxa"/>
            </w:tcMar>
          </w:tcPr>
          <w:p w14:paraId="0EAE9FFB" w14:textId="6D463877" w:rsidR="004537F3" w:rsidRPr="00341437" w:rsidRDefault="004537F3" w:rsidP="004537F3">
            <w:pPr>
              <w:spacing w:after="120"/>
              <w:jc w:val="center"/>
            </w:pPr>
            <w:r>
              <w:rPr>
                <w:color w:val="000000"/>
                <w:szCs w:val="24"/>
              </w:rPr>
              <w:t>5</w:t>
            </w:r>
          </w:p>
        </w:tc>
        <w:tc>
          <w:tcPr>
            <w:tcW w:w="6379" w:type="dxa"/>
            <w:gridSpan w:val="2"/>
          </w:tcPr>
          <w:p w14:paraId="5C3C2724" w14:textId="78DC275B" w:rsidR="004537F3" w:rsidRPr="00341437" w:rsidRDefault="004537F3" w:rsidP="004537F3">
            <w:pPr>
              <w:spacing w:after="120"/>
            </w:pPr>
            <w:r>
              <w:rPr>
                <w:color w:val="000000"/>
                <w:szCs w:val="24"/>
              </w:rPr>
              <w:t>Contribution de l</w:t>
            </w:r>
            <w:r w:rsidR="00CA53EB">
              <w:rPr>
                <w:color w:val="000000"/>
                <w:szCs w:val="24"/>
              </w:rPr>
              <w:t>'</w:t>
            </w:r>
            <w:r>
              <w:rPr>
                <w:color w:val="000000"/>
                <w:szCs w:val="24"/>
              </w:rPr>
              <w:t>UIT à l</w:t>
            </w:r>
            <w:r w:rsidR="00CA53EB">
              <w:rPr>
                <w:color w:val="000000"/>
                <w:szCs w:val="24"/>
              </w:rPr>
              <w:t>'</w:t>
            </w:r>
            <w:r>
              <w:rPr>
                <w:color w:val="000000"/>
                <w:szCs w:val="24"/>
              </w:rPr>
              <w:t>Initiative ONU80</w:t>
            </w:r>
          </w:p>
        </w:tc>
        <w:tc>
          <w:tcPr>
            <w:tcW w:w="2126" w:type="dxa"/>
          </w:tcPr>
          <w:p w14:paraId="0AB66A72" w14:textId="3FD47AA7" w:rsidR="004537F3" w:rsidRPr="00341437" w:rsidRDefault="004537F3" w:rsidP="004537F3">
            <w:pPr>
              <w:spacing w:after="120"/>
              <w:jc w:val="center"/>
            </w:pPr>
            <w:hyperlink r:id="rId14" w:history="1">
              <w:r w:rsidRPr="008756BE">
                <w:rPr>
                  <w:rStyle w:val="Hyperlink"/>
                  <w:szCs w:val="24"/>
                  <w:lang w:val="en-GB"/>
                </w:rPr>
                <w:t>C26/61</w:t>
              </w:r>
            </w:hyperlink>
          </w:p>
        </w:tc>
      </w:tr>
      <w:tr w:rsidR="004537F3" w:rsidRPr="00813E5E" w14:paraId="3CBF3E6F" w14:textId="77777777" w:rsidTr="003502FD">
        <w:trPr>
          <w:cantSplit/>
          <w:trHeight w:val="501"/>
        </w:trPr>
        <w:tc>
          <w:tcPr>
            <w:tcW w:w="709" w:type="dxa"/>
            <w:tcMar>
              <w:left w:w="0" w:type="dxa"/>
            </w:tcMar>
          </w:tcPr>
          <w:p w14:paraId="3D438A17" w14:textId="294F33D7" w:rsidR="004537F3" w:rsidRDefault="004537F3" w:rsidP="004537F3">
            <w:pPr>
              <w:spacing w:after="120"/>
              <w:jc w:val="center"/>
              <w:rPr>
                <w:color w:val="000000"/>
                <w:szCs w:val="24"/>
              </w:rPr>
            </w:pPr>
            <w:r>
              <w:rPr>
                <w:color w:val="000000"/>
                <w:szCs w:val="24"/>
              </w:rPr>
              <w:t>6</w:t>
            </w:r>
          </w:p>
        </w:tc>
        <w:tc>
          <w:tcPr>
            <w:tcW w:w="6379" w:type="dxa"/>
            <w:gridSpan w:val="2"/>
          </w:tcPr>
          <w:p w14:paraId="63157636" w14:textId="20D1720A" w:rsidR="004537F3" w:rsidRDefault="004537F3" w:rsidP="004537F3">
            <w:pPr>
              <w:spacing w:after="120"/>
              <w:rPr>
                <w:color w:val="000000"/>
                <w:szCs w:val="24"/>
              </w:rPr>
            </w:pPr>
            <w:r>
              <w:rPr>
                <w:color w:val="000000"/>
                <w:szCs w:val="24"/>
              </w:rPr>
              <w:t>Rapport d</w:t>
            </w:r>
            <w:r w:rsidR="00CA53EB">
              <w:rPr>
                <w:color w:val="000000"/>
                <w:szCs w:val="24"/>
              </w:rPr>
              <w:t>'</w:t>
            </w:r>
            <w:r>
              <w:rPr>
                <w:color w:val="000000"/>
                <w:szCs w:val="24"/>
              </w:rPr>
              <w:t>activité sur l</w:t>
            </w:r>
            <w:r w:rsidR="00CA53EB">
              <w:rPr>
                <w:color w:val="000000"/>
                <w:szCs w:val="24"/>
              </w:rPr>
              <w:t>'</w:t>
            </w:r>
            <w:r>
              <w:rPr>
                <w:color w:val="000000"/>
                <w:szCs w:val="24"/>
              </w:rPr>
              <w:t>assistance et l</w:t>
            </w:r>
            <w:r w:rsidR="00CA53EB">
              <w:rPr>
                <w:color w:val="000000"/>
                <w:szCs w:val="24"/>
              </w:rPr>
              <w:t>'</w:t>
            </w:r>
            <w:r>
              <w:rPr>
                <w:color w:val="000000"/>
                <w:szCs w:val="24"/>
              </w:rPr>
              <w:t>appui à la Palestine</w:t>
            </w:r>
          </w:p>
        </w:tc>
        <w:tc>
          <w:tcPr>
            <w:tcW w:w="2126" w:type="dxa"/>
          </w:tcPr>
          <w:p w14:paraId="4964D7FF" w14:textId="340BC1C9" w:rsidR="004537F3" w:rsidRDefault="004537F3" w:rsidP="004537F3">
            <w:pPr>
              <w:spacing w:after="120"/>
              <w:jc w:val="center"/>
            </w:pPr>
            <w:hyperlink r:id="rId15" w:history="1">
              <w:r w:rsidRPr="008756BE">
                <w:rPr>
                  <w:rStyle w:val="Hyperlink"/>
                  <w:szCs w:val="24"/>
                  <w:lang w:val="en-GB"/>
                </w:rPr>
                <w:t>C26/69</w:t>
              </w:r>
            </w:hyperlink>
          </w:p>
        </w:tc>
      </w:tr>
      <w:tr w:rsidR="004537F3" w:rsidRPr="00813E5E" w14:paraId="68D799DB" w14:textId="77777777" w:rsidTr="003502FD">
        <w:trPr>
          <w:cantSplit/>
          <w:trHeight w:val="501"/>
        </w:trPr>
        <w:tc>
          <w:tcPr>
            <w:tcW w:w="709" w:type="dxa"/>
            <w:tcMar>
              <w:left w:w="0" w:type="dxa"/>
            </w:tcMar>
          </w:tcPr>
          <w:p w14:paraId="47C6317D" w14:textId="440B1994" w:rsidR="004537F3" w:rsidRDefault="004537F3" w:rsidP="004537F3">
            <w:pPr>
              <w:spacing w:after="120"/>
              <w:jc w:val="center"/>
              <w:rPr>
                <w:color w:val="000000"/>
                <w:szCs w:val="24"/>
              </w:rPr>
            </w:pPr>
            <w:r>
              <w:rPr>
                <w:color w:val="000000"/>
                <w:szCs w:val="24"/>
              </w:rPr>
              <w:t>7</w:t>
            </w:r>
          </w:p>
        </w:tc>
        <w:tc>
          <w:tcPr>
            <w:tcW w:w="6379" w:type="dxa"/>
            <w:gridSpan w:val="2"/>
          </w:tcPr>
          <w:p w14:paraId="19656061" w14:textId="78E11DBA" w:rsidR="004537F3" w:rsidRDefault="004537F3" w:rsidP="004537F3">
            <w:pPr>
              <w:spacing w:after="120"/>
              <w:rPr>
                <w:color w:val="000000"/>
                <w:szCs w:val="24"/>
              </w:rPr>
            </w:pPr>
            <w:r>
              <w:rPr>
                <w:color w:val="000000"/>
                <w:szCs w:val="24"/>
              </w:rPr>
              <w:t>Déclarations des observateurs</w:t>
            </w:r>
          </w:p>
        </w:tc>
        <w:tc>
          <w:tcPr>
            <w:tcW w:w="2126" w:type="dxa"/>
          </w:tcPr>
          <w:p w14:paraId="612F2627" w14:textId="6F3E560A" w:rsidR="004537F3" w:rsidRDefault="004537F3" w:rsidP="004537F3">
            <w:pPr>
              <w:spacing w:after="120"/>
              <w:jc w:val="center"/>
            </w:pPr>
            <w:r>
              <w:rPr>
                <w:rFonts w:cs="Calibri"/>
                <w:szCs w:val="24"/>
                <w:lang w:val="en-GB"/>
              </w:rPr>
              <w:t>–</w:t>
            </w:r>
          </w:p>
        </w:tc>
      </w:tr>
    </w:tbl>
    <w:p w14:paraId="05FA2A30" w14:textId="77777777" w:rsidR="00A51849" w:rsidRDefault="00A51849">
      <w:pPr>
        <w:tabs>
          <w:tab w:val="clear" w:pos="567"/>
          <w:tab w:val="clear" w:pos="1134"/>
          <w:tab w:val="clear" w:pos="1701"/>
          <w:tab w:val="clear" w:pos="2268"/>
          <w:tab w:val="clear" w:pos="2835"/>
        </w:tabs>
        <w:overflowPunct/>
        <w:autoSpaceDE/>
        <w:autoSpaceDN/>
        <w:adjustRightInd/>
        <w:spacing w:before="0"/>
        <w:textAlignment w:val="auto"/>
      </w:pPr>
      <w:r>
        <w:br w:type="page"/>
      </w:r>
    </w:p>
    <w:p w14:paraId="352A6EBC" w14:textId="67657DC5" w:rsidR="004537F3" w:rsidRPr="008756BE" w:rsidRDefault="004537F3" w:rsidP="004537F3">
      <w:pPr>
        <w:pStyle w:val="Heading1"/>
      </w:pPr>
      <w:r>
        <w:rPr>
          <w:bCs/>
        </w:rPr>
        <w:lastRenderedPageBreak/>
        <w:t>1</w:t>
      </w:r>
      <w:r>
        <w:tab/>
      </w:r>
      <w:r>
        <w:rPr>
          <w:bCs/>
        </w:rPr>
        <w:t>Rapports de la Présidente du Groupe de travail du Conseil sur le Sommet</w:t>
      </w:r>
      <w:r w:rsidR="00293EE7">
        <w:rPr>
          <w:bCs/>
        </w:rPr>
        <w:t> </w:t>
      </w:r>
      <w:r>
        <w:rPr>
          <w:bCs/>
        </w:rPr>
        <w:t>mondial sur la société de l</w:t>
      </w:r>
      <w:r w:rsidR="00CA53EB">
        <w:rPr>
          <w:bCs/>
        </w:rPr>
        <w:t>'</w:t>
      </w:r>
      <w:r>
        <w:rPr>
          <w:bCs/>
        </w:rPr>
        <w:t>information et les Objectifs de développement durable</w:t>
      </w:r>
      <w:r w:rsidR="005E408B">
        <w:rPr>
          <w:bCs/>
        </w:rPr>
        <w:t xml:space="preserve"> (</w:t>
      </w:r>
      <w:r w:rsidR="00890B79" w:rsidRPr="00890B79">
        <w:rPr>
          <w:bCs/>
        </w:rPr>
        <w:t xml:space="preserve">Documents </w:t>
      </w:r>
      <w:hyperlink r:id="rId16" w:history="1">
        <w:hyperlink r:id="rId17" w:history="1">
          <w:r w:rsidR="008E71AE" w:rsidRPr="00011B8E">
            <w:rPr>
              <w:rStyle w:val="Hyperlink"/>
              <w:rFonts w:eastAsia="Times New Roman" w:cs="Times New Roman"/>
              <w:szCs w:val="20"/>
            </w:rPr>
            <w:t>C26/8</w:t>
          </w:r>
        </w:hyperlink>
      </w:hyperlink>
      <w:r w:rsidRPr="00BB490E">
        <w:rPr>
          <w:bCs/>
        </w:rPr>
        <w:t xml:space="preserve"> </w:t>
      </w:r>
      <w:r>
        <w:rPr>
          <w:bCs/>
        </w:rPr>
        <w:t>et</w:t>
      </w:r>
      <w:r w:rsidRPr="00BB490E">
        <w:rPr>
          <w:bCs/>
        </w:rPr>
        <w:t xml:space="preserve"> </w:t>
      </w:r>
      <w:hyperlink r:id="rId18">
        <w:proofErr w:type="spellStart"/>
        <w:r w:rsidRPr="00BB490E">
          <w:rPr>
            <w:rStyle w:val="Hyperlink"/>
            <w:bCs/>
          </w:rPr>
          <w:t>C26</w:t>
        </w:r>
        <w:proofErr w:type="spellEnd"/>
        <w:r w:rsidRPr="00BB490E">
          <w:rPr>
            <w:rStyle w:val="Hyperlink"/>
            <w:bCs/>
          </w:rPr>
          <w:t>/10</w:t>
        </w:r>
      </w:hyperlink>
      <w:r>
        <w:rPr>
          <w:bCs/>
        </w:rPr>
        <w:t>)</w:t>
      </w:r>
      <w:hyperlink r:id="rId19"/>
      <w:hyperlink r:id="rId20"/>
    </w:p>
    <w:p w14:paraId="37E6F7F1" w14:textId="12593829" w:rsidR="004537F3" w:rsidRPr="008756BE" w:rsidRDefault="004537F3" w:rsidP="00890B79">
      <w:pPr>
        <w:jc w:val="both"/>
      </w:pPr>
      <w:r>
        <w:t>1.1</w:t>
      </w:r>
      <w:r>
        <w:tab/>
        <w:t>La Présidente du Groupe de travail du Conseil sur le Sommet mondial sur la société de l</w:t>
      </w:r>
      <w:r w:rsidR="00CA53EB">
        <w:t>'</w:t>
      </w:r>
      <w:r>
        <w:t xml:space="preserve">information (SMSI) et les Objectifs de développement durable (ODD) (GTC-SMSI/ODD) présente le rapport figurant dans le Document C26/8, qui résume les principaux résultats des 43ème et 44ème réunions du </w:t>
      </w:r>
      <w:r w:rsidR="00293EE7">
        <w:t>g</w:t>
      </w:r>
      <w:r>
        <w:t>roupe. Elle présente également le rapport quadriennal du GTC-SMSI/ODD (Document C26/10), qui contient des liens vers des résumés des six</w:t>
      </w:r>
      <w:r w:rsidR="006A4B95">
        <w:t> </w:t>
      </w:r>
      <w:r>
        <w:t xml:space="preserve">réunions du </w:t>
      </w:r>
      <w:r w:rsidR="00293EE7">
        <w:t>g</w:t>
      </w:r>
      <w:r>
        <w:t>roupe de travail tenues depuis la Conférence de plénipotentiaires de 2022 (PP-22). Le</w:t>
      </w:r>
      <w:r w:rsidR="00293EE7">
        <w:t> </w:t>
      </w:r>
      <w:r>
        <w:t>Conseil est invité à recommander à la Conférence de plénipotentiaires (Doha,</w:t>
      </w:r>
      <w:r w:rsidR="006A4B95">
        <w:t> </w:t>
      </w:r>
      <w:r>
        <w:t>2026) (PP</w:t>
      </w:r>
      <w:r w:rsidR="00293EE7">
        <w:noBreakHyphen/>
      </w:r>
      <w:r>
        <w:t>26) de maintenir le Groupe GTC-SMSI/ODD pour la prochaine période de quatre ans.</w:t>
      </w:r>
    </w:p>
    <w:p w14:paraId="32C2A3A1" w14:textId="3F35440D" w:rsidR="004537F3" w:rsidRPr="008756BE" w:rsidRDefault="004537F3" w:rsidP="00890B79">
      <w:pPr>
        <w:jc w:val="both"/>
      </w:pPr>
      <w:r>
        <w:t>1.2</w:t>
      </w:r>
      <w:r>
        <w:tab/>
        <w:t xml:space="preserve">Les conseillers considèrent que le </w:t>
      </w:r>
      <w:r w:rsidR="00293EE7">
        <w:t>g</w:t>
      </w:r>
      <w:r>
        <w:t>roupe de travail constitue un cadre important pour suivre les progrès accomplis, encourager un dialogue inclusif et donner des orientations sur la contribution de l</w:t>
      </w:r>
      <w:r w:rsidR="00CA53EB">
        <w:t>'</w:t>
      </w:r>
      <w:r>
        <w:t>UIT au processus et aux résultats du SMSI et à la mise en œuvre du Programme de développement durable à l</w:t>
      </w:r>
      <w:r w:rsidR="00CA53EB">
        <w:t>'</w:t>
      </w:r>
      <w:r>
        <w:t xml:space="preserve">horizon 2030, et félicitent la Présidente pour la compétence avec laquelle elle a dirigé le </w:t>
      </w:r>
      <w:r w:rsidR="00293EE7">
        <w:t>g</w:t>
      </w:r>
      <w:r>
        <w:t xml:space="preserve">roupe. Ils sont favorables à la poursuite des activités du </w:t>
      </w:r>
      <w:r w:rsidR="00293EE7">
        <w:t>g</w:t>
      </w:r>
      <w:r>
        <w:t xml:space="preserve">roupe au cours de la prochaine période de quatre ans. Certains conseillers suggèrent que le </w:t>
      </w:r>
      <w:r w:rsidR="00293EE7">
        <w:t>g</w:t>
      </w:r>
      <w:r>
        <w:t>roupe de travail se concentre sur la définition de directives pratiques, de produits clairs et d</w:t>
      </w:r>
      <w:r w:rsidR="00CA53EB">
        <w:t>'</w:t>
      </w:r>
      <w:r>
        <w:t>indicateurs mesurables pour mieux évaluer les progrès et les retombées.</w:t>
      </w:r>
    </w:p>
    <w:p w14:paraId="700C3179" w14:textId="3444CE46" w:rsidR="004537F3" w:rsidRPr="008756BE" w:rsidRDefault="004537F3" w:rsidP="00890B79">
      <w:pPr>
        <w:jc w:val="both"/>
      </w:pPr>
      <w:r>
        <w:t>1.3</w:t>
      </w:r>
      <w:r>
        <w:tab/>
        <w:t xml:space="preserve">Le Conseil </w:t>
      </w:r>
      <w:r>
        <w:rPr>
          <w:b/>
          <w:bCs/>
        </w:rPr>
        <w:t>prend note</w:t>
      </w:r>
      <w:r>
        <w:t xml:space="preserve"> des rapports figurant dans les Documents C26/8 et C26/10 et </w:t>
      </w:r>
      <w:r>
        <w:rPr>
          <w:b/>
          <w:bCs/>
        </w:rPr>
        <w:t xml:space="preserve">convient </w:t>
      </w:r>
      <w:r>
        <w:t xml:space="preserve">de transmettre </w:t>
      </w:r>
      <w:r w:rsidR="00FD44CE">
        <w:t xml:space="preserve">à la PP-26 pour examen complémentaire </w:t>
      </w:r>
      <w:r>
        <w:t>le rapport reproduit dans le Document C26/10, ainsi que les observations formulées y relatives.</w:t>
      </w:r>
    </w:p>
    <w:p w14:paraId="1ED2F4EE" w14:textId="21764FED" w:rsidR="004537F3" w:rsidRPr="008756BE" w:rsidRDefault="004537F3" w:rsidP="004537F3">
      <w:pPr>
        <w:pStyle w:val="Heading1"/>
      </w:pPr>
      <w:r>
        <w:rPr>
          <w:bCs/>
        </w:rPr>
        <w:t>2</w:t>
      </w:r>
      <w:r>
        <w:tab/>
      </w:r>
      <w:r>
        <w:rPr>
          <w:bCs/>
        </w:rPr>
        <w:t>Rapport final et exhaustif sur les activités menées par l</w:t>
      </w:r>
      <w:r w:rsidR="00CA53EB">
        <w:rPr>
          <w:bCs/>
        </w:rPr>
        <w:t>'</w:t>
      </w:r>
      <w:r>
        <w:rPr>
          <w:bCs/>
        </w:rPr>
        <w:t>UIT dans le cadre de la mise en œuvre des résultats du SMSI et du Programme de développement durable à l</w:t>
      </w:r>
      <w:r w:rsidR="00CA53EB">
        <w:rPr>
          <w:bCs/>
        </w:rPr>
        <w:t>'</w:t>
      </w:r>
      <w:r>
        <w:rPr>
          <w:bCs/>
        </w:rPr>
        <w:t>horizon 2030 (</w:t>
      </w:r>
      <w:r w:rsidR="00890B79" w:rsidRPr="00890B79">
        <w:rPr>
          <w:bCs/>
        </w:rPr>
        <w:t xml:space="preserve">Document </w:t>
      </w:r>
      <w:hyperlink r:id="rId21" w:history="1">
        <w:proofErr w:type="spellStart"/>
        <w:r w:rsidRPr="006A4B95">
          <w:rPr>
            <w:rStyle w:val="Hyperlink"/>
            <w:bCs/>
          </w:rPr>
          <w:t>C26</w:t>
        </w:r>
        <w:proofErr w:type="spellEnd"/>
        <w:r w:rsidRPr="006A4B95">
          <w:rPr>
            <w:rStyle w:val="Hyperlink"/>
            <w:bCs/>
          </w:rPr>
          <w:t>/58</w:t>
        </w:r>
      </w:hyperlink>
      <w:r>
        <w:rPr>
          <w:bCs/>
        </w:rPr>
        <w:t>)</w:t>
      </w:r>
      <w:hyperlink r:id="rId22" w:history="1"/>
    </w:p>
    <w:p w14:paraId="1E0B1F9C" w14:textId="7E525838" w:rsidR="004537F3" w:rsidRPr="008756BE" w:rsidRDefault="004537F3" w:rsidP="00890B79">
      <w:pPr>
        <w:jc w:val="both"/>
      </w:pPr>
      <w:r>
        <w:t>2.1</w:t>
      </w:r>
      <w:r>
        <w:tab/>
        <w:t>Une représentante du Secrétariat général présente le Document C26/58, qui contient le rapport final et exhaustif sur les activités menées par l</w:t>
      </w:r>
      <w:r w:rsidR="00CA53EB">
        <w:t>'</w:t>
      </w:r>
      <w:r>
        <w:t xml:space="preserve">UIT dans le cadre de la mise en œuvre </w:t>
      </w:r>
      <w:r w:rsidR="00011B8E">
        <w:t>d</w:t>
      </w:r>
      <w:r>
        <w:t xml:space="preserve">es résultats du SMSI et </w:t>
      </w:r>
      <w:r w:rsidR="00FD44CE">
        <w:t xml:space="preserve">du </w:t>
      </w:r>
      <w:r>
        <w:t>Programme de développement durable à l</w:t>
      </w:r>
      <w:r w:rsidR="00CA53EB">
        <w:t>'</w:t>
      </w:r>
      <w:r>
        <w:t>horizon 2030, et qui décrit d</w:t>
      </w:r>
      <w:r w:rsidR="00CA53EB">
        <w:t>'</w:t>
      </w:r>
      <w:r>
        <w:t>autres activités.</w:t>
      </w:r>
    </w:p>
    <w:p w14:paraId="2BC872A6" w14:textId="547E9BC9" w:rsidR="004537F3" w:rsidRPr="008756BE" w:rsidRDefault="004537F3" w:rsidP="00890B79">
      <w:pPr>
        <w:jc w:val="both"/>
      </w:pPr>
      <w:r>
        <w:t>2.2</w:t>
      </w:r>
      <w:r>
        <w:tab/>
        <w:t>Les conseillers appuient sans réserve les travaux importants menés par l</w:t>
      </w:r>
      <w:r w:rsidR="00CA53EB">
        <w:t>'</w:t>
      </w:r>
      <w:r>
        <w:t>UIT et son rôle moteur dans le cadre de la mise en œuvre des résultats du SMSI et du Programme 2030, notamment par l</w:t>
      </w:r>
      <w:r w:rsidR="00CA53EB">
        <w:t>'</w:t>
      </w:r>
      <w:r>
        <w:t>intermédiaire du Forum du SMSI, de la Coalition pour le numérique Partner2Connect (P2C), de la plate-forme dressant l</w:t>
      </w:r>
      <w:r w:rsidR="00CA53EB">
        <w:t>'</w:t>
      </w:r>
      <w:r>
        <w:t>inventaire des activités du SMSI et du secrétariat permanent du Groupe des Nations Unies sur la société de l</w:t>
      </w:r>
      <w:r w:rsidR="00CA53EB">
        <w:t>'</w:t>
      </w:r>
      <w:r>
        <w:t>information (UNGIS). Un conseiller estime qu</w:t>
      </w:r>
      <w:r w:rsidR="00CA53EB">
        <w:t>'</w:t>
      </w:r>
      <w:r>
        <w:t>il aurait été utile de procéder à une évaluation complète des activités entreprises, notamment en ce qui concerne les retombées, les incidences financières, les lacunes et les enseignements tirés, et de définir plus clairement le rôle et la contribution des différentes catégories de membres, y compris du secteur privé.</w:t>
      </w:r>
    </w:p>
    <w:p w14:paraId="43E30F04" w14:textId="164B57AF" w:rsidR="004537F3" w:rsidRPr="008756BE" w:rsidRDefault="004537F3" w:rsidP="00890B79">
      <w:pPr>
        <w:jc w:val="both"/>
      </w:pPr>
      <w:r>
        <w:t>2.3</w:t>
      </w:r>
      <w:r>
        <w:tab/>
        <w:t>Les conseillers accueillent favorablement les nouvelles activités proposées qui contribueront à résoudre les problèmes persistants liés à la transformation et à l</w:t>
      </w:r>
      <w:r w:rsidR="00CA53EB">
        <w:t>'</w:t>
      </w:r>
      <w:r>
        <w:t>inclusion numériques dans les pays en développement et à l</w:t>
      </w:r>
      <w:r w:rsidR="00CA53EB">
        <w:t>'</w:t>
      </w:r>
      <w:r>
        <w:t>aggravation de la fracture numérique. Ils appuient particulièrement la création d</w:t>
      </w:r>
      <w:r w:rsidR="00CA53EB">
        <w:t>'</w:t>
      </w:r>
      <w:r>
        <w:t>un groupe d</w:t>
      </w:r>
      <w:r w:rsidR="00CA53EB">
        <w:t>'</w:t>
      </w:r>
      <w:r>
        <w:t>action chargé d</w:t>
      </w:r>
      <w:r w:rsidR="00CA53EB">
        <w:t>'</w:t>
      </w:r>
      <w:r>
        <w:t xml:space="preserve">évaluer les lacunes en matière de financement du développement numérique dans les pays en développement, et </w:t>
      </w:r>
      <w:r>
        <w:lastRenderedPageBreak/>
        <w:t>un conseiller estime qu</w:t>
      </w:r>
      <w:r w:rsidR="00CA53EB">
        <w:t>'</w:t>
      </w:r>
      <w:r>
        <w:t>il serait utile d</w:t>
      </w:r>
      <w:r w:rsidR="00CA53EB">
        <w:t>'</w:t>
      </w:r>
      <w:r>
        <w:t xml:space="preserve">obtenir des informations sur le niveau de participation des États Membres. Les conseillers se félicitent également du renforcement de la mise en œuvre au niveau régional, rendu possible notamment grâce aux bureaux régionaux et aux organisations régionales, pour garantir des résultats concrets au niveau national. Si les </w:t>
      </w:r>
      <w:r w:rsidR="00293EE7">
        <w:t>G</w:t>
      </w:r>
      <w:r>
        <w:t>randes orientations du SMSI restent un cadre pertinent, leur mise en œuvre doit être étayée par des indicateurs et des mécanismes de suivi et de contrôle plus conviviaux. Un conseiller se félicite de l</w:t>
      </w:r>
      <w:r w:rsidR="00CA53EB">
        <w:t>'</w:t>
      </w:r>
      <w:r>
        <w:t>intégration du Pacte numérique mondial dans l</w:t>
      </w:r>
      <w:r w:rsidR="00CA53EB">
        <w:t>'</w:t>
      </w:r>
      <w:r>
        <w:t>architecture du</w:t>
      </w:r>
      <w:r w:rsidR="00293EE7">
        <w:t xml:space="preserve"> </w:t>
      </w:r>
      <w:r>
        <w:t>SMSI. D</w:t>
      </w:r>
      <w:r w:rsidR="00CA53EB">
        <w:t>'</w:t>
      </w:r>
      <w:r>
        <w:t>autres conseillers, toutefois, préconisent une approche soigneusement coordonnée et cohérente à cet égard afin d</w:t>
      </w:r>
      <w:r w:rsidR="00CA53EB">
        <w:t>'</w:t>
      </w:r>
      <w:r>
        <w:t>éviter les doubles emplois et de préserver le SMSI en tant</w:t>
      </w:r>
      <w:r w:rsidR="00293EE7">
        <w:t xml:space="preserve"> </w:t>
      </w:r>
      <w:r>
        <w:t>que cadre multi-parties prenantes pour le développement numérique, qui reste inclusif et adapté aux priorités de tous les États Membres, en particulier des pays en développement. Un conseiller, après avoir fait part du soutien de son pays en faveur d</w:t>
      </w:r>
      <w:r w:rsidR="00CA53EB">
        <w:t>'</w:t>
      </w:r>
      <w:r>
        <w:t>un modèle multi</w:t>
      </w:r>
      <w:r w:rsidR="00293EE7">
        <w:noBreakHyphen/>
      </w:r>
      <w:r>
        <w:t>parties prenantes de gouvernance de l</w:t>
      </w:r>
      <w:r w:rsidR="00CA53EB">
        <w:t>'</w:t>
      </w:r>
      <w:r>
        <w:t>Internet, souligne qu</w:t>
      </w:r>
      <w:r w:rsidR="00CA53EB">
        <w:t>'</w:t>
      </w:r>
      <w:r>
        <w:t>il importe que toutes les parties prenantes fassent preuve de coopération et que les responsabilités soient clairement définies.</w:t>
      </w:r>
    </w:p>
    <w:p w14:paraId="78C3D594" w14:textId="2B1584E1" w:rsidR="004537F3" w:rsidRPr="008756BE" w:rsidRDefault="004537F3" w:rsidP="00890B79">
      <w:pPr>
        <w:jc w:val="both"/>
      </w:pPr>
      <w:r>
        <w:t>2.4</w:t>
      </w:r>
      <w:r>
        <w:tab/>
        <w:t>Une autre conseillère est d</w:t>
      </w:r>
      <w:r w:rsidR="00CA53EB">
        <w:t>'</w:t>
      </w:r>
      <w:r>
        <w:t>avis qu</w:t>
      </w:r>
      <w:r w:rsidR="00CA53EB">
        <w:t>'</w:t>
      </w:r>
      <w:r>
        <w:t>il convient d</w:t>
      </w:r>
      <w:r w:rsidR="00CA53EB">
        <w:t>'</w:t>
      </w:r>
      <w:r>
        <w:t>examiner attentivement les nouvelles activités proposées au vu des ressources limitées. Elles devraient être clairement hiérarchisées, et il convient d</w:t>
      </w:r>
      <w:r w:rsidR="00CA53EB">
        <w:t>'</w:t>
      </w:r>
      <w:r>
        <w:t>accorder une attention particulière à la valeur ajoutée potentielle, à l</w:t>
      </w:r>
      <w:r w:rsidR="00CA53EB">
        <w:t>'</w:t>
      </w:r>
      <w:r>
        <w:t>utilisation efficace des ressources et aux résultats tangibles.</w:t>
      </w:r>
    </w:p>
    <w:p w14:paraId="0BE599C3" w14:textId="497EDEAD" w:rsidR="004537F3" w:rsidRPr="00CC2F09" w:rsidRDefault="004537F3" w:rsidP="00890B79">
      <w:pPr>
        <w:jc w:val="both"/>
        <w:rPr>
          <w:spacing w:val="-2"/>
        </w:rPr>
      </w:pPr>
      <w:r>
        <w:t>2.5</w:t>
      </w:r>
      <w:r>
        <w:tab/>
        <w:t>Un conseiller décrit la façon dont son pays participe au processus du SMSI, tandis qu</w:t>
      </w:r>
      <w:r w:rsidR="00CA53EB">
        <w:t>'</w:t>
      </w:r>
      <w:r>
        <w:t>une autre conseillère fait remarquer que son gouvernement contribue chaque année au Fonds d</w:t>
      </w:r>
      <w:r w:rsidR="00CA53EB">
        <w:t>'</w:t>
      </w:r>
      <w:r>
        <w:t>affectation spéciale pour le SMSI depuis 2013.</w:t>
      </w:r>
    </w:p>
    <w:p w14:paraId="02487F39" w14:textId="64E27A40" w:rsidR="004537F3" w:rsidRPr="008756BE" w:rsidRDefault="004537F3" w:rsidP="00890B79">
      <w:pPr>
        <w:jc w:val="both"/>
      </w:pPr>
      <w:r>
        <w:t>2.6</w:t>
      </w:r>
      <w:r>
        <w:tab/>
        <w:t>Le conseiller de l</w:t>
      </w:r>
      <w:r w:rsidR="00CA53EB">
        <w:t>'</w:t>
      </w:r>
      <w:r>
        <w:t>Italie, s</w:t>
      </w:r>
      <w:r w:rsidR="00CA53EB">
        <w:t>'</w:t>
      </w:r>
      <w:r>
        <w:t>exprimant au nom de l</w:t>
      </w:r>
      <w:r w:rsidR="00CA53EB">
        <w:t>'</w:t>
      </w:r>
      <w:r>
        <w:t>Union européenne, appuie sans réserve le Programme 2030 et les ODD, ainsi que l</w:t>
      </w:r>
      <w:r w:rsidR="00CA53EB">
        <w:t>'</w:t>
      </w:r>
      <w:r>
        <w:t>engagement de l</w:t>
      </w:r>
      <w:r w:rsidR="00CA53EB">
        <w:t>'</w:t>
      </w:r>
      <w:r>
        <w:t>UIT à mettre en œuvre le processus du SMSI. L</w:t>
      </w:r>
      <w:r w:rsidR="00CA53EB">
        <w:t>'</w:t>
      </w:r>
      <w:r>
        <w:t>Union européenne soutient le Pacte pour l</w:t>
      </w:r>
      <w:r w:rsidR="00CA53EB">
        <w:t>'</w:t>
      </w:r>
      <w:r>
        <w:t>avenir et le Pacte numérique mondial et se dit prête à coopérer de manière constructive avec toutes les parties prenantes, y compris le secteur privé, qui n</w:t>
      </w:r>
      <w:r w:rsidR="00CA53EB">
        <w:t>'</w:t>
      </w:r>
      <w:r>
        <w:t xml:space="preserve">est pas reconnu comme il se doit dans le rapport. Elle reste attachée aux </w:t>
      </w:r>
      <w:r w:rsidR="00061553">
        <w:t>R</w:t>
      </w:r>
      <w:r>
        <w:t>ésolutions du Conseil, notamment à la Résolution</w:t>
      </w:r>
      <w:r w:rsidR="00293EE7">
        <w:t> </w:t>
      </w:r>
      <w:r>
        <w:t>1429</w:t>
      </w:r>
      <w:r w:rsidR="00293EE7">
        <w:t> </w:t>
      </w:r>
      <w:r>
        <w:t>(C24) sur le rôle de l</w:t>
      </w:r>
      <w:r w:rsidR="00CA53EB">
        <w:t>'</w:t>
      </w:r>
      <w:r>
        <w:t>UIT dans l</w:t>
      </w:r>
      <w:r w:rsidR="00CA53EB">
        <w:t>'</w:t>
      </w:r>
      <w:r>
        <w:t>exploitation des technologies de l</w:t>
      </w:r>
      <w:r w:rsidR="00CA53EB">
        <w:t>'</w:t>
      </w:r>
      <w:r>
        <w:t xml:space="preserve">information et de la communication (TIC) au service de la durabilité environnementale et de </w:t>
      </w:r>
      <w:r w:rsidR="00F56520">
        <w:t xml:space="preserve">la lutte contre les changements </w:t>
      </w:r>
      <w:r>
        <w:t>climatique</w:t>
      </w:r>
      <w:r w:rsidR="00F56520">
        <w:t>s</w:t>
      </w:r>
      <w:r>
        <w:t>, et à la Résolution 70 (Rév. Bucarest, 2022) de la Conférence de plénipotentiaires sur l</w:t>
      </w:r>
      <w:r w:rsidR="00CA53EB">
        <w:t>'</w:t>
      </w:r>
      <w:r>
        <w:t>intégration du principe de l</w:t>
      </w:r>
      <w:r w:rsidR="00CA53EB">
        <w:t>'</w:t>
      </w:r>
      <w:r>
        <w:t>égalité hommes</w:t>
      </w:r>
      <w:r w:rsidR="00293EE7">
        <w:t>-</w:t>
      </w:r>
      <w:r>
        <w:t>femmes à l</w:t>
      </w:r>
      <w:r w:rsidR="00CA53EB">
        <w:t>'</w:t>
      </w:r>
      <w:r>
        <w:t>UIT, la promotion de l</w:t>
      </w:r>
      <w:r w:rsidR="00CA53EB">
        <w:t>'</w:t>
      </w:r>
      <w:r>
        <w:t>égalité hommes-femmes et l</w:t>
      </w:r>
      <w:r w:rsidR="00CA53EB">
        <w:t>'</w:t>
      </w:r>
      <w:r>
        <w:t>autonomisation des femmes et des jeunes filles grâce aux télécommunications/TIC.</w:t>
      </w:r>
    </w:p>
    <w:p w14:paraId="324555B8" w14:textId="7F844C92" w:rsidR="004537F3" w:rsidRPr="008756BE" w:rsidRDefault="004537F3" w:rsidP="00890B79">
      <w:pPr>
        <w:jc w:val="both"/>
      </w:pPr>
      <w:r>
        <w:t>2.7</w:t>
      </w:r>
      <w:r>
        <w:tab/>
        <w:t>Deux conseillers expriment le soutien de leur pays en faveur de la mise en œuvre intégrale du Programme 2030 et des ODD et réaffirment leur attachement au Pacte pour l</w:t>
      </w:r>
      <w:r w:rsidR="00CA53EB">
        <w:t>'</w:t>
      </w:r>
      <w:r>
        <w:t>avenir. Des participantes appuient également le rôle de l</w:t>
      </w:r>
      <w:r w:rsidR="00CA53EB">
        <w:t>'</w:t>
      </w:r>
      <w:r>
        <w:t xml:space="preserve">UIT consistant à exploiter les TIC au service de la durabilité et de </w:t>
      </w:r>
      <w:r w:rsidR="00F56520">
        <w:t>la lutte contre les changements climatiques</w:t>
      </w:r>
      <w:r>
        <w:t>, à assurer l</w:t>
      </w:r>
      <w:r w:rsidR="00CA53EB">
        <w:t>'</w:t>
      </w:r>
      <w:r>
        <w:t>autonomisation des femmes et des jeunes filles et à garantir l</w:t>
      </w:r>
      <w:r w:rsidR="00CA53EB">
        <w:t>'</w:t>
      </w:r>
      <w:r>
        <w:t>égalité hommes-femmes grâce aux TIC et à un environnement durable.</w:t>
      </w:r>
    </w:p>
    <w:p w14:paraId="28F64D89" w14:textId="45C2AE3A" w:rsidR="004537F3" w:rsidRPr="008756BE" w:rsidRDefault="004537F3" w:rsidP="00F230CD">
      <w:pPr>
        <w:jc w:val="both"/>
      </w:pPr>
      <w:r>
        <w:t>2.8</w:t>
      </w:r>
      <w:r>
        <w:tab/>
        <w:t>Une conseillère rappelle que son pays s</w:t>
      </w:r>
      <w:r w:rsidR="00CA53EB">
        <w:t>'</w:t>
      </w:r>
      <w:r>
        <w:t>est dissocié du Pacte pour l</w:t>
      </w:r>
      <w:r w:rsidR="00CA53EB">
        <w:t>'</w:t>
      </w:r>
      <w:r>
        <w:t xml:space="preserve">avenir et de ses annexes lors de </w:t>
      </w:r>
      <w:r w:rsidR="00F56520">
        <w:t>son adoption</w:t>
      </w:r>
      <w:r>
        <w:t>. Son pays considère le Programme 2030 comme contenant des aspirations juridiquement non contraignantes. Les États Membres ont le droit souverain de déterminer leurs propres priorités en matière de développement, conformément à la législation nationale.</w:t>
      </w:r>
    </w:p>
    <w:p w14:paraId="0C095B83" w14:textId="77777777" w:rsidR="004537F3" w:rsidRPr="008756BE" w:rsidRDefault="004537F3" w:rsidP="004537F3">
      <w:bookmarkStart w:id="0" w:name="OLE_LINK3"/>
      <w:r>
        <w:t>2.9</w:t>
      </w:r>
      <w:r>
        <w:tab/>
        <w:t xml:space="preserve">Le Conseil </w:t>
      </w:r>
      <w:r>
        <w:rPr>
          <w:b/>
          <w:bCs/>
        </w:rPr>
        <w:t>prend note</w:t>
      </w:r>
      <w:r>
        <w:t xml:space="preserve"> du Document C26/58.</w:t>
      </w:r>
    </w:p>
    <w:bookmarkEnd w:id="0"/>
    <w:p w14:paraId="5E0862CA" w14:textId="4FB53BFE" w:rsidR="004537F3" w:rsidRPr="008756BE" w:rsidRDefault="004537F3" w:rsidP="004537F3">
      <w:pPr>
        <w:pStyle w:val="Heading1"/>
      </w:pPr>
      <w:r>
        <w:rPr>
          <w:bCs/>
        </w:rPr>
        <w:lastRenderedPageBreak/>
        <w:t>3</w:t>
      </w:r>
      <w:r>
        <w:tab/>
      </w:r>
      <w:r>
        <w:rPr>
          <w:bCs/>
        </w:rPr>
        <w:t>Rapport sur les résultats de l</w:t>
      </w:r>
      <w:r w:rsidR="00CA53EB">
        <w:rPr>
          <w:bCs/>
        </w:rPr>
        <w:t>'</w:t>
      </w:r>
      <w:r>
        <w:rPr>
          <w:bCs/>
        </w:rPr>
        <w:t>examen d</w:t>
      </w:r>
      <w:r w:rsidR="00CA53EB">
        <w:rPr>
          <w:bCs/>
        </w:rPr>
        <w:t>'</w:t>
      </w:r>
      <w:r>
        <w:rPr>
          <w:bCs/>
        </w:rPr>
        <w:t>ensemble des 20 ans du SMSI effectué par l</w:t>
      </w:r>
      <w:r w:rsidR="00CA53EB">
        <w:rPr>
          <w:bCs/>
        </w:rPr>
        <w:t>'</w:t>
      </w:r>
      <w:r>
        <w:rPr>
          <w:bCs/>
        </w:rPr>
        <w:t>Assemblée générale des Nations Unies en 2025 (</w:t>
      </w:r>
      <w:r w:rsidR="00890B79" w:rsidRPr="00890B79">
        <w:rPr>
          <w:bCs/>
        </w:rPr>
        <w:t>Document</w:t>
      </w:r>
      <w:r w:rsidR="00890B79">
        <w:rPr>
          <w:bCs/>
        </w:rPr>
        <w:t> </w:t>
      </w:r>
      <w:proofErr w:type="spellStart"/>
      <w:r>
        <w:fldChar w:fldCharType="begin"/>
      </w:r>
      <w:r>
        <w:instrText>HYPERLINK "https://www.itu.int/md/S26-CL-C-0059/fr"</w:instrText>
      </w:r>
      <w:r>
        <w:fldChar w:fldCharType="separate"/>
      </w:r>
      <w:r w:rsidRPr="006A4B95">
        <w:rPr>
          <w:rStyle w:val="Hyperlink"/>
          <w:bCs/>
        </w:rPr>
        <w:t>C26</w:t>
      </w:r>
      <w:proofErr w:type="spellEnd"/>
      <w:r w:rsidRPr="006A4B95">
        <w:rPr>
          <w:rStyle w:val="Hyperlink"/>
          <w:bCs/>
        </w:rPr>
        <w:t>/59</w:t>
      </w:r>
      <w:r>
        <w:fldChar w:fldCharType="end"/>
      </w:r>
      <w:r>
        <w:rPr>
          <w:bCs/>
        </w:rPr>
        <w:t>)</w:t>
      </w:r>
      <w:hyperlink r:id="rId23" w:history="1"/>
    </w:p>
    <w:p w14:paraId="02C2D40D" w14:textId="0F3D1AA3" w:rsidR="004537F3" w:rsidRPr="00F230CD" w:rsidRDefault="004537F3" w:rsidP="00890B79">
      <w:pPr>
        <w:jc w:val="both"/>
        <w:rPr>
          <w:spacing w:val="-2"/>
        </w:rPr>
      </w:pPr>
      <w:r w:rsidRPr="00F230CD">
        <w:rPr>
          <w:spacing w:val="-2"/>
        </w:rPr>
        <w:t>3.1</w:t>
      </w:r>
      <w:r w:rsidRPr="00F230CD">
        <w:rPr>
          <w:spacing w:val="-2"/>
        </w:rPr>
        <w:tab/>
        <w:t>Une représentante du Secrétariat général présente le Document C26/59, qui rend compte de la réunion de haut niveau de l</w:t>
      </w:r>
      <w:r w:rsidR="00CA53EB" w:rsidRPr="00F230CD">
        <w:rPr>
          <w:spacing w:val="-2"/>
        </w:rPr>
        <w:t>'</w:t>
      </w:r>
      <w:r w:rsidRPr="00F230CD">
        <w:rPr>
          <w:spacing w:val="-2"/>
        </w:rPr>
        <w:t>Assemblée générale des Nations Unies sur l</w:t>
      </w:r>
      <w:r w:rsidR="00CA53EB" w:rsidRPr="00F230CD">
        <w:rPr>
          <w:spacing w:val="-2"/>
        </w:rPr>
        <w:t>'</w:t>
      </w:r>
      <w:r w:rsidRPr="00F230CD">
        <w:rPr>
          <w:spacing w:val="-2"/>
        </w:rPr>
        <w:t>examen d</w:t>
      </w:r>
      <w:r w:rsidR="00CA53EB" w:rsidRPr="00F230CD">
        <w:rPr>
          <w:spacing w:val="-2"/>
        </w:rPr>
        <w:t>'</w:t>
      </w:r>
      <w:r w:rsidRPr="00F230CD">
        <w:rPr>
          <w:spacing w:val="-2"/>
        </w:rPr>
        <w:t>ensemble des 20 ans de la mise en œuvre des résultats du SMSI (SMSI+20), tenue en décembre 2025 et lors de laquelle le rôle de l</w:t>
      </w:r>
      <w:r w:rsidR="00CA53EB" w:rsidRPr="00F230CD">
        <w:rPr>
          <w:spacing w:val="-2"/>
        </w:rPr>
        <w:t>'</w:t>
      </w:r>
      <w:r w:rsidRPr="00F230CD">
        <w:rPr>
          <w:spacing w:val="-2"/>
        </w:rPr>
        <w:t xml:space="preserve">UIT en faveur de </w:t>
      </w:r>
      <w:r w:rsidR="00F56520" w:rsidRPr="00F230CD">
        <w:rPr>
          <w:spacing w:val="-2"/>
        </w:rPr>
        <w:t xml:space="preserve">cette </w:t>
      </w:r>
      <w:r w:rsidRPr="00F230CD">
        <w:rPr>
          <w:spacing w:val="-2"/>
        </w:rPr>
        <w:t>mise en œuvre a été réaffirmé. L</w:t>
      </w:r>
      <w:r w:rsidR="00CA53EB" w:rsidRPr="00F230CD">
        <w:rPr>
          <w:spacing w:val="-2"/>
        </w:rPr>
        <w:t>'</w:t>
      </w:r>
      <w:r w:rsidR="00E61424" w:rsidRPr="00F230CD">
        <w:rPr>
          <w:spacing w:val="-2"/>
        </w:rPr>
        <w:t>a</w:t>
      </w:r>
      <w:r w:rsidRPr="00F230CD">
        <w:rPr>
          <w:spacing w:val="-2"/>
        </w:rPr>
        <w:t>nnexe du Document C26/59 contient des paragraphes du document final faisant référence à l</w:t>
      </w:r>
      <w:r w:rsidR="00CA53EB" w:rsidRPr="00F230CD">
        <w:rPr>
          <w:spacing w:val="-2"/>
        </w:rPr>
        <w:t>'</w:t>
      </w:r>
      <w:r w:rsidRPr="00F230CD">
        <w:rPr>
          <w:spacing w:val="-2"/>
        </w:rPr>
        <w:t>engagement et aux activités de l</w:t>
      </w:r>
      <w:r w:rsidR="00CA53EB" w:rsidRPr="00F230CD">
        <w:rPr>
          <w:spacing w:val="-2"/>
        </w:rPr>
        <w:t>'</w:t>
      </w:r>
      <w:r w:rsidRPr="00F230CD">
        <w:rPr>
          <w:spacing w:val="-2"/>
        </w:rPr>
        <w:t>UIT en faveur de la mise en œuvre du processus du SMSI.</w:t>
      </w:r>
    </w:p>
    <w:p w14:paraId="074DA316" w14:textId="1A09BD5A" w:rsidR="004537F3" w:rsidRPr="008756BE" w:rsidRDefault="004537F3" w:rsidP="00890B79">
      <w:pPr>
        <w:jc w:val="both"/>
      </w:pPr>
      <w:r>
        <w:t>3.2</w:t>
      </w:r>
      <w:r>
        <w:tab/>
        <w:t>Des conseillers notent que l</w:t>
      </w:r>
      <w:r w:rsidR="00CA53EB">
        <w:t>'</w:t>
      </w:r>
      <w:r>
        <w:t>examen des résultats du SMSI a permis d</w:t>
      </w:r>
      <w:r w:rsidR="00CA53EB">
        <w:t>'</w:t>
      </w:r>
      <w:r>
        <w:t>obtenir des informations précieuses sur les progrès accomplis, les lacunes et les priorités, et qu</w:t>
      </w:r>
      <w:r w:rsidR="00CA53EB">
        <w:t>'</w:t>
      </w:r>
      <w:r>
        <w:t>il a montré une nouvelle fois l</w:t>
      </w:r>
      <w:r w:rsidR="00CA53EB">
        <w:t>'</w:t>
      </w:r>
      <w:r>
        <w:t>importance du processus du SMSI en tant que cadre fondamental des Nations Unies pour promouvoir un développement numérique inclusif. Ils se félicitent de l</w:t>
      </w:r>
      <w:r w:rsidR="00CA53EB">
        <w:t>'</w:t>
      </w:r>
      <w:r>
        <w:t>adoption réussie du document final, qui atteste du pouvoir mobilisateur et du rôle moteur de l</w:t>
      </w:r>
      <w:r w:rsidR="00CA53EB">
        <w:t>'</w:t>
      </w:r>
      <w:r>
        <w:t>UIT. Le mandat renouvelé du SMSI devrait se traduire par des résultats concrets et par un accès et un appui efficaces pour les pays en développement. L</w:t>
      </w:r>
      <w:r w:rsidR="00CA53EB">
        <w:t>'</w:t>
      </w:r>
      <w:r>
        <w:t>UIT devrait conserver son rôle de chef de file, tout en veillant à ce que le SMSI reste inclusif, axé sur le développement et cohérent avec le programme plus large de coopération numérique des Nations Unies. L</w:t>
      </w:r>
      <w:r w:rsidR="00CA53EB">
        <w:t>'</w:t>
      </w:r>
      <w:r>
        <w:t>engagement et les activités de l</w:t>
      </w:r>
      <w:r w:rsidR="00CA53EB">
        <w:t>'</w:t>
      </w:r>
      <w:r>
        <w:t>UIT en faveur de la mise en œuvre du processus du SMSI doivent être concrets, économes en ressources et en phase avec les mandats et cadres existants. Plusieurs conseillers soulignent qu</w:t>
      </w:r>
      <w:r w:rsidR="00CA53EB">
        <w:t>'</w:t>
      </w:r>
      <w:r>
        <w:t>il importe de créer des synergies, d</w:t>
      </w:r>
      <w:r w:rsidR="00CA53EB">
        <w:t>'</w:t>
      </w:r>
      <w:r>
        <w:t>éviter les doubles emplois et d</w:t>
      </w:r>
      <w:r w:rsidR="00CA53EB">
        <w:t>'</w:t>
      </w:r>
      <w:r>
        <w:t>assurer une certaine cohérence entre les processus en cours afin de préserver la solidité du cadre multilatéral existant.</w:t>
      </w:r>
    </w:p>
    <w:p w14:paraId="4876247D" w14:textId="1180EC21" w:rsidR="004537F3" w:rsidRPr="002958A2" w:rsidRDefault="004537F3" w:rsidP="00890B79">
      <w:pPr>
        <w:jc w:val="both"/>
        <w:rPr>
          <w:spacing w:val="-2"/>
        </w:rPr>
      </w:pPr>
      <w:r w:rsidRPr="002958A2">
        <w:rPr>
          <w:spacing w:val="-2"/>
        </w:rPr>
        <w:t>3.3</w:t>
      </w:r>
      <w:r w:rsidRPr="002958A2">
        <w:rPr>
          <w:spacing w:val="-2"/>
        </w:rPr>
        <w:tab/>
        <w:t>Une conseillère insiste sur l</w:t>
      </w:r>
      <w:r w:rsidR="00CA53EB" w:rsidRPr="002958A2">
        <w:rPr>
          <w:spacing w:val="-2"/>
        </w:rPr>
        <w:t>'</w:t>
      </w:r>
      <w:r w:rsidRPr="002958A2">
        <w:rPr>
          <w:spacing w:val="-2"/>
        </w:rPr>
        <w:t>importance de la continuité institutionnelle pour éviter que la coopération numérique se fragmente et souligne le rôle fondamental de l</w:t>
      </w:r>
      <w:r w:rsidR="00CA53EB" w:rsidRPr="002958A2">
        <w:rPr>
          <w:spacing w:val="-2"/>
        </w:rPr>
        <w:t>'</w:t>
      </w:r>
      <w:r w:rsidRPr="002958A2">
        <w:rPr>
          <w:spacing w:val="-2"/>
        </w:rPr>
        <w:t xml:space="preserve">UIT dans ce processus. Une autre conseillère demande au </w:t>
      </w:r>
      <w:r w:rsidR="004466C6" w:rsidRPr="002958A2">
        <w:rPr>
          <w:spacing w:val="-2"/>
        </w:rPr>
        <w:t>S</w:t>
      </w:r>
      <w:r w:rsidRPr="002958A2">
        <w:rPr>
          <w:spacing w:val="-2"/>
        </w:rPr>
        <w:t>ecrétariat de donner plus de détails sur les activités qu</w:t>
      </w:r>
      <w:r w:rsidR="00CA53EB" w:rsidRPr="002958A2">
        <w:rPr>
          <w:spacing w:val="-2"/>
        </w:rPr>
        <w:t>'</w:t>
      </w:r>
      <w:r w:rsidRPr="002958A2">
        <w:rPr>
          <w:spacing w:val="-2"/>
        </w:rPr>
        <w:t>il entreprend déjà, notamment en tant que secrétariat permanent du Groupe</w:t>
      </w:r>
      <w:r w:rsidR="006A4B95" w:rsidRPr="002958A2">
        <w:rPr>
          <w:spacing w:val="-2"/>
        </w:rPr>
        <w:t> </w:t>
      </w:r>
      <w:r w:rsidRPr="002958A2">
        <w:rPr>
          <w:spacing w:val="-2"/>
        </w:rPr>
        <w:t>UNGIS.</w:t>
      </w:r>
    </w:p>
    <w:p w14:paraId="7762A14B" w14:textId="02B1F533" w:rsidR="004537F3" w:rsidRPr="008756BE" w:rsidRDefault="004537F3" w:rsidP="00890B79">
      <w:pPr>
        <w:jc w:val="both"/>
      </w:pPr>
      <w:r>
        <w:t>3.4</w:t>
      </w:r>
      <w:r>
        <w:tab/>
        <w:t>Par ailleurs, une conseillère indique qu</w:t>
      </w:r>
      <w:r w:rsidR="00CA53EB">
        <w:t>'</w:t>
      </w:r>
      <w:r>
        <w:t>il est nécessaire de mettre en place des mécanismes de financement concrets, prévisibles et inconditionnels pour renforcer les capacités nationales dans le domaine des infrastructures numériques souveraines. Elle insiste également sur l</w:t>
      </w:r>
      <w:r w:rsidR="00CA53EB">
        <w:t>'</w:t>
      </w:r>
      <w:r>
        <w:t>importance du transfert de technologie et du renforcement des capacités pour parvenir à la transformation numérique universelle.</w:t>
      </w:r>
    </w:p>
    <w:p w14:paraId="1DD2BF9F" w14:textId="77777777" w:rsidR="004537F3" w:rsidRPr="008756BE" w:rsidRDefault="004537F3" w:rsidP="00890B79">
      <w:pPr>
        <w:jc w:val="both"/>
      </w:pPr>
      <w:r>
        <w:t>3.5</w:t>
      </w:r>
      <w:r>
        <w:tab/>
        <w:t xml:space="preserve">Le Conseil </w:t>
      </w:r>
      <w:r>
        <w:rPr>
          <w:b/>
          <w:bCs/>
        </w:rPr>
        <w:t>prend note</w:t>
      </w:r>
      <w:r>
        <w:t xml:space="preserve"> du Document C26/59.</w:t>
      </w:r>
    </w:p>
    <w:p w14:paraId="390DF687" w14:textId="72997A08" w:rsidR="004537F3" w:rsidRPr="00CC2F09" w:rsidRDefault="004537F3" w:rsidP="004537F3">
      <w:pPr>
        <w:pStyle w:val="Heading1"/>
        <w:ind w:right="-340"/>
        <w:rPr>
          <w:rFonts w:cs="Times New Roman Bold"/>
          <w:spacing w:val="-3"/>
        </w:rPr>
      </w:pPr>
      <w:r>
        <w:rPr>
          <w:bCs/>
        </w:rPr>
        <w:t>4</w:t>
      </w:r>
      <w:r>
        <w:tab/>
      </w:r>
      <w:r>
        <w:rPr>
          <w:bCs/>
        </w:rPr>
        <w:t>Analyse des lacunes concernant la mise à jour des Résolutions 1332 (C11,</w:t>
      </w:r>
      <w:r w:rsidR="006A4B95">
        <w:rPr>
          <w:bCs/>
        </w:rPr>
        <w:t> </w:t>
      </w:r>
      <w:r>
        <w:rPr>
          <w:bCs/>
        </w:rPr>
        <w:t>dernière mod. C24) et 1334 (C11, dernière mod. C23) du Conseil, de la Résolution 140 (Rév. Bucarest, 2022) de la Conférence de plénipotentiaires et du mandat du GTC-Internet à la lumière des résultats de l</w:t>
      </w:r>
      <w:r w:rsidR="00CA53EB">
        <w:rPr>
          <w:bCs/>
        </w:rPr>
        <w:t>'</w:t>
      </w:r>
      <w:r>
        <w:rPr>
          <w:bCs/>
        </w:rPr>
        <w:t xml:space="preserve">examen du </w:t>
      </w:r>
      <w:proofErr w:type="spellStart"/>
      <w:r>
        <w:rPr>
          <w:bCs/>
        </w:rPr>
        <w:t>SMSI+20</w:t>
      </w:r>
      <w:proofErr w:type="spellEnd"/>
      <w:r>
        <w:rPr>
          <w:bCs/>
        </w:rPr>
        <w:t xml:space="preserve"> </w:t>
      </w:r>
      <w:r w:rsidR="006A4B95">
        <w:rPr>
          <w:bCs/>
        </w:rPr>
        <w:t>(</w:t>
      </w:r>
      <w:r w:rsidR="00890B79" w:rsidRPr="00890B79">
        <w:rPr>
          <w:bCs/>
        </w:rPr>
        <w:t xml:space="preserve">Documents </w:t>
      </w:r>
      <w:hyperlink r:id="rId24" w:history="1">
        <w:proofErr w:type="spellStart"/>
        <w:r w:rsidR="006A4B95">
          <w:rPr>
            <w:rStyle w:val="Hyperlink"/>
            <w:rFonts w:cs="Times New Roman Bold"/>
            <w:spacing w:val="-3"/>
          </w:rPr>
          <w:t>C26</w:t>
        </w:r>
        <w:proofErr w:type="spellEnd"/>
        <w:r w:rsidR="006A4B95">
          <w:rPr>
            <w:rStyle w:val="Hyperlink"/>
            <w:rFonts w:cs="Times New Roman Bold"/>
            <w:spacing w:val="-3"/>
          </w:rPr>
          <w:t>/60</w:t>
        </w:r>
      </w:hyperlink>
      <w:r w:rsidRPr="00BB490E">
        <w:rPr>
          <w:rFonts w:cs="Times New Roman Bold"/>
          <w:spacing w:val="-3"/>
        </w:rPr>
        <w:t xml:space="preserve"> </w:t>
      </w:r>
      <w:r>
        <w:rPr>
          <w:rFonts w:cs="Times New Roman Bold"/>
          <w:spacing w:val="-3"/>
        </w:rPr>
        <w:t>et</w:t>
      </w:r>
      <w:r w:rsidRPr="00BB490E">
        <w:rPr>
          <w:rFonts w:cs="Times New Roman Bold"/>
          <w:spacing w:val="-3"/>
        </w:rPr>
        <w:t xml:space="preserve"> </w:t>
      </w:r>
      <w:hyperlink r:id="rId25" w:history="1">
        <w:proofErr w:type="spellStart"/>
        <w:r w:rsidRPr="00BB490E">
          <w:rPr>
            <w:rStyle w:val="Hyperlink"/>
            <w:rFonts w:cs="Times New Roman Bold"/>
            <w:spacing w:val="-3"/>
          </w:rPr>
          <w:t>C26</w:t>
        </w:r>
        <w:proofErr w:type="spellEnd"/>
        <w:r w:rsidRPr="00BB490E">
          <w:rPr>
            <w:rStyle w:val="Hyperlink"/>
            <w:rFonts w:cs="Times New Roman Bold"/>
            <w:spacing w:val="-3"/>
          </w:rPr>
          <w:t>/93</w:t>
        </w:r>
      </w:hyperlink>
      <w:r>
        <w:rPr>
          <w:bCs/>
        </w:rPr>
        <w:t>)</w:t>
      </w:r>
      <w:hyperlink r:id="rId26" w:history="1"/>
      <w:hyperlink r:id="rId27" w:history="1"/>
    </w:p>
    <w:p w14:paraId="67B7629F" w14:textId="5CC32953" w:rsidR="004537F3" w:rsidRPr="007511AA" w:rsidRDefault="004537F3" w:rsidP="00890B79">
      <w:pPr>
        <w:jc w:val="both"/>
        <w:rPr>
          <w:spacing w:val="-2"/>
        </w:rPr>
      </w:pPr>
      <w:r>
        <w:t>4.1</w:t>
      </w:r>
      <w:r>
        <w:tab/>
        <w:t>Une représentante du Secrétariat général présente le Document C26/60, dans lequel figure l</w:t>
      </w:r>
      <w:r w:rsidR="00CA53EB">
        <w:t>'</w:t>
      </w:r>
      <w:r>
        <w:t xml:space="preserve">analyse des lacunes préparée par le Secrétariat concernant la mise à jour des Résolutions 1332 (C11, dernière mod. C24) et 1334 (C11, dernière mod. C23) du Conseil, de la Résolution 140 (Rév. Bucarest, 2022) de la Conférence de plénipotentiaires et du mandat du </w:t>
      </w:r>
      <w:r>
        <w:lastRenderedPageBreak/>
        <w:t>Groupe de travail du Conseil sur les questions de politiques publiques internationales relatives à l</w:t>
      </w:r>
      <w:r w:rsidR="00CA53EB">
        <w:t>'</w:t>
      </w:r>
      <w:r>
        <w:t>Internet (GTC-Internet) à la lumière des résultats du SMSI+20. Le document final issu de l</w:t>
      </w:r>
      <w:r w:rsidR="00CA53EB">
        <w:t>'</w:t>
      </w:r>
      <w:r>
        <w:t>examen du SMSI+20 a mis en évidence un certain nombre d</w:t>
      </w:r>
      <w:r w:rsidR="00CA53EB">
        <w:t>'</w:t>
      </w:r>
      <w:r>
        <w:t>activités de l</w:t>
      </w:r>
      <w:r w:rsidR="00CA53EB">
        <w:t>'</w:t>
      </w:r>
      <w:r>
        <w:t>UIT devant être poursuivies dans le cadre des mandats existants, afin de combler les lacunes recensées ayant trait à la clarté, à la précision et à la mise à jour de la terminologie.</w:t>
      </w:r>
    </w:p>
    <w:p w14:paraId="014F55D7" w14:textId="072D0915" w:rsidR="004537F3" w:rsidRPr="008756BE" w:rsidRDefault="004537F3" w:rsidP="00890B79">
      <w:pPr>
        <w:jc w:val="both"/>
      </w:pPr>
      <w:r>
        <w:t>4.2</w:t>
      </w:r>
      <w:r>
        <w:tab/>
        <w:t>Ayant reçu l</w:t>
      </w:r>
      <w:r w:rsidR="00CA53EB">
        <w:t>'</w:t>
      </w:r>
      <w:r>
        <w:t>appui de trois conseillers, l</w:t>
      </w:r>
      <w:r w:rsidR="00CA53EB">
        <w:t>'</w:t>
      </w:r>
      <w:r>
        <w:t>observateur de la Fédération de Russie présente le Document C26/93, dans lequel il est proposé que le Conseil mette à jour la Résolution 1332 (C11, dernière mod. C24) à la présente session, afin de tenir compte des résultats du SMSI+20, notamment de la nécessité pour l</w:t>
      </w:r>
      <w:r w:rsidR="00CA53EB">
        <w:t>'</w:t>
      </w:r>
      <w:r>
        <w:t>UIT de faire rapport à la Commission de la science et de la technique au service du développement (CSTD) à sa 30ème session, qui se tiendra avant la session de 2027 du Conseil (C27).</w:t>
      </w:r>
    </w:p>
    <w:p w14:paraId="5B9CD80B" w14:textId="4060F955" w:rsidR="004537F3" w:rsidRPr="008756BE" w:rsidRDefault="004537F3" w:rsidP="00890B79">
      <w:pPr>
        <w:jc w:val="both"/>
      </w:pPr>
      <w:r>
        <w:t>4.3</w:t>
      </w:r>
      <w:r>
        <w:tab/>
        <w:t>De nombreux conseillers se félicitent de l</w:t>
      </w:r>
      <w:r w:rsidR="00CA53EB">
        <w:t>'</w:t>
      </w:r>
      <w:r>
        <w:t>analyse des lacunes. Bien qu</w:t>
      </w:r>
      <w:r w:rsidR="00CA53EB">
        <w:t>'</w:t>
      </w:r>
      <w:r>
        <w:t>aucun nouveau</w:t>
      </w:r>
      <w:r w:rsidR="00D44BCF">
        <w:t> </w:t>
      </w:r>
      <w:r>
        <w:t>mandat pour l</w:t>
      </w:r>
      <w:r w:rsidR="00CA53EB">
        <w:t>'</w:t>
      </w:r>
      <w:r>
        <w:t>UIT ne soit établi dans le document final du SMSI+20, il est nécessaire d</w:t>
      </w:r>
      <w:r w:rsidR="00CA53EB">
        <w:t>'</w:t>
      </w:r>
      <w:r>
        <w:t>harmoniser les Résolutions 1332 (C11, dernière mod. C24) et 1334 (C11,</w:t>
      </w:r>
      <w:r w:rsidR="00D44BCF">
        <w:t> </w:t>
      </w:r>
      <w:r>
        <w:t>dernière</w:t>
      </w:r>
      <w:r w:rsidR="00D44BCF">
        <w:t> </w:t>
      </w:r>
      <w:r>
        <w:t>mod.</w:t>
      </w:r>
      <w:r w:rsidR="00942964">
        <w:t> </w:t>
      </w:r>
      <w:r>
        <w:t>C23) et la Résolution 140 (Rév. Bucarest, 2022) avec les résultats du SMSI+20 et les nouvelles priorités numériques; des mises à jour des textes concernés dans les meilleurs délais permettraient d</w:t>
      </w:r>
      <w:r w:rsidR="00CA53EB">
        <w:t>'</w:t>
      </w:r>
      <w:r>
        <w:t>améliorer la clarté et la pertinence des activités. Un conseiller suggère de se pencher également sur des priorités telles que l</w:t>
      </w:r>
      <w:r w:rsidR="00CA53EB">
        <w:t>'</w:t>
      </w:r>
      <w:r>
        <w:t>inclusion numérique et la réduction de la fracture numérique. Plusieurs conseillers insistent sur la nécessité de mettre davantage l</w:t>
      </w:r>
      <w:r w:rsidR="00CA53EB">
        <w:t>'</w:t>
      </w:r>
      <w:r>
        <w:t>accent sur l</w:t>
      </w:r>
      <w:r w:rsidR="00CA53EB">
        <w:t>'</w:t>
      </w:r>
      <w:r>
        <w:t>utilisation et les incidences des technologies émergentes, telles que l</w:t>
      </w:r>
      <w:r w:rsidR="00CA53EB">
        <w:t>'</w:t>
      </w:r>
      <w:r>
        <w:t>intelligence artificielle (IA), notamment dans un environnement des télécommunications et des TIC en plein essor, et font remarquer que les discussions sur ce sujet doivent être inclusives, centrées sur l</w:t>
      </w:r>
      <w:r w:rsidR="00CA53EB">
        <w:t>'</w:t>
      </w:r>
      <w:r>
        <w:t>humain et fondées sur la coopération multilatérale. Un conseiller appelle également à renforcer davantage les capacités et le transfert de technologie, notamment dans les domaines des infrastructures publiques numériques et de la gouvernance des données.</w:t>
      </w:r>
    </w:p>
    <w:p w14:paraId="2B190E04" w14:textId="634A17A1" w:rsidR="004537F3" w:rsidRPr="008756BE" w:rsidRDefault="004537F3" w:rsidP="00890B79">
      <w:pPr>
        <w:jc w:val="both"/>
      </w:pPr>
      <w:r>
        <w:t>4.4</w:t>
      </w:r>
      <w:r>
        <w:tab/>
        <w:t>Une conseillère déclare qu</w:t>
      </w:r>
      <w:r w:rsidR="00CA53EB">
        <w:t>'</w:t>
      </w:r>
      <w:r>
        <w:t>il convient de renforcer l</w:t>
      </w:r>
      <w:r w:rsidR="00CA53EB">
        <w:t>'</w:t>
      </w:r>
      <w:r>
        <w:t xml:space="preserve">établissement de rapports sur la mise en </w:t>
      </w:r>
      <w:r w:rsidR="006A4B95">
        <w:t>œuvre</w:t>
      </w:r>
      <w:r>
        <w:t xml:space="preserve"> des résultats du SMSI dans les limites des ressources existantes; un autre conseiller demande alors si de nouvelles obligations en la matière incomberaient aux États</w:t>
      </w:r>
      <w:r w:rsidR="00942964">
        <w:t> </w:t>
      </w:r>
      <w:r>
        <w:t xml:space="preserve">Membres. Il est également proposé de définir des indicateurs de performance concernant la mise en </w:t>
      </w:r>
      <w:r w:rsidR="006A4B95">
        <w:t>œuvre</w:t>
      </w:r>
      <w:r>
        <w:t xml:space="preserve"> par l</w:t>
      </w:r>
      <w:r w:rsidR="00CA53EB">
        <w:t>'</w:t>
      </w:r>
      <w:r>
        <w:t>UIT des mesures qu</w:t>
      </w:r>
      <w:r w:rsidR="00CA53EB">
        <w:t>'</w:t>
      </w:r>
      <w:r>
        <w:t>il est demandé de prendre conformément à ce qu</w:t>
      </w:r>
      <w:r w:rsidR="00CA53EB">
        <w:t>'</w:t>
      </w:r>
      <w:r>
        <w:t>il ressort du SMSI+20.</w:t>
      </w:r>
    </w:p>
    <w:p w14:paraId="7B3B8398" w14:textId="0C24CA8B" w:rsidR="004537F3" w:rsidRPr="008756BE" w:rsidRDefault="004537F3" w:rsidP="00890B79">
      <w:pPr>
        <w:jc w:val="both"/>
      </w:pPr>
      <w:r>
        <w:t>4.5</w:t>
      </w:r>
      <w:r>
        <w:tab/>
        <w:t>Selon une conseillère, bien que l</w:t>
      </w:r>
      <w:r w:rsidR="00CA53EB">
        <w:t>'</w:t>
      </w:r>
      <w:r>
        <w:t xml:space="preserve">analyse des lacunes ait été demandée par deux groupes de travail du Conseil, toute révision des </w:t>
      </w:r>
      <w:r w:rsidR="00061553">
        <w:t>R</w:t>
      </w:r>
      <w:r>
        <w:t>ésolutions pertinentes ou du mandat des groupes de travail devrait reposer sur les contributions des membres et être effectuée sous la direction de ces derniers. Il appartient aux organes directeurs de l</w:t>
      </w:r>
      <w:r w:rsidR="00CA53EB">
        <w:t>'</w:t>
      </w:r>
      <w:r>
        <w:t>Union de définir tout nouveau mandat pour l</w:t>
      </w:r>
      <w:r w:rsidR="00CA53EB">
        <w:t>'</w:t>
      </w:r>
      <w:r>
        <w:t>UIT. En conséquence, l</w:t>
      </w:r>
      <w:r w:rsidR="00CA53EB">
        <w:t>'</w:t>
      </w:r>
      <w:r>
        <w:t>oratrice ne souscrit à aucune conclusion de l</w:t>
      </w:r>
      <w:r w:rsidR="00CA53EB">
        <w:t>'</w:t>
      </w:r>
      <w:r>
        <w:t>analyse des lacunes selon laquelle la portée des travaux de l</w:t>
      </w:r>
      <w:r w:rsidR="00CA53EB">
        <w:t>'</w:t>
      </w:r>
      <w:r>
        <w:t>UIT devrait être élargie à divers thèmes mentionnés dans le document final.</w:t>
      </w:r>
    </w:p>
    <w:p w14:paraId="35345DBF" w14:textId="0E01CA37" w:rsidR="004537F3" w:rsidRPr="008756BE" w:rsidRDefault="004537F3" w:rsidP="00890B79">
      <w:pPr>
        <w:jc w:val="both"/>
      </w:pPr>
      <w:r>
        <w:t>4.6</w:t>
      </w:r>
      <w:r>
        <w:tab/>
        <w:t>Un autre conseiller déclare que son pays craint que l</w:t>
      </w:r>
      <w:r w:rsidR="00CA53EB">
        <w:t>'</w:t>
      </w:r>
      <w:r>
        <w:t>analyse des lacunes ne tienne pas pleinement compte des résultats du SMSI+20. Cela concerne notamment des domaines tels que la gouvernance des données, la sécurité et la confiance, qui n</w:t>
      </w:r>
      <w:r w:rsidR="00CA53EB">
        <w:t>'</w:t>
      </w:r>
      <w:r>
        <w:t>ont pas été définis comme des domaines d</w:t>
      </w:r>
      <w:r w:rsidR="00CA53EB">
        <w:t>'</w:t>
      </w:r>
      <w:r>
        <w:t>action de l</w:t>
      </w:r>
      <w:r w:rsidR="00CA53EB">
        <w:t>'</w:t>
      </w:r>
      <w:r>
        <w:t>UIT, mais pas un certain nombre de domaines d</w:t>
      </w:r>
      <w:r w:rsidR="00CA53EB">
        <w:t>'</w:t>
      </w:r>
      <w:r>
        <w:t>action de l</w:t>
      </w:r>
      <w:r w:rsidR="00CA53EB">
        <w:t>'</w:t>
      </w:r>
      <w:r>
        <w:t>UIT recensés dans le document final du SMSI+20, comme la création d</w:t>
      </w:r>
      <w:r w:rsidR="00CA53EB">
        <w:t>'</w:t>
      </w:r>
      <w:r>
        <w:t>un groupe d</w:t>
      </w:r>
      <w:r w:rsidR="00CA53EB">
        <w:t>'</w:t>
      </w:r>
      <w:r>
        <w:t>action interne. Compte tenu des différents points de vue exprimés, l</w:t>
      </w:r>
      <w:r w:rsidR="00CA53EB">
        <w:t>'</w:t>
      </w:r>
      <w:r>
        <w:t>orateur indique que d</w:t>
      </w:r>
      <w:r w:rsidR="00CA53EB">
        <w:t>'</w:t>
      </w:r>
      <w:r>
        <w:t>autres détails devront être examinés en vue de la PP-26.</w:t>
      </w:r>
    </w:p>
    <w:p w14:paraId="34FD4839" w14:textId="297EACB2" w:rsidR="004537F3" w:rsidRPr="00F230CD" w:rsidRDefault="004537F3" w:rsidP="00890B79">
      <w:pPr>
        <w:jc w:val="both"/>
        <w:rPr>
          <w:spacing w:val="-2"/>
        </w:rPr>
      </w:pPr>
      <w:r w:rsidRPr="00F230CD">
        <w:rPr>
          <w:spacing w:val="-2"/>
        </w:rPr>
        <w:lastRenderedPageBreak/>
        <w:t>4.7</w:t>
      </w:r>
      <w:r w:rsidRPr="00F230CD">
        <w:rPr>
          <w:spacing w:val="-2"/>
        </w:rPr>
        <w:tab/>
        <w:t>Deux conseillères estiment que l</w:t>
      </w:r>
      <w:r w:rsidR="00CA53EB" w:rsidRPr="00F230CD">
        <w:rPr>
          <w:spacing w:val="-2"/>
        </w:rPr>
        <w:t>'</w:t>
      </w:r>
      <w:r w:rsidRPr="00F230CD">
        <w:rPr>
          <w:spacing w:val="-2"/>
        </w:rPr>
        <w:t>examen de la Résolution 1332 (C11,</w:t>
      </w:r>
      <w:r w:rsidR="00D65B13" w:rsidRPr="00F230CD">
        <w:rPr>
          <w:spacing w:val="-2"/>
        </w:rPr>
        <w:t> </w:t>
      </w:r>
      <w:r w:rsidRPr="00F230CD">
        <w:rPr>
          <w:spacing w:val="-2"/>
        </w:rPr>
        <w:t>dernière</w:t>
      </w:r>
      <w:r w:rsidR="00D65B13" w:rsidRPr="00F230CD">
        <w:rPr>
          <w:spacing w:val="-2"/>
        </w:rPr>
        <w:t> </w:t>
      </w:r>
      <w:r w:rsidRPr="00F230CD">
        <w:rPr>
          <w:spacing w:val="-2"/>
        </w:rPr>
        <w:t>mod.</w:t>
      </w:r>
      <w:r w:rsidR="006A4B95" w:rsidRPr="00F230CD">
        <w:rPr>
          <w:spacing w:val="-2"/>
        </w:rPr>
        <w:t> </w:t>
      </w:r>
      <w:r w:rsidRPr="00F230CD">
        <w:rPr>
          <w:spacing w:val="-2"/>
        </w:rPr>
        <w:t>C24) est une mesure correcte et opportune à prendre à la session actuelle du Conseil, qui est la dernière avant la réunion de 2027 de la CSTD. Plusieurs autres</w:t>
      </w:r>
      <w:r w:rsidR="00D65B13" w:rsidRPr="00F230CD">
        <w:rPr>
          <w:spacing w:val="-2"/>
        </w:rPr>
        <w:t> </w:t>
      </w:r>
      <w:r w:rsidRPr="00F230CD">
        <w:rPr>
          <w:spacing w:val="-2"/>
        </w:rPr>
        <w:t>conseillers considèrent toutefois qu</w:t>
      </w:r>
      <w:r w:rsidR="00CA53EB" w:rsidRPr="00F230CD">
        <w:rPr>
          <w:spacing w:val="-2"/>
        </w:rPr>
        <w:t>'</w:t>
      </w:r>
      <w:r w:rsidRPr="00F230CD">
        <w:rPr>
          <w:spacing w:val="-2"/>
        </w:rPr>
        <w:t>il serait prématuré d</w:t>
      </w:r>
      <w:r w:rsidR="00CA53EB" w:rsidRPr="00F230CD">
        <w:rPr>
          <w:spacing w:val="-2"/>
        </w:rPr>
        <w:t>'</w:t>
      </w:r>
      <w:r w:rsidRPr="00F230CD">
        <w:rPr>
          <w:spacing w:val="-2"/>
        </w:rPr>
        <w:t>envisager d</w:t>
      </w:r>
      <w:r w:rsidR="00CA53EB" w:rsidRPr="00F230CD">
        <w:rPr>
          <w:spacing w:val="-2"/>
        </w:rPr>
        <w:t>'</w:t>
      </w:r>
      <w:r w:rsidRPr="00F230CD">
        <w:rPr>
          <w:spacing w:val="-2"/>
        </w:rPr>
        <w:t xml:space="preserve">apporter des modifications aux </w:t>
      </w:r>
      <w:r w:rsidR="00061553" w:rsidRPr="00F230CD">
        <w:rPr>
          <w:spacing w:val="-2"/>
        </w:rPr>
        <w:t>R</w:t>
      </w:r>
      <w:r w:rsidRPr="00F230CD">
        <w:rPr>
          <w:spacing w:val="-2"/>
        </w:rPr>
        <w:t>ésolutions pertinentes du Conseil ou au mandat d</w:t>
      </w:r>
      <w:r w:rsidR="00CA53EB" w:rsidRPr="00F230CD">
        <w:rPr>
          <w:spacing w:val="-2"/>
        </w:rPr>
        <w:t>'</w:t>
      </w:r>
      <w:r w:rsidRPr="00F230CD">
        <w:rPr>
          <w:spacing w:val="-2"/>
        </w:rPr>
        <w:t>un groupe de travail du Conseil avant que la PP</w:t>
      </w:r>
      <w:r w:rsidR="00D65B13" w:rsidRPr="00F230CD">
        <w:rPr>
          <w:spacing w:val="-2"/>
        </w:rPr>
        <w:noBreakHyphen/>
      </w:r>
      <w:r w:rsidRPr="00F230CD">
        <w:rPr>
          <w:spacing w:val="-2"/>
        </w:rPr>
        <w:t>26 n</w:t>
      </w:r>
      <w:r w:rsidR="00CA53EB" w:rsidRPr="00F230CD">
        <w:rPr>
          <w:spacing w:val="-2"/>
        </w:rPr>
        <w:t>'</w:t>
      </w:r>
      <w:r w:rsidRPr="00F230CD">
        <w:rPr>
          <w:spacing w:val="-2"/>
        </w:rPr>
        <w:t>ait examiné les Résolutions 102 (Rév. Bucarest, 2022) et 140</w:t>
      </w:r>
      <w:r w:rsidR="00D65B13" w:rsidRPr="00F230CD">
        <w:rPr>
          <w:spacing w:val="-2"/>
        </w:rPr>
        <w:t> </w:t>
      </w:r>
      <w:r w:rsidRPr="00F230CD">
        <w:rPr>
          <w:spacing w:val="-2"/>
        </w:rPr>
        <w:t>(Rév. Bucarest, 2022). Les Résolutions 1332 (C11, dernière mod. C24) et 1334 (C11,</w:t>
      </w:r>
      <w:r w:rsidR="00D65B13" w:rsidRPr="00F230CD">
        <w:rPr>
          <w:spacing w:val="-2"/>
        </w:rPr>
        <w:t> </w:t>
      </w:r>
      <w:r w:rsidRPr="00F230CD">
        <w:rPr>
          <w:spacing w:val="-2"/>
        </w:rPr>
        <w:t>dernière mod. C23) pourront alors être mises à jour par le Conseil à sa session de 2027, si nécessaire. Une conseillère fait observer que les lacunes recensées portent uniquement sur la précision et la clarté et n</w:t>
      </w:r>
      <w:r w:rsidR="00CA53EB" w:rsidRPr="00F230CD">
        <w:rPr>
          <w:spacing w:val="-2"/>
        </w:rPr>
        <w:t>'</w:t>
      </w:r>
      <w:r w:rsidRPr="00F230CD">
        <w:rPr>
          <w:spacing w:val="-2"/>
        </w:rPr>
        <w:t>empêcheront donc pas l</w:t>
      </w:r>
      <w:r w:rsidR="00CA53EB" w:rsidRPr="00F230CD">
        <w:rPr>
          <w:spacing w:val="-2"/>
        </w:rPr>
        <w:t>'</w:t>
      </w:r>
      <w:r w:rsidRPr="00F230CD">
        <w:rPr>
          <w:spacing w:val="-2"/>
        </w:rPr>
        <w:t>UIT de mettre en œuvre les résultats du SMSI+20 avant la</w:t>
      </w:r>
      <w:r w:rsidR="00D65B13" w:rsidRPr="00F230CD">
        <w:rPr>
          <w:spacing w:val="-2"/>
        </w:rPr>
        <w:t xml:space="preserve"> </w:t>
      </w:r>
      <w:r w:rsidRPr="00F230CD">
        <w:rPr>
          <w:spacing w:val="-2"/>
        </w:rPr>
        <w:t>PP-26. Plusieurs conseillers suggèrent que les États Membres prennent note du Document</w:t>
      </w:r>
      <w:r w:rsidR="00D65B13" w:rsidRPr="00F230CD">
        <w:rPr>
          <w:spacing w:val="-2"/>
        </w:rPr>
        <w:t xml:space="preserve"> </w:t>
      </w:r>
      <w:r w:rsidRPr="00F230CD">
        <w:rPr>
          <w:spacing w:val="-2"/>
        </w:rPr>
        <w:t>C26/60 et de la contribution figurant dans le Document C26/93 et en tiennent compte dans leurs travaux préparatoires en vue de la PP-26. Un autre conseiller estime qu</w:t>
      </w:r>
      <w:r w:rsidR="00CA53EB" w:rsidRPr="00F230CD">
        <w:rPr>
          <w:spacing w:val="-2"/>
        </w:rPr>
        <w:t>'</w:t>
      </w:r>
      <w:r w:rsidRPr="00F230CD">
        <w:rPr>
          <w:spacing w:val="-2"/>
        </w:rPr>
        <w:t>il n</w:t>
      </w:r>
      <w:r w:rsidR="00CA53EB" w:rsidRPr="00F230CD">
        <w:rPr>
          <w:spacing w:val="-2"/>
        </w:rPr>
        <w:t>'</w:t>
      </w:r>
      <w:r w:rsidRPr="00F230CD">
        <w:rPr>
          <w:spacing w:val="-2"/>
        </w:rPr>
        <w:t>est pas nécessaire de réviser le mandat du GTC-Internet.</w:t>
      </w:r>
    </w:p>
    <w:p w14:paraId="73C87265" w14:textId="41274927" w:rsidR="004537F3" w:rsidRPr="008756BE" w:rsidRDefault="004537F3" w:rsidP="00890B79">
      <w:pPr>
        <w:jc w:val="both"/>
      </w:pPr>
      <w:r>
        <w:t>4.8</w:t>
      </w:r>
      <w:r>
        <w:tab/>
        <w:t xml:space="preserve">Une conseillère suggère que le </w:t>
      </w:r>
      <w:r w:rsidR="00061553">
        <w:t>S</w:t>
      </w:r>
      <w:r>
        <w:t>ecrétariat continue d</w:t>
      </w:r>
      <w:r w:rsidR="00CA53EB">
        <w:t>'</w:t>
      </w:r>
      <w:r>
        <w:t>affiner l</w:t>
      </w:r>
      <w:r w:rsidR="00CA53EB">
        <w:t>'</w:t>
      </w:r>
      <w:r>
        <w:t>analyse des lacunes pour mieux les traduire en mesures concrètes sous la direction du Conseil. Une telle approche pourrait contribuer à clarifier davantage les priorités et les prochaines étapes.</w:t>
      </w:r>
    </w:p>
    <w:p w14:paraId="6BD975AA" w14:textId="7AE640F7" w:rsidR="004537F3" w:rsidRPr="008756BE" w:rsidRDefault="004537F3" w:rsidP="00890B79">
      <w:pPr>
        <w:jc w:val="both"/>
      </w:pPr>
      <w:r>
        <w:t>4.9</w:t>
      </w:r>
      <w:r>
        <w:tab/>
        <w:t xml:space="preserve">Le Conseil </w:t>
      </w:r>
      <w:r>
        <w:rPr>
          <w:b/>
          <w:bCs/>
        </w:rPr>
        <w:t>prend note</w:t>
      </w:r>
      <w:r>
        <w:t xml:space="preserve"> de l</w:t>
      </w:r>
      <w:r w:rsidR="00CA53EB">
        <w:t>'</w:t>
      </w:r>
      <w:r>
        <w:t xml:space="preserve">analyse des lacunes reproduite dans le Document C26/60 et de la contribution figurant dans le Document C26/93 et </w:t>
      </w:r>
      <w:r>
        <w:rPr>
          <w:b/>
          <w:bCs/>
        </w:rPr>
        <w:t xml:space="preserve">charge </w:t>
      </w:r>
      <w:r>
        <w:t>la Secrétaire générale de mettre à jour l</w:t>
      </w:r>
      <w:r w:rsidR="00CA53EB">
        <w:t>'</w:t>
      </w:r>
      <w:r>
        <w:t>analyse des lacunes dans le Document C26/60, à la lumière des discussions, en vue de la soumettre à la PP-26.</w:t>
      </w:r>
    </w:p>
    <w:p w14:paraId="1083E708" w14:textId="4246F2CB" w:rsidR="004537F3" w:rsidRPr="008756BE" w:rsidRDefault="004537F3" w:rsidP="004537F3">
      <w:pPr>
        <w:pStyle w:val="Heading1"/>
      </w:pPr>
      <w:r>
        <w:rPr>
          <w:bCs/>
          <w:szCs w:val="24"/>
        </w:rPr>
        <w:t>5</w:t>
      </w:r>
      <w:r>
        <w:rPr>
          <w:szCs w:val="24"/>
        </w:rPr>
        <w:tab/>
      </w:r>
      <w:r>
        <w:rPr>
          <w:bCs/>
          <w:szCs w:val="24"/>
        </w:rPr>
        <w:t>Contribution de l</w:t>
      </w:r>
      <w:r w:rsidR="00CA53EB">
        <w:rPr>
          <w:bCs/>
          <w:szCs w:val="24"/>
        </w:rPr>
        <w:t>'</w:t>
      </w:r>
      <w:r>
        <w:rPr>
          <w:bCs/>
          <w:szCs w:val="24"/>
        </w:rPr>
        <w:t>UIT à l</w:t>
      </w:r>
      <w:r w:rsidR="00CA53EB">
        <w:rPr>
          <w:bCs/>
          <w:szCs w:val="24"/>
        </w:rPr>
        <w:t>'</w:t>
      </w:r>
      <w:r>
        <w:rPr>
          <w:bCs/>
          <w:szCs w:val="24"/>
        </w:rPr>
        <w:t xml:space="preserve">Initiative </w:t>
      </w:r>
      <w:proofErr w:type="spellStart"/>
      <w:r>
        <w:rPr>
          <w:bCs/>
          <w:szCs w:val="24"/>
        </w:rPr>
        <w:t>ONU80</w:t>
      </w:r>
      <w:proofErr w:type="spellEnd"/>
      <w:r>
        <w:rPr>
          <w:bCs/>
          <w:szCs w:val="24"/>
        </w:rPr>
        <w:t xml:space="preserve"> (</w:t>
      </w:r>
      <w:r w:rsidR="00890B79" w:rsidRPr="00890B79">
        <w:rPr>
          <w:bCs/>
          <w:szCs w:val="24"/>
        </w:rPr>
        <w:t xml:space="preserve">Document </w:t>
      </w:r>
      <w:hyperlink r:id="rId28" w:history="1">
        <w:proofErr w:type="spellStart"/>
        <w:r w:rsidRPr="006A4B95">
          <w:rPr>
            <w:rStyle w:val="Hyperlink"/>
            <w:bCs/>
            <w:szCs w:val="24"/>
          </w:rPr>
          <w:t>C26</w:t>
        </w:r>
        <w:proofErr w:type="spellEnd"/>
        <w:r w:rsidRPr="006A4B95">
          <w:rPr>
            <w:rStyle w:val="Hyperlink"/>
            <w:bCs/>
            <w:szCs w:val="24"/>
          </w:rPr>
          <w:t>/61</w:t>
        </w:r>
      </w:hyperlink>
      <w:r>
        <w:rPr>
          <w:bCs/>
          <w:szCs w:val="24"/>
        </w:rPr>
        <w:t>)</w:t>
      </w:r>
      <w:hyperlink r:id="rId29" w:history="1"/>
    </w:p>
    <w:p w14:paraId="2F42E384" w14:textId="39685BB8" w:rsidR="004537F3" w:rsidRPr="00813F3E" w:rsidRDefault="004537F3" w:rsidP="00890B79">
      <w:pPr>
        <w:jc w:val="both"/>
        <w:rPr>
          <w:spacing w:val="-2"/>
        </w:rPr>
      </w:pPr>
      <w:r>
        <w:t>5.1</w:t>
      </w:r>
      <w:r>
        <w:tab/>
        <w:t>L</w:t>
      </w:r>
      <w:r w:rsidR="00025A64">
        <w:t>a</w:t>
      </w:r>
      <w:r>
        <w:t xml:space="preserve"> Chef du Département de la planification stratégique et des relations avec les membres (SPM) présente le Document C26/61, qui donne un aperçu de la contribution de l</w:t>
      </w:r>
      <w:r w:rsidR="00CA53EB">
        <w:t>'</w:t>
      </w:r>
      <w:r>
        <w:t>Union à l</w:t>
      </w:r>
      <w:r w:rsidR="00CA53EB">
        <w:t>'</w:t>
      </w:r>
      <w:r>
        <w:t>Initiative ONU80 et de son engagement à cet égard. Depuis la publication de ce document, l</w:t>
      </w:r>
      <w:r w:rsidR="00CA53EB">
        <w:t>'</w:t>
      </w:r>
      <w:r>
        <w:t xml:space="preserve">Assemblée générale des Nations Unies a adopté une </w:t>
      </w:r>
      <w:r w:rsidR="00D65B13">
        <w:t>R</w:t>
      </w:r>
      <w:r>
        <w:t>ésolution sur la création, la mise en œuvre et l</w:t>
      </w:r>
      <w:r w:rsidR="00CA53EB">
        <w:t>'</w:t>
      </w:r>
      <w:r>
        <w:t>examen des mandats, et le Secrétaire général de l</w:t>
      </w:r>
      <w:r w:rsidR="00CA53EB">
        <w:t>'</w:t>
      </w:r>
      <w:r>
        <w:t>ONU a publié un rapport d</w:t>
      </w:r>
      <w:r w:rsidR="00CA53EB">
        <w:t>'</w:t>
      </w:r>
      <w:r>
        <w:t>activité sur la mise en œuvre de cette initiative. Le Secrétariat a reconnu que toute recommandation de réforme organisationnelle devrait être évaluée en tenant compte du mandat, du cadre réglementaire et des processus institutionnels de l</w:t>
      </w:r>
      <w:r w:rsidR="00CA53EB">
        <w:t>'</w:t>
      </w:r>
      <w:r>
        <w:t>Union.</w:t>
      </w:r>
    </w:p>
    <w:p w14:paraId="341F0EFA" w14:textId="584DE04E" w:rsidR="004537F3" w:rsidRPr="008756BE" w:rsidRDefault="004537F3" w:rsidP="00F230CD">
      <w:pPr>
        <w:jc w:val="both"/>
      </w:pPr>
      <w:r>
        <w:t>5.2</w:t>
      </w:r>
      <w:r>
        <w:tab/>
        <w:t>Plusieurs conseillers mettent en avant l</w:t>
      </w:r>
      <w:r w:rsidR="00CA53EB">
        <w:t>'</w:t>
      </w:r>
      <w:r>
        <w:t>importance et le caractère opportun de l</w:t>
      </w:r>
      <w:r w:rsidR="00CA53EB">
        <w:t>'</w:t>
      </w:r>
      <w:r>
        <w:t>Initiative ONU80, compte tenu de la nécessité d</w:t>
      </w:r>
      <w:r w:rsidR="00CA53EB">
        <w:t>'</w:t>
      </w:r>
      <w:r>
        <w:t>adapter le système des Nations Unies pour relever les défis modernes en optimisant les fonctions administratives, en réduisant les coûts et en améliorant l</w:t>
      </w:r>
      <w:r w:rsidR="00CA53EB">
        <w:t>'</w:t>
      </w:r>
      <w:r>
        <w:t>efficacité.</w:t>
      </w:r>
    </w:p>
    <w:p w14:paraId="268E665D" w14:textId="6949591F" w:rsidR="004537F3" w:rsidRPr="008756BE" w:rsidRDefault="004537F3" w:rsidP="00890B79">
      <w:pPr>
        <w:jc w:val="both"/>
      </w:pPr>
      <w:r>
        <w:t>5.3</w:t>
      </w:r>
      <w:r>
        <w:tab/>
        <w:t>Les conseillers se félicitent du rôle constructif et visible joué par l</w:t>
      </w:r>
      <w:r w:rsidR="00CA53EB">
        <w:t>'</w:t>
      </w:r>
      <w:r>
        <w:t>UIT dans l</w:t>
      </w:r>
      <w:r w:rsidR="00CA53EB">
        <w:t>'</w:t>
      </w:r>
      <w:r>
        <w:t>Initiative</w:t>
      </w:r>
      <w:r w:rsidR="00D65B13">
        <w:t> </w:t>
      </w:r>
      <w:r>
        <w:t xml:space="preserve">ONU80, en particulier de son rôle de direction dans le cadre de certains lots de travaux, en particulier les </w:t>
      </w:r>
      <w:r w:rsidR="00D65B13">
        <w:t>L</w:t>
      </w:r>
      <w:r>
        <w:t>ots 8 et 15, et au sein de la Commission de direction. Un conseiller met en avant les enseignements que l</w:t>
      </w:r>
      <w:r w:rsidR="00CA53EB">
        <w:t>'</w:t>
      </w:r>
      <w:r>
        <w:t>on pourrait tirer de l</w:t>
      </w:r>
      <w:r w:rsidR="00CA53EB">
        <w:t>'</w:t>
      </w:r>
      <w:r>
        <w:t>expérience de l</w:t>
      </w:r>
      <w:r w:rsidR="00CA53EB">
        <w:t>'</w:t>
      </w:r>
      <w:r>
        <w:t>Union en matière de promotion de la transformation et de l</w:t>
      </w:r>
      <w:r w:rsidR="00CA53EB">
        <w:t>'</w:t>
      </w:r>
      <w:r>
        <w:t>excellence opérationnelle. Il encourage également l</w:t>
      </w:r>
      <w:r w:rsidR="00CA53EB">
        <w:t>'</w:t>
      </w:r>
      <w:r>
        <w:t>UIT à s</w:t>
      </w:r>
      <w:r w:rsidR="00CA53EB">
        <w:t>'</w:t>
      </w:r>
      <w:r>
        <w:t>inspirer des travaux intersystèmes menés par des organisations telles que le Centre international de calcul des Nations Unies. Un autre conseiller souligne que l</w:t>
      </w:r>
      <w:r w:rsidR="00CA53EB">
        <w:t>'</w:t>
      </w:r>
      <w:r>
        <w:t>UIT peut apporter une contribution unique au processus ONU80.</w:t>
      </w:r>
    </w:p>
    <w:p w14:paraId="3FF9B396" w14:textId="39AADA18" w:rsidR="004537F3" w:rsidRPr="008756BE" w:rsidRDefault="004537F3" w:rsidP="00890B79">
      <w:pPr>
        <w:jc w:val="both"/>
      </w:pPr>
      <w:r>
        <w:t>5.4</w:t>
      </w:r>
      <w:r>
        <w:tab/>
        <w:t xml:space="preserve">Plusieurs conseillers se félicitent du </w:t>
      </w:r>
      <w:r w:rsidR="0010338F">
        <w:t>L</w:t>
      </w:r>
      <w:r>
        <w:t>ot de travaux 15, qui contribuera à unifier les services et à faire tomber les cloisonnements dans l</w:t>
      </w:r>
      <w:r w:rsidR="00CA53EB">
        <w:t>'</w:t>
      </w:r>
      <w:r>
        <w:t xml:space="preserve">ensemble du système des Nations Unies. </w:t>
      </w:r>
      <w:r>
        <w:lastRenderedPageBreak/>
        <w:t>Un conseiller met en avant la création du mécanisme d</w:t>
      </w:r>
      <w:r w:rsidR="00CA53EB">
        <w:t>'</w:t>
      </w:r>
      <w:r>
        <w:t xml:space="preserve">expertise à la demande dans le cadre du </w:t>
      </w:r>
      <w:r w:rsidR="0010338F">
        <w:t>L</w:t>
      </w:r>
      <w:r>
        <w:t>ot de travaux 8 et sa capacité à recenser les avantages concurrentiels et à éviter les doubles emplois entre les institutions sur le terrain. Un autre conseiller salue la contribution de l</w:t>
      </w:r>
      <w:r w:rsidR="00CA53EB">
        <w:t>'</w:t>
      </w:r>
      <w:r>
        <w:t>Union dans d</w:t>
      </w:r>
      <w:r w:rsidR="00CA53EB">
        <w:t>'</w:t>
      </w:r>
      <w:r>
        <w:t>autres domaines des lots de travaux, tels que la création de pôles de connaissances communs, les biens communs de données à l</w:t>
      </w:r>
      <w:r w:rsidR="00CA53EB">
        <w:t>'</w:t>
      </w:r>
      <w:r>
        <w:t>échelle des services et les initiatives de formation. Pour réaliser le Programme 2030 et accroître les retombées des activités des Nations Unies, il est essentiel d</w:t>
      </w:r>
      <w:r w:rsidR="00CA53EB">
        <w:t>'</w:t>
      </w:r>
      <w:r>
        <w:t>appliquer une approche mêlant réforme institutionnelle, transformation numérique et amélioration des connaissances.</w:t>
      </w:r>
    </w:p>
    <w:p w14:paraId="696B4500" w14:textId="0B1D34BC" w:rsidR="004537F3" w:rsidRPr="008756BE" w:rsidRDefault="004537F3" w:rsidP="00890B79">
      <w:pPr>
        <w:jc w:val="both"/>
      </w:pPr>
      <w:r>
        <w:t>5.5</w:t>
      </w:r>
      <w:r>
        <w:tab/>
        <w:t>Un conseiller fait remarquer que l</w:t>
      </w:r>
      <w:r w:rsidR="00CA53EB">
        <w:t>'</w:t>
      </w:r>
      <w:r>
        <w:t>Initiative ONU80 n</w:t>
      </w:r>
      <w:r w:rsidR="00CA53EB">
        <w:t>'</w:t>
      </w:r>
      <w:r>
        <w:t>a pas encore été officiellement approuvée par les États Membres de l</w:t>
      </w:r>
      <w:r w:rsidR="00CA53EB">
        <w:t>'</w:t>
      </w:r>
      <w:r>
        <w:t>ONU. Les discussions menées lors du Forum politique de haut niveau pour le développement durable et de l</w:t>
      </w:r>
      <w:r w:rsidR="00CA53EB">
        <w:t>'</w:t>
      </w:r>
      <w:r>
        <w:t>Assemblée générale des Nations</w:t>
      </w:r>
      <w:r w:rsidR="002C1E38">
        <w:t> </w:t>
      </w:r>
      <w:r>
        <w:t>Unies seront capitales pour définir l</w:t>
      </w:r>
      <w:r w:rsidR="00CA53EB">
        <w:t>'</w:t>
      </w:r>
      <w:r>
        <w:t>orientation et la portée des initiatives des Nations</w:t>
      </w:r>
      <w:r w:rsidR="00E61424">
        <w:t> </w:t>
      </w:r>
      <w:r>
        <w:t>Unies.</w:t>
      </w:r>
    </w:p>
    <w:p w14:paraId="53430417" w14:textId="5E5DC949" w:rsidR="004537F3" w:rsidRPr="008756BE" w:rsidRDefault="004537F3" w:rsidP="00890B79">
      <w:pPr>
        <w:jc w:val="both"/>
      </w:pPr>
      <w:r>
        <w:t>5.6</w:t>
      </w:r>
      <w:r>
        <w:tab/>
        <w:t xml:space="preserve">Un conseiller demande comment le </w:t>
      </w:r>
      <w:r w:rsidR="0010338F">
        <w:t>L</w:t>
      </w:r>
      <w:r>
        <w:t>ot de travaux 15 se traduirait par des avantages concrets pour les États Membres, en particulier en appuyant la transformation numérique et en améliorant la fourniture de services des Nations Unies au niveau régional. Deux</w:t>
      </w:r>
      <w:r w:rsidR="00942964">
        <w:t> </w:t>
      </w:r>
      <w:r>
        <w:t xml:space="preserve">conseillers souhaitent obtenir des informations sur la manière dont le </w:t>
      </w:r>
      <w:r w:rsidR="00061553">
        <w:t>S</w:t>
      </w:r>
      <w:r>
        <w:t>ecrétariat assurera un équilibre entre la réforme de l</w:t>
      </w:r>
      <w:r w:rsidR="00CA53EB">
        <w:t>'</w:t>
      </w:r>
      <w:r>
        <w:t>UIT et les activités de l</w:t>
      </w:r>
      <w:r w:rsidR="00CA53EB">
        <w:t>'</w:t>
      </w:r>
      <w:r>
        <w:t>Initiative ONU80. Un autre conseiller se demande comment les activités de l</w:t>
      </w:r>
      <w:r w:rsidR="00CA53EB">
        <w:t>'</w:t>
      </w:r>
      <w:r>
        <w:t xml:space="preserve">UIT relevant des </w:t>
      </w:r>
      <w:r w:rsidR="0010338F">
        <w:t>L</w:t>
      </w:r>
      <w:r>
        <w:t>ots de travaux 8 et 15, en</w:t>
      </w:r>
      <w:r w:rsidR="00D65B13">
        <w:t> </w:t>
      </w:r>
      <w:r>
        <w:t>particulier les projets pilotes initiaux prévus, seront intégrées dans le plan stratégique.</w:t>
      </w:r>
    </w:p>
    <w:p w14:paraId="4D00C032" w14:textId="4C85EC72" w:rsidR="004537F3" w:rsidRPr="008756BE" w:rsidRDefault="004537F3" w:rsidP="00890B79">
      <w:pPr>
        <w:jc w:val="both"/>
      </w:pPr>
      <w:r>
        <w:t>5.7</w:t>
      </w:r>
      <w:r>
        <w:tab/>
        <w:t>Plusieurs conseillers s</w:t>
      </w:r>
      <w:r w:rsidR="00CA53EB">
        <w:t>'</w:t>
      </w:r>
      <w:r>
        <w:t>interrogent sur les incidences que peut avoir la tendance de l</w:t>
      </w:r>
      <w:r w:rsidR="00CA53EB">
        <w:t>'</w:t>
      </w:r>
      <w:r>
        <w:t>Initiative ONU80 à la consolidation régionale sur la présence régionale de l</w:t>
      </w:r>
      <w:r w:rsidR="00CA53EB">
        <w:t>'</w:t>
      </w:r>
      <w:r>
        <w:t xml:space="preserve">UIT. Ils encouragent le </w:t>
      </w:r>
      <w:r w:rsidR="00061553">
        <w:t>S</w:t>
      </w:r>
      <w:r>
        <w:t xml:space="preserve">ecrétariat à examiner avec les États Membres toutes les propositions de réforme dans ce domaine avant de les mettre en </w:t>
      </w:r>
      <w:r w:rsidR="002C1E38">
        <w:t>œuvre</w:t>
      </w:r>
      <w:r>
        <w:t xml:space="preserve">. </w:t>
      </w:r>
    </w:p>
    <w:p w14:paraId="30DA0FD6" w14:textId="754CAE5A" w:rsidR="004537F3" w:rsidRPr="007511AA" w:rsidRDefault="004537F3" w:rsidP="00890B79">
      <w:pPr>
        <w:jc w:val="both"/>
        <w:rPr>
          <w:spacing w:val="-2"/>
        </w:rPr>
      </w:pPr>
      <w:r>
        <w:t>5.8</w:t>
      </w:r>
      <w:r>
        <w:tab/>
        <w:t>Deux conseillers s</w:t>
      </w:r>
      <w:r w:rsidR="00CA53EB">
        <w:t>'</w:t>
      </w:r>
      <w:r>
        <w:t>interrogent sur les incidences du mécanisme d</w:t>
      </w:r>
      <w:r w:rsidR="00CA53EB">
        <w:t>'</w:t>
      </w:r>
      <w:r>
        <w:t>expertise à la demande envisagé, et se demandent notamment s</w:t>
      </w:r>
      <w:r w:rsidR="00CA53EB">
        <w:t>'</w:t>
      </w:r>
      <w:r>
        <w:t>il est censé remplacer les bureaux régionaux et si les choses évolueront selon qu</w:t>
      </w:r>
      <w:r w:rsidR="00CA53EB">
        <w:t>'</w:t>
      </w:r>
      <w:r>
        <w:t>un État Membre accueille ou non un bureau de l</w:t>
      </w:r>
      <w:r w:rsidR="00CA53EB">
        <w:t>'</w:t>
      </w:r>
      <w:r>
        <w:t>UIT. Un conseiller demande comment l</w:t>
      </w:r>
      <w:r w:rsidR="00CA53EB">
        <w:t>'</w:t>
      </w:r>
      <w:r>
        <w:t>UIT compte faire en sorte de continuer d</w:t>
      </w:r>
      <w:r w:rsidR="00CA53EB">
        <w:t>'</w:t>
      </w:r>
      <w:r>
        <w:t>aider les pays en développement à mettre en place des projets.</w:t>
      </w:r>
    </w:p>
    <w:p w14:paraId="389E5E22" w14:textId="68EA71CC" w:rsidR="004537F3" w:rsidRPr="008756BE" w:rsidRDefault="004537F3" w:rsidP="00F230CD">
      <w:pPr>
        <w:jc w:val="both"/>
      </w:pPr>
      <w:r>
        <w:t>5.9</w:t>
      </w:r>
      <w:r>
        <w:tab/>
        <w:t>La conseillère de la République sudafricaine rappelle que la plupart des membres de l</w:t>
      </w:r>
      <w:r w:rsidR="00CA53EB">
        <w:t>'</w:t>
      </w:r>
      <w:r>
        <w:t>UIT sont satisfaits de la présence régionale actuelle de l</w:t>
      </w:r>
      <w:r w:rsidR="00CA53EB">
        <w:t>'</w:t>
      </w:r>
      <w:r>
        <w:t>UIT, qui est considérée comme apportant une valeur concrète. Si les membres accueillent favorablement des améliorations pratiques, une refonte structurelle n</w:t>
      </w:r>
      <w:r w:rsidR="00CA53EB">
        <w:t>'</w:t>
      </w:r>
      <w:r>
        <w:t>est pas nécessaire. L</w:t>
      </w:r>
      <w:r w:rsidR="00CA53EB">
        <w:t>'</w:t>
      </w:r>
      <w:r>
        <w:t>UIT devrait donc éviter de restructurer ses bureaux prématurément face aux pressions de l</w:t>
      </w:r>
      <w:r w:rsidR="00CA53EB">
        <w:t>'</w:t>
      </w:r>
      <w:r>
        <w:t>Initiative ONU80.</w:t>
      </w:r>
    </w:p>
    <w:p w14:paraId="2E8E0C94" w14:textId="317B26E3" w:rsidR="004537F3" w:rsidRPr="008756BE" w:rsidRDefault="004537F3" w:rsidP="00890B79">
      <w:pPr>
        <w:jc w:val="both"/>
      </w:pPr>
      <w:r>
        <w:t>5.10</w:t>
      </w:r>
      <w:r>
        <w:tab/>
        <w:t>Une conseillère et un observateur souhaitent obtenir des chiffres sur les économies réalisées grâce aux réformes de l</w:t>
      </w:r>
      <w:r w:rsidR="00CA53EB">
        <w:t>'</w:t>
      </w:r>
      <w:r>
        <w:t>Initiative ONU80.</w:t>
      </w:r>
    </w:p>
    <w:p w14:paraId="1A855585" w14:textId="10484FBA" w:rsidR="004537F3" w:rsidRPr="008756BE" w:rsidRDefault="004537F3" w:rsidP="00890B79">
      <w:pPr>
        <w:jc w:val="both"/>
      </w:pPr>
      <w:r>
        <w:t>5.11</w:t>
      </w:r>
      <w:r>
        <w:tab/>
        <w:t>Le conseiller de l</w:t>
      </w:r>
      <w:r w:rsidR="00CA53EB">
        <w:t>'</w:t>
      </w:r>
      <w:r>
        <w:t>Australie indique que les réformes pourraient contribuer à réduire les doubles emplois, à favoriser l</w:t>
      </w:r>
      <w:r w:rsidR="00CA53EB">
        <w:t>'</w:t>
      </w:r>
      <w:r>
        <w:t>efficacité et à accroître les retombées. À cet égard, son pays est favorable à un renforcement de la présence régionale de l</w:t>
      </w:r>
      <w:r w:rsidR="00CA53EB">
        <w:t>'</w:t>
      </w:r>
      <w:r>
        <w:t>UIT dans la région du Pacifique.</w:t>
      </w:r>
    </w:p>
    <w:p w14:paraId="082E9B4C" w14:textId="2233F048" w:rsidR="004537F3" w:rsidRPr="008756BE" w:rsidRDefault="004537F3" w:rsidP="00890B79">
      <w:pPr>
        <w:jc w:val="both"/>
      </w:pPr>
      <w:r>
        <w:t>5.12</w:t>
      </w:r>
      <w:r>
        <w:tab/>
        <w:t xml:space="preserve">Un conseillère demande au </w:t>
      </w:r>
      <w:r w:rsidR="00D65B13">
        <w:t>S</w:t>
      </w:r>
      <w:r>
        <w:t>ecrétariat de fournir un calendrier des mesures que les États</w:t>
      </w:r>
      <w:r w:rsidR="00D65B13">
        <w:t> </w:t>
      </w:r>
      <w:r>
        <w:t>Membres doivent prendre concernant l</w:t>
      </w:r>
      <w:r w:rsidR="00CA53EB">
        <w:t>'</w:t>
      </w:r>
      <w:r>
        <w:t>Initiative ONU80. Un conseiller et un observateur encouragent la présentation de nouveaux rapports sur l</w:t>
      </w:r>
      <w:r w:rsidR="00CA53EB">
        <w:t>'</w:t>
      </w:r>
      <w:r>
        <w:t>état d</w:t>
      </w:r>
      <w:r w:rsidR="00CA53EB">
        <w:t>'</w:t>
      </w:r>
      <w:r>
        <w:t>avancement des réformes, y compris les critères de référence, les échéances, l</w:t>
      </w:r>
      <w:r w:rsidR="00CA53EB">
        <w:t>'</w:t>
      </w:r>
      <w:r>
        <w:t>influence des institutions spécialisées et les incidences de l</w:t>
      </w:r>
      <w:r w:rsidR="00CA53EB">
        <w:t>'</w:t>
      </w:r>
      <w:r>
        <w:t>approche des Nations Unies en matière de gouvernance numérique sur les institutions basées à Genève.</w:t>
      </w:r>
    </w:p>
    <w:p w14:paraId="7F086D20" w14:textId="6F9EC51A" w:rsidR="004537F3" w:rsidRPr="008756BE" w:rsidRDefault="004537F3" w:rsidP="00890B79">
      <w:pPr>
        <w:jc w:val="both"/>
      </w:pPr>
      <w:r>
        <w:lastRenderedPageBreak/>
        <w:t>5.13</w:t>
      </w:r>
      <w:r>
        <w:tab/>
        <w:t>Un observateur souligne que toutes les propositions émanant de l</w:t>
      </w:r>
      <w:r w:rsidR="00CA53EB">
        <w:t>'</w:t>
      </w:r>
      <w:r>
        <w:t>Initiative ONU80 doivent être soumises à l</w:t>
      </w:r>
      <w:r w:rsidR="00CA53EB">
        <w:t>'</w:t>
      </w:r>
      <w:r>
        <w:t>approbation des organes directeurs de l</w:t>
      </w:r>
      <w:r w:rsidR="00CA53EB">
        <w:t>'</w:t>
      </w:r>
      <w:r>
        <w:t xml:space="preserve">UIT. Il encourage le </w:t>
      </w:r>
      <w:r w:rsidR="00061553">
        <w:t>S</w:t>
      </w:r>
      <w:r>
        <w:t>ecrétariat à associer le Comité consultatif indépendant pour les questions de gestion au processus ONU80, compte tenu de sa précieuse contribution aux propositions de réforme. Des réformes visant à renforcer le contrôle interne au sein du système des Nations Unies et à intégrer les bonnes pratiques devraient également être envisagées, en particulier au vu des complexités systémiques auxquelles sont confrontées les institutions spécialisées.</w:t>
      </w:r>
    </w:p>
    <w:p w14:paraId="014F5F83" w14:textId="4BB67510" w:rsidR="004537F3" w:rsidRPr="008756BE" w:rsidRDefault="004537F3" w:rsidP="00890B79">
      <w:pPr>
        <w:jc w:val="both"/>
      </w:pPr>
      <w:r>
        <w:t>5.14</w:t>
      </w:r>
      <w:r>
        <w:tab/>
        <w:t>En réponse à des questions posées par des conseillers, l</w:t>
      </w:r>
      <w:r w:rsidR="00520624">
        <w:t>a</w:t>
      </w:r>
      <w:r>
        <w:t xml:space="preserve"> Direct</w:t>
      </w:r>
      <w:r w:rsidR="00520624">
        <w:t>rice</w:t>
      </w:r>
      <w:r>
        <w:t xml:space="preserve"> de l</w:t>
      </w:r>
      <w:r w:rsidR="00CA53EB">
        <w:t>'</w:t>
      </w:r>
      <w:r>
        <w:t>information explique que l</w:t>
      </w:r>
      <w:r w:rsidR="00CA53EB">
        <w:t>'</w:t>
      </w:r>
      <w:r>
        <w:t xml:space="preserve">objectif du </w:t>
      </w:r>
      <w:r w:rsidR="0010338F">
        <w:t>L</w:t>
      </w:r>
      <w:r>
        <w:t>ot de travaux 15 est de réduire la fragmentation et d</w:t>
      </w:r>
      <w:r w:rsidR="00CA53EB">
        <w:t>'</w:t>
      </w:r>
      <w:r>
        <w:t>améliorer encore l</w:t>
      </w:r>
      <w:r w:rsidR="00CA53EB">
        <w:t>'</w:t>
      </w:r>
      <w:r>
        <w:t>accès aux services numériques partagés, qui sont déjà utilisés par la plupart des institutions. Les activités menées dans le cadre du lot de travaux étaient fondées sur des données factuelles et orientées par des informations sur les dépenses globales consacrées aux TIC. Sur la base de modèles existants, tels que le Centre international de calcul des Nations</w:t>
      </w:r>
      <w:r w:rsidR="00D65B13">
        <w:t> </w:t>
      </w:r>
      <w:r>
        <w:t>Unies, la réforme sera mise en œuvre par étapes, en donnant la priorité aux services normalisés, tandis que les services propres à une mission continueraient de relever des institutions spécialisées. Toute économie réalisée sera réorientée vers l</w:t>
      </w:r>
      <w:r w:rsidR="00CA53EB">
        <w:t>'</w:t>
      </w:r>
      <w:r>
        <w:t>innovation et la résolution des problèmes.</w:t>
      </w:r>
    </w:p>
    <w:p w14:paraId="5D0FD3DE" w14:textId="227651D2" w:rsidR="004537F3" w:rsidRPr="008756BE" w:rsidRDefault="004537F3" w:rsidP="00890B79">
      <w:pPr>
        <w:jc w:val="both"/>
      </w:pPr>
      <w:r>
        <w:t>5.15</w:t>
      </w:r>
      <w:r>
        <w:tab/>
        <w:t xml:space="preserve">Dans le cadre du </w:t>
      </w:r>
      <w:r w:rsidR="0010338F">
        <w:t>L</w:t>
      </w:r>
      <w:r>
        <w:t>ot de travaux 15, l</w:t>
      </w:r>
      <w:r w:rsidR="00CA53EB">
        <w:t>'</w:t>
      </w:r>
      <w:r>
        <w:t>UIT joue un rôle directeur stratégique pour garantir des retombées concrètes dans toutes les régions, en particulier en ce qui concerne les réformes concernant l</w:t>
      </w:r>
      <w:r w:rsidR="00CA53EB">
        <w:t>'</w:t>
      </w:r>
      <w:r>
        <w:t>utilisation de l</w:t>
      </w:r>
      <w:r w:rsidR="00CA53EB">
        <w:t>'</w:t>
      </w:r>
      <w:r>
        <w:t>IA dans les conférences et la création d</w:t>
      </w:r>
      <w:r w:rsidR="00CA53EB">
        <w:t>'</w:t>
      </w:r>
      <w:r>
        <w:t>une plate</w:t>
      </w:r>
      <w:r w:rsidR="00942964">
        <w:noBreakHyphen/>
      </w:r>
      <w:r>
        <w:t>forme visant à améliorer l</w:t>
      </w:r>
      <w:r w:rsidR="00CA53EB">
        <w:t>'</w:t>
      </w:r>
      <w:r>
        <w:t>accès aux talents et aux compétences. Ces activités s</w:t>
      </w:r>
      <w:r w:rsidR="00CA53EB">
        <w:t>'</w:t>
      </w:r>
      <w:r>
        <w:t>inscrivent dans la droite ligne de la stratégie de transformation numérique de l</w:t>
      </w:r>
      <w:r w:rsidR="00CA53EB">
        <w:t>'</w:t>
      </w:r>
      <w:r>
        <w:t>UIT et contribueront à atteindre l</w:t>
      </w:r>
      <w:r w:rsidR="00CA53EB">
        <w:t>'</w:t>
      </w:r>
      <w:r>
        <w:t xml:space="preserve">objectif de renforcement des capacités numériques régionales. </w:t>
      </w:r>
    </w:p>
    <w:p w14:paraId="433FDD17" w14:textId="5C7DB0E2" w:rsidR="004537F3" w:rsidRPr="008756BE" w:rsidRDefault="004537F3" w:rsidP="00890B79">
      <w:pPr>
        <w:jc w:val="both"/>
      </w:pPr>
      <w:r>
        <w:t>5.16</w:t>
      </w:r>
      <w:r>
        <w:tab/>
        <w:t>La Chef du Département SPM, en réponse aux questions et observations de conseillers et d</w:t>
      </w:r>
      <w:r w:rsidR="00CA53EB">
        <w:t>'</w:t>
      </w:r>
      <w:r>
        <w:t>un observateur, déclare que, depuis le lancement du groupe des institutions spécialisées en mars 2025, l</w:t>
      </w:r>
      <w:r w:rsidR="00CA53EB">
        <w:t>'</w:t>
      </w:r>
      <w:r>
        <w:t xml:space="preserve">UIT a clairement indiqué que </w:t>
      </w:r>
      <w:r w:rsidR="00520624">
        <w:t>ces dernières</w:t>
      </w:r>
      <w:r>
        <w:t xml:space="preserve"> disposaient de leurs propres constitutions, mandats et organes directeurs, qui guident tous les efforts de réforme. L</w:t>
      </w:r>
      <w:r w:rsidR="00CA53EB">
        <w:t>'</w:t>
      </w:r>
      <w:r>
        <w:t>UIT n</w:t>
      </w:r>
      <w:r w:rsidR="00CA53EB">
        <w:t>'</w:t>
      </w:r>
      <w:r>
        <w:t xml:space="preserve">a investi aucune ressource financière supplémentaire dans les réformes et toutes les activités </w:t>
      </w:r>
      <w:r w:rsidR="00520624">
        <w:t>qui s</w:t>
      </w:r>
      <w:r w:rsidR="00E61424">
        <w:t>'</w:t>
      </w:r>
      <w:r w:rsidR="00520624">
        <w:t>y rapportent</w:t>
      </w:r>
      <w:r>
        <w:t xml:space="preserve"> sont menées à bien par les fonctionnaires dans le cadre de leurs activités actuelles. En réalité, ces réformes devraient permettre de réaliser des économies.</w:t>
      </w:r>
    </w:p>
    <w:p w14:paraId="0411A0D0" w14:textId="6127BEEA" w:rsidR="004537F3" w:rsidRPr="008756BE" w:rsidRDefault="004537F3" w:rsidP="00890B79">
      <w:pPr>
        <w:jc w:val="both"/>
      </w:pPr>
      <w:r>
        <w:t>5.17</w:t>
      </w:r>
      <w:r>
        <w:tab/>
        <w:t>En réponse à une question d</w:t>
      </w:r>
      <w:r w:rsidR="00CA53EB">
        <w:t>'</w:t>
      </w:r>
      <w:r>
        <w:t>un observateur, l</w:t>
      </w:r>
      <w:r w:rsidR="00CA53EB">
        <w:t>'</w:t>
      </w:r>
      <w:r>
        <w:t xml:space="preserve">oratrice explique que les activités relevant des </w:t>
      </w:r>
      <w:r w:rsidR="0010338F">
        <w:t>L</w:t>
      </w:r>
      <w:r>
        <w:t>ots de travaux 7, 8 et 15 n</w:t>
      </w:r>
      <w:r w:rsidR="00CA53EB">
        <w:t>'</w:t>
      </w:r>
      <w:r>
        <w:t>ont pas besoin d</w:t>
      </w:r>
      <w:r w:rsidR="00CA53EB">
        <w:t>'</w:t>
      </w:r>
      <w:r>
        <w:t>être approuvées par l</w:t>
      </w:r>
      <w:r w:rsidR="00CA53EB">
        <w:t>'</w:t>
      </w:r>
      <w:r>
        <w:t>organe directeur, étant donné qu</w:t>
      </w:r>
      <w:r w:rsidR="00CA53EB">
        <w:t>'</w:t>
      </w:r>
      <w:r>
        <w:t>elles ne nécessitent aucune ressource financière supplémentaire et qu</w:t>
      </w:r>
      <w:r w:rsidR="00CA53EB">
        <w:t>'</w:t>
      </w:r>
      <w:r>
        <w:t>elles produiront des outils purement administratifs.</w:t>
      </w:r>
    </w:p>
    <w:p w14:paraId="3352FCCB" w14:textId="77777777" w:rsidR="004537F3" w:rsidRPr="008756BE" w:rsidRDefault="004537F3" w:rsidP="00890B79">
      <w:pPr>
        <w:jc w:val="both"/>
      </w:pPr>
      <w:r>
        <w:t>5.18</w:t>
      </w:r>
      <w:r>
        <w:tab/>
        <w:t xml:space="preserve">Le Conseil </w:t>
      </w:r>
      <w:r>
        <w:rPr>
          <w:b/>
          <w:bCs/>
        </w:rPr>
        <w:t>prend note</w:t>
      </w:r>
      <w:r>
        <w:t xml:space="preserve"> du Document C26/61.</w:t>
      </w:r>
    </w:p>
    <w:p w14:paraId="11B8B830" w14:textId="279E983E" w:rsidR="004537F3" w:rsidRPr="008756BE" w:rsidRDefault="004537F3" w:rsidP="00890B79">
      <w:pPr>
        <w:pStyle w:val="Heading1"/>
      </w:pPr>
      <w:r>
        <w:rPr>
          <w:bCs/>
          <w:szCs w:val="24"/>
        </w:rPr>
        <w:t>6</w:t>
      </w:r>
      <w:r>
        <w:rPr>
          <w:szCs w:val="24"/>
        </w:rPr>
        <w:tab/>
      </w:r>
      <w:r>
        <w:rPr>
          <w:bCs/>
          <w:szCs w:val="24"/>
        </w:rPr>
        <w:t>Rapport d</w:t>
      </w:r>
      <w:r w:rsidR="00CA53EB">
        <w:rPr>
          <w:bCs/>
          <w:szCs w:val="24"/>
        </w:rPr>
        <w:t>'</w:t>
      </w:r>
      <w:r>
        <w:rPr>
          <w:bCs/>
          <w:szCs w:val="24"/>
        </w:rPr>
        <w:t>activité sur l</w:t>
      </w:r>
      <w:r w:rsidR="00CA53EB">
        <w:rPr>
          <w:bCs/>
          <w:szCs w:val="24"/>
        </w:rPr>
        <w:t>'</w:t>
      </w:r>
      <w:r>
        <w:rPr>
          <w:bCs/>
          <w:szCs w:val="24"/>
        </w:rPr>
        <w:t>assistance et l</w:t>
      </w:r>
      <w:r w:rsidR="00CA53EB">
        <w:rPr>
          <w:bCs/>
          <w:szCs w:val="24"/>
        </w:rPr>
        <w:t>'</w:t>
      </w:r>
      <w:r>
        <w:rPr>
          <w:bCs/>
          <w:szCs w:val="24"/>
        </w:rPr>
        <w:t>appui à la Palestine (</w:t>
      </w:r>
      <w:r w:rsidR="00890B79" w:rsidRPr="00890B79">
        <w:rPr>
          <w:bCs/>
          <w:szCs w:val="24"/>
        </w:rPr>
        <w:t>Document</w:t>
      </w:r>
      <w:r w:rsidR="00890B79">
        <w:rPr>
          <w:bCs/>
          <w:szCs w:val="24"/>
        </w:rPr>
        <w:t> </w:t>
      </w:r>
      <w:proofErr w:type="spellStart"/>
      <w:r>
        <w:fldChar w:fldCharType="begin"/>
      </w:r>
      <w:r>
        <w:instrText>HYPERLINK "https://www.itu.int/md/S26-CL-C-0069/fr"</w:instrText>
      </w:r>
      <w:r>
        <w:fldChar w:fldCharType="separate"/>
      </w:r>
      <w:r w:rsidRPr="002C1E38">
        <w:rPr>
          <w:rStyle w:val="Hyperlink"/>
          <w:bCs/>
          <w:szCs w:val="24"/>
        </w:rPr>
        <w:t>C26</w:t>
      </w:r>
      <w:proofErr w:type="spellEnd"/>
      <w:r w:rsidRPr="002C1E38">
        <w:rPr>
          <w:rStyle w:val="Hyperlink"/>
          <w:bCs/>
          <w:szCs w:val="24"/>
        </w:rPr>
        <w:t>/69</w:t>
      </w:r>
      <w:r>
        <w:fldChar w:fldCharType="end"/>
      </w:r>
      <w:r>
        <w:rPr>
          <w:bCs/>
          <w:szCs w:val="24"/>
        </w:rPr>
        <w:t>)</w:t>
      </w:r>
      <w:hyperlink r:id="rId30" w:history="1"/>
    </w:p>
    <w:p w14:paraId="767EC501" w14:textId="270BE467" w:rsidR="004537F3" w:rsidRPr="002958A2" w:rsidRDefault="004537F3" w:rsidP="00F230CD">
      <w:pPr>
        <w:jc w:val="both"/>
        <w:rPr>
          <w:spacing w:val="-2"/>
        </w:rPr>
      </w:pPr>
      <w:r w:rsidRPr="002958A2">
        <w:rPr>
          <w:spacing w:val="-2"/>
        </w:rPr>
        <w:t>6.1</w:t>
      </w:r>
      <w:r w:rsidRPr="002958A2">
        <w:rPr>
          <w:spacing w:val="-2"/>
        </w:rPr>
        <w:tab/>
        <w:t>Le Directeur du Bureau régional pour les États arabes présente le Document C26/69, qui contient un rapport d</w:t>
      </w:r>
      <w:r w:rsidR="00CA53EB" w:rsidRPr="002958A2">
        <w:rPr>
          <w:spacing w:val="-2"/>
        </w:rPr>
        <w:t>'</w:t>
      </w:r>
      <w:r w:rsidRPr="002958A2">
        <w:rPr>
          <w:spacing w:val="-2"/>
        </w:rPr>
        <w:t>activité sur l</w:t>
      </w:r>
      <w:r w:rsidR="00CA53EB" w:rsidRPr="002958A2">
        <w:rPr>
          <w:spacing w:val="-2"/>
        </w:rPr>
        <w:t>'</w:t>
      </w:r>
      <w:r w:rsidRPr="002958A2">
        <w:rPr>
          <w:spacing w:val="-2"/>
        </w:rPr>
        <w:t>assistance et l</w:t>
      </w:r>
      <w:r w:rsidR="00CA53EB" w:rsidRPr="002958A2">
        <w:rPr>
          <w:spacing w:val="-2"/>
        </w:rPr>
        <w:t>'</w:t>
      </w:r>
      <w:r w:rsidRPr="002958A2">
        <w:rPr>
          <w:spacing w:val="-2"/>
        </w:rPr>
        <w:t>appui à la Palestine. Il met en avant les dégâts considérables causés à l</w:t>
      </w:r>
      <w:r w:rsidR="00CA53EB" w:rsidRPr="002958A2">
        <w:rPr>
          <w:spacing w:val="-2"/>
        </w:rPr>
        <w:t>'</w:t>
      </w:r>
      <w:r w:rsidRPr="002958A2">
        <w:rPr>
          <w:spacing w:val="-2"/>
        </w:rPr>
        <w:t>infrastructure des TIC dans l</w:t>
      </w:r>
      <w:r w:rsidR="00CA53EB" w:rsidRPr="002958A2">
        <w:rPr>
          <w:spacing w:val="-2"/>
        </w:rPr>
        <w:t>'</w:t>
      </w:r>
      <w:r w:rsidRPr="002958A2">
        <w:rPr>
          <w:spacing w:val="-2"/>
        </w:rPr>
        <w:t>État de Palestine et les mesures prises l</w:t>
      </w:r>
      <w:r w:rsidR="00CA53EB" w:rsidRPr="002958A2">
        <w:rPr>
          <w:spacing w:val="-2"/>
        </w:rPr>
        <w:t>'</w:t>
      </w:r>
      <w:r w:rsidRPr="002958A2">
        <w:rPr>
          <w:spacing w:val="-2"/>
        </w:rPr>
        <w:t>année dernière pour appuyer la reconstruction. L</w:t>
      </w:r>
      <w:r w:rsidR="00CA53EB" w:rsidRPr="002958A2">
        <w:rPr>
          <w:spacing w:val="-2"/>
        </w:rPr>
        <w:t>'</w:t>
      </w:r>
      <w:r w:rsidRPr="002958A2">
        <w:rPr>
          <w:spacing w:val="-2"/>
        </w:rPr>
        <w:t>UIT, en passant de l</w:t>
      </w:r>
      <w:r w:rsidR="00CA53EB" w:rsidRPr="002958A2">
        <w:rPr>
          <w:spacing w:val="-2"/>
        </w:rPr>
        <w:t>'</w:t>
      </w:r>
      <w:r w:rsidRPr="002958A2">
        <w:rPr>
          <w:spacing w:val="-2"/>
        </w:rPr>
        <w:t xml:space="preserve">observation à la préparation à la mise en </w:t>
      </w:r>
      <w:r w:rsidR="002C1E38" w:rsidRPr="002958A2">
        <w:rPr>
          <w:spacing w:val="-2"/>
        </w:rPr>
        <w:t>œuvre</w:t>
      </w:r>
      <w:r w:rsidRPr="002958A2">
        <w:rPr>
          <w:spacing w:val="-2"/>
        </w:rPr>
        <w:t xml:space="preserve"> active, a établi un plan de mise en œuvre exhaustif et procède actuellement à une évaluation technique pour orienter les futures interventions sur le terrain. </w:t>
      </w:r>
      <w:r w:rsidRPr="002958A2">
        <w:rPr>
          <w:spacing w:val="-2"/>
        </w:rPr>
        <w:lastRenderedPageBreak/>
        <w:t>Elle a également préparé la tenue d</w:t>
      </w:r>
      <w:r w:rsidR="00CA53EB" w:rsidRPr="002958A2">
        <w:rPr>
          <w:spacing w:val="-2"/>
        </w:rPr>
        <w:t>'</w:t>
      </w:r>
      <w:r w:rsidRPr="002958A2">
        <w:rPr>
          <w:spacing w:val="-2"/>
        </w:rPr>
        <w:t>une table ronde de soumission d</w:t>
      </w:r>
      <w:r w:rsidR="00CA53EB" w:rsidRPr="002958A2">
        <w:rPr>
          <w:spacing w:val="-2"/>
        </w:rPr>
        <w:t>'</w:t>
      </w:r>
      <w:r w:rsidRPr="002958A2">
        <w:rPr>
          <w:spacing w:val="-2"/>
        </w:rPr>
        <w:t>engagements pour associer les donateurs internationaux à des projets. En outre, l</w:t>
      </w:r>
      <w:r w:rsidR="00CA53EB" w:rsidRPr="002958A2">
        <w:rPr>
          <w:spacing w:val="-2"/>
        </w:rPr>
        <w:t>'</w:t>
      </w:r>
      <w:r w:rsidRPr="002958A2">
        <w:rPr>
          <w:spacing w:val="-2"/>
        </w:rPr>
        <w:t>UIT a appuyé des réformes de politique générale de l</w:t>
      </w:r>
      <w:r w:rsidR="00CA53EB" w:rsidRPr="002958A2">
        <w:rPr>
          <w:spacing w:val="-2"/>
        </w:rPr>
        <w:t>'</w:t>
      </w:r>
      <w:r w:rsidRPr="002958A2">
        <w:rPr>
          <w:spacing w:val="-2"/>
        </w:rPr>
        <w:t>État de Palestine, lancé la mise au point d</w:t>
      </w:r>
      <w:r w:rsidR="00CA53EB" w:rsidRPr="002958A2">
        <w:rPr>
          <w:spacing w:val="-2"/>
        </w:rPr>
        <w:t>'</w:t>
      </w:r>
      <w:r w:rsidRPr="002958A2">
        <w:rPr>
          <w:spacing w:val="-2"/>
        </w:rPr>
        <w:t>une évaluation des compétences numériques et d</w:t>
      </w:r>
      <w:r w:rsidR="00CA53EB" w:rsidRPr="002958A2">
        <w:rPr>
          <w:spacing w:val="-2"/>
        </w:rPr>
        <w:t>'</w:t>
      </w:r>
      <w:r w:rsidRPr="002958A2">
        <w:rPr>
          <w:spacing w:val="-2"/>
        </w:rPr>
        <w:t>un profil d</w:t>
      </w:r>
      <w:r w:rsidR="00CA53EB" w:rsidRPr="002958A2">
        <w:rPr>
          <w:spacing w:val="-2"/>
        </w:rPr>
        <w:t>'</w:t>
      </w:r>
      <w:r w:rsidRPr="002958A2">
        <w:rPr>
          <w:spacing w:val="-2"/>
        </w:rPr>
        <w:t xml:space="preserve">innovation numérique, </w:t>
      </w:r>
      <w:r w:rsidR="008E71AE" w:rsidRPr="002958A2">
        <w:rPr>
          <w:spacing w:val="-2"/>
        </w:rPr>
        <w:t xml:space="preserve">cherché à </w:t>
      </w:r>
      <w:r w:rsidRPr="002958A2">
        <w:rPr>
          <w:spacing w:val="-2"/>
        </w:rPr>
        <w:t>facilit</w:t>
      </w:r>
      <w:r w:rsidR="008E71AE" w:rsidRPr="002958A2">
        <w:rPr>
          <w:spacing w:val="-2"/>
        </w:rPr>
        <w:t>er</w:t>
      </w:r>
      <w:r w:rsidRPr="002958A2">
        <w:rPr>
          <w:spacing w:val="-2"/>
        </w:rPr>
        <w:t xml:space="preserve"> la livraison d</w:t>
      </w:r>
      <w:r w:rsidR="00CA53EB" w:rsidRPr="002958A2">
        <w:rPr>
          <w:spacing w:val="-2"/>
        </w:rPr>
        <w:t>'</w:t>
      </w:r>
      <w:r w:rsidRPr="002958A2">
        <w:rPr>
          <w:spacing w:val="-2"/>
        </w:rPr>
        <w:t>équipements satellitaires pour appuyer les efforts humanitaires et soutenu la participation constante de l</w:t>
      </w:r>
      <w:r w:rsidR="00CA53EB" w:rsidRPr="002958A2">
        <w:rPr>
          <w:spacing w:val="-2"/>
        </w:rPr>
        <w:t>'</w:t>
      </w:r>
      <w:r w:rsidRPr="002958A2">
        <w:rPr>
          <w:spacing w:val="-2"/>
        </w:rPr>
        <w:t>État de Palestine aux travaux de l</w:t>
      </w:r>
      <w:r w:rsidR="00CA53EB" w:rsidRPr="002958A2">
        <w:rPr>
          <w:spacing w:val="-2"/>
        </w:rPr>
        <w:t>'</w:t>
      </w:r>
      <w:r w:rsidRPr="002958A2">
        <w:rPr>
          <w:spacing w:val="-2"/>
        </w:rPr>
        <w:t>Union grâce à l</w:t>
      </w:r>
      <w:r w:rsidR="00CA53EB" w:rsidRPr="002958A2">
        <w:rPr>
          <w:spacing w:val="-2"/>
        </w:rPr>
        <w:t>'</w:t>
      </w:r>
      <w:r w:rsidRPr="002958A2">
        <w:rPr>
          <w:spacing w:val="-2"/>
        </w:rPr>
        <w:t>octroi de bourses. Bien que la table ronde de soumission d</w:t>
      </w:r>
      <w:r w:rsidR="00CA53EB" w:rsidRPr="002958A2">
        <w:rPr>
          <w:spacing w:val="-2"/>
        </w:rPr>
        <w:t>'</w:t>
      </w:r>
      <w:r w:rsidRPr="002958A2">
        <w:rPr>
          <w:spacing w:val="-2"/>
        </w:rPr>
        <w:t>engagements et l</w:t>
      </w:r>
      <w:r w:rsidR="00CA53EB" w:rsidRPr="002958A2">
        <w:rPr>
          <w:spacing w:val="-2"/>
        </w:rPr>
        <w:t>'</w:t>
      </w:r>
      <w:r w:rsidRPr="002958A2">
        <w:rPr>
          <w:spacing w:val="-2"/>
        </w:rPr>
        <w:t>évaluation sur place aient été reportées en raison de l</w:t>
      </w:r>
      <w:r w:rsidR="00CA53EB" w:rsidRPr="002958A2">
        <w:rPr>
          <w:spacing w:val="-2"/>
        </w:rPr>
        <w:t>'</w:t>
      </w:r>
      <w:r w:rsidRPr="002958A2">
        <w:rPr>
          <w:spacing w:val="-2"/>
        </w:rPr>
        <w:t>insécurité dans la région, l</w:t>
      </w:r>
      <w:r w:rsidR="00CA53EB" w:rsidRPr="002958A2">
        <w:rPr>
          <w:spacing w:val="-2"/>
        </w:rPr>
        <w:t>'</w:t>
      </w:r>
      <w:r w:rsidRPr="002958A2">
        <w:rPr>
          <w:spacing w:val="-2"/>
        </w:rPr>
        <w:t>Union reste disposée à mener ces activités dès que possible.</w:t>
      </w:r>
    </w:p>
    <w:p w14:paraId="7858A0B6" w14:textId="0B967959" w:rsidR="004537F3" w:rsidRPr="008756BE" w:rsidRDefault="004537F3" w:rsidP="00F230CD">
      <w:pPr>
        <w:jc w:val="both"/>
      </w:pPr>
      <w:r>
        <w:t>6.2</w:t>
      </w:r>
      <w:r>
        <w:tab/>
        <w:t>Mme Alwahidi, Vice-Ministre des télécommunications et de l</w:t>
      </w:r>
      <w:r w:rsidR="00CA53EB">
        <w:t>'</w:t>
      </w:r>
      <w:r>
        <w:t>économie numérique de l</w:t>
      </w:r>
      <w:r w:rsidR="00CA53EB">
        <w:t>'</w:t>
      </w:r>
      <w:r>
        <w:t>État de Palestine, prononce l</w:t>
      </w:r>
      <w:r w:rsidR="00CA53EB">
        <w:t>'</w:t>
      </w:r>
      <w:r>
        <w:t>allocution disponible à l</w:t>
      </w:r>
      <w:r w:rsidR="00CA53EB">
        <w:t>'</w:t>
      </w:r>
      <w:r>
        <w:t xml:space="preserve">adresse </w:t>
      </w:r>
      <w:proofErr w:type="gramStart"/>
      <w:r>
        <w:t>suivante:</w:t>
      </w:r>
      <w:proofErr w:type="gramEnd"/>
      <w:r>
        <w:t xml:space="preserve"> </w:t>
      </w:r>
      <w:hyperlink r:id="rId31" w:history="1">
        <w:r w:rsidRPr="002C1E38">
          <w:rPr>
            <w:rStyle w:val="Hyperlink"/>
            <w:rFonts w:eastAsia="Times New Roman" w:cs="Times New Roman"/>
            <w:szCs w:val="20"/>
          </w:rPr>
          <w:t>council.itu.int/2026/wp-content/up</w:t>
        </w:r>
        <w:r w:rsidRPr="002C1E38">
          <w:rPr>
            <w:rStyle w:val="Hyperlink"/>
            <w:rFonts w:eastAsia="Times New Roman" w:cs="Times New Roman"/>
            <w:szCs w:val="20"/>
          </w:rPr>
          <w:t>l</w:t>
        </w:r>
        <w:r w:rsidRPr="002C1E38">
          <w:rPr>
            <w:rStyle w:val="Hyperlink"/>
            <w:rFonts w:eastAsia="Times New Roman" w:cs="Times New Roman"/>
            <w:szCs w:val="20"/>
          </w:rPr>
          <w:t>oads/sites/6/2026/06/26</w:t>
        </w:r>
        <w:r w:rsidR="00F230CD">
          <w:rPr>
            <w:rStyle w:val="Hyperlink"/>
            <w:rFonts w:eastAsia="Times New Roman" w:cs="Times New Roman"/>
            <w:szCs w:val="20"/>
          </w:rPr>
          <w:t>.</w:t>
        </w:r>
        <w:r w:rsidRPr="002C1E38">
          <w:rPr>
            <w:rStyle w:val="Hyperlink"/>
            <w:rFonts w:eastAsia="Times New Roman" w:cs="Times New Roman"/>
            <w:szCs w:val="20"/>
          </w:rPr>
          <w:t>05</w:t>
        </w:r>
        <w:r w:rsidR="00F230CD">
          <w:rPr>
            <w:rStyle w:val="Hyperlink"/>
            <w:rFonts w:eastAsia="Times New Roman" w:cs="Times New Roman"/>
            <w:szCs w:val="20"/>
          </w:rPr>
          <w:t>.</w:t>
        </w:r>
        <w:r w:rsidRPr="002C1E38">
          <w:rPr>
            <w:rStyle w:val="Hyperlink"/>
            <w:rFonts w:eastAsia="Times New Roman" w:cs="Times New Roman"/>
            <w:szCs w:val="20"/>
          </w:rPr>
          <w:t>06-E-Palestine-statement-PL6.pdf</w:t>
        </w:r>
      </w:hyperlink>
      <w:r>
        <w:t>.</w:t>
      </w:r>
      <w:hyperlink r:id="rId32" w:history="1"/>
    </w:p>
    <w:p w14:paraId="7B1A4EF0" w14:textId="4F2DC40E" w:rsidR="004537F3" w:rsidRPr="008756BE" w:rsidRDefault="004537F3" w:rsidP="00F230CD">
      <w:pPr>
        <w:jc w:val="both"/>
      </w:pPr>
      <w:r>
        <w:t>6.3</w:t>
      </w:r>
      <w:r>
        <w:tab/>
        <w:t>De nombreux conseillers reconnaissent la destruction généralisée de l</w:t>
      </w:r>
      <w:r w:rsidR="00CA53EB">
        <w:t>'</w:t>
      </w:r>
      <w:r>
        <w:t xml:space="preserve">infrastructure essentielle des télécommunications en Palestine. Ces destructions entraînent non seulement des pertes économiques, mais </w:t>
      </w:r>
      <w:r w:rsidR="00AD49D5">
        <w:t xml:space="preserve">portent </w:t>
      </w:r>
      <w:r>
        <w:t xml:space="preserve">également </w:t>
      </w:r>
      <w:r w:rsidR="00AD49D5">
        <w:t xml:space="preserve">atteinte au </w:t>
      </w:r>
      <w:r>
        <w:t>droit des Palestiniens à rester connectés. La connectivité numérique est également essentielle pour la coordination humanitaire et la fourniture de services essentiels, ainsi que pour le développement socio-économique. Un conseiller déclare que les conséquences de ces destructions semblent être intentionnelles.</w:t>
      </w:r>
    </w:p>
    <w:p w14:paraId="3B5351E3" w14:textId="2082CE30" w:rsidR="004537F3" w:rsidRPr="008756BE" w:rsidRDefault="004537F3" w:rsidP="00F230CD">
      <w:pPr>
        <w:jc w:val="both"/>
      </w:pPr>
      <w:r>
        <w:t>6.4</w:t>
      </w:r>
      <w:r>
        <w:tab/>
        <w:t>De nombreux conseillers appuient les efforts déployés par l</w:t>
      </w:r>
      <w:r w:rsidR="00CA53EB">
        <w:t>'</w:t>
      </w:r>
      <w:r>
        <w:t>Union pour mettre en œuvre la Résolution 1424 (C24) du Conseil, qui s</w:t>
      </w:r>
      <w:r w:rsidR="00CA53EB">
        <w:t>'</w:t>
      </w:r>
      <w:r>
        <w:t>inscrit dans le cadre de son mandat et incarne la volonté collective d</w:t>
      </w:r>
      <w:r w:rsidR="00CA53EB">
        <w:t>'</w:t>
      </w:r>
      <w:r>
        <w:t>agir. Les participants saluent le passage de l</w:t>
      </w:r>
      <w:r w:rsidR="00CA53EB">
        <w:t>'</w:t>
      </w:r>
      <w:r>
        <w:t>observation à la mise en œuvre active et se félicitent des efforts déployés pour assurer la participation de la Palestine aux activités de l</w:t>
      </w:r>
      <w:r w:rsidR="00CA53EB">
        <w:t>'</w:t>
      </w:r>
      <w:r>
        <w:t>UIT. La mise en œuvre intégrale et effective de la Résolution est essentielle pour appuyer la reconstruction du secteur des télécommunications en Palestine.</w:t>
      </w:r>
    </w:p>
    <w:p w14:paraId="06793F52" w14:textId="50D93761" w:rsidR="004537F3" w:rsidRPr="008B5984" w:rsidRDefault="004537F3" w:rsidP="00F230CD">
      <w:pPr>
        <w:jc w:val="both"/>
        <w:rPr>
          <w:spacing w:val="-3"/>
        </w:rPr>
      </w:pPr>
      <w:r>
        <w:t>6.5</w:t>
      </w:r>
      <w:r>
        <w:tab/>
        <w:t>Plusieurs conseillères se disent favorables à la création d</w:t>
      </w:r>
      <w:r w:rsidR="00CA53EB">
        <w:t>'</w:t>
      </w:r>
      <w:r>
        <w:t>un fonds d</w:t>
      </w:r>
      <w:r w:rsidR="00CA53EB">
        <w:t>'</w:t>
      </w:r>
      <w:r>
        <w:t>affectation spéciale, qui permettra d</w:t>
      </w:r>
      <w:r w:rsidR="00CA53EB">
        <w:t>'</w:t>
      </w:r>
      <w:r>
        <w:t>orienter les promesses de dons et les contributions volontaires vers des projets prioritaires. Une conseillère insiste sur la nécessité d</w:t>
      </w:r>
      <w:r w:rsidR="00CA53EB">
        <w:t>'</w:t>
      </w:r>
      <w:r>
        <w:t>établir une structure de gouvernance claire, d</w:t>
      </w:r>
      <w:r w:rsidR="00CA53EB">
        <w:t>'</w:t>
      </w:r>
      <w:r>
        <w:t xml:space="preserve">appliquer des critères et une feuille de route </w:t>
      </w:r>
      <w:r w:rsidR="00AD49D5">
        <w:t xml:space="preserve">du </w:t>
      </w:r>
      <w:r>
        <w:t>projet pour le Fonds, et de rendre compte régulièrement au Conseil des progrès accomplis. Un autre conseiller demande que des échéances précises figurent dans un plan de mise en œuvre des activités de l</w:t>
      </w:r>
      <w:r w:rsidR="00CA53EB">
        <w:t>'</w:t>
      </w:r>
      <w:r>
        <w:t>UIT en Palestine.</w:t>
      </w:r>
    </w:p>
    <w:p w14:paraId="747ED5B2" w14:textId="59F1E059" w:rsidR="004537F3" w:rsidRPr="008756BE" w:rsidRDefault="004537F3" w:rsidP="00F230CD">
      <w:pPr>
        <w:jc w:val="both"/>
      </w:pPr>
      <w:r>
        <w:t>6.6</w:t>
      </w:r>
      <w:r>
        <w:tab/>
        <w:t>De nombreux conseillers font remarquer que, si le cessez-le-feu a apporté une certaine stabilité, la situation humanitaire en Palestine reste catastrophique, avec des millions de personnes déplacées et sans abri. L</w:t>
      </w:r>
      <w:r w:rsidR="00CA53EB">
        <w:t>'</w:t>
      </w:r>
      <w:r>
        <w:t>acheminement rapide, sûr et sans entrave de l</w:t>
      </w:r>
      <w:r w:rsidR="00CA53EB">
        <w:t>'</w:t>
      </w:r>
      <w:r>
        <w:t>aide humanitaire dans la bande de Gaza est essentiel, et les institutions des Nations Unies doivent être autorisées à mener à bien leur travail de manière indépendante et impartiale. Deux conseillères réaffirment que l</w:t>
      </w:r>
      <w:r w:rsidR="00CA53EB">
        <w:t>'</w:t>
      </w:r>
      <w:r>
        <w:t>entrée dans les meilleurs délais en Palestine d</w:t>
      </w:r>
      <w:r w:rsidR="00CA53EB">
        <w:t>'</w:t>
      </w:r>
      <w:r>
        <w:t>équipements de communication essentiels, notamment de matériel de maintenance, de carburant et d</w:t>
      </w:r>
      <w:r w:rsidR="00CA53EB">
        <w:t>'</w:t>
      </w:r>
      <w:r>
        <w:t xml:space="preserve">énergie, doit également être garantie. À cet égard, un autre conseiller encourage le </w:t>
      </w:r>
      <w:r w:rsidR="00D65B13">
        <w:t>S</w:t>
      </w:r>
      <w:r>
        <w:t>ecrétariat à répondre positivement aux demandes formulées par la Palestine, qui ont un caractère humanitaire.</w:t>
      </w:r>
    </w:p>
    <w:p w14:paraId="40D9149C" w14:textId="51ECA391" w:rsidR="004537F3" w:rsidRPr="008756BE" w:rsidRDefault="004537F3" w:rsidP="00F230CD">
      <w:pPr>
        <w:jc w:val="both"/>
      </w:pPr>
      <w:r>
        <w:t>6.7</w:t>
      </w:r>
      <w:r>
        <w:tab/>
        <w:t>Deux conseillères font remarquer que les bandes de fréquences clés pour le déploiement des réseaux 4G ne sont toujours pas disponibles. L</w:t>
      </w:r>
      <w:r w:rsidR="00CA53EB">
        <w:t>'</w:t>
      </w:r>
      <w:r>
        <w:t xml:space="preserve">UIT devrait appuyer le déploiement de ces réseaux. </w:t>
      </w:r>
    </w:p>
    <w:p w14:paraId="62F883C1" w14:textId="4BB6B97D" w:rsidR="004537F3" w:rsidRPr="008756BE" w:rsidRDefault="004537F3" w:rsidP="00F230CD">
      <w:pPr>
        <w:jc w:val="both"/>
      </w:pPr>
      <w:r>
        <w:lastRenderedPageBreak/>
        <w:t>6.8</w:t>
      </w:r>
      <w:r>
        <w:tab/>
        <w:t>Une conseillère se félicite de la collaboration de l</w:t>
      </w:r>
      <w:r w:rsidR="00CA53EB">
        <w:t>'</w:t>
      </w:r>
      <w:r>
        <w:t>UIT avec des partenaires, notamment la Banque mondiale et l</w:t>
      </w:r>
      <w:r w:rsidR="00CA53EB">
        <w:t>'</w:t>
      </w:r>
      <w:r>
        <w:t>ONU, pour évaluer l</w:t>
      </w:r>
      <w:r w:rsidR="00CA53EB">
        <w:t>'</w:t>
      </w:r>
      <w:r>
        <w:t>ampleur des dégâts causés à l</w:t>
      </w:r>
      <w:r w:rsidR="00CA53EB">
        <w:t>'</w:t>
      </w:r>
      <w:r>
        <w:t>infrastructure des télécommunications en Palestine. L</w:t>
      </w:r>
      <w:r w:rsidR="00CA53EB">
        <w:t>'</w:t>
      </w:r>
      <w:r>
        <w:t>Union est encouragée à poursuivre la coordination avec les partenaires internationaux et avec l</w:t>
      </w:r>
      <w:r w:rsidR="00CA53EB">
        <w:t>'</w:t>
      </w:r>
      <w:r>
        <w:t>Autorité palestinienne afin d</w:t>
      </w:r>
      <w:r w:rsidR="00CA53EB">
        <w:t>'</w:t>
      </w:r>
      <w:r>
        <w:t>accélérer la mise en œuvre des projets prioritaires en Palestine. Certains conseillers insistent sur la nécessité pour des experts de l</w:t>
      </w:r>
      <w:r w:rsidR="00CA53EB">
        <w:t>'</w:t>
      </w:r>
      <w:r>
        <w:t xml:space="preserve">UIT de se rendre </w:t>
      </w:r>
      <w:r w:rsidR="00AD49D5">
        <w:t>sur place</w:t>
      </w:r>
      <w:r>
        <w:t xml:space="preserve"> afin d</w:t>
      </w:r>
      <w:r w:rsidR="00CA53EB">
        <w:t>'</w:t>
      </w:r>
      <w:r>
        <w:t xml:space="preserve">évaluer la situation sur le terrain, compte tenu des retombées limitées </w:t>
      </w:r>
      <w:r w:rsidR="00AD49D5">
        <w:t xml:space="preserve">jusqu'à présent </w:t>
      </w:r>
      <w:r>
        <w:t>des activités d</w:t>
      </w:r>
      <w:r w:rsidR="00CA53EB">
        <w:t>'</w:t>
      </w:r>
      <w:r>
        <w:t>appui au secteur des télécommunications palestinien. Deux conseillers, qui soulignent qu</w:t>
      </w:r>
      <w:r w:rsidR="00CA53EB">
        <w:t>'</w:t>
      </w:r>
      <w:r>
        <w:t>il est nécessaire de disposer de ressources supplémentaires pour financer ces activités, déclarent que la communauté internationale a une responsabilité morale et politique à cet égard. Les États</w:t>
      </w:r>
      <w:r w:rsidR="00942964">
        <w:t> </w:t>
      </w:r>
      <w:r>
        <w:t>Membres qui ont fourni un tel appui sont félicités.</w:t>
      </w:r>
    </w:p>
    <w:p w14:paraId="72E37035" w14:textId="291C4CDB" w:rsidR="004537F3" w:rsidRPr="008756BE" w:rsidRDefault="004537F3" w:rsidP="00F230CD">
      <w:pPr>
        <w:jc w:val="both"/>
      </w:pPr>
      <w:r>
        <w:t>6.9</w:t>
      </w:r>
      <w:r>
        <w:tab/>
        <w:t>De nombreux conseillers décrivent les efforts déployés par leur pays pour appuyer la reconstruction et le développement de la Palestine, en particulier en prenant des engagements dans le cadre de l</w:t>
      </w:r>
      <w:r w:rsidR="00CA53EB">
        <w:t>'</w:t>
      </w:r>
      <w:r w:rsidR="00D65B13">
        <w:t>I</w:t>
      </w:r>
      <w:r>
        <w:t>nitiative P2C. Ils sont prêts à collaborer avec l</w:t>
      </w:r>
      <w:r w:rsidR="00CA53EB">
        <w:t>'</w:t>
      </w:r>
      <w:r>
        <w:t>UIT pour atteindre ces objectifs. De nombreux conseillers se disent également favorables à la mise en œuvre du Plan d</w:t>
      </w:r>
      <w:r w:rsidR="00CA53EB">
        <w:t>'</w:t>
      </w:r>
      <w:r>
        <w:t>ensemble visant à mettre fin au conflit à Gaza figurant dans la Résolution</w:t>
      </w:r>
      <w:r w:rsidR="002C1E38">
        <w:t> </w:t>
      </w:r>
      <w:r>
        <w:t>2803 (2025) du Conseil de sécurité des Nations Unies.</w:t>
      </w:r>
    </w:p>
    <w:p w14:paraId="1A548D14" w14:textId="03EA4666" w:rsidR="004537F3" w:rsidRPr="008756BE" w:rsidRDefault="004537F3" w:rsidP="00F230CD">
      <w:pPr>
        <w:jc w:val="both"/>
        <w:rPr>
          <w:b/>
          <w:bCs/>
        </w:rPr>
      </w:pPr>
      <w:r>
        <w:t>6.10</w:t>
      </w:r>
      <w:r>
        <w:tab/>
        <w:t>Le Président annonce que l</w:t>
      </w:r>
      <w:r w:rsidR="00CA53EB">
        <w:t>'</w:t>
      </w:r>
      <w:r>
        <w:t>examen de ce point se poursuivra lors de la prochaine séance plénière.</w:t>
      </w:r>
    </w:p>
    <w:p w14:paraId="38B4FA6E" w14:textId="77777777" w:rsidR="004537F3" w:rsidRPr="008756BE" w:rsidRDefault="004537F3" w:rsidP="004537F3">
      <w:pPr>
        <w:pStyle w:val="Heading1"/>
      </w:pPr>
      <w:r>
        <w:rPr>
          <w:bCs/>
        </w:rPr>
        <w:t>7</w:t>
      </w:r>
      <w:r>
        <w:tab/>
      </w:r>
      <w:r>
        <w:rPr>
          <w:bCs/>
        </w:rPr>
        <w:t>Déclarations des observateurs</w:t>
      </w:r>
    </w:p>
    <w:p w14:paraId="11F8105A" w14:textId="5E051892" w:rsidR="004537F3" w:rsidRPr="008756BE" w:rsidRDefault="004537F3" w:rsidP="00F230CD">
      <w:pPr>
        <w:keepNext/>
        <w:jc w:val="both"/>
      </w:pPr>
      <w:r>
        <w:t>7.1</w:t>
      </w:r>
      <w:r>
        <w:tab/>
        <w:t>L</w:t>
      </w:r>
      <w:r w:rsidR="00CA53EB">
        <w:t>'</w:t>
      </w:r>
      <w:r>
        <w:t>observateur du Botswana annonce que son pays présentera la candidature de Mme</w:t>
      </w:r>
      <w:r w:rsidR="002C1E38">
        <w:t> </w:t>
      </w:r>
      <w:r>
        <w:t>Basebi Mosinyi en vue de son élection au poste de membre du Comité du Règlement</w:t>
      </w:r>
      <w:r w:rsidR="002C1E38">
        <w:t> </w:t>
      </w:r>
      <w:r>
        <w:t>des radiocommunications.</w:t>
      </w:r>
    </w:p>
    <w:p w14:paraId="7497FD9F" w14:textId="1A7C1AC9" w:rsidR="004537F3" w:rsidRPr="008756BE" w:rsidRDefault="004537F3" w:rsidP="00F230CD">
      <w:pPr>
        <w:jc w:val="both"/>
      </w:pPr>
      <w:r>
        <w:t>7.2</w:t>
      </w:r>
      <w:r>
        <w:tab/>
        <w:t>L</w:t>
      </w:r>
      <w:r w:rsidR="00CA53EB">
        <w:t>'</w:t>
      </w:r>
      <w:r>
        <w:t>observatrice de la République dominicaine annonce que son pays présentera sa candidature en vue de son élection au Conseil lors de la PP-26.</w:t>
      </w:r>
    </w:p>
    <w:p w14:paraId="1F359F18" w14:textId="465BCD23" w:rsidR="006A11AE" w:rsidRDefault="004537F3" w:rsidP="00D65B13">
      <w:pPr>
        <w:tabs>
          <w:tab w:val="clear" w:pos="567"/>
          <w:tab w:val="clear" w:pos="1134"/>
          <w:tab w:val="clear" w:pos="1701"/>
          <w:tab w:val="clear" w:pos="2268"/>
          <w:tab w:val="clear" w:pos="2835"/>
          <w:tab w:val="left" w:pos="7088"/>
        </w:tabs>
        <w:spacing w:before="840"/>
      </w:pPr>
      <w:r w:rsidRPr="00D65B13">
        <w:t>La Secrétaire générale</w:t>
      </w:r>
      <w:r w:rsidR="00D65B13">
        <w:t>:</w:t>
      </w:r>
      <w:r w:rsidRPr="00D65B13">
        <w:tab/>
        <w:t xml:space="preserve">Le Président: </w:t>
      </w:r>
      <w:r w:rsidRPr="00D65B13">
        <w:br/>
        <w:t>D. BOGDAN-MARTIN</w:t>
      </w:r>
      <w:r w:rsidRPr="00D65B13">
        <w:tab/>
        <w:t>B. TIJANI</w:t>
      </w:r>
    </w:p>
    <w:sectPr w:rsidR="006A11AE" w:rsidSect="00D72F49">
      <w:headerReference w:type="even" r:id="rId33"/>
      <w:footerReference w:type="even" r:id="rId34"/>
      <w:footerReference w:type="default" r:id="rId35"/>
      <w:headerReference w:type="first" r:id="rId36"/>
      <w:footerReference w:type="first" r:id="rId37"/>
      <w:pgSz w:w="11907" w:h="16840" w:code="9"/>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49E9F" w14:textId="77777777" w:rsidR="00800DB1" w:rsidRDefault="00800DB1">
      <w:r>
        <w:separator/>
      </w:r>
    </w:p>
  </w:endnote>
  <w:endnote w:type="continuationSeparator" w:id="0">
    <w:p w14:paraId="4E81D1BC" w14:textId="77777777" w:rsidR="00800DB1" w:rsidRDefault="00800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CF5" w14:textId="1B8094AF" w:rsidR="00732045" w:rsidRPr="00F95761" w:rsidRDefault="00A655CB">
    <w:pPr>
      <w:pStyle w:val="Footer"/>
      <w:rPr>
        <w:lang w:val="en-GB"/>
      </w:rPr>
    </w:pPr>
    <w:r>
      <w:fldChar w:fldCharType="begin"/>
    </w:r>
    <w:r w:rsidRPr="00F95761">
      <w:rPr>
        <w:lang w:val="en-GB"/>
      </w:rPr>
      <w:instrText xml:space="preserve"> FILENAME \p \* MERGEFORMAT </w:instrText>
    </w:r>
    <w:r>
      <w:fldChar w:fldCharType="separate"/>
    </w:r>
    <w:r w:rsidRPr="00F95761">
      <w:rPr>
        <w:lang w:val="en-GB"/>
      </w:rPr>
      <w:t>P:\FRA\gDoc\SG\C26\2601343F.docx</w:t>
    </w:r>
    <w:r>
      <w:fldChar w:fldCharType="end"/>
    </w:r>
    <w:r w:rsidR="00732045" w:rsidRPr="00F95761">
      <w:rPr>
        <w:lang w:val="en-GB"/>
      </w:rPr>
      <w:tab/>
    </w:r>
    <w:r w:rsidR="002F1B76">
      <w:fldChar w:fldCharType="begin"/>
    </w:r>
    <w:r w:rsidR="00732045">
      <w:instrText xml:space="preserve"> savedate \@ dd.MM.yy </w:instrText>
    </w:r>
    <w:r w:rsidR="002F1B76">
      <w:fldChar w:fldCharType="separate"/>
    </w:r>
    <w:r w:rsidR="00816A9F">
      <w:t>04.08.26</w:t>
    </w:r>
    <w:r w:rsidR="002F1B76">
      <w:fldChar w:fldCharType="end"/>
    </w:r>
    <w:r w:rsidR="00732045" w:rsidRPr="00F95761">
      <w:rPr>
        <w:lang w:val="en-GB"/>
      </w:rPr>
      <w:tab/>
    </w:r>
    <w:r w:rsidR="002F1B76">
      <w:fldChar w:fldCharType="begin"/>
    </w:r>
    <w:r w:rsidR="00732045">
      <w:instrText xml:space="preserve"> printdate \@ dd.MM.yy </w:instrText>
    </w:r>
    <w:r w:rsidR="002F1B76">
      <w:fldChar w:fldCharType="separate"/>
    </w:r>
    <w:r>
      <w:t>18.07.00</w:t>
    </w:r>
    <w:r w:rsidR="002F1B7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45CCEBD6" w14:textId="77777777" w:rsidTr="00E31DCE">
      <w:trPr>
        <w:jc w:val="center"/>
      </w:trPr>
      <w:tc>
        <w:tcPr>
          <w:tcW w:w="1803" w:type="dxa"/>
          <w:vAlign w:val="center"/>
        </w:tcPr>
        <w:p w14:paraId="1B0711ED" w14:textId="34E2F166" w:rsidR="00A51849" w:rsidRDefault="002C1E38" w:rsidP="00A51849">
          <w:pPr>
            <w:pStyle w:val="Header"/>
            <w:jc w:val="left"/>
            <w:rPr>
              <w:noProof/>
            </w:rPr>
          </w:pPr>
          <w:r>
            <w:rPr>
              <w:noProof/>
            </w:rPr>
            <w:t>2601343</w:t>
          </w:r>
        </w:p>
      </w:tc>
      <w:tc>
        <w:tcPr>
          <w:tcW w:w="8261" w:type="dxa"/>
        </w:tcPr>
        <w:p w14:paraId="794777D4" w14:textId="3AADD45E" w:rsidR="00A51849" w:rsidRPr="00E06FD5" w:rsidRDefault="00A51849" w:rsidP="00C049D7">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4537F3">
            <w:rPr>
              <w:bCs/>
            </w:rPr>
            <w:t>123</w:t>
          </w:r>
          <w:r w:rsidRPr="00623AE3">
            <w:rPr>
              <w:bCs/>
            </w:rPr>
            <w:t>-</w:t>
          </w:r>
          <w:r w:rsidR="00973F53">
            <w:rPr>
              <w:bCs/>
            </w:rPr>
            <w:t>F</w:t>
          </w:r>
          <w:r>
            <w:rPr>
              <w:bCs/>
            </w:rPr>
            <w:tab/>
          </w:r>
          <w:r>
            <w:fldChar w:fldCharType="begin"/>
          </w:r>
          <w:r>
            <w:instrText>PAGE</w:instrText>
          </w:r>
          <w:r>
            <w:fldChar w:fldCharType="separate"/>
          </w:r>
          <w:r>
            <w:t>1</w:t>
          </w:r>
          <w:r>
            <w:rPr>
              <w:noProof/>
            </w:rPr>
            <w:fldChar w:fldCharType="end"/>
          </w:r>
        </w:p>
      </w:tc>
    </w:tr>
  </w:tbl>
  <w:p w14:paraId="61805944" w14:textId="77777777" w:rsidR="00732045" w:rsidRPr="00A51849" w:rsidRDefault="00732045" w:rsidP="00FC6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25425EF2" w14:textId="77777777" w:rsidTr="00E31DCE">
      <w:trPr>
        <w:jc w:val="center"/>
      </w:trPr>
      <w:tc>
        <w:tcPr>
          <w:tcW w:w="1803" w:type="dxa"/>
          <w:vAlign w:val="center"/>
        </w:tcPr>
        <w:p w14:paraId="005809AB" w14:textId="738EE8B5" w:rsidR="00A51849" w:rsidRPr="00FC6D7D" w:rsidRDefault="00293EE7" w:rsidP="00A51849">
          <w:pPr>
            <w:pStyle w:val="Header"/>
            <w:jc w:val="left"/>
            <w:rPr>
              <w:noProof/>
              <w:color w:val="0563C1"/>
            </w:rPr>
          </w:pPr>
          <w:hyperlink r:id="rId1" w:anchor="/fr" w:history="1">
            <w:r>
              <w:rPr>
                <w:rStyle w:val="Hyperlink"/>
              </w:rPr>
              <w:t>council.itu.int/2026</w:t>
            </w:r>
          </w:hyperlink>
        </w:p>
      </w:tc>
      <w:tc>
        <w:tcPr>
          <w:tcW w:w="8261" w:type="dxa"/>
        </w:tcPr>
        <w:p w14:paraId="4C77A6AF" w14:textId="07D72610" w:rsidR="00A51849" w:rsidRPr="00E06FD5" w:rsidRDefault="00A51849" w:rsidP="00C049D7">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4537F3">
            <w:rPr>
              <w:bCs/>
            </w:rPr>
            <w:t>123</w:t>
          </w:r>
          <w:r w:rsidRPr="00623AE3">
            <w:rPr>
              <w:bCs/>
            </w:rPr>
            <w:t>-</w:t>
          </w:r>
          <w:r w:rsidR="00D72F49">
            <w:rPr>
              <w:bCs/>
            </w:rPr>
            <w:t>F</w:t>
          </w:r>
          <w:r>
            <w:rPr>
              <w:bCs/>
            </w:rPr>
            <w:tab/>
          </w:r>
          <w:r>
            <w:fldChar w:fldCharType="begin"/>
          </w:r>
          <w:r>
            <w:instrText>PAGE</w:instrText>
          </w:r>
          <w:r>
            <w:fldChar w:fldCharType="separate"/>
          </w:r>
          <w:r>
            <w:t>1</w:t>
          </w:r>
          <w:r>
            <w:rPr>
              <w:noProof/>
            </w:rPr>
            <w:fldChar w:fldCharType="end"/>
          </w:r>
        </w:p>
      </w:tc>
    </w:tr>
  </w:tbl>
  <w:p w14:paraId="7E4123D5" w14:textId="77777777" w:rsidR="00732045" w:rsidRPr="00A51849" w:rsidRDefault="00732045" w:rsidP="00FC6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56D20" w14:textId="77777777" w:rsidR="00800DB1" w:rsidRDefault="00800DB1">
      <w:r>
        <w:t>____________________</w:t>
      </w:r>
    </w:p>
  </w:footnote>
  <w:footnote w:type="continuationSeparator" w:id="0">
    <w:p w14:paraId="4D75864F" w14:textId="77777777" w:rsidR="00800DB1" w:rsidRDefault="00800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8BFBD" w14:textId="77777777" w:rsidR="00732045" w:rsidRDefault="00732045">
    <w:pPr>
      <w:pStyle w:val="Header"/>
    </w:pPr>
    <w:r>
      <w:t xml:space="preserve">- </w:t>
    </w:r>
    <w:r w:rsidR="00C27A7C">
      <w:fldChar w:fldCharType="begin"/>
    </w:r>
    <w:r w:rsidR="00C27A7C">
      <w:instrText>PAGE</w:instrText>
    </w:r>
    <w:r w:rsidR="00C27A7C">
      <w:fldChar w:fldCharType="separate"/>
    </w:r>
    <w:r>
      <w:rPr>
        <w:noProof/>
      </w:rPr>
      <w:t>2</w:t>
    </w:r>
    <w:r w:rsidR="00C27A7C">
      <w:rPr>
        <w:noProof/>
      </w:rPr>
      <w:fldChar w:fldCharType="end"/>
    </w:r>
    <w:r>
      <w:t xml:space="preserve"> -</w:t>
    </w:r>
  </w:p>
  <w:p w14:paraId="3A50927F" w14:textId="77777777" w:rsidR="00732045" w:rsidRDefault="00732045">
    <w:pPr>
      <w:pStyle w:val="Header"/>
    </w:pPr>
    <w:r>
      <w:t>C2001/#-F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32F6F" w14:textId="77777777" w:rsidR="00A51849" w:rsidRPr="001342E0" w:rsidRDefault="001342E0" w:rsidP="001342E0">
    <w:pPr>
      <w:pStyle w:val="Header"/>
    </w:pPr>
    <w:r>
      <w:rPr>
        <w:noProof/>
      </w:rPr>
      <w:drawing>
        <wp:inline distT="0" distB="0" distL="0" distR="0" wp14:anchorId="3177DFFE" wp14:editId="5ED8E338">
          <wp:extent cx="5760085" cy="840740"/>
          <wp:effectExtent l="0" t="0" r="0" b="0"/>
          <wp:docPr id="322889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89409" name="Picture 322889409"/>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364A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FC17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52E2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24F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EA3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3050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D0D2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22DA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9B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CA6"/>
    <w:lvl w:ilvl="0">
      <w:start w:val="1"/>
      <w:numFmt w:val="bullet"/>
      <w:lvlText w:val=""/>
      <w:lvlJc w:val="left"/>
      <w:pPr>
        <w:tabs>
          <w:tab w:val="num" w:pos="360"/>
        </w:tabs>
        <w:ind w:left="360" w:hanging="360"/>
      </w:pPr>
      <w:rPr>
        <w:rFonts w:ascii="Symbol" w:hAnsi="Symbol" w:hint="default"/>
      </w:rPr>
    </w:lvl>
  </w:abstractNum>
  <w:num w:numId="1" w16cid:durableId="611324100">
    <w:abstractNumId w:val="9"/>
  </w:num>
  <w:num w:numId="2" w16cid:durableId="1264267055">
    <w:abstractNumId w:val="7"/>
  </w:num>
  <w:num w:numId="3" w16cid:durableId="1282614897">
    <w:abstractNumId w:val="6"/>
  </w:num>
  <w:num w:numId="4" w16cid:durableId="1940798482">
    <w:abstractNumId w:val="5"/>
  </w:num>
  <w:num w:numId="5" w16cid:durableId="1047297707">
    <w:abstractNumId w:val="4"/>
  </w:num>
  <w:num w:numId="6" w16cid:durableId="1477456969">
    <w:abstractNumId w:val="8"/>
  </w:num>
  <w:num w:numId="7" w16cid:durableId="2101831948">
    <w:abstractNumId w:val="3"/>
  </w:num>
  <w:num w:numId="8" w16cid:durableId="1933274043">
    <w:abstractNumId w:val="2"/>
  </w:num>
  <w:num w:numId="9" w16cid:durableId="25061101">
    <w:abstractNumId w:val="1"/>
  </w:num>
  <w:num w:numId="10" w16cid:durableId="828791649">
    <w:abstractNumId w:val="0"/>
  </w:num>
  <w:num w:numId="11" w16cid:durableId="799150526">
    <w:abstractNumId w:val="8"/>
  </w:num>
  <w:num w:numId="12" w16cid:durableId="363481769">
    <w:abstractNumId w:val="3"/>
  </w:num>
  <w:num w:numId="13" w16cid:durableId="1383138832">
    <w:abstractNumId w:val="2"/>
  </w:num>
  <w:num w:numId="14" w16cid:durableId="2134784843">
    <w:abstractNumId w:val="1"/>
  </w:num>
  <w:num w:numId="15" w16cid:durableId="2042245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0E2"/>
    <w:rsid w:val="00011B8E"/>
    <w:rsid w:val="00025A64"/>
    <w:rsid w:val="00061553"/>
    <w:rsid w:val="00076A2C"/>
    <w:rsid w:val="000774F5"/>
    <w:rsid w:val="000B70C0"/>
    <w:rsid w:val="000D0D0A"/>
    <w:rsid w:val="000E18E8"/>
    <w:rsid w:val="00103163"/>
    <w:rsid w:val="0010338F"/>
    <w:rsid w:val="00106B19"/>
    <w:rsid w:val="001133EF"/>
    <w:rsid w:val="00115D93"/>
    <w:rsid w:val="001247A8"/>
    <w:rsid w:val="001342E0"/>
    <w:rsid w:val="001370B2"/>
    <w:rsid w:val="001378C0"/>
    <w:rsid w:val="001658F9"/>
    <w:rsid w:val="0018694A"/>
    <w:rsid w:val="0019129B"/>
    <w:rsid w:val="001A3287"/>
    <w:rsid w:val="001A6508"/>
    <w:rsid w:val="001D4C31"/>
    <w:rsid w:val="001E4D21"/>
    <w:rsid w:val="00207CD1"/>
    <w:rsid w:val="00226657"/>
    <w:rsid w:val="002477A2"/>
    <w:rsid w:val="00263A51"/>
    <w:rsid w:val="00267E02"/>
    <w:rsid w:val="00271321"/>
    <w:rsid w:val="00277DEA"/>
    <w:rsid w:val="00293EE7"/>
    <w:rsid w:val="002958A2"/>
    <w:rsid w:val="002A5A06"/>
    <w:rsid w:val="002A5D44"/>
    <w:rsid w:val="002C1E38"/>
    <w:rsid w:val="002C29C5"/>
    <w:rsid w:val="002C3F32"/>
    <w:rsid w:val="002C4E3D"/>
    <w:rsid w:val="002D2336"/>
    <w:rsid w:val="002E0BC4"/>
    <w:rsid w:val="002F1B76"/>
    <w:rsid w:val="0033568E"/>
    <w:rsid w:val="00355FF5"/>
    <w:rsid w:val="00361350"/>
    <w:rsid w:val="003910F6"/>
    <w:rsid w:val="003B276A"/>
    <w:rsid w:val="003C3FAE"/>
    <w:rsid w:val="004038CB"/>
    <w:rsid w:val="0040546F"/>
    <w:rsid w:val="004177BD"/>
    <w:rsid w:val="0042404A"/>
    <w:rsid w:val="0044618F"/>
    <w:rsid w:val="004466C6"/>
    <w:rsid w:val="00451BDD"/>
    <w:rsid w:val="004537F3"/>
    <w:rsid w:val="00465C35"/>
    <w:rsid w:val="0046769A"/>
    <w:rsid w:val="0047564D"/>
    <w:rsid w:val="00475FB3"/>
    <w:rsid w:val="004C37A9"/>
    <w:rsid w:val="004D1D50"/>
    <w:rsid w:val="004F259E"/>
    <w:rsid w:val="004F633A"/>
    <w:rsid w:val="00504C7F"/>
    <w:rsid w:val="00511B40"/>
    <w:rsid w:val="00511F1D"/>
    <w:rsid w:val="00520624"/>
    <w:rsid w:val="00520F36"/>
    <w:rsid w:val="00524E8D"/>
    <w:rsid w:val="00534E13"/>
    <w:rsid w:val="00540615"/>
    <w:rsid w:val="00540A6D"/>
    <w:rsid w:val="00553536"/>
    <w:rsid w:val="005540E2"/>
    <w:rsid w:val="00566679"/>
    <w:rsid w:val="00571EEA"/>
    <w:rsid w:val="00575417"/>
    <w:rsid w:val="005768E1"/>
    <w:rsid w:val="005B1938"/>
    <w:rsid w:val="005C3890"/>
    <w:rsid w:val="005E408B"/>
    <w:rsid w:val="005F7BFE"/>
    <w:rsid w:val="00600017"/>
    <w:rsid w:val="00602682"/>
    <w:rsid w:val="006235CA"/>
    <w:rsid w:val="0062366E"/>
    <w:rsid w:val="006327BE"/>
    <w:rsid w:val="006643AB"/>
    <w:rsid w:val="00680310"/>
    <w:rsid w:val="006A11AE"/>
    <w:rsid w:val="006A4B95"/>
    <w:rsid w:val="006A5DA9"/>
    <w:rsid w:val="006B224B"/>
    <w:rsid w:val="006F0A53"/>
    <w:rsid w:val="0071402E"/>
    <w:rsid w:val="007210CD"/>
    <w:rsid w:val="00732045"/>
    <w:rsid w:val="0073275D"/>
    <w:rsid w:val="007369DB"/>
    <w:rsid w:val="0074641A"/>
    <w:rsid w:val="0077110E"/>
    <w:rsid w:val="007956C2"/>
    <w:rsid w:val="00796BDB"/>
    <w:rsid w:val="007A187E"/>
    <w:rsid w:val="007B3F8D"/>
    <w:rsid w:val="007C72C2"/>
    <w:rsid w:val="007D4436"/>
    <w:rsid w:val="007F257A"/>
    <w:rsid w:val="007F3665"/>
    <w:rsid w:val="00800037"/>
    <w:rsid w:val="00800DB1"/>
    <w:rsid w:val="00816A9F"/>
    <w:rsid w:val="0082299A"/>
    <w:rsid w:val="0083391C"/>
    <w:rsid w:val="0084546D"/>
    <w:rsid w:val="00861D73"/>
    <w:rsid w:val="00882919"/>
    <w:rsid w:val="00890B79"/>
    <w:rsid w:val="00897553"/>
    <w:rsid w:val="008A4E87"/>
    <w:rsid w:val="008D76E6"/>
    <w:rsid w:val="008E71AE"/>
    <w:rsid w:val="0092392D"/>
    <w:rsid w:val="0093234A"/>
    <w:rsid w:val="00942964"/>
    <w:rsid w:val="00956A78"/>
    <w:rsid w:val="0097363B"/>
    <w:rsid w:val="00973F53"/>
    <w:rsid w:val="0098348E"/>
    <w:rsid w:val="009A6BAA"/>
    <w:rsid w:val="009A76A8"/>
    <w:rsid w:val="009C307F"/>
    <w:rsid w:val="009C353C"/>
    <w:rsid w:val="009D242F"/>
    <w:rsid w:val="009D5955"/>
    <w:rsid w:val="009F0FB8"/>
    <w:rsid w:val="00A01F4F"/>
    <w:rsid w:val="00A109AF"/>
    <w:rsid w:val="00A125FB"/>
    <w:rsid w:val="00A2113E"/>
    <w:rsid w:val="00A23A51"/>
    <w:rsid w:val="00A24607"/>
    <w:rsid w:val="00A25CD3"/>
    <w:rsid w:val="00A51849"/>
    <w:rsid w:val="00A655CB"/>
    <w:rsid w:val="00A709FE"/>
    <w:rsid w:val="00A73C60"/>
    <w:rsid w:val="00A82767"/>
    <w:rsid w:val="00AA332F"/>
    <w:rsid w:val="00AA7BBB"/>
    <w:rsid w:val="00AB64A8"/>
    <w:rsid w:val="00AB74B0"/>
    <w:rsid w:val="00AC0266"/>
    <w:rsid w:val="00AC0F1D"/>
    <w:rsid w:val="00AD24EC"/>
    <w:rsid w:val="00AD49D5"/>
    <w:rsid w:val="00B27B00"/>
    <w:rsid w:val="00B309F9"/>
    <w:rsid w:val="00B32B60"/>
    <w:rsid w:val="00B51005"/>
    <w:rsid w:val="00B61619"/>
    <w:rsid w:val="00BB38C1"/>
    <w:rsid w:val="00BB4545"/>
    <w:rsid w:val="00BD5873"/>
    <w:rsid w:val="00BF4B60"/>
    <w:rsid w:val="00C049D7"/>
    <w:rsid w:val="00C04BE3"/>
    <w:rsid w:val="00C25D29"/>
    <w:rsid w:val="00C2625E"/>
    <w:rsid w:val="00C27A7C"/>
    <w:rsid w:val="00C31D28"/>
    <w:rsid w:val="00C42437"/>
    <w:rsid w:val="00C91973"/>
    <w:rsid w:val="00CA08ED"/>
    <w:rsid w:val="00CA53EB"/>
    <w:rsid w:val="00CC6EAA"/>
    <w:rsid w:val="00CE5172"/>
    <w:rsid w:val="00CF0534"/>
    <w:rsid w:val="00CF183B"/>
    <w:rsid w:val="00D375CD"/>
    <w:rsid w:val="00D37B53"/>
    <w:rsid w:val="00D44BCF"/>
    <w:rsid w:val="00D553A2"/>
    <w:rsid w:val="00D65B13"/>
    <w:rsid w:val="00D72F49"/>
    <w:rsid w:val="00D774D3"/>
    <w:rsid w:val="00D904E8"/>
    <w:rsid w:val="00DA08C3"/>
    <w:rsid w:val="00DB5A3E"/>
    <w:rsid w:val="00DC22AA"/>
    <w:rsid w:val="00DD1A99"/>
    <w:rsid w:val="00DE62C6"/>
    <w:rsid w:val="00DF74DD"/>
    <w:rsid w:val="00E25AD0"/>
    <w:rsid w:val="00E33426"/>
    <w:rsid w:val="00E4428F"/>
    <w:rsid w:val="00E4448E"/>
    <w:rsid w:val="00E47427"/>
    <w:rsid w:val="00E61424"/>
    <w:rsid w:val="00E93668"/>
    <w:rsid w:val="00E95647"/>
    <w:rsid w:val="00EB6350"/>
    <w:rsid w:val="00ED5534"/>
    <w:rsid w:val="00ED799B"/>
    <w:rsid w:val="00F113A1"/>
    <w:rsid w:val="00F15B57"/>
    <w:rsid w:val="00F230CD"/>
    <w:rsid w:val="00F35EF4"/>
    <w:rsid w:val="00F37FE5"/>
    <w:rsid w:val="00F427DB"/>
    <w:rsid w:val="00F56520"/>
    <w:rsid w:val="00F95761"/>
    <w:rsid w:val="00FA5EB1"/>
    <w:rsid w:val="00FA7439"/>
    <w:rsid w:val="00FC4EC0"/>
    <w:rsid w:val="00FC6D7D"/>
    <w:rsid w:val="00FD44CE"/>
    <w:rsid w:val="00FF01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898814"/>
  <w15:docId w15:val="{B07C621A-EEEB-4BAE-B49A-F23E42BDA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66E"/>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ED799B"/>
    <w:pPr>
      <w:keepNext/>
      <w:keepLines/>
      <w:spacing w:before="360"/>
      <w:ind w:left="567" w:hanging="567"/>
      <w:outlineLvl w:val="0"/>
    </w:pPr>
    <w:rPr>
      <w:b/>
      <w:sz w:val="28"/>
    </w:rPr>
  </w:style>
  <w:style w:type="paragraph" w:styleId="Heading2">
    <w:name w:val="heading 2"/>
    <w:basedOn w:val="Heading1"/>
    <w:next w:val="Normal"/>
    <w:qFormat/>
    <w:rsid w:val="00ED799B"/>
    <w:pPr>
      <w:spacing w:before="200"/>
      <w:outlineLvl w:val="1"/>
    </w:pPr>
    <w:rPr>
      <w:sz w:val="24"/>
    </w:rPr>
  </w:style>
  <w:style w:type="paragraph" w:styleId="Heading3">
    <w:name w:val="heading 3"/>
    <w:basedOn w:val="Heading1"/>
    <w:next w:val="Normal"/>
    <w:qFormat/>
    <w:rsid w:val="00ED799B"/>
    <w:pPr>
      <w:spacing w:before="200"/>
      <w:outlineLvl w:val="2"/>
    </w:pPr>
    <w:rPr>
      <w:sz w:val="24"/>
    </w:rPr>
  </w:style>
  <w:style w:type="paragraph" w:styleId="Heading4">
    <w:name w:val="heading 4"/>
    <w:basedOn w:val="Heading3"/>
    <w:next w:val="Normal"/>
    <w:qFormat/>
    <w:rsid w:val="00732045"/>
    <w:pPr>
      <w:ind w:left="1134" w:hanging="1134"/>
      <w:outlineLvl w:val="3"/>
    </w:pPr>
  </w:style>
  <w:style w:type="paragraph" w:styleId="Heading5">
    <w:name w:val="heading 5"/>
    <w:basedOn w:val="Heading4"/>
    <w:next w:val="Normal"/>
    <w:qFormat/>
    <w:rsid w:val="00732045"/>
    <w:pPr>
      <w:outlineLvl w:val="4"/>
    </w:pPr>
  </w:style>
  <w:style w:type="paragraph" w:styleId="Heading6">
    <w:name w:val="heading 6"/>
    <w:basedOn w:val="Heading4"/>
    <w:next w:val="Normal"/>
    <w:qFormat/>
    <w:rsid w:val="00732045"/>
    <w:pPr>
      <w:outlineLvl w:val="5"/>
    </w:pPr>
  </w:style>
  <w:style w:type="paragraph" w:styleId="Heading7">
    <w:name w:val="heading 7"/>
    <w:basedOn w:val="Heading4"/>
    <w:next w:val="Normal"/>
    <w:qFormat/>
    <w:rsid w:val="00732045"/>
    <w:pPr>
      <w:ind w:left="1701" w:hanging="1701"/>
      <w:outlineLvl w:val="6"/>
    </w:pPr>
  </w:style>
  <w:style w:type="paragraph" w:styleId="Heading8">
    <w:name w:val="heading 8"/>
    <w:basedOn w:val="Heading4"/>
    <w:next w:val="Normal"/>
    <w:qFormat/>
    <w:rsid w:val="00732045"/>
    <w:pPr>
      <w:ind w:left="1701" w:hanging="1701"/>
      <w:outlineLvl w:val="7"/>
    </w:pPr>
  </w:style>
  <w:style w:type="paragraph" w:styleId="Heading9">
    <w:name w:val="heading 9"/>
    <w:basedOn w:val="Heading4"/>
    <w:next w:val="Normal"/>
    <w:qFormat/>
    <w:rsid w:val="00732045"/>
    <w:pPr>
      <w:ind w:left="1701" w:hanging="1701"/>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19129B"/>
  </w:style>
  <w:style w:type="paragraph" w:styleId="TOC3">
    <w:name w:val="toc 3"/>
    <w:basedOn w:val="TOC1"/>
    <w:next w:val="Normal"/>
    <w:rsid w:val="001658F9"/>
  </w:style>
  <w:style w:type="paragraph" w:styleId="TOC2">
    <w:name w:val="toc 2"/>
    <w:basedOn w:val="TOC1"/>
    <w:next w:val="Normal"/>
    <w:rsid w:val="001658F9"/>
    <w:pPr>
      <w:spacing w:before="160"/>
    </w:pPr>
  </w:style>
  <w:style w:type="paragraph" w:styleId="TOC1">
    <w:name w:val="toc 1"/>
    <w:basedOn w:val="Normal"/>
    <w:rsid w:val="001658F9"/>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19129B"/>
  </w:style>
  <w:style w:type="paragraph" w:styleId="TOC6">
    <w:name w:val="toc 6"/>
    <w:basedOn w:val="TOC5"/>
    <w:next w:val="Normal"/>
    <w:rsid w:val="0019129B"/>
  </w:style>
  <w:style w:type="paragraph" w:styleId="TOC5">
    <w:name w:val="toc 5"/>
    <w:basedOn w:val="TOC4"/>
    <w:next w:val="Normal"/>
    <w:rsid w:val="0019129B"/>
    <w:rPr>
      <w:lang w:val="fr-CH"/>
    </w:rPr>
  </w:style>
  <w:style w:type="paragraph" w:styleId="TOC4">
    <w:name w:val="toc 4"/>
    <w:basedOn w:val="TOC1"/>
    <w:next w:val="Normal"/>
    <w:rsid w:val="0019129B"/>
  </w:style>
  <w:style w:type="paragraph" w:styleId="Index7">
    <w:name w:val="index 7"/>
    <w:basedOn w:val="Normal"/>
    <w:next w:val="Normal"/>
    <w:rsid w:val="005C3890"/>
    <w:pPr>
      <w:ind w:left="1698"/>
    </w:pPr>
  </w:style>
  <w:style w:type="paragraph" w:styleId="Index6">
    <w:name w:val="index 6"/>
    <w:basedOn w:val="Normal"/>
    <w:next w:val="Normal"/>
    <w:rsid w:val="005C3890"/>
    <w:pPr>
      <w:ind w:left="1415"/>
    </w:pPr>
  </w:style>
  <w:style w:type="paragraph" w:styleId="Index5">
    <w:name w:val="index 5"/>
    <w:basedOn w:val="Normal"/>
    <w:next w:val="Normal"/>
    <w:rsid w:val="005C3890"/>
    <w:pPr>
      <w:ind w:left="1132"/>
    </w:pPr>
  </w:style>
  <w:style w:type="paragraph" w:styleId="Index4">
    <w:name w:val="index 4"/>
    <w:basedOn w:val="Normal"/>
    <w:next w:val="Normal"/>
    <w:rsid w:val="005C3890"/>
    <w:pPr>
      <w:ind w:left="849"/>
    </w:pPr>
  </w:style>
  <w:style w:type="paragraph" w:styleId="Index3">
    <w:name w:val="index 3"/>
    <w:basedOn w:val="Normal"/>
    <w:next w:val="Normal"/>
    <w:rsid w:val="005C3890"/>
    <w:pPr>
      <w:ind w:left="566"/>
    </w:pPr>
  </w:style>
  <w:style w:type="paragraph" w:styleId="Index2">
    <w:name w:val="index 2"/>
    <w:basedOn w:val="Normal"/>
    <w:next w:val="Normal"/>
    <w:rsid w:val="005C3890"/>
    <w:pPr>
      <w:ind w:left="283"/>
    </w:pPr>
  </w:style>
  <w:style w:type="paragraph" w:styleId="Index1">
    <w:name w:val="index 1"/>
    <w:basedOn w:val="Normal"/>
    <w:next w:val="Normal"/>
    <w:rsid w:val="005C3890"/>
  </w:style>
  <w:style w:type="character" w:styleId="LineNumber">
    <w:name w:val="line number"/>
    <w:basedOn w:val="DefaultParagraphFont"/>
    <w:rsid w:val="005C3890"/>
  </w:style>
  <w:style w:type="paragraph" w:styleId="IndexHeading">
    <w:name w:val="index heading"/>
    <w:basedOn w:val="Normal"/>
    <w:next w:val="Index1"/>
    <w:rsid w:val="005C3890"/>
  </w:style>
  <w:style w:type="paragraph" w:styleId="Footer">
    <w:name w:val="footer"/>
    <w:basedOn w:val="Normal"/>
    <w:rsid w:val="0073204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73204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732045"/>
    <w:rPr>
      <w:rFonts w:ascii="Calibri" w:hAnsi="Calibri"/>
      <w:position w:val="6"/>
      <w:sz w:val="16"/>
    </w:rPr>
  </w:style>
  <w:style w:type="paragraph" w:styleId="FootnoteText">
    <w:name w:val="footnote text"/>
    <w:basedOn w:val="Normal"/>
    <w:rsid w:val="00ED799B"/>
    <w:pPr>
      <w:keepLines/>
      <w:tabs>
        <w:tab w:val="left" w:pos="256"/>
      </w:tabs>
      <w:ind w:left="256" w:hanging="256"/>
    </w:pPr>
    <w:rPr>
      <w:sz w:val="22"/>
    </w:rPr>
  </w:style>
  <w:style w:type="paragraph" w:styleId="NormalIndent">
    <w:name w:val="Normal Indent"/>
    <w:basedOn w:val="Normal"/>
    <w:rsid w:val="00732045"/>
    <w:pPr>
      <w:ind w:left="567"/>
    </w:pPr>
  </w:style>
  <w:style w:type="paragraph" w:customStyle="1" w:styleId="enumlev1">
    <w:name w:val="enumlev1"/>
    <w:basedOn w:val="Normal"/>
    <w:rsid w:val="009D5955"/>
    <w:pPr>
      <w:spacing w:before="80"/>
      <w:ind w:left="567" w:hanging="567"/>
    </w:pPr>
  </w:style>
  <w:style w:type="paragraph" w:customStyle="1" w:styleId="enumlev2">
    <w:name w:val="enumlev2"/>
    <w:basedOn w:val="enumlev1"/>
    <w:rsid w:val="00732045"/>
    <w:pPr>
      <w:ind w:left="1134"/>
    </w:pPr>
  </w:style>
  <w:style w:type="paragraph" w:customStyle="1" w:styleId="enumlev3">
    <w:name w:val="enumlev3"/>
    <w:basedOn w:val="enumlev2"/>
    <w:rsid w:val="009D5955"/>
    <w:pPr>
      <w:ind w:left="1701"/>
    </w:pPr>
  </w:style>
  <w:style w:type="paragraph" w:customStyle="1" w:styleId="Equation">
    <w:name w:val="Equation"/>
    <w:basedOn w:val="Normal"/>
    <w:rsid w:val="005C3890"/>
    <w:pPr>
      <w:tabs>
        <w:tab w:val="center" w:pos="4820"/>
        <w:tab w:val="right" w:pos="9639"/>
      </w:tabs>
    </w:pPr>
  </w:style>
  <w:style w:type="paragraph" w:customStyle="1" w:styleId="Head">
    <w:name w:val="Head"/>
    <w:basedOn w:val="Normal"/>
    <w:rsid w:val="005C3890"/>
    <w:pPr>
      <w:tabs>
        <w:tab w:val="left" w:pos="6663"/>
      </w:tabs>
      <w:overflowPunct/>
      <w:autoSpaceDE/>
      <w:autoSpaceDN/>
      <w:adjustRightInd/>
      <w:spacing w:before="0"/>
      <w:textAlignment w:val="auto"/>
    </w:pPr>
  </w:style>
  <w:style w:type="paragraph" w:customStyle="1" w:styleId="Normalaftertitle">
    <w:name w:val="Normal after title"/>
    <w:basedOn w:val="Normal"/>
    <w:next w:val="Normal"/>
    <w:rsid w:val="00732045"/>
    <w:pPr>
      <w:spacing w:before="240"/>
    </w:pPr>
  </w:style>
  <w:style w:type="paragraph" w:customStyle="1" w:styleId="Call">
    <w:name w:val="Call"/>
    <w:basedOn w:val="Normal"/>
    <w:next w:val="Normal"/>
    <w:rsid w:val="00732045"/>
    <w:pPr>
      <w:keepNext/>
      <w:keepLines/>
      <w:tabs>
        <w:tab w:val="clear" w:pos="1134"/>
        <w:tab w:val="clear" w:pos="1701"/>
        <w:tab w:val="clear" w:pos="2268"/>
        <w:tab w:val="clear" w:pos="2835"/>
      </w:tabs>
      <w:spacing w:before="160"/>
      <w:ind w:left="567"/>
    </w:pPr>
    <w:rPr>
      <w:i/>
    </w:rPr>
  </w:style>
  <w:style w:type="paragraph" w:customStyle="1" w:styleId="toc0">
    <w:name w:val="toc 0"/>
    <w:basedOn w:val="Normal"/>
    <w:next w:val="TOC1"/>
    <w:rsid w:val="00732045"/>
    <w:pPr>
      <w:tabs>
        <w:tab w:val="clear" w:pos="567"/>
        <w:tab w:val="clear" w:pos="1134"/>
        <w:tab w:val="clear" w:pos="1701"/>
        <w:tab w:val="clear" w:pos="2268"/>
        <w:tab w:val="clear" w:pos="2835"/>
        <w:tab w:val="right" w:pos="9781"/>
      </w:tabs>
    </w:pPr>
    <w:rPr>
      <w:b/>
    </w:rPr>
  </w:style>
  <w:style w:type="paragraph" w:styleId="List">
    <w:name w:val="List"/>
    <w:basedOn w:val="Normal"/>
    <w:rsid w:val="005C3890"/>
    <w:pPr>
      <w:tabs>
        <w:tab w:val="left" w:pos="2127"/>
      </w:tabs>
      <w:ind w:left="2127" w:hanging="2127"/>
    </w:pPr>
  </w:style>
  <w:style w:type="paragraph" w:customStyle="1" w:styleId="Part">
    <w:name w:val="Part"/>
    <w:basedOn w:val="Normal"/>
    <w:rsid w:val="005C3890"/>
    <w:pPr>
      <w:tabs>
        <w:tab w:val="left" w:pos="1276"/>
      </w:tabs>
      <w:spacing w:before="199"/>
      <w:ind w:left="1701" w:hanging="1701"/>
    </w:pPr>
    <w:rPr>
      <w:caps/>
    </w:rPr>
  </w:style>
  <w:style w:type="paragraph" w:customStyle="1" w:styleId="Reasons">
    <w:name w:val="Reasons"/>
    <w:basedOn w:val="Normal"/>
    <w:qFormat/>
    <w:rsid w:val="00732045"/>
  </w:style>
  <w:style w:type="paragraph" w:customStyle="1" w:styleId="meeting">
    <w:name w:val="meeting"/>
    <w:basedOn w:val="Head"/>
    <w:next w:val="Head"/>
    <w:rsid w:val="005C3890"/>
    <w:pPr>
      <w:tabs>
        <w:tab w:val="left" w:pos="7371"/>
      </w:tabs>
      <w:spacing w:after="567"/>
    </w:pPr>
  </w:style>
  <w:style w:type="paragraph" w:customStyle="1" w:styleId="Subject">
    <w:name w:val="Subject"/>
    <w:basedOn w:val="Normal"/>
    <w:next w:val="Source"/>
    <w:rsid w:val="005C3890"/>
    <w:pPr>
      <w:tabs>
        <w:tab w:val="left" w:pos="709"/>
      </w:tabs>
      <w:spacing w:before="0"/>
      <w:ind w:left="709" w:hanging="709"/>
    </w:pPr>
  </w:style>
  <w:style w:type="paragraph" w:customStyle="1" w:styleId="Source">
    <w:name w:val="Source"/>
    <w:basedOn w:val="Normal"/>
    <w:next w:val="Title1"/>
    <w:rsid w:val="00732045"/>
    <w:pPr>
      <w:spacing w:before="840"/>
      <w:jc w:val="center"/>
    </w:pPr>
    <w:rPr>
      <w:b/>
      <w:sz w:val="28"/>
    </w:rPr>
  </w:style>
  <w:style w:type="paragraph" w:customStyle="1" w:styleId="Object">
    <w:name w:val="Object"/>
    <w:basedOn w:val="Subject"/>
    <w:next w:val="Subject"/>
    <w:rsid w:val="005C3890"/>
  </w:style>
  <w:style w:type="paragraph" w:customStyle="1" w:styleId="Data">
    <w:name w:val="Data"/>
    <w:basedOn w:val="Subject"/>
    <w:next w:val="Subject"/>
    <w:rsid w:val="005C3890"/>
  </w:style>
  <w:style w:type="paragraph" w:customStyle="1" w:styleId="Headingb">
    <w:name w:val="Heading_b"/>
    <w:basedOn w:val="Heading3"/>
    <w:next w:val="Normal"/>
    <w:rsid w:val="00ED799B"/>
    <w:pPr>
      <w:spacing w:before="160"/>
      <w:ind w:left="0" w:firstLine="0"/>
      <w:outlineLvl w:val="0"/>
    </w:pPr>
  </w:style>
  <w:style w:type="paragraph" w:customStyle="1" w:styleId="Title1">
    <w:name w:val="Title 1"/>
    <w:basedOn w:val="Normal"/>
    <w:next w:val="Normalaftertitle"/>
    <w:rsid w:val="0071402E"/>
    <w:pPr>
      <w:spacing w:before="360"/>
      <w:jc w:val="center"/>
    </w:pPr>
    <w:rPr>
      <w:caps/>
    </w:rPr>
  </w:style>
  <w:style w:type="paragraph" w:customStyle="1" w:styleId="dnum">
    <w:name w:val="dnum"/>
    <w:basedOn w:val="Normal"/>
    <w:rsid w:val="005C3890"/>
    <w:pPr>
      <w:framePr w:hSpace="181" w:wrap="notBeside" w:vAnchor="page" w:hAnchor="margin" w:x="1" w:y="852"/>
      <w:shd w:val="solid" w:color="FFFFFF" w:fill="FFFFFF"/>
      <w:tabs>
        <w:tab w:val="left" w:pos="1871"/>
      </w:tabs>
    </w:pPr>
    <w:rPr>
      <w:b/>
      <w:bCs/>
    </w:rPr>
  </w:style>
  <w:style w:type="paragraph" w:customStyle="1" w:styleId="FirstFooter">
    <w:name w:val="FirstFooter"/>
    <w:basedOn w:val="Footer"/>
    <w:rsid w:val="00732045"/>
    <w:rPr>
      <w:caps w:val="0"/>
    </w:rPr>
  </w:style>
  <w:style w:type="paragraph" w:customStyle="1" w:styleId="Note">
    <w:name w:val="Note"/>
    <w:basedOn w:val="Normal"/>
    <w:rsid w:val="0071402E"/>
    <w:pPr>
      <w:spacing w:before="80"/>
    </w:pPr>
    <w:rPr>
      <w:sz w:val="22"/>
    </w:rPr>
  </w:style>
  <w:style w:type="paragraph" w:styleId="TOC9">
    <w:name w:val="toc 9"/>
    <w:basedOn w:val="Normal"/>
    <w:next w:val="Normal"/>
    <w:rsid w:val="00732045"/>
    <w:pPr>
      <w:tabs>
        <w:tab w:val="clear" w:pos="567"/>
        <w:tab w:val="clear" w:pos="1134"/>
        <w:tab w:val="clear" w:pos="1701"/>
        <w:tab w:val="clear" w:pos="2268"/>
        <w:tab w:val="clear" w:pos="2835"/>
        <w:tab w:val="right" w:leader="dot" w:pos="9645"/>
      </w:tabs>
      <w:ind w:left="1920"/>
    </w:pPr>
  </w:style>
  <w:style w:type="paragraph" w:customStyle="1" w:styleId="ddate">
    <w:name w:val="ddate"/>
    <w:basedOn w:val="Normal"/>
    <w:rsid w:val="005C3890"/>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5C3890"/>
    <w:pPr>
      <w:framePr w:hSpace="181" w:wrap="notBeside" w:vAnchor="page" w:hAnchor="margin" w:x="1" w:y="852"/>
      <w:shd w:val="solid" w:color="FFFFFF" w:fill="FFFFFF"/>
      <w:tabs>
        <w:tab w:val="left" w:pos="1871"/>
      </w:tabs>
      <w:spacing w:before="0"/>
    </w:pPr>
    <w:rPr>
      <w:b/>
      <w:bCs/>
    </w:rPr>
  </w:style>
  <w:style w:type="character" w:styleId="Hyperlink">
    <w:name w:val="Hyperlink"/>
    <w:basedOn w:val="DefaultParagraphFont"/>
    <w:uiPriority w:val="99"/>
    <w:rsid w:val="00890B79"/>
    <w:rPr>
      <w:rFonts w:eastAsiaTheme="minorHAnsi" w:cstheme="minorBidi"/>
      <w:color w:val="4F81BD" w:themeColor="accent1"/>
      <w:szCs w:val="22"/>
      <w:u w:val="single"/>
    </w:rPr>
  </w:style>
  <w:style w:type="character" w:styleId="FollowedHyperlink">
    <w:name w:val="FollowedHyperlink"/>
    <w:basedOn w:val="DefaultParagraphFont"/>
    <w:rsid w:val="005C3890"/>
    <w:rPr>
      <w:color w:val="800080"/>
      <w:u w:val="single"/>
    </w:rPr>
  </w:style>
  <w:style w:type="paragraph" w:customStyle="1" w:styleId="AnnexNo">
    <w:name w:val="Annex_No"/>
    <w:basedOn w:val="Normal"/>
    <w:next w:val="Annexref"/>
    <w:rsid w:val="00BB38C1"/>
    <w:pPr>
      <w:keepNext/>
      <w:keepLines/>
      <w:spacing w:before="720"/>
      <w:jc w:val="center"/>
    </w:pPr>
    <w:rPr>
      <w:caps/>
      <w:sz w:val="28"/>
    </w:rPr>
  </w:style>
  <w:style w:type="paragraph" w:customStyle="1" w:styleId="Annexref">
    <w:name w:val="Annex_ref"/>
    <w:basedOn w:val="Normal"/>
    <w:next w:val="Annextitle"/>
    <w:rsid w:val="00BB38C1"/>
    <w:pPr>
      <w:keepNext/>
      <w:keepLines/>
      <w:jc w:val="center"/>
    </w:pPr>
    <w:rPr>
      <w:sz w:val="28"/>
    </w:rPr>
  </w:style>
  <w:style w:type="paragraph" w:customStyle="1" w:styleId="Annextitle">
    <w:name w:val="Annex_title"/>
    <w:basedOn w:val="Normal"/>
    <w:next w:val="Normalaftertitle"/>
    <w:rsid w:val="00BB38C1"/>
    <w:pPr>
      <w:keepNext/>
      <w:keepLines/>
      <w:spacing w:before="240" w:after="240"/>
      <w:jc w:val="center"/>
    </w:pPr>
    <w:rPr>
      <w:b/>
      <w:sz w:val="28"/>
    </w:rPr>
  </w:style>
  <w:style w:type="paragraph" w:customStyle="1" w:styleId="AppendixNo">
    <w:name w:val="Appendix_No"/>
    <w:basedOn w:val="AnnexNo"/>
    <w:next w:val="Appendixref"/>
    <w:rsid w:val="00BB38C1"/>
  </w:style>
  <w:style w:type="paragraph" w:customStyle="1" w:styleId="Appendixref">
    <w:name w:val="Appendix_ref"/>
    <w:basedOn w:val="Annexref"/>
    <w:next w:val="Appendixtitle"/>
    <w:rsid w:val="00732045"/>
  </w:style>
  <w:style w:type="paragraph" w:customStyle="1" w:styleId="Appendixtitle">
    <w:name w:val="Appendix_title"/>
    <w:basedOn w:val="Annextitle"/>
    <w:next w:val="Normalaftertitle"/>
    <w:rsid w:val="00BB38C1"/>
  </w:style>
  <w:style w:type="paragraph" w:customStyle="1" w:styleId="Artheading">
    <w:name w:val="Art_heading"/>
    <w:basedOn w:val="Normal"/>
    <w:next w:val="Normalaftertitle"/>
    <w:rsid w:val="0073204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BB38C1"/>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38C1"/>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732045"/>
  </w:style>
  <w:style w:type="paragraph" w:customStyle="1" w:styleId="Chaptitle">
    <w:name w:val="Chap_title"/>
    <w:basedOn w:val="Arttitle"/>
    <w:next w:val="Normalaftertitle"/>
    <w:rsid w:val="00732045"/>
  </w:style>
  <w:style w:type="paragraph" w:customStyle="1" w:styleId="Equationlegend">
    <w:name w:val="Equation_legend"/>
    <w:basedOn w:val="NormalIndent"/>
    <w:rsid w:val="005C3890"/>
    <w:pPr>
      <w:tabs>
        <w:tab w:val="right" w:pos="1531"/>
      </w:tabs>
      <w:spacing w:before="80"/>
      <w:ind w:left="1701" w:hanging="1701"/>
    </w:pPr>
  </w:style>
  <w:style w:type="paragraph" w:customStyle="1" w:styleId="Figure">
    <w:name w:val="Figure"/>
    <w:basedOn w:val="Normal"/>
    <w:next w:val="Normal"/>
    <w:rsid w:val="009D5955"/>
    <w:pPr>
      <w:spacing w:after="240"/>
      <w:jc w:val="center"/>
    </w:pPr>
  </w:style>
  <w:style w:type="paragraph" w:customStyle="1" w:styleId="Figurelegend">
    <w:name w:val="Figure_legend"/>
    <w:basedOn w:val="Normal"/>
    <w:next w:val="Normal"/>
    <w:rsid w:val="009D5955"/>
    <w:pPr>
      <w:spacing w:before="20" w:after="240"/>
    </w:pPr>
    <w:rPr>
      <w:sz w:val="18"/>
    </w:rPr>
  </w:style>
  <w:style w:type="paragraph" w:customStyle="1" w:styleId="TableNo">
    <w:name w:val="Table_No"/>
    <w:basedOn w:val="Normal"/>
    <w:next w:val="Tabletitle"/>
    <w:rsid w:val="0071402E"/>
    <w:pPr>
      <w:keepNext/>
      <w:keepLines/>
      <w:spacing w:before="480" w:after="120"/>
      <w:jc w:val="center"/>
    </w:pPr>
    <w:rPr>
      <w:caps/>
    </w:rPr>
  </w:style>
  <w:style w:type="paragraph" w:customStyle="1" w:styleId="Tabletitle">
    <w:name w:val="Table_title"/>
    <w:basedOn w:val="TableNo"/>
    <w:next w:val="Tabletext"/>
    <w:rsid w:val="0071402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Figuretitle">
    <w:name w:val="Figure_title"/>
    <w:basedOn w:val="Tabletitle"/>
    <w:next w:val="Normalaftertitle"/>
    <w:rsid w:val="009D5955"/>
    <w:pPr>
      <w:spacing w:before="120" w:after="0"/>
    </w:pPr>
  </w:style>
  <w:style w:type="paragraph" w:customStyle="1" w:styleId="Figurewithouttitle">
    <w:name w:val="Figure_without_title"/>
    <w:basedOn w:val="Figure"/>
    <w:next w:val="Normal"/>
    <w:rsid w:val="00ED799B"/>
  </w:style>
  <w:style w:type="paragraph" w:customStyle="1" w:styleId="Headingi">
    <w:name w:val="Heading_i"/>
    <w:basedOn w:val="Heading3"/>
    <w:next w:val="Normal"/>
    <w:rsid w:val="00ED799B"/>
    <w:pPr>
      <w:spacing w:before="160"/>
      <w:ind w:left="0" w:firstLine="0"/>
      <w:outlineLvl w:val="0"/>
    </w:pPr>
    <w:rPr>
      <w:b w:val="0"/>
      <w:i/>
    </w:rPr>
  </w:style>
  <w:style w:type="character" w:styleId="PageNumber">
    <w:name w:val="page number"/>
    <w:basedOn w:val="DefaultParagraphFont"/>
    <w:rsid w:val="00732045"/>
    <w:rPr>
      <w:rFonts w:ascii="Calibri" w:hAnsi="Calibri"/>
    </w:rPr>
  </w:style>
  <w:style w:type="paragraph" w:customStyle="1" w:styleId="PartNo">
    <w:name w:val="Part_No"/>
    <w:basedOn w:val="AnnexNo"/>
    <w:next w:val="Parttitle"/>
    <w:rsid w:val="005C3890"/>
  </w:style>
  <w:style w:type="paragraph" w:customStyle="1" w:styleId="Partref">
    <w:name w:val="Part_ref"/>
    <w:basedOn w:val="Annexref"/>
    <w:next w:val="Normalaftertitle"/>
    <w:rsid w:val="005C3890"/>
  </w:style>
  <w:style w:type="paragraph" w:customStyle="1" w:styleId="Parttitle">
    <w:name w:val="Part_title"/>
    <w:basedOn w:val="Annextitle"/>
    <w:next w:val="Partref"/>
    <w:rsid w:val="005C3890"/>
  </w:style>
  <w:style w:type="paragraph" w:customStyle="1" w:styleId="RecNo">
    <w:name w:val="Rec_No"/>
    <w:basedOn w:val="Normal"/>
    <w:next w:val="Rectitle"/>
    <w:rsid w:val="0071402E"/>
    <w:pPr>
      <w:keepNext/>
      <w:keepLines/>
      <w:spacing w:before="720"/>
      <w:jc w:val="center"/>
    </w:pPr>
    <w:rPr>
      <w:caps/>
      <w:sz w:val="28"/>
    </w:rPr>
  </w:style>
  <w:style w:type="paragraph" w:customStyle="1" w:styleId="Rectitle">
    <w:name w:val="Rec_title"/>
    <w:basedOn w:val="Normal"/>
    <w:next w:val="Heading1"/>
    <w:rsid w:val="0071402E"/>
    <w:pPr>
      <w:keepNext/>
      <w:keepLines/>
      <w:jc w:val="center"/>
    </w:pPr>
    <w:rPr>
      <w:b/>
      <w:sz w:val="28"/>
    </w:rPr>
  </w:style>
  <w:style w:type="paragraph" w:customStyle="1" w:styleId="Recref">
    <w:name w:val="Rec_ref"/>
    <w:basedOn w:val="Rectitle"/>
    <w:next w:val="Recdate"/>
    <w:rsid w:val="005C3890"/>
    <w:rPr>
      <w:rFonts w:ascii="Times New Roman" w:hAnsi="Times New Roman"/>
      <w:b w:val="0"/>
      <w:sz w:val="24"/>
    </w:rPr>
  </w:style>
  <w:style w:type="paragraph" w:customStyle="1" w:styleId="Recdate">
    <w:name w:val="Rec_date"/>
    <w:basedOn w:val="Recref"/>
    <w:next w:val="Normalaftertitle"/>
    <w:rsid w:val="005C3890"/>
    <w:pPr>
      <w:jc w:val="right"/>
    </w:pPr>
    <w:rPr>
      <w:sz w:val="22"/>
    </w:rPr>
  </w:style>
  <w:style w:type="paragraph" w:customStyle="1" w:styleId="Questiondate">
    <w:name w:val="Question_date"/>
    <w:basedOn w:val="Recdate"/>
    <w:next w:val="Normalaftertitle"/>
    <w:rsid w:val="0071402E"/>
  </w:style>
  <w:style w:type="paragraph" w:customStyle="1" w:styleId="QuestionNo">
    <w:name w:val="Question_No"/>
    <w:basedOn w:val="RecNo"/>
    <w:next w:val="Questiontitle"/>
    <w:rsid w:val="0071402E"/>
  </w:style>
  <w:style w:type="paragraph" w:customStyle="1" w:styleId="Questionref">
    <w:name w:val="Question_ref"/>
    <w:basedOn w:val="Recref"/>
    <w:next w:val="Questiondate"/>
    <w:rsid w:val="005C3890"/>
  </w:style>
  <w:style w:type="paragraph" w:customStyle="1" w:styleId="Questiontitle">
    <w:name w:val="Question_title"/>
    <w:basedOn w:val="Rectitle"/>
    <w:next w:val="Questionref"/>
    <w:rsid w:val="005C3890"/>
  </w:style>
  <w:style w:type="paragraph" w:customStyle="1" w:styleId="Reftext">
    <w:name w:val="Ref_text"/>
    <w:basedOn w:val="Normal"/>
    <w:rsid w:val="00732045"/>
    <w:pPr>
      <w:ind w:left="567" w:hanging="567"/>
    </w:pPr>
  </w:style>
  <w:style w:type="paragraph" w:customStyle="1" w:styleId="Reftitle">
    <w:name w:val="Ref_title"/>
    <w:basedOn w:val="Normal"/>
    <w:next w:val="Reftext"/>
    <w:rsid w:val="00732045"/>
    <w:pPr>
      <w:spacing w:before="480"/>
      <w:jc w:val="center"/>
    </w:pPr>
    <w:rPr>
      <w:caps/>
      <w:sz w:val="28"/>
    </w:rPr>
  </w:style>
  <w:style w:type="paragraph" w:customStyle="1" w:styleId="Repdate">
    <w:name w:val="Rep_date"/>
    <w:basedOn w:val="Recdate"/>
    <w:next w:val="Normalaftertitle"/>
    <w:rsid w:val="005C3890"/>
  </w:style>
  <w:style w:type="paragraph" w:customStyle="1" w:styleId="RepNo">
    <w:name w:val="Rep_No"/>
    <w:basedOn w:val="RecNo"/>
    <w:next w:val="Reptitle"/>
    <w:rsid w:val="0071402E"/>
  </w:style>
  <w:style w:type="paragraph" w:customStyle="1" w:styleId="Repref">
    <w:name w:val="Rep_ref"/>
    <w:basedOn w:val="Recref"/>
    <w:next w:val="Repdate"/>
    <w:rsid w:val="005C3890"/>
  </w:style>
  <w:style w:type="paragraph" w:customStyle="1" w:styleId="Reptitle">
    <w:name w:val="Rep_title"/>
    <w:basedOn w:val="Rectitle"/>
    <w:next w:val="Repref"/>
    <w:rsid w:val="005C3890"/>
  </w:style>
  <w:style w:type="paragraph" w:customStyle="1" w:styleId="Resdate">
    <w:name w:val="Res_date"/>
    <w:basedOn w:val="Recdate"/>
    <w:next w:val="Normalaftertitle"/>
    <w:rsid w:val="005C3890"/>
  </w:style>
  <w:style w:type="paragraph" w:customStyle="1" w:styleId="ResNo">
    <w:name w:val="Res_No"/>
    <w:basedOn w:val="AnnexNo"/>
    <w:next w:val="Restitle"/>
    <w:rsid w:val="0071402E"/>
  </w:style>
  <w:style w:type="paragraph" w:customStyle="1" w:styleId="Resref">
    <w:name w:val="Res_ref"/>
    <w:basedOn w:val="Recref"/>
    <w:next w:val="Resdate"/>
    <w:rsid w:val="005C3890"/>
  </w:style>
  <w:style w:type="paragraph" w:customStyle="1" w:styleId="Restitle">
    <w:name w:val="Res_title"/>
    <w:basedOn w:val="Annextitle"/>
    <w:next w:val="Normal"/>
    <w:rsid w:val="00732045"/>
  </w:style>
  <w:style w:type="paragraph" w:customStyle="1" w:styleId="SectionNo">
    <w:name w:val="Section_No"/>
    <w:basedOn w:val="AnnexNo"/>
    <w:next w:val="Sectiontitle"/>
    <w:rsid w:val="0071402E"/>
  </w:style>
  <w:style w:type="paragraph" w:customStyle="1" w:styleId="Sectiontitle">
    <w:name w:val="Section_title"/>
    <w:basedOn w:val="Normal"/>
    <w:next w:val="Normalaftertitle"/>
    <w:rsid w:val="005C3890"/>
    <w:rPr>
      <w:sz w:val="28"/>
    </w:rPr>
  </w:style>
  <w:style w:type="paragraph" w:customStyle="1" w:styleId="SpecialFooter">
    <w:name w:val="Special Footer"/>
    <w:basedOn w:val="Footer"/>
    <w:rsid w:val="005C3890"/>
    <w:pPr>
      <w:tabs>
        <w:tab w:val="left" w:pos="567"/>
        <w:tab w:val="left" w:pos="1134"/>
        <w:tab w:val="left" w:pos="1701"/>
        <w:tab w:val="left" w:pos="2268"/>
        <w:tab w:val="left" w:pos="2835"/>
      </w:tabs>
      <w:jc w:val="both"/>
    </w:pPr>
    <w:rPr>
      <w:caps w:val="0"/>
      <w:noProof w:val="0"/>
    </w:rPr>
  </w:style>
  <w:style w:type="paragraph" w:customStyle="1" w:styleId="Tabletext">
    <w:name w:val="Table_text"/>
    <w:basedOn w:val="Normal"/>
    <w:rsid w:val="0071402E"/>
    <w:pPr>
      <w:tabs>
        <w:tab w:val="clear" w:pos="1134"/>
        <w:tab w:val="clear" w:pos="1701"/>
        <w:tab w:val="clear" w:pos="2268"/>
        <w:tab w:val="clear" w:pos="2835"/>
        <w:tab w:val="left" w:pos="284"/>
        <w:tab w:val="left" w:pos="851"/>
      </w:tabs>
      <w:spacing w:before="40" w:after="40"/>
    </w:pPr>
    <w:rPr>
      <w:sz w:val="22"/>
    </w:rPr>
  </w:style>
  <w:style w:type="paragraph" w:customStyle="1" w:styleId="Tablehead">
    <w:name w:val="Table_head"/>
    <w:basedOn w:val="Tabletext"/>
    <w:rsid w:val="0071402E"/>
    <w:pPr>
      <w:keepNext/>
      <w:keepLines/>
      <w:spacing w:before="80" w:after="80"/>
      <w:jc w:val="center"/>
    </w:pPr>
    <w:rPr>
      <w:b/>
    </w:rPr>
  </w:style>
  <w:style w:type="paragraph" w:customStyle="1" w:styleId="Tablelegend">
    <w:name w:val="Table_legend"/>
    <w:basedOn w:val="Tabletext"/>
    <w:rsid w:val="0071402E"/>
    <w:pPr>
      <w:ind w:left="284" w:hanging="284"/>
    </w:pPr>
    <w:rPr>
      <w:sz w:val="20"/>
    </w:rPr>
  </w:style>
  <w:style w:type="paragraph" w:customStyle="1" w:styleId="Tableref">
    <w:name w:val="Table_ref"/>
    <w:basedOn w:val="Normal"/>
    <w:next w:val="Tabletitle"/>
    <w:rsid w:val="0071402E"/>
    <w:pPr>
      <w:keepNext/>
      <w:keepLines/>
      <w:jc w:val="center"/>
    </w:pPr>
    <w:rPr>
      <w:sz w:val="20"/>
    </w:rPr>
  </w:style>
  <w:style w:type="paragraph" w:customStyle="1" w:styleId="Title2">
    <w:name w:val="Title 2"/>
    <w:basedOn w:val="Title1"/>
    <w:next w:val="Normalaftertitle"/>
    <w:rsid w:val="006B224B"/>
    <w:pPr>
      <w:keepNext/>
      <w:keepLines/>
      <w:spacing w:before="240"/>
    </w:pPr>
    <w:rPr>
      <w:b/>
      <w:caps w:val="0"/>
    </w:rPr>
  </w:style>
  <w:style w:type="paragraph" w:customStyle="1" w:styleId="Title3">
    <w:name w:val="Title 3"/>
    <w:basedOn w:val="Title2"/>
    <w:next w:val="Normalaftertitle"/>
    <w:rsid w:val="006B224B"/>
    <w:rPr>
      <w:b w:val="0"/>
      <w:caps/>
    </w:rPr>
  </w:style>
  <w:style w:type="paragraph" w:customStyle="1" w:styleId="Title4">
    <w:name w:val="Title 4"/>
    <w:basedOn w:val="Annextitle"/>
    <w:next w:val="Normal"/>
    <w:rsid w:val="00CE5172"/>
    <w:pPr>
      <w:spacing w:after="120"/>
    </w:pPr>
    <w:rPr>
      <w:b w:val="0"/>
    </w:rPr>
  </w:style>
  <w:style w:type="paragraph" w:customStyle="1" w:styleId="FigureNo">
    <w:name w:val="Figure_No"/>
    <w:basedOn w:val="Normal"/>
    <w:next w:val="Figuretitle"/>
    <w:rsid w:val="009D5955"/>
    <w:pPr>
      <w:keepNext/>
      <w:keepLines/>
      <w:spacing w:before="480" w:after="120"/>
      <w:jc w:val="center"/>
    </w:pPr>
    <w:rPr>
      <w:caps/>
    </w:rPr>
  </w:style>
  <w:style w:type="paragraph" w:customStyle="1" w:styleId="firstfooter0">
    <w:name w:val="firstfooter"/>
    <w:basedOn w:val="Normal"/>
    <w:rsid w:val="0073204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Subtitle">
    <w:name w:val="Sub_title"/>
    <w:basedOn w:val="Normal"/>
    <w:qFormat/>
    <w:rsid w:val="00A51849"/>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A51849"/>
    <w:rPr>
      <w:rFonts w:ascii="Calibri" w:hAnsi="Calibri"/>
      <w:sz w:val="18"/>
      <w:lang w:val="fr-FR" w:eastAsia="en-US"/>
    </w:rPr>
  </w:style>
  <w:style w:type="table" w:styleId="TableGrid">
    <w:name w:val="Table Grid"/>
    <w:basedOn w:val="TableNormal"/>
    <w:uiPriority w:val="39"/>
    <w:rsid w:val="00A5184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647"/>
    <w:rPr>
      <w:rFonts w:ascii="Calibri" w:hAnsi="Calibri"/>
      <w:sz w:val="24"/>
      <w:lang w:val="fr-FR" w:eastAsia="en-US"/>
    </w:rPr>
  </w:style>
  <w:style w:type="character" w:styleId="PlaceholderText">
    <w:name w:val="Placeholder Text"/>
    <w:basedOn w:val="DefaultParagraphFont"/>
    <w:uiPriority w:val="99"/>
    <w:semiHidden/>
    <w:rsid w:val="00FC6D7D"/>
    <w:rPr>
      <w:color w:val="666666"/>
    </w:rPr>
  </w:style>
  <w:style w:type="character" w:styleId="UnresolvedMention">
    <w:name w:val="Unresolved Mention"/>
    <w:basedOn w:val="DefaultParagraphFont"/>
    <w:uiPriority w:val="99"/>
    <w:semiHidden/>
    <w:unhideWhenUsed/>
    <w:rsid w:val="00FC6D7D"/>
    <w:rPr>
      <w:color w:val="605E5C"/>
      <w:shd w:val="clear" w:color="auto" w:fill="E1DFDD"/>
    </w:rPr>
  </w:style>
  <w:style w:type="paragraph" w:customStyle="1" w:styleId="Referencetext">
    <w:name w:val="Reference_text"/>
    <w:basedOn w:val="Normal"/>
    <w:rsid w:val="00CE5172"/>
    <w:pPr>
      <w:framePr w:hSpace="181" w:wrap="around" w:vAnchor="page" w:hAnchor="page" w:x="1589" w:y="2314"/>
      <w:spacing w:after="160"/>
    </w:pPr>
    <w:rPr>
      <w:i/>
      <w:iCs/>
      <w:sz w:val="22"/>
      <w:szCs w:val="22"/>
    </w:rPr>
  </w:style>
  <w:style w:type="paragraph" w:customStyle="1" w:styleId="Summary-Record">
    <w:name w:val="Summary-Record"/>
    <w:basedOn w:val="Source"/>
    <w:rsid w:val="004537F3"/>
    <w:pPr>
      <w:framePr w:hSpace="181" w:wrap="around" w:vAnchor="page" w:hAnchor="page" w:x="1589" w:y="2314"/>
      <w:spacing w:before="240" w:after="120"/>
    </w:pPr>
    <w:rPr>
      <w:sz w:val="34"/>
      <w:szCs w:val="34"/>
      <w:lang w:val="en-GB"/>
    </w:rPr>
  </w:style>
  <w:style w:type="character" w:customStyle="1" w:styleId="normaltextrun">
    <w:name w:val="normaltextrun"/>
    <w:basedOn w:val="DefaultParagraphFont"/>
    <w:rsid w:val="004537F3"/>
  </w:style>
  <w:style w:type="paragraph" w:customStyle="1" w:styleId="paragraph">
    <w:name w:val="paragraph"/>
    <w:basedOn w:val="Normal"/>
    <w:rsid w:val="004537F3"/>
    <w:pPr>
      <w:tabs>
        <w:tab w:val="clear" w:pos="567"/>
        <w:tab w:val="clear" w:pos="1134"/>
        <w:tab w:val="clear" w:pos="1701"/>
        <w:tab w:val="clear" w:pos="2268"/>
        <w:tab w:val="clear" w:pos="2835"/>
      </w:tabs>
      <w:overflowPunct/>
      <w:autoSpaceDE/>
      <w:autoSpaceDN/>
      <w:adjustRightInd/>
      <w:spacing w:before="100" w:beforeAutospacing="1" w:after="100" w:afterAutospacing="1"/>
      <w:jc w:val="both"/>
      <w:textAlignment w:val="auto"/>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6-CL-C-0093/fr" TargetMode="External"/><Relationship Id="rId18" Type="http://schemas.openxmlformats.org/officeDocument/2006/relationships/hyperlink" Target="https://www.itu.int/md/S26-CL-C-0010/fr" TargetMode="External"/><Relationship Id="rId26" Type="http://schemas.openxmlformats.org/officeDocument/2006/relationships/hyperlink" Target="https://www.itu.int/md/S26-CL-C-0060/en" TargetMode="External"/><Relationship Id="rId39" Type="http://schemas.openxmlformats.org/officeDocument/2006/relationships/theme" Target="theme/theme1.xml"/><Relationship Id="rId21" Type="http://schemas.openxmlformats.org/officeDocument/2006/relationships/hyperlink" Target="https://www.itu.int/md/S26-CL-C-0058/fr"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itu.int/md/S26-CL-C-0060/fr" TargetMode="External"/><Relationship Id="rId17" Type="http://schemas.openxmlformats.org/officeDocument/2006/relationships/hyperlink" Target="https://www.itu.int/md/S26-CL-C-0008/fr" TargetMode="External"/><Relationship Id="rId25" Type="http://schemas.openxmlformats.org/officeDocument/2006/relationships/hyperlink" Target="https://www.itu.int/md/S26-CL-C-0093/fr"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tu.int/md/S26-CL-C-0008/fr" TargetMode="External"/><Relationship Id="rId20" Type="http://schemas.openxmlformats.org/officeDocument/2006/relationships/hyperlink" Target="https://www.itu.int/md/S26-CL-C-0010/en" TargetMode="External"/><Relationship Id="rId29" Type="http://schemas.openxmlformats.org/officeDocument/2006/relationships/hyperlink" Target="http://itu.int/md/S26-CL-C-0061/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059/fr" TargetMode="External"/><Relationship Id="rId24" Type="http://schemas.openxmlformats.org/officeDocument/2006/relationships/hyperlink" Target="https://www.itu.int/md/S26-CL-C-0060/fr" TargetMode="External"/><Relationship Id="rId32" Type="http://schemas.openxmlformats.org/officeDocument/2006/relationships/hyperlink" Target="http://council.itu.int/2026/wp-content/uploads/sites/6/2026/06/26.05.06-E-Palestine-statement-PL6.pdf"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itu.int/md/S26-CL-C-0069/fr" TargetMode="External"/><Relationship Id="rId23" Type="http://schemas.openxmlformats.org/officeDocument/2006/relationships/hyperlink" Target="https://www.itu.int/md/S26-CL-C-0059/en" TargetMode="External"/><Relationship Id="rId28" Type="http://schemas.openxmlformats.org/officeDocument/2006/relationships/hyperlink" Target="http://itu.int/md/S26-CL-C-0061/fr" TargetMode="External"/><Relationship Id="rId36" Type="http://schemas.openxmlformats.org/officeDocument/2006/relationships/header" Target="header2.xml"/><Relationship Id="rId10" Type="http://schemas.openxmlformats.org/officeDocument/2006/relationships/hyperlink" Target="https://www.itu.int/md/S26-CL-C-0058/fr" TargetMode="External"/><Relationship Id="rId19" Type="http://schemas.openxmlformats.org/officeDocument/2006/relationships/hyperlink" Target="https://www.itu.int/md/S26-CL-C-0008/en" TargetMode="External"/><Relationship Id="rId31" Type="http://schemas.openxmlformats.org/officeDocument/2006/relationships/hyperlink" Target="http://council.itu.int/2026/wp-content/uploads/sites/6/2026/06/26.05.06-E-Palestine-statement-PL6.pdf" TargetMode="External"/><Relationship Id="rId4" Type="http://schemas.openxmlformats.org/officeDocument/2006/relationships/settings" Target="settings.xml"/><Relationship Id="rId9" Type="http://schemas.openxmlformats.org/officeDocument/2006/relationships/hyperlink" Target="https://www.itu.int/md/S26-CL-C-0010/fr" TargetMode="External"/><Relationship Id="rId14" Type="http://schemas.openxmlformats.org/officeDocument/2006/relationships/hyperlink" Target="http://itu.int/md/S26-CL-C-0061/fr" TargetMode="External"/><Relationship Id="rId22" Type="http://schemas.openxmlformats.org/officeDocument/2006/relationships/hyperlink" Target="https://www.itu.int/md/S26-CL-C-0058/en" TargetMode="External"/><Relationship Id="rId27" Type="http://schemas.openxmlformats.org/officeDocument/2006/relationships/hyperlink" Target="https://www.itu.int/md/S26-CL-C-0093/en" TargetMode="External"/><Relationship Id="rId30" Type="http://schemas.openxmlformats.org/officeDocument/2006/relationships/hyperlink" Target="https://www.itu.int/md/S26-CL-C-0069/en" TargetMode="External"/><Relationship Id="rId35" Type="http://schemas.openxmlformats.org/officeDocument/2006/relationships/footer" Target="footer2.xml"/><Relationship Id="rId8" Type="http://schemas.openxmlformats.org/officeDocument/2006/relationships/hyperlink" Target="https://www.itu.int/md/S26-CL-C-0008/fr" TargetMode="Externa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53690-8F3F-430C-B5D1-FE0599EA5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5007</Words>
  <Characters>29195</Characters>
  <Application>Microsoft Office Word</Application>
  <DocSecurity>0</DocSecurity>
  <Lines>463</Lines>
  <Paragraphs>133</Paragraphs>
  <ScaleCrop>false</ScaleCrop>
  <HeadingPairs>
    <vt:vector size="2" baseType="variant">
      <vt:variant>
        <vt:lpstr>Title</vt:lpstr>
      </vt:variant>
      <vt:variant>
        <vt:i4>1</vt:i4>
      </vt:variant>
    </vt:vector>
  </HeadingPairs>
  <TitlesOfParts>
    <vt:vector size="1" baseType="lpstr">
      <vt:lpstr>Compte rendu de la sixième séance plénière</vt:lpstr>
    </vt:vector>
  </TitlesOfParts>
  <Manager>Secrétariat général - Pool</Manager>
  <Company>Union internationale des télécommunications (UIT)</Company>
  <LinksUpToDate>false</LinksUpToDate>
  <CharactersWithSpaces>34069</CharactersWithSpaces>
  <SharedDoc>false</SharedDoc>
  <HLinks>
    <vt:vector size="6" baseType="variant">
      <vt:variant>
        <vt:i4>3342371</vt:i4>
      </vt:variant>
      <vt:variant>
        <vt:i4>24</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sixième séance plénière</dc:title>
  <dc:subject>Conseil 2026 de l'UIT</dc:subject>
  <cp:keywords>C26; C2026; Council 2026; PP26</cp:keywords>
  <dc:description/>
  <cp:lastPrinted>2000-07-18T08:55:00Z</cp:lastPrinted>
  <dcterms:created xsi:type="dcterms:W3CDTF">2026-08-06T12:20:00Z</dcterms:created>
  <dcterms:modified xsi:type="dcterms:W3CDTF">2026-08-06T12:31:00Z</dcterms:modified>
  <cp:category>Document de conférence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C17/-F</vt:lpwstr>
  </property>
  <property fmtid="{D5CDD505-2E9C-101B-9397-08002B2CF9AE}" pid="3" name="Docdate">
    <vt:lpwstr>janvier 2017</vt:lpwstr>
  </property>
  <property fmtid="{D5CDD505-2E9C-101B-9397-08002B2CF9AE}" pid="4" name="Docorlang">
    <vt:lpwstr>Original: anglais</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3b117b70c20e9b2783321a6b7cab6c2f080bb257cb74c6787543e88ec12dc3bd</vt:lpwstr>
  </property>
</Properties>
</file>