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FE57F6" w:rsidRPr="00A04080" w14:paraId="69D81E64" w14:textId="77777777" w:rsidTr="00C4421B">
        <w:trPr>
          <w:cantSplit/>
          <w:trHeight w:val="23"/>
        </w:trPr>
        <w:tc>
          <w:tcPr>
            <w:tcW w:w="3969" w:type="dxa"/>
            <w:vMerge w:val="restart"/>
            <w:tcMar>
              <w:left w:w="0" w:type="dxa"/>
            </w:tcMar>
          </w:tcPr>
          <w:p w14:paraId="7BF34C6B" w14:textId="23371141" w:rsidR="00FE57F6" w:rsidRPr="00A04080" w:rsidRDefault="00FE57F6" w:rsidP="00C4421B">
            <w:pPr>
              <w:tabs>
                <w:tab w:val="left" w:pos="851"/>
              </w:tabs>
              <w:spacing w:before="0" w:line="240" w:lineRule="atLeast"/>
              <w:rPr>
                <w:b/>
                <w:lang w:val="es-ES"/>
              </w:rPr>
            </w:pPr>
            <w:bookmarkStart w:id="0" w:name="_Hlk133421839"/>
          </w:p>
        </w:tc>
        <w:tc>
          <w:tcPr>
            <w:tcW w:w="5245" w:type="dxa"/>
          </w:tcPr>
          <w:p w14:paraId="3FC7AA2C" w14:textId="3BB607C4" w:rsidR="00FE57F6" w:rsidRPr="00A04080" w:rsidRDefault="00FE57F6" w:rsidP="000147ED">
            <w:pPr>
              <w:spacing w:before="0"/>
              <w:jc w:val="right"/>
              <w:rPr>
                <w:b/>
                <w:bCs/>
                <w:lang w:val="es-ES"/>
              </w:rPr>
            </w:pPr>
            <w:r w:rsidRPr="00A04080">
              <w:rPr>
                <w:b/>
                <w:bCs/>
                <w:lang w:val="es-ES"/>
              </w:rPr>
              <w:t>Document</w:t>
            </w:r>
            <w:r w:rsidR="00F24B71" w:rsidRPr="00A04080">
              <w:rPr>
                <w:b/>
                <w:bCs/>
                <w:lang w:val="es-ES"/>
              </w:rPr>
              <w:t>o</w:t>
            </w:r>
            <w:r w:rsidRPr="00A04080">
              <w:rPr>
                <w:b/>
                <w:bCs/>
                <w:lang w:val="es-ES"/>
              </w:rPr>
              <w:t xml:space="preserve"> C2</w:t>
            </w:r>
            <w:r w:rsidR="00F85E5C" w:rsidRPr="00A04080">
              <w:rPr>
                <w:b/>
                <w:bCs/>
                <w:lang w:val="es-ES"/>
              </w:rPr>
              <w:t>6</w:t>
            </w:r>
            <w:r w:rsidRPr="00A04080">
              <w:rPr>
                <w:b/>
                <w:bCs/>
                <w:lang w:val="es-ES"/>
              </w:rPr>
              <w:t>/</w:t>
            </w:r>
            <w:r w:rsidR="000147ED" w:rsidRPr="00A04080">
              <w:rPr>
                <w:b/>
                <w:bCs/>
                <w:lang w:val="es-ES"/>
              </w:rPr>
              <w:t>1</w:t>
            </w:r>
            <w:r w:rsidR="00411A60">
              <w:rPr>
                <w:b/>
                <w:bCs/>
                <w:lang w:val="es-ES"/>
              </w:rPr>
              <w:t>2</w:t>
            </w:r>
            <w:r w:rsidR="00D31931">
              <w:rPr>
                <w:b/>
                <w:bCs/>
                <w:lang w:val="es-ES"/>
              </w:rPr>
              <w:t>2</w:t>
            </w:r>
            <w:r w:rsidRPr="00A04080">
              <w:rPr>
                <w:b/>
                <w:bCs/>
                <w:lang w:val="es-ES"/>
              </w:rPr>
              <w:t>-</w:t>
            </w:r>
            <w:r w:rsidR="00F24B71" w:rsidRPr="00A04080">
              <w:rPr>
                <w:b/>
                <w:bCs/>
                <w:lang w:val="es-ES"/>
              </w:rPr>
              <w:t>S</w:t>
            </w:r>
          </w:p>
        </w:tc>
      </w:tr>
      <w:tr w:rsidR="00FE57F6" w:rsidRPr="00A04080" w14:paraId="3B8A7CBB" w14:textId="77777777" w:rsidTr="00C4421B">
        <w:trPr>
          <w:cantSplit/>
        </w:trPr>
        <w:tc>
          <w:tcPr>
            <w:tcW w:w="3969" w:type="dxa"/>
            <w:vMerge/>
          </w:tcPr>
          <w:p w14:paraId="2312DC50" w14:textId="77777777" w:rsidR="00FE57F6" w:rsidRPr="00A04080" w:rsidRDefault="00FE57F6" w:rsidP="00C4421B">
            <w:pPr>
              <w:tabs>
                <w:tab w:val="left" w:pos="851"/>
              </w:tabs>
              <w:spacing w:line="240" w:lineRule="atLeast"/>
              <w:rPr>
                <w:b/>
                <w:lang w:val="es-ES"/>
              </w:rPr>
            </w:pPr>
          </w:p>
        </w:tc>
        <w:tc>
          <w:tcPr>
            <w:tcW w:w="5245" w:type="dxa"/>
          </w:tcPr>
          <w:p w14:paraId="259AB7D0" w14:textId="6A7EAC34" w:rsidR="00FE57F6" w:rsidRPr="00A04080" w:rsidRDefault="00A078E7" w:rsidP="000147ED">
            <w:pPr>
              <w:spacing w:before="0"/>
              <w:jc w:val="right"/>
              <w:rPr>
                <w:b/>
                <w:bCs/>
                <w:lang w:val="es-ES"/>
              </w:rPr>
            </w:pPr>
            <w:r>
              <w:rPr>
                <w:b/>
                <w:bCs/>
                <w:lang w:val="es-ES"/>
              </w:rPr>
              <w:t>3 de agosto</w:t>
            </w:r>
            <w:r w:rsidR="000147ED" w:rsidRPr="00A04080">
              <w:rPr>
                <w:b/>
                <w:bCs/>
                <w:lang w:val="es-ES"/>
              </w:rPr>
              <w:t xml:space="preserve"> de 2026</w:t>
            </w:r>
          </w:p>
        </w:tc>
      </w:tr>
      <w:tr w:rsidR="00FE57F6" w:rsidRPr="00A04080" w14:paraId="3B7BDBAD" w14:textId="77777777" w:rsidTr="00C4421B">
        <w:trPr>
          <w:cantSplit/>
          <w:trHeight w:val="23"/>
        </w:trPr>
        <w:tc>
          <w:tcPr>
            <w:tcW w:w="3969" w:type="dxa"/>
            <w:vMerge/>
          </w:tcPr>
          <w:p w14:paraId="4ADFE76D" w14:textId="77777777" w:rsidR="00FE57F6" w:rsidRPr="00A04080" w:rsidRDefault="00FE57F6" w:rsidP="00C4421B">
            <w:pPr>
              <w:tabs>
                <w:tab w:val="left" w:pos="851"/>
              </w:tabs>
              <w:spacing w:line="240" w:lineRule="atLeast"/>
              <w:rPr>
                <w:b/>
                <w:lang w:val="es-ES"/>
              </w:rPr>
            </w:pPr>
          </w:p>
        </w:tc>
        <w:tc>
          <w:tcPr>
            <w:tcW w:w="5245" w:type="dxa"/>
          </w:tcPr>
          <w:p w14:paraId="0ABE241B" w14:textId="77777777" w:rsidR="00FE57F6" w:rsidRPr="00A04080" w:rsidRDefault="00F24B71" w:rsidP="000147ED">
            <w:pPr>
              <w:spacing w:before="0"/>
              <w:jc w:val="right"/>
              <w:rPr>
                <w:b/>
                <w:bCs/>
                <w:lang w:val="es-ES"/>
              </w:rPr>
            </w:pPr>
            <w:r w:rsidRPr="00A04080">
              <w:rPr>
                <w:b/>
                <w:bCs/>
                <w:lang w:val="es-ES"/>
              </w:rPr>
              <w:t>Original: inglés</w:t>
            </w:r>
          </w:p>
        </w:tc>
      </w:tr>
      <w:tr w:rsidR="00FE57F6" w:rsidRPr="00A04080" w14:paraId="3F377ABC" w14:textId="77777777" w:rsidTr="00C4421B">
        <w:trPr>
          <w:cantSplit/>
          <w:trHeight w:val="23"/>
        </w:trPr>
        <w:tc>
          <w:tcPr>
            <w:tcW w:w="3969" w:type="dxa"/>
          </w:tcPr>
          <w:p w14:paraId="19A75AB6" w14:textId="77777777" w:rsidR="00FE57F6" w:rsidRPr="00A04080" w:rsidRDefault="00FE57F6" w:rsidP="00C4421B">
            <w:pPr>
              <w:tabs>
                <w:tab w:val="left" w:pos="851"/>
              </w:tabs>
              <w:spacing w:line="240" w:lineRule="atLeast"/>
              <w:rPr>
                <w:b/>
                <w:lang w:val="es-ES"/>
              </w:rPr>
            </w:pPr>
          </w:p>
        </w:tc>
        <w:tc>
          <w:tcPr>
            <w:tcW w:w="5245" w:type="dxa"/>
          </w:tcPr>
          <w:p w14:paraId="444FA9F2" w14:textId="77777777" w:rsidR="00FE57F6" w:rsidRPr="00A04080" w:rsidRDefault="00FE57F6" w:rsidP="00C4421B">
            <w:pPr>
              <w:tabs>
                <w:tab w:val="left" w:pos="851"/>
              </w:tabs>
              <w:spacing w:before="0" w:line="240" w:lineRule="atLeast"/>
              <w:jc w:val="right"/>
              <w:rPr>
                <w:b/>
                <w:lang w:val="es-ES"/>
              </w:rPr>
            </w:pPr>
          </w:p>
        </w:tc>
      </w:tr>
      <w:tr w:rsidR="00FE57F6" w:rsidRPr="005F4F38" w14:paraId="2F83711C" w14:textId="77777777" w:rsidTr="00C4421B">
        <w:trPr>
          <w:cantSplit/>
        </w:trPr>
        <w:tc>
          <w:tcPr>
            <w:tcW w:w="9214" w:type="dxa"/>
            <w:gridSpan w:val="2"/>
            <w:tcMar>
              <w:left w:w="0" w:type="dxa"/>
            </w:tcMar>
          </w:tcPr>
          <w:p w14:paraId="4E6C659F" w14:textId="1FAF038D" w:rsidR="00FE57F6" w:rsidRPr="00A04080" w:rsidRDefault="000147ED" w:rsidP="00A04080">
            <w:pPr>
              <w:pStyle w:val="Source"/>
              <w:spacing w:before="360"/>
              <w:rPr>
                <w:sz w:val="34"/>
                <w:szCs w:val="34"/>
                <w:lang w:val="es-ES"/>
              </w:rPr>
            </w:pPr>
            <w:r w:rsidRPr="00A04080">
              <w:rPr>
                <w:sz w:val="34"/>
                <w:szCs w:val="34"/>
                <w:lang w:val="es-ES"/>
              </w:rPr>
              <w:t>RESUMEN DE LOS DEBATES</w:t>
            </w:r>
            <w:r w:rsidRPr="00A04080">
              <w:rPr>
                <w:sz w:val="34"/>
                <w:szCs w:val="34"/>
                <w:lang w:val="es-ES"/>
              </w:rPr>
              <w:br/>
            </w:r>
            <w:r w:rsidRPr="00A04080">
              <w:rPr>
                <w:sz w:val="34"/>
                <w:szCs w:val="34"/>
                <w:lang w:val="es-ES"/>
              </w:rPr>
              <w:br/>
              <w:t>DE LA</w:t>
            </w:r>
            <w:r w:rsidRPr="00A04080">
              <w:rPr>
                <w:sz w:val="34"/>
                <w:szCs w:val="34"/>
                <w:lang w:val="es-ES"/>
              </w:rPr>
              <w:br/>
            </w:r>
            <w:r w:rsidRPr="00A04080">
              <w:rPr>
                <w:sz w:val="34"/>
                <w:szCs w:val="34"/>
                <w:lang w:val="es-ES"/>
              </w:rPr>
              <w:br/>
            </w:r>
            <w:r w:rsidR="00D31931" w:rsidRPr="00D31931">
              <w:rPr>
                <w:sz w:val="34"/>
                <w:szCs w:val="34"/>
                <w:lang w:val="es-ES"/>
              </w:rPr>
              <w:t xml:space="preserve">QUINTA </w:t>
            </w:r>
            <w:r w:rsidRPr="00A04080">
              <w:rPr>
                <w:sz w:val="34"/>
                <w:szCs w:val="34"/>
                <w:lang w:val="es-ES"/>
              </w:rPr>
              <w:t>SESIÓN PLENARIA</w:t>
            </w:r>
          </w:p>
        </w:tc>
      </w:tr>
      <w:tr w:rsidR="00FE57F6" w:rsidRPr="005F4F38" w14:paraId="1DA7B0C9" w14:textId="77777777" w:rsidTr="00C4421B">
        <w:trPr>
          <w:cantSplit/>
        </w:trPr>
        <w:tc>
          <w:tcPr>
            <w:tcW w:w="9214" w:type="dxa"/>
            <w:gridSpan w:val="2"/>
            <w:tcMar>
              <w:left w:w="0" w:type="dxa"/>
            </w:tcMar>
          </w:tcPr>
          <w:p w14:paraId="4645DA98" w14:textId="58D4E172" w:rsidR="000147ED" w:rsidRPr="00A04080" w:rsidRDefault="00D31931" w:rsidP="003C3B9A">
            <w:pPr>
              <w:jc w:val="center"/>
              <w:rPr>
                <w:lang w:val="es-ES"/>
              </w:rPr>
            </w:pPr>
            <w:r w:rsidRPr="00D31931">
              <w:rPr>
                <w:lang w:val="es-ES"/>
              </w:rPr>
              <w:t>Lunes 4 de mayo de 2026, de las 09.30 a las 12.45 horas</w:t>
            </w:r>
          </w:p>
          <w:p w14:paraId="60970BAC" w14:textId="668E3979" w:rsidR="00FE57F6" w:rsidRPr="005E3F36" w:rsidRDefault="000147ED" w:rsidP="003C3B9A">
            <w:pPr>
              <w:jc w:val="center"/>
              <w:rPr>
                <w:lang w:val="it-IT"/>
              </w:rPr>
            </w:pPr>
            <w:r w:rsidRPr="005E3F36">
              <w:rPr>
                <w:b/>
                <w:bCs/>
                <w:lang w:val="it-IT"/>
              </w:rPr>
              <w:t>Presidente:</w:t>
            </w:r>
            <w:r w:rsidRPr="005E3F36">
              <w:rPr>
                <w:lang w:val="it-IT"/>
              </w:rPr>
              <w:t xml:space="preserve"> Sr. B</w:t>
            </w:r>
            <w:r w:rsidR="00137BDC">
              <w:rPr>
                <w:lang w:val="it-IT"/>
              </w:rPr>
              <w:t>.</w:t>
            </w:r>
            <w:r w:rsidRPr="005E3F36">
              <w:rPr>
                <w:lang w:val="it-IT"/>
              </w:rPr>
              <w:t xml:space="preserve"> Tijani (Nigeria)</w:t>
            </w:r>
          </w:p>
        </w:tc>
      </w:tr>
      <w:bookmarkEnd w:id="0"/>
    </w:tbl>
    <w:p w14:paraId="552F9EE4" w14:textId="52457D20" w:rsidR="00093EEB" w:rsidRPr="000147ED" w:rsidRDefault="00093EEB">
      <w:pPr>
        <w:rPr>
          <w:lang w:val="it-IT"/>
        </w:rPr>
      </w:pPr>
    </w:p>
    <w:tbl>
      <w:tblPr>
        <w:tblW w:w="9214" w:type="dxa"/>
        <w:tblInd w:w="170" w:type="dxa"/>
        <w:tblLayout w:type="fixed"/>
        <w:tblLook w:val="04A0" w:firstRow="1" w:lastRow="0" w:firstColumn="1" w:lastColumn="0" w:noHBand="0" w:noVBand="1"/>
      </w:tblPr>
      <w:tblGrid>
        <w:gridCol w:w="446"/>
        <w:gridCol w:w="6597"/>
        <w:gridCol w:w="2171"/>
      </w:tblGrid>
      <w:tr w:rsidR="000147ED" w:rsidRPr="00A04080" w14:paraId="6CA3174E" w14:textId="77777777" w:rsidTr="00A04080">
        <w:tc>
          <w:tcPr>
            <w:tcW w:w="446" w:type="dxa"/>
          </w:tcPr>
          <w:p w14:paraId="12C605C9" w14:textId="77777777" w:rsidR="000147ED" w:rsidRPr="005E3F36" w:rsidRDefault="000147ED" w:rsidP="00A04080">
            <w:pPr>
              <w:rPr>
                <w:b/>
                <w:bCs/>
                <w:lang w:val="it-IT"/>
              </w:rPr>
            </w:pPr>
            <w:bookmarkStart w:id="1" w:name="_Hlk141438382"/>
            <w:r w:rsidRPr="005E3F36">
              <w:rPr>
                <w:b/>
                <w:bCs/>
                <w:lang w:val="it-IT"/>
              </w:rPr>
              <w:br w:type="page"/>
            </w:r>
            <w:r w:rsidRPr="005E3F36">
              <w:rPr>
                <w:b/>
                <w:bCs/>
                <w:lang w:val="it-IT"/>
              </w:rPr>
              <w:br w:type="page"/>
            </w:r>
          </w:p>
        </w:tc>
        <w:tc>
          <w:tcPr>
            <w:tcW w:w="6597" w:type="dxa"/>
            <w:hideMark/>
          </w:tcPr>
          <w:p w14:paraId="51D8A5BE" w14:textId="0DC313F2" w:rsidR="000147ED" w:rsidRPr="00A04080" w:rsidRDefault="000147ED" w:rsidP="00A04080">
            <w:pPr>
              <w:rPr>
                <w:b/>
                <w:bCs/>
                <w:lang w:val="es-ES"/>
              </w:rPr>
            </w:pPr>
            <w:r w:rsidRPr="00A04080">
              <w:rPr>
                <w:b/>
                <w:bCs/>
                <w:lang w:val="es-ES"/>
              </w:rPr>
              <w:t>Asuntos tratados</w:t>
            </w:r>
          </w:p>
        </w:tc>
        <w:tc>
          <w:tcPr>
            <w:tcW w:w="2171" w:type="dxa"/>
            <w:hideMark/>
          </w:tcPr>
          <w:p w14:paraId="7F5B4CED" w14:textId="77777777" w:rsidR="000147ED" w:rsidRPr="00A04080" w:rsidRDefault="000147ED" w:rsidP="00A04080">
            <w:pPr>
              <w:jc w:val="center"/>
              <w:rPr>
                <w:b/>
                <w:bCs/>
                <w:lang w:val="es-ES"/>
              </w:rPr>
            </w:pPr>
            <w:r w:rsidRPr="00A04080">
              <w:rPr>
                <w:b/>
                <w:bCs/>
                <w:lang w:val="es-ES"/>
              </w:rPr>
              <w:t>Documentos</w:t>
            </w:r>
          </w:p>
        </w:tc>
      </w:tr>
      <w:tr w:rsidR="000147ED" w:rsidRPr="00A04080" w14:paraId="31CE6E87" w14:textId="77777777" w:rsidTr="00A04080">
        <w:trPr>
          <w:trHeight w:val="20"/>
        </w:trPr>
        <w:tc>
          <w:tcPr>
            <w:tcW w:w="446" w:type="dxa"/>
            <w:hideMark/>
          </w:tcPr>
          <w:p w14:paraId="47C20B3D" w14:textId="77777777" w:rsidR="000147ED" w:rsidRPr="00A04080" w:rsidRDefault="000147ED" w:rsidP="00A04080">
            <w:pPr>
              <w:rPr>
                <w:lang w:val="es-ES"/>
              </w:rPr>
            </w:pPr>
            <w:r w:rsidRPr="00A04080">
              <w:rPr>
                <w:lang w:val="es-ES"/>
              </w:rPr>
              <w:t>1</w:t>
            </w:r>
          </w:p>
        </w:tc>
        <w:tc>
          <w:tcPr>
            <w:tcW w:w="6597" w:type="dxa"/>
          </w:tcPr>
          <w:p w14:paraId="7A35FF65" w14:textId="056F6038" w:rsidR="000147ED" w:rsidRPr="00A04080" w:rsidRDefault="00D31931" w:rsidP="00411A60">
            <w:pPr>
              <w:rPr>
                <w:lang w:val="es-ES"/>
              </w:rPr>
            </w:pPr>
            <w:r w:rsidRPr="00D31931">
              <w:rPr>
                <w:lang w:val="es-ES"/>
              </w:rPr>
              <w:t>Informe del Presidente del Grupo de Trabajo del Consejo sobre los Planes Estratégico y Financiero para 2028-2031, incluido el proyecto de Plan Estratégico para 2028-2031</w:t>
            </w:r>
          </w:p>
        </w:tc>
        <w:tc>
          <w:tcPr>
            <w:tcW w:w="2171" w:type="dxa"/>
          </w:tcPr>
          <w:p w14:paraId="0493B68A" w14:textId="01A2A304" w:rsidR="000147ED" w:rsidRPr="00411A60" w:rsidRDefault="00D31931" w:rsidP="00D31931">
            <w:pPr>
              <w:jc w:val="center"/>
              <w:rPr>
                <w:szCs w:val="24"/>
                <w:lang w:val="es-ES"/>
              </w:rPr>
            </w:pPr>
            <w:hyperlink r:id="rId7" w:history="1">
              <w:r w:rsidRPr="00D31931">
                <w:rPr>
                  <w:rStyle w:val="Hyperlink"/>
                  <w:rFonts w:eastAsia="Times New Roman" w:cs="Times New Roman"/>
                  <w:szCs w:val="20"/>
                  <w:lang w:val="en-GB"/>
                </w:rPr>
                <w:t>C26/31+Add.1</w:t>
              </w:r>
            </w:hyperlink>
            <w:r w:rsidRPr="00D31931">
              <w:rPr>
                <w:lang w:val="en-GB"/>
              </w:rPr>
              <w:t xml:space="preserve">, </w:t>
            </w:r>
            <w:hyperlink r:id="rId8" w:history="1">
              <w:r w:rsidRPr="00D31931">
                <w:rPr>
                  <w:rStyle w:val="Hyperlink"/>
                  <w:rFonts w:eastAsia="Times New Roman" w:cs="Times New Roman"/>
                  <w:szCs w:val="20"/>
                  <w:lang w:val="en-GB"/>
                </w:rPr>
                <w:t>C26/83</w:t>
              </w:r>
            </w:hyperlink>
          </w:p>
        </w:tc>
      </w:tr>
      <w:tr w:rsidR="000147ED" w:rsidRPr="00411A60" w14:paraId="598270ED" w14:textId="77777777" w:rsidTr="00A04080">
        <w:trPr>
          <w:trHeight w:val="20"/>
        </w:trPr>
        <w:tc>
          <w:tcPr>
            <w:tcW w:w="446" w:type="dxa"/>
          </w:tcPr>
          <w:p w14:paraId="5772F2D4" w14:textId="77777777" w:rsidR="000147ED" w:rsidRPr="00A04080" w:rsidRDefault="000147ED" w:rsidP="00A04080">
            <w:pPr>
              <w:rPr>
                <w:lang w:val="es-ES"/>
              </w:rPr>
            </w:pPr>
            <w:r w:rsidRPr="00A04080">
              <w:rPr>
                <w:lang w:val="es-ES"/>
              </w:rPr>
              <w:t>2</w:t>
            </w:r>
          </w:p>
        </w:tc>
        <w:tc>
          <w:tcPr>
            <w:tcW w:w="6597" w:type="dxa"/>
          </w:tcPr>
          <w:p w14:paraId="6FDA9B49" w14:textId="0FAC8ABD" w:rsidR="000147ED" w:rsidRPr="00A04080" w:rsidRDefault="00D31931" w:rsidP="00411A60">
            <w:pPr>
              <w:rPr>
                <w:shd w:val="clear" w:color="auto" w:fill="FFFFFF"/>
                <w:lang w:val="es-ES"/>
              </w:rPr>
            </w:pPr>
            <w:r w:rsidRPr="00D31931">
              <w:rPr>
                <w:shd w:val="clear" w:color="auto" w:fill="FFFFFF"/>
                <w:lang w:val="es-ES"/>
              </w:rPr>
              <w:t xml:space="preserve">Informes del Presidente del Grupo de Trabajo del Consejo sobre </w:t>
            </w:r>
            <w:r>
              <w:rPr>
                <w:shd w:val="clear" w:color="auto" w:fill="FFFFFF"/>
                <w:lang w:val="es-ES"/>
              </w:rPr>
              <w:t xml:space="preserve">la </w:t>
            </w:r>
            <w:r w:rsidRPr="00D31931">
              <w:rPr>
                <w:shd w:val="clear" w:color="auto" w:fill="FFFFFF"/>
                <w:lang w:val="es-ES"/>
              </w:rPr>
              <w:t>Protección de la Infancia en Línea</w:t>
            </w:r>
          </w:p>
        </w:tc>
        <w:tc>
          <w:tcPr>
            <w:tcW w:w="2171" w:type="dxa"/>
            <w:vAlign w:val="center"/>
          </w:tcPr>
          <w:p w14:paraId="30842B6B" w14:textId="7EDA67F5" w:rsidR="000147ED" w:rsidRPr="00411A60" w:rsidRDefault="00D31931" w:rsidP="00D31931">
            <w:pPr>
              <w:jc w:val="center"/>
              <w:rPr>
                <w:szCs w:val="24"/>
                <w:lang w:val="es-ES"/>
              </w:rPr>
            </w:pPr>
            <w:hyperlink r:id="rId9" w:history="1">
              <w:r w:rsidRPr="00D31931">
                <w:rPr>
                  <w:rStyle w:val="Hyperlink"/>
                  <w:rFonts w:eastAsia="Times New Roman" w:cs="Times New Roman"/>
                  <w:szCs w:val="20"/>
                  <w:lang w:val="en-GB"/>
                </w:rPr>
                <w:t>C26/15</w:t>
              </w:r>
            </w:hyperlink>
            <w:r w:rsidRPr="00D31931">
              <w:rPr>
                <w:lang w:val="en-GB"/>
              </w:rPr>
              <w:t xml:space="preserve">, </w:t>
            </w:r>
            <w:hyperlink r:id="rId10" w:history="1">
              <w:r w:rsidRPr="00D31931">
                <w:rPr>
                  <w:rStyle w:val="Hyperlink"/>
                  <w:rFonts w:eastAsia="Times New Roman" w:cs="Times New Roman"/>
                  <w:szCs w:val="20"/>
                  <w:lang w:val="en-GB"/>
                </w:rPr>
                <w:t>C26/18</w:t>
              </w:r>
            </w:hyperlink>
          </w:p>
        </w:tc>
      </w:tr>
      <w:tr w:rsidR="000147ED" w:rsidRPr="00411A60" w14:paraId="0B16DB81" w14:textId="77777777" w:rsidTr="00A04080">
        <w:trPr>
          <w:trHeight w:val="20"/>
        </w:trPr>
        <w:tc>
          <w:tcPr>
            <w:tcW w:w="446" w:type="dxa"/>
          </w:tcPr>
          <w:p w14:paraId="7C3311C1" w14:textId="77777777" w:rsidR="000147ED" w:rsidRPr="00A04080" w:rsidRDefault="000147ED" w:rsidP="00A04080">
            <w:pPr>
              <w:rPr>
                <w:lang w:val="es-ES"/>
              </w:rPr>
            </w:pPr>
            <w:r w:rsidRPr="00A04080">
              <w:rPr>
                <w:lang w:val="es-ES"/>
              </w:rPr>
              <w:t>3</w:t>
            </w:r>
          </w:p>
        </w:tc>
        <w:tc>
          <w:tcPr>
            <w:tcW w:w="6597" w:type="dxa"/>
          </w:tcPr>
          <w:p w14:paraId="4E3D1B43" w14:textId="51304B77" w:rsidR="000147ED" w:rsidRPr="00A04080" w:rsidRDefault="00D31931" w:rsidP="00411A60">
            <w:pPr>
              <w:rPr>
                <w:lang w:val="es-ES"/>
              </w:rPr>
            </w:pPr>
            <w:r w:rsidRPr="00D31931">
              <w:rPr>
                <w:lang w:val="es-ES"/>
              </w:rPr>
              <w:t>Informe sobre la Resolución</w:t>
            </w:r>
            <w:r>
              <w:rPr>
                <w:lang w:val="es-ES"/>
              </w:rPr>
              <w:t> </w:t>
            </w:r>
            <w:r w:rsidRPr="00D31931">
              <w:rPr>
                <w:lang w:val="es-ES"/>
              </w:rPr>
              <w:t>214 (Bucarest, 2022) de la Conferencia de Plenipotenciarios sobre las tecnologías de inteligencia artificial y las telecomunicaciones/tecnologías de la información y la comunicación</w:t>
            </w:r>
          </w:p>
        </w:tc>
        <w:tc>
          <w:tcPr>
            <w:tcW w:w="2171" w:type="dxa"/>
          </w:tcPr>
          <w:p w14:paraId="194BC6D0" w14:textId="366CC39C" w:rsidR="000147ED" w:rsidRPr="00411A60" w:rsidRDefault="00D31931" w:rsidP="00D31931">
            <w:pPr>
              <w:jc w:val="center"/>
              <w:rPr>
                <w:szCs w:val="24"/>
                <w:lang w:val="es-ES"/>
              </w:rPr>
            </w:pPr>
            <w:hyperlink r:id="rId11" w:history="1">
              <w:r w:rsidRPr="00D31931">
                <w:rPr>
                  <w:rStyle w:val="Hyperlink"/>
                  <w:rFonts w:eastAsia="Times New Roman" w:cs="Times New Roman"/>
                  <w:szCs w:val="24"/>
                  <w:lang w:val="en-GB"/>
                </w:rPr>
                <w:t>C26/29</w:t>
              </w:r>
            </w:hyperlink>
            <w:r w:rsidRPr="00D31931">
              <w:rPr>
                <w:szCs w:val="24"/>
                <w:lang w:val="en-GB"/>
              </w:rPr>
              <w:t xml:space="preserve">, </w:t>
            </w:r>
            <w:hyperlink r:id="rId12" w:history="1">
              <w:r w:rsidRPr="00D31931">
                <w:rPr>
                  <w:rStyle w:val="Hyperlink"/>
                  <w:rFonts w:eastAsia="Times New Roman" w:cs="Times New Roman"/>
                  <w:szCs w:val="24"/>
                  <w:lang w:val="en-GB"/>
                </w:rPr>
                <w:t>C26/79</w:t>
              </w:r>
            </w:hyperlink>
          </w:p>
        </w:tc>
      </w:tr>
      <w:tr w:rsidR="000147ED" w:rsidRPr="00411A60" w14:paraId="6FF31813" w14:textId="77777777" w:rsidTr="00A04080">
        <w:trPr>
          <w:trHeight w:val="20"/>
        </w:trPr>
        <w:tc>
          <w:tcPr>
            <w:tcW w:w="446" w:type="dxa"/>
          </w:tcPr>
          <w:p w14:paraId="06EF9159" w14:textId="77777777" w:rsidR="000147ED" w:rsidRPr="00A04080" w:rsidRDefault="000147ED" w:rsidP="00A04080">
            <w:pPr>
              <w:rPr>
                <w:lang w:val="es-ES"/>
              </w:rPr>
            </w:pPr>
            <w:r w:rsidRPr="00A04080">
              <w:rPr>
                <w:lang w:val="es-ES"/>
              </w:rPr>
              <w:t>4</w:t>
            </w:r>
          </w:p>
        </w:tc>
        <w:tc>
          <w:tcPr>
            <w:tcW w:w="6597" w:type="dxa"/>
          </w:tcPr>
          <w:p w14:paraId="2FA7C0A0" w14:textId="13EBC6E7" w:rsidR="000147ED" w:rsidRPr="00A04080" w:rsidRDefault="00D31931" w:rsidP="00411A60">
            <w:pPr>
              <w:rPr>
                <w:lang w:val="es-ES"/>
              </w:rPr>
            </w:pPr>
            <w:r w:rsidRPr="00D31931">
              <w:rPr>
                <w:lang w:val="es-ES"/>
              </w:rPr>
              <w:t>Declaraciones de los consejeros</w:t>
            </w:r>
          </w:p>
        </w:tc>
        <w:tc>
          <w:tcPr>
            <w:tcW w:w="2171" w:type="dxa"/>
          </w:tcPr>
          <w:p w14:paraId="519583EE" w14:textId="597F4C07" w:rsidR="000147ED" w:rsidRPr="00411A60" w:rsidRDefault="00D31931" w:rsidP="00D31931">
            <w:pPr>
              <w:jc w:val="center"/>
              <w:rPr>
                <w:lang w:val="es-ES"/>
              </w:rPr>
            </w:pPr>
            <w:r w:rsidRPr="00D31931">
              <w:rPr>
                <w:lang w:val="es-ES"/>
              </w:rPr>
              <w:t>–</w:t>
            </w:r>
          </w:p>
        </w:tc>
      </w:tr>
      <w:tr w:rsidR="000147ED" w:rsidRPr="00411A60" w14:paraId="6F2BD095" w14:textId="77777777" w:rsidTr="00A04080">
        <w:trPr>
          <w:trHeight w:val="20"/>
        </w:trPr>
        <w:tc>
          <w:tcPr>
            <w:tcW w:w="446" w:type="dxa"/>
          </w:tcPr>
          <w:p w14:paraId="5BEF9034" w14:textId="77777777" w:rsidR="000147ED" w:rsidRPr="00A04080" w:rsidRDefault="000147ED" w:rsidP="00A04080">
            <w:pPr>
              <w:rPr>
                <w:lang w:val="es-ES"/>
              </w:rPr>
            </w:pPr>
            <w:r w:rsidRPr="00A04080">
              <w:rPr>
                <w:lang w:val="es-ES"/>
              </w:rPr>
              <w:t>5</w:t>
            </w:r>
          </w:p>
        </w:tc>
        <w:tc>
          <w:tcPr>
            <w:tcW w:w="6597" w:type="dxa"/>
          </w:tcPr>
          <w:p w14:paraId="107C0C1C" w14:textId="0901F813" w:rsidR="000147ED" w:rsidRPr="00A04080" w:rsidRDefault="00D31931" w:rsidP="00411A60">
            <w:pPr>
              <w:rPr>
                <w:lang w:val="es-ES" w:eastAsia="en-GB"/>
              </w:rPr>
            </w:pPr>
            <w:r w:rsidRPr="00D31931">
              <w:rPr>
                <w:lang w:val="es-ES" w:eastAsia="en-GB"/>
              </w:rPr>
              <w:t>Condolencias por el fallecimiento del Sr. Yury Grin</w:t>
            </w:r>
          </w:p>
        </w:tc>
        <w:tc>
          <w:tcPr>
            <w:tcW w:w="2171" w:type="dxa"/>
          </w:tcPr>
          <w:p w14:paraId="01E95343" w14:textId="03948D1A" w:rsidR="000147ED" w:rsidRPr="00411A60" w:rsidRDefault="00D31931" w:rsidP="00D31931">
            <w:pPr>
              <w:jc w:val="center"/>
              <w:rPr>
                <w:lang w:val="es-ES"/>
              </w:rPr>
            </w:pPr>
            <w:r w:rsidRPr="00D31931">
              <w:rPr>
                <w:lang w:val="es-ES"/>
              </w:rPr>
              <w:t>–</w:t>
            </w:r>
          </w:p>
        </w:tc>
      </w:tr>
      <w:bookmarkEnd w:id="1"/>
    </w:tbl>
    <w:p w14:paraId="1EEF6FFD" w14:textId="77777777" w:rsidR="001559F5" w:rsidRPr="00BB6FD8" w:rsidRDefault="001559F5" w:rsidP="000147ED">
      <w:r w:rsidRPr="00BB6FD8">
        <w:br w:type="page"/>
      </w:r>
    </w:p>
    <w:p w14:paraId="6368C934" w14:textId="668CD66F" w:rsidR="00D31931" w:rsidRPr="00D31931" w:rsidRDefault="00D31931" w:rsidP="00D31931">
      <w:pPr>
        <w:pStyle w:val="Heading1"/>
        <w:rPr>
          <w:lang w:val="es-ES"/>
        </w:rPr>
      </w:pPr>
      <w:r w:rsidRPr="00D31931">
        <w:rPr>
          <w:lang w:val="es-ES"/>
        </w:rPr>
        <w:lastRenderedPageBreak/>
        <w:t>1</w:t>
      </w:r>
      <w:r w:rsidRPr="00D31931">
        <w:rPr>
          <w:lang w:val="es-ES"/>
        </w:rPr>
        <w:tab/>
        <w:t>Informe del Presidente del Grupo de Trabajo del Consejo sobre los Planes Estratégico y Financiero para 2028-2031, incluido el proyecto de Plan Estratégico para 2028-2031 (Documentos</w:t>
      </w:r>
      <w:r>
        <w:rPr>
          <w:lang w:val="es-ES"/>
        </w:rPr>
        <w:t> </w:t>
      </w:r>
      <w:proofErr w:type="spellStart"/>
      <w:r>
        <w:fldChar w:fldCharType="begin"/>
      </w:r>
      <w:r>
        <w:instrText>HYPERLINK "https://www.itu.int/md/S26-CL-C-0031/es"</w:instrText>
      </w:r>
      <w:r>
        <w:fldChar w:fldCharType="separate"/>
      </w:r>
      <w:r w:rsidRPr="00D31931">
        <w:rPr>
          <w:rStyle w:val="Hyperlink"/>
          <w:rFonts w:eastAsia="Times New Roman" w:cs="Times New Roman"/>
          <w:szCs w:val="20"/>
          <w:lang w:val="es-ES"/>
        </w:rPr>
        <w:t>C26</w:t>
      </w:r>
      <w:proofErr w:type="spellEnd"/>
      <w:r w:rsidRPr="00D31931">
        <w:rPr>
          <w:rStyle w:val="Hyperlink"/>
          <w:rFonts w:eastAsia="Times New Roman" w:cs="Times New Roman"/>
          <w:szCs w:val="20"/>
          <w:lang w:val="es-ES"/>
        </w:rPr>
        <w:t>/</w:t>
      </w:r>
      <w:proofErr w:type="spellStart"/>
      <w:r w:rsidRPr="00D31931">
        <w:rPr>
          <w:rStyle w:val="Hyperlink"/>
          <w:rFonts w:eastAsia="Times New Roman" w:cs="Times New Roman"/>
          <w:szCs w:val="20"/>
          <w:lang w:val="es-ES"/>
        </w:rPr>
        <w:t>31+Add.1</w:t>
      </w:r>
      <w:proofErr w:type="spellEnd"/>
      <w:r>
        <w:fldChar w:fldCharType="end"/>
      </w:r>
      <w:r w:rsidRPr="00D31931">
        <w:rPr>
          <w:lang w:val="es-ES"/>
        </w:rPr>
        <w:t xml:space="preserve"> y </w:t>
      </w:r>
      <w:hyperlink r:id="rId13" w:history="1">
        <w:proofErr w:type="spellStart"/>
        <w:r w:rsidRPr="00D31931">
          <w:rPr>
            <w:rStyle w:val="Hyperlink"/>
            <w:rFonts w:eastAsia="Times New Roman" w:cs="Times New Roman"/>
            <w:szCs w:val="20"/>
            <w:lang w:val="es-ES"/>
          </w:rPr>
          <w:t>C26</w:t>
        </w:r>
        <w:proofErr w:type="spellEnd"/>
        <w:r w:rsidRPr="00D31931">
          <w:rPr>
            <w:rStyle w:val="Hyperlink"/>
            <w:rFonts w:eastAsia="Times New Roman" w:cs="Times New Roman"/>
            <w:szCs w:val="20"/>
            <w:lang w:val="es-ES"/>
          </w:rPr>
          <w:t>/83</w:t>
        </w:r>
      </w:hyperlink>
      <w:r w:rsidRPr="00D31931">
        <w:rPr>
          <w:lang w:val="es-ES"/>
        </w:rPr>
        <w:t>)</w:t>
      </w:r>
    </w:p>
    <w:p w14:paraId="45FBB019" w14:textId="337F2000" w:rsidR="00D31931" w:rsidRPr="00254F86" w:rsidRDefault="00D31931" w:rsidP="0039578B">
      <w:pPr>
        <w:jc w:val="both"/>
        <w:rPr>
          <w:spacing w:val="-2"/>
          <w:lang w:val="es-ES"/>
        </w:rPr>
      </w:pPr>
      <w:r w:rsidRPr="00254F86">
        <w:rPr>
          <w:spacing w:val="-2"/>
          <w:lang w:val="es-ES"/>
        </w:rPr>
        <w:t>1.1</w:t>
      </w:r>
      <w:r w:rsidRPr="00254F86">
        <w:rPr>
          <w:spacing w:val="-2"/>
          <w:lang w:val="es-ES"/>
        </w:rPr>
        <w:tab/>
        <w:t>El Presidente del Grupo de Trabajo del Consejo sobre los Planes Estratégico y Financiero para 2028-2031 (GTC-PEF) presenta el Documento C26/31 junto con sus Anexos</w:t>
      </w:r>
      <w:r w:rsidR="00CF1913" w:rsidRPr="00254F86">
        <w:rPr>
          <w:spacing w:val="-2"/>
          <w:lang w:val="es-ES"/>
        </w:rPr>
        <w:t> </w:t>
      </w:r>
      <w:r w:rsidRPr="00254F86">
        <w:rPr>
          <w:spacing w:val="-2"/>
          <w:lang w:val="es-ES"/>
        </w:rPr>
        <w:t>1-3 y su Addéndum</w:t>
      </w:r>
      <w:r w:rsidR="00CF1913" w:rsidRPr="00254F86">
        <w:rPr>
          <w:spacing w:val="-2"/>
          <w:lang w:val="es-ES"/>
        </w:rPr>
        <w:t> </w:t>
      </w:r>
      <w:r w:rsidRPr="00254F86">
        <w:rPr>
          <w:spacing w:val="-2"/>
          <w:lang w:val="es-ES"/>
        </w:rPr>
        <w:t>1. En el documento se da cuenta de las labores realizadas por el Grupo entre 2024 y 2026. Señala que aún es necesario llegar a un acuerdo sobre el proyecto de Anexo</w:t>
      </w:r>
      <w:r w:rsidR="00CF1913" w:rsidRPr="00254F86">
        <w:rPr>
          <w:spacing w:val="-2"/>
          <w:lang w:val="es-ES"/>
        </w:rPr>
        <w:t> </w:t>
      </w:r>
      <w:r w:rsidRPr="00254F86">
        <w:rPr>
          <w:spacing w:val="-2"/>
          <w:lang w:val="es-ES"/>
        </w:rPr>
        <w:t>1 a la Resolución</w:t>
      </w:r>
      <w:r w:rsidR="00CF1913" w:rsidRPr="00254F86">
        <w:rPr>
          <w:spacing w:val="-2"/>
          <w:lang w:val="es-ES"/>
        </w:rPr>
        <w:t> </w:t>
      </w:r>
      <w:r w:rsidRPr="00254F86">
        <w:rPr>
          <w:spacing w:val="-2"/>
          <w:lang w:val="es-ES"/>
        </w:rPr>
        <w:t>71 (Rev.</w:t>
      </w:r>
      <w:r w:rsidR="00CF1913" w:rsidRPr="00254F86">
        <w:rPr>
          <w:spacing w:val="-2"/>
          <w:lang w:val="es-ES"/>
        </w:rPr>
        <w:t> </w:t>
      </w:r>
      <w:r w:rsidRPr="00254F86">
        <w:rPr>
          <w:spacing w:val="-2"/>
          <w:lang w:val="es-ES"/>
        </w:rPr>
        <w:t>Bucarest, 2022) de la Conferencia de Plenipotenciarios revisada propuesto, que contiene los proyectos de Plan Estratégico y Financiero, así como sobre el proyecto de Anexo</w:t>
      </w:r>
      <w:r w:rsidR="00CF1913" w:rsidRPr="00254F86">
        <w:rPr>
          <w:spacing w:val="-2"/>
          <w:lang w:val="es-ES"/>
        </w:rPr>
        <w:t> </w:t>
      </w:r>
      <w:r w:rsidRPr="00254F86">
        <w:rPr>
          <w:spacing w:val="-2"/>
          <w:lang w:val="es-ES"/>
        </w:rPr>
        <w:t>2, que contiene el proyecto de análisis de situación. El Grupo pidió a la Secretaría que preparase alternativas para determinadas finalidades, resultados e indicadores y que se coordinase con los autores de la contribución presentada por varios países en relación con este punto del orden del día.</w:t>
      </w:r>
    </w:p>
    <w:p w14:paraId="639F919C" w14:textId="56631CD0" w:rsidR="00D31931" w:rsidRPr="00254F86" w:rsidRDefault="00D31931" w:rsidP="0039578B">
      <w:pPr>
        <w:jc w:val="both"/>
        <w:rPr>
          <w:spacing w:val="-3"/>
          <w:lang w:val="es-ES"/>
        </w:rPr>
      </w:pPr>
      <w:r w:rsidRPr="00254F86">
        <w:rPr>
          <w:spacing w:val="-3"/>
          <w:lang w:val="es-ES"/>
        </w:rPr>
        <w:t>1.2</w:t>
      </w:r>
      <w:r w:rsidRPr="00254F86">
        <w:rPr>
          <w:spacing w:val="-3"/>
          <w:lang w:val="es-ES"/>
        </w:rPr>
        <w:tab/>
        <w:t>Un representante de la Secretaría General dice que, tras consultar con los expertos de la</w:t>
      </w:r>
      <w:r w:rsidR="00CF1913" w:rsidRPr="00254F86">
        <w:rPr>
          <w:spacing w:val="-3"/>
          <w:lang w:val="es-ES"/>
        </w:rPr>
        <w:t> </w:t>
      </w:r>
      <w:r w:rsidRPr="00254F86">
        <w:rPr>
          <w:spacing w:val="-3"/>
          <w:lang w:val="es-ES"/>
        </w:rPr>
        <w:t>UIT, se formulan ciertas propuestas en relación con el proyecto de Anexo</w:t>
      </w:r>
      <w:r w:rsidR="00CF1913" w:rsidRPr="00254F86">
        <w:rPr>
          <w:spacing w:val="-3"/>
          <w:lang w:val="es-ES"/>
        </w:rPr>
        <w:t> </w:t>
      </w:r>
      <w:r w:rsidRPr="00254F86">
        <w:rPr>
          <w:spacing w:val="-3"/>
          <w:lang w:val="es-ES"/>
        </w:rPr>
        <w:t>1. Se han incluido nuevos indicadores para las finalidades</w:t>
      </w:r>
      <w:r w:rsidR="00CF1913" w:rsidRPr="00254F86">
        <w:rPr>
          <w:spacing w:val="-3"/>
          <w:lang w:val="es-ES"/>
        </w:rPr>
        <w:t> </w:t>
      </w:r>
      <w:r w:rsidRPr="00254F86">
        <w:rPr>
          <w:spacing w:val="-3"/>
          <w:lang w:val="es-ES"/>
        </w:rPr>
        <w:t>1.5 y 1.7. La Secretaría propone también cambiar el título de la finalidad</w:t>
      </w:r>
      <w:r w:rsidR="00CF1913" w:rsidRPr="00254F86">
        <w:rPr>
          <w:spacing w:val="-3"/>
          <w:lang w:val="es-ES"/>
        </w:rPr>
        <w:t> </w:t>
      </w:r>
      <w:r w:rsidRPr="00254F86">
        <w:rPr>
          <w:spacing w:val="-3"/>
          <w:lang w:val="es-ES"/>
        </w:rPr>
        <w:t>1.7 en pro de la gestión basada en resultados. Además, se propone insertar una nota para aclarar las referencias al Reglamento de Radiocomunicaciones en relación con la prioridad de la utilización del espectro para servicios espaciales y terrenales. Se propone asimismo suprimir las referencias a la reducción de la brecha de normalización, que ya se contempla en el proyecto de Plan Operacional. Tras consultarlo con la Federación de Rusia, se propone incluir en el Apéndice</w:t>
      </w:r>
      <w:r w:rsidR="00544175" w:rsidRPr="00254F86">
        <w:rPr>
          <w:spacing w:val="-3"/>
          <w:lang w:val="es-ES"/>
        </w:rPr>
        <w:t> </w:t>
      </w:r>
      <w:r w:rsidRPr="00254F86">
        <w:rPr>
          <w:spacing w:val="-3"/>
          <w:lang w:val="es-ES"/>
        </w:rPr>
        <w:t>1 del proyecto de Anexo</w:t>
      </w:r>
      <w:r w:rsidR="00CF1913" w:rsidRPr="00254F86">
        <w:rPr>
          <w:spacing w:val="-3"/>
          <w:lang w:val="es-ES"/>
        </w:rPr>
        <w:t> </w:t>
      </w:r>
      <w:r w:rsidRPr="00254F86">
        <w:rPr>
          <w:spacing w:val="-3"/>
          <w:lang w:val="es-ES"/>
        </w:rPr>
        <w:t>1 un párrafo para aclarar la relación entre los Planes Estratégico y Operacional. Se propone también suprimir los indicadores para factores habilitadores.</w:t>
      </w:r>
    </w:p>
    <w:p w14:paraId="7BA20867" w14:textId="3007B3B5" w:rsidR="00D31931" w:rsidRPr="00D31931" w:rsidRDefault="00D31931" w:rsidP="0039578B">
      <w:pPr>
        <w:jc w:val="both"/>
        <w:rPr>
          <w:lang w:val="es-ES"/>
        </w:rPr>
      </w:pPr>
      <w:r w:rsidRPr="00D31931">
        <w:rPr>
          <w:lang w:val="es-ES"/>
        </w:rPr>
        <w:t>1.3</w:t>
      </w:r>
      <w:r w:rsidRPr="00D31931">
        <w:rPr>
          <w:lang w:val="es-ES"/>
        </w:rPr>
        <w:tab/>
        <w:t>El Presidente del GTC-PEF dice que no se pudo llegar a un consenso sobre si el proyecto de Anexo</w:t>
      </w:r>
      <w:r w:rsidR="00CF1913">
        <w:rPr>
          <w:lang w:val="es-ES"/>
        </w:rPr>
        <w:t> </w:t>
      </w:r>
      <w:r w:rsidRPr="00D31931">
        <w:rPr>
          <w:lang w:val="es-ES"/>
        </w:rPr>
        <w:t>2 debe adjuntarse a la Resolución 71 (Rev. Bucarest, 2022) revisada o presentarse como documento informativo independiente a fin de orientar la redacción de los Planes Estratégico y Financiero. Señala a la atención de los presentes el proyecto de Anexo</w:t>
      </w:r>
      <w:r w:rsidR="00542882">
        <w:rPr>
          <w:lang w:val="es-ES"/>
        </w:rPr>
        <w:t> </w:t>
      </w:r>
      <w:r w:rsidRPr="00D31931">
        <w:rPr>
          <w:lang w:val="es-ES"/>
        </w:rPr>
        <w:t>3 que contiene un glosario de términos armonizado con el manual de las Naciones Unidas para la implementación de la gestión basada en resultados. Además, aunque no se han presentado propuestas sobre la revisión de las disposiciones de la Resolución 71 (Rev. Bucarest, 2022), la Secretaría publicó el Documento </w:t>
      </w:r>
      <w:proofErr w:type="spellStart"/>
      <w:r>
        <w:fldChar w:fldCharType="begin"/>
      </w:r>
      <w:r>
        <w:instrText>HYPERLINK "https://www.itu.int/md/S26-CL-INF-0001/es"</w:instrText>
      </w:r>
      <w:r>
        <w:fldChar w:fldCharType="separate"/>
      </w:r>
      <w:r w:rsidRPr="00D31931">
        <w:rPr>
          <w:rStyle w:val="Hyperlink"/>
          <w:rFonts w:eastAsia="Times New Roman" w:cs="Times New Roman"/>
          <w:szCs w:val="20"/>
          <w:lang w:val="es-ES"/>
        </w:rPr>
        <w:t>C26</w:t>
      </w:r>
      <w:proofErr w:type="spellEnd"/>
      <w:r w:rsidRPr="00D31931">
        <w:rPr>
          <w:rStyle w:val="Hyperlink"/>
          <w:rFonts w:eastAsia="Times New Roman" w:cs="Times New Roman"/>
          <w:szCs w:val="20"/>
          <w:lang w:val="es-ES"/>
        </w:rPr>
        <w:t>/INF/1</w:t>
      </w:r>
      <w:r>
        <w:fldChar w:fldCharType="end"/>
      </w:r>
      <w:r w:rsidRPr="00D31931">
        <w:rPr>
          <w:lang w:val="es-ES"/>
        </w:rPr>
        <w:t>, que contiene las directrices para armonizar las Resoluciones y Decisiones de la Conferencia de Plenipotenciarios.</w:t>
      </w:r>
    </w:p>
    <w:p w14:paraId="1229457E" w14:textId="77777777" w:rsidR="00D31931" w:rsidRPr="00D31931" w:rsidRDefault="00D31931" w:rsidP="0039578B">
      <w:pPr>
        <w:jc w:val="both"/>
        <w:rPr>
          <w:lang w:val="es-ES"/>
        </w:rPr>
      </w:pPr>
      <w:r w:rsidRPr="00D31931">
        <w:rPr>
          <w:lang w:val="es-ES"/>
        </w:rPr>
        <w:t>1.4</w:t>
      </w:r>
      <w:r w:rsidRPr="00D31931">
        <w:rPr>
          <w:lang w:val="es-ES"/>
        </w:rPr>
        <w:tab/>
        <w:t>Como en los documentos que se presentan a la Conferencia de Plenipotenciarios no se pueden incluir observaciones, invita a los autores a considerar la posibilidad de presentar las opiniones reflejadas en anteriores proyectos de Anexo en contribuciones oficiales a la Conferencia de Plenipotenciarios (Doha, 2026) (PP</w:t>
      </w:r>
      <w:r w:rsidRPr="00D31931">
        <w:rPr>
          <w:lang w:val="es-ES"/>
        </w:rPr>
        <w:noBreakHyphen/>
        <w:t>26).</w:t>
      </w:r>
    </w:p>
    <w:p w14:paraId="545B9FCE" w14:textId="365BED91" w:rsidR="00D31931" w:rsidRPr="0039578B" w:rsidRDefault="00D31931" w:rsidP="0039578B">
      <w:pPr>
        <w:jc w:val="both"/>
        <w:rPr>
          <w:spacing w:val="-2"/>
          <w:lang w:val="es-ES"/>
        </w:rPr>
      </w:pPr>
      <w:r w:rsidRPr="0039578B">
        <w:rPr>
          <w:spacing w:val="-2"/>
          <w:lang w:val="es-ES"/>
        </w:rPr>
        <w:t>1.5</w:t>
      </w:r>
      <w:r w:rsidRPr="0039578B">
        <w:rPr>
          <w:spacing w:val="-2"/>
          <w:lang w:val="es-ES"/>
        </w:rPr>
        <w:tab/>
        <w:t>El consejero de Bulgaria presenta la contribución, presentada por varios países, del Documento</w:t>
      </w:r>
      <w:r w:rsidR="00CF1913" w:rsidRPr="0039578B">
        <w:rPr>
          <w:spacing w:val="-2"/>
          <w:lang w:val="es-ES"/>
        </w:rPr>
        <w:t> </w:t>
      </w:r>
      <w:r w:rsidRPr="0039578B">
        <w:rPr>
          <w:spacing w:val="-2"/>
          <w:lang w:val="es-ES"/>
        </w:rPr>
        <w:t xml:space="preserve">C26/83 en nombre de cuatro países. En esa contribución se reflejan las opiniones de los autores sobre el proyecto de Plan Estratégico de la Unión para el periodo 2028-2031. En su opinión, es importante que el Plan Estratégico refleje el papel de la Unión como estructura administrativa. Además, proponen la adopción de un enfoque más estratégico, basado en los principios de la gestión basada en resultados, a la hora de redactar el Plan a fin de establecer un claro vínculo con los Planes Financiero y Operacional. Deben utilizarse metas y prioridades temáticas concretas y mensurables, así como indicadores realistas, e incluir evaluaciones </w:t>
      </w:r>
      <w:r w:rsidRPr="0039578B">
        <w:rPr>
          <w:spacing w:val="-2"/>
          <w:lang w:val="es-ES"/>
        </w:rPr>
        <w:lastRenderedPageBreak/>
        <w:t>pragmáticas de las probabilidades de llevar a término la implementación en el plazo de cuatro años. Todas las metas, prioridades y resultados deben ser coherentes con los recursos humanos, financieros y técnicos disponibles y no deberían ser necesarios recursos adicionales para obtener los datos necesarios para cualquiera de los indicadores. Además, de acuerdo con el glosario de términos propuesto, los factores habilitadores deben considerarse activos existentes disponibles para facilitar la implementación del Plan Estratégico, y no factores por alcanzar.</w:t>
      </w:r>
    </w:p>
    <w:p w14:paraId="5A0E820B" w14:textId="77777777" w:rsidR="00D31931" w:rsidRPr="00D31931" w:rsidRDefault="00D31931" w:rsidP="0039578B">
      <w:pPr>
        <w:jc w:val="both"/>
        <w:rPr>
          <w:lang w:val="es-ES"/>
        </w:rPr>
      </w:pPr>
      <w:r w:rsidRPr="00D31931">
        <w:rPr>
          <w:lang w:val="es-ES"/>
        </w:rPr>
        <w:t>1.6</w:t>
      </w:r>
      <w:r w:rsidRPr="00D31931">
        <w:rPr>
          <w:lang w:val="es-ES"/>
        </w:rPr>
        <w:tab/>
        <w:t>Los consejeros reciben con agrado los progresos realizados en el actual proyecto de Plan Estratégico para 2028-2031, que servirá de brújula para orientar los trabajos de la Unión en pos de los objetivos comunes.</w:t>
      </w:r>
    </w:p>
    <w:p w14:paraId="799FC286" w14:textId="77777777" w:rsidR="00D31931" w:rsidRPr="0039578B" w:rsidRDefault="00D31931" w:rsidP="0039578B">
      <w:pPr>
        <w:jc w:val="both"/>
        <w:rPr>
          <w:spacing w:val="-2"/>
          <w:lang w:val="es-ES"/>
        </w:rPr>
      </w:pPr>
      <w:r w:rsidRPr="0039578B">
        <w:rPr>
          <w:spacing w:val="-2"/>
          <w:lang w:val="es-ES"/>
        </w:rPr>
        <w:t>1.7</w:t>
      </w:r>
      <w:r w:rsidRPr="0039578B">
        <w:rPr>
          <w:spacing w:val="-2"/>
          <w:lang w:val="es-ES"/>
        </w:rPr>
        <w:tab/>
        <w:t>Algunos consejeros apoyan la orientación global del proyecto de Plan Estratégico, en particular su concentración en la conectividad universal y la transformación digital sostenible, dado el elevado número de personas que siguen fuera de línea, sobre todo en los países en desarrollo. El Plan Estratégico debe tener en cuenta la realidad y las prioridades de los países en desarrollo. Un consejero alaba que se haya incluido una prioridad sobre la interoperabilidad y la innovación de las telecomunicaciones/tecnologías de la información y la comunicación (TIC), mientras que otro destaca la importancia de los indicadores relativos a la cobertura de banda ancha, la asequibilidad, la ciberseguridad y la resiliencia de red.</w:t>
      </w:r>
    </w:p>
    <w:p w14:paraId="00F6896B" w14:textId="17C7A421" w:rsidR="00D31931" w:rsidRPr="00D31931" w:rsidRDefault="00D31931" w:rsidP="0039578B">
      <w:pPr>
        <w:jc w:val="both"/>
        <w:rPr>
          <w:lang w:val="es-ES"/>
        </w:rPr>
      </w:pPr>
      <w:r w:rsidRPr="00D31931">
        <w:rPr>
          <w:lang w:val="es-ES"/>
        </w:rPr>
        <w:t>1.8</w:t>
      </w:r>
      <w:r w:rsidRPr="00D31931">
        <w:rPr>
          <w:lang w:val="es-ES"/>
        </w:rPr>
        <w:tab/>
        <w:t>Dos consejeros insisten en que se ha de llegar a un equilibrio pragmático entre ambición y asequibilidad, habida cuenta de las limitaciones económicas mundiales. Otro consejero subraya la importancia que reviste garantizar que los esfuerzos por intensificar la presencia regional de la</w:t>
      </w:r>
      <w:r w:rsidR="00CF1913">
        <w:rPr>
          <w:lang w:val="es-ES"/>
        </w:rPr>
        <w:t> </w:t>
      </w:r>
      <w:r w:rsidRPr="00D31931">
        <w:rPr>
          <w:lang w:val="es-ES"/>
        </w:rPr>
        <w:t>UIT se ajustan al proyecto de Plan Estratégico.</w:t>
      </w:r>
    </w:p>
    <w:p w14:paraId="0D026F5E" w14:textId="706BA5AF" w:rsidR="00D31931" w:rsidRPr="00D31931" w:rsidRDefault="00D31931" w:rsidP="0039578B">
      <w:pPr>
        <w:jc w:val="both"/>
        <w:rPr>
          <w:lang w:val="es-ES"/>
        </w:rPr>
      </w:pPr>
      <w:r w:rsidRPr="00D31931">
        <w:rPr>
          <w:lang w:val="es-ES"/>
        </w:rPr>
        <w:t>1.9</w:t>
      </w:r>
      <w:r w:rsidRPr="00D31931">
        <w:rPr>
          <w:lang w:val="es-ES"/>
        </w:rPr>
        <w:tab/>
        <w:t>Un consejero considera una buena práctica la realización de un análisis de situación. En el caso del proyecto de Plan Estratégico, el personal de la</w:t>
      </w:r>
      <w:r w:rsidR="00CF1913">
        <w:rPr>
          <w:lang w:val="es-ES"/>
        </w:rPr>
        <w:t> </w:t>
      </w:r>
      <w:r w:rsidRPr="00D31931">
        <w:rPr>
          <w:lang w:val="es-ES"/>
        </w:rPr>
        <w:t>UIT debe reconocerse como una fortaleza esencial. Otro consejero señala que en el análisis la limitación de recursos se considera tanto una amenaza como una debilidad. Sugiere, además, que se reconozca la colaboración con los principales organismos de las Naciones Unidas como una oportunidad.</w:t>
      </w:r>
    </w:p>
    <w:p w14:paraId="3177240B" w14:textId="77C8B2E1" w:rsidR="00D31931" w:rsidRPr="00D31931" w:rsidRDefault="00D31931" w:rsidP="0039578B">
      <w:pPr>
        <w:jc w:val="both"/>
        <w:rPr>
          <w:lang w:val="es-ES"/>
        </w:rPr>
      </w:pPr>
      <w:r w:rsidRPr="00D31931">
        <w:rPr>
          <w:lang w:val="es-ES"/>
        </w:rPr>
        <w:t>1.10</w:t>
      </w:r>
      <w:r w:rsidRPr="00D31931">
        <w:rPr>
          <w:lang w:val="es-ES"/>
        </w:rPr>
        <w:tab/>
        <w:t>Un consejero da su apoyo al glosario del proyecto de Anexo</w:t>
      </w:r>
      <w:r w:rsidR="00CF1913">
        <w:rPr>
          <w:lang w:val="es-ES"/>
        </w:rPr>
        <w:t> </w:t>
      </w:r>
      <w:r w:rsidRPr="00D31931">
        <w:rPr>
          <w:lang w:val="es-ES"/>
        </w:rPr>
        <w:t>3, que facilitará la racionalización de los trabajos de la Unión.</w:t>
      </w:r>
    </w:p>
    <w:p w14:paraId="42AE967F" w14:textId="31017AB4" w:rsidR="00D31931" w:rsidRPr="00D31931" w:rsidRDefault="00D31931" w:rsidP="0039578B">
      <w:pPr>
        <w:jc w:val="both"/>
        <w:rPr>
          <w:lang w:val="es-ES"/>
        </w:rPr>
      </w:pPr>
      <w:r w:rsidRPr="00D31931">
        <w:rPr>
          <w:lang w:val="es-ES"/>
        </w:rPr>
        <w:t>1.11</w:t>
      </w:r>
      <w:r w:rsidRPr="00D31931">
        <w:rPr>
          <w:lang w:val="es-ES"/>
        </w:rPr>
        <w:tab/>
        <w:t>Algunos consejeros insisten en que la reducción de la brecha de normalización siga siendo una de las prioridades principales de la</w:t>
      </w:r>
      <w:r w:rsidR="00CF1913">
        <w:rPr>
          <w:lang w:val="es-ES"/>
        </w:rPr>
        <w:t> </w:t>
      </w:r>
      <w:r w:rsidRPr="00D31931">
        <w:rPr>
          <w:lang w:val="es-ES"/>
        </w:rPr>
        <w:t>UIT para los países en desarrollo, pues es esencial para el desarrollo inclusivo y sostenible. Por consiguiente, la referencia a esa reducción debe mantenerse en el proyecto de Plan Estratégico. Otro consejero se muestra favorable a mantener los indicadores de factores habilitadores en el proyecto de Plan Estratégico, pues son esenciales para su efectiva implementación.</w:t>
      </w:r>
    </w:p>
    <w:p w14:paraId="3ED055D3" w14:textId="77777777" w:rsidR="00D31931" w:rsidRPr="00D31931" w:rsidRDefault="00D31931" w:rsidP="0039578B">
      <w:pPr>
        <w:jc w:val="both"/>
        <w:rPr>
          <w:lang w:val="es-ES"/>
        </w:rPr>
      </w:pPr>
      <w:r w:rsidRPr="00D31931">
        <w:rPr>
          <w:lang w:val="es-ES"/>
        </w:rPr>
        <w:t>1.12</w:t>
      </w:r>
      <w:r w:rsidRPr="00D31931">
        <w:rPr>
          <w:lang w:val="es-ES"/>
        </w:rPr>
        <w:tab/>
        <w:t>Dos consejeros piden incluir en el proyecto de Plan Estratégico información detallada sobre los riesgos, incluidos los indicadores fundamentales y las medidas paliativas conexas.</w:t>
      </w:r>
    </w:p>
    <w:p w14:paraId="59794CFA" w14:textId="2676F9CA" w:rsidR="00D31931" w:rsidRPr="00D31931" w:rsidRDefault="00D31931" w:rsidP="0039578B">
      <w:pPr>
        <w:jc w:val="both"/>
        <w:rPr>
          <w:lang w:val="es-ES"/>
        </w:rPr>
      </w:pPr>
      <w:r w:rsidRPr="00D31931">
        <w:rPr>
          <w:lang w:val="es-ES"/>
        </w:rPr>
        <w:t>1.13</w:t>
      </w:r>
      <w:r w:rsidRPr="00D31931">
        <w:rPr>
          <w:lang w:val="es-ES"/>
        </w:rPr>
        <w:tab/>
        <w:t>Un consejero insiste en que la medición de la repercusión se centre en los resultados arrojados por las actividades de la</w:t>
      </w:r>
      <w:r w:rsidR="00CF1913">
        <w:rPr>
          <w:lang w:val="es-ES"/>
        </w:rPr>
        <w:t> </w:t>
      </w:r>
      <w:r w:rsidRPr="00D31931">
        <w:rPr>
          <w:lang w:val="es-ES"/>
        </w:rPr>
        <w:t>UIT, en lugar de en el rendimiento de los Estados Miembros. Además, debe darse prioridad a los indicadores que pueden medirse con las herramientas existentes y evitar recurrir a indicadores indirectos.</w:t>
      </w:r>
    </w:p>
    <w:p w14:paraId="1D8AFE0C" w14:textId="77777777" w:rsidR="00D31931" w:rsidRPr="00254F86" w:rsidRDefault="00D31931" w:rsidP="0039578B">
      <w:pPr>
        <w:jc w:val="both"/>
        <w:rPr>
          <w:spacing w:val="-3"/>
          <w:lang w:val="es-ES"/>
        </w:rPr>
      </w:pPr>
      <w:r w:rsidRPr="00254F86">
        <w:rPr>
          <w:spacing w:val="-3"/>
          <w:lang w:val="es-ES"/>
        </w:rPr>
        <w:t>1.14</w:t>
      </w:r>
      <w:r w:rsidRPr="00254F86">
        <w:rPr>
          <w:spacing w:val="-3"/>
          <w:lang w:val="es-ES"/>
        </w:rPr>
        <w:tab/>
        <w:t xml:space="preserve">Un consejero pide que se procure reducir el número de indicadores evaluando la utilidad de los datos propuestos para la toma de decisiones. Expresa asimismo su interés por conocer los mecanismos de que se dispone para pasar de la rendición de informes basada en actividades a la </w:t>
      </w:r>
      <w:r w:rsidRPr="00254F86">
        <w:rPr>
          <w:spacing w:val="-3"/>
          <w:lang w:val="es-ES"/>
        </w:rPr>
        <w:lastRenderedPageBreak/>
        <w:t>rendición de informes basada en resultados, por la que se aboga en el proyecto de Plan Estratégico.</w:t>
      </w:r>
    </w:p>
    <w:p w14:paraId="7840C30F" w14:textId="6F23FCFC" w:rsidR="00D31931" w:rsidRPr="00D31931" w:rsidRDefault="00D31931" w:rsidP="00254F86">
      <w:pPr>
        <w:jc w:val="both"/>
        <w:rPr>
          <w:lang w:val="es-ES"/>
        </w:rPr>
      </w:pPr>
      <w:r w:rsidRPr="00D31931">
        <w:rPr>
          <w:lang w:val="es-ES"/>
        </w:rPr>
        <w:t>1.15</w:t>
      </w:r>
      <w:r w:rsidRPr="00D31931">
        <w:rPr>
          <w:lang w:val="es-ES"/>
        </w:rPr>
        <w:tab/>
        <w:t>Un consejero pide un examen más detenido de los indicadores relativos a las emisiones de gases de efecto invernadero del sector de las</w:t>
      </w:r>
      <w:r w:rsidR="00B5058D">
        <w:rPr>
          <w:lang w:val="es-ES"/>
        </w:rPr>
        <w:t> </w:t>
      </w:r>
      <w:r w:rsidRPr="00D31931">
        <w:rPr>
          <w:lang w:val="es-ES"/>
        </w:rPr>
        <w:t>TIC y al espacio para el desarrollo. Otro consejero sugiere que se ha</w:t>
      </w:r>
      <w:r w:rsidR="00B5058D">
        <w:rPr>
          <w:lang w:val="es-ES"/>
        </w:rPr>
        <w:t>g</w:t>
      </w:r>
      <w:r w:rsidRPr="00D31931">
        <w:rPr>
          <w:lang w:val="es-ES"/>
        </w:rPr>
        <w:t>a referencia explícita a la armonización con otros organismos y recursos de las Naciones Unidas, concretamente el Informe sobre las inversiones en el mundo de la Conferencia de las Naciones Unidas sobre Comercio y Desarrollo, a la hora de mencionar las estadísticas. Un tercer consejero propone que, para la finalidad relativa a las redes resilientes, se utilice un indicador más pertinente, por ejemplo</w:t>
      </w:r>
      <w:r w:rsidR="00B5058D">
        <w:rPr>
          <w:lang w:val="es-ES"/>
        </w:rPr>
        <w:t>,</w:t>
      </w:r>
      <w:r w:rsidRPr="00D31931">
        <w:rPr>
          <w:lang w:val="es-ES"/>
        </w:rPr>
        <w:t xml:space="preserve"> relacionado con la resiliencia de los cables submarinos. En cuanto a las repercusiones medioambientales de las</w:t>
      </w:r>
      <w:r w:rsidR="00B5058D">
        <w:rPr>
          <w:lang w:val="es-ES"/>
        </w:rPr>
        <w:t> </w:t>
      </w:r>
      <w:r w:rsidRPr="00D31931">
        <w:rPr>
          <w:lang w:val="es-ES"/>
        </w:rPr>
        <w:t>TIC, también debería incluirse un indicador que refleje la contribución positiva del sector de las</w:t>
      </w:r>
      <w:r w:rsidR="00B5058D">
        <w:rPr>
          <w:lang w:val="es-ES"/>
        </w:rPr>
        <w:t> </w:t>
      </w:r>
      <w:r w:rsidRPr="00D31931">
        <w:rPr>
          <w:lang w:val="es-ES"/>
        </w:rPr>
        <w:t>TIC al promover la transformación digital ecológica. En cuanto al espacio para el desarrollo, sugiere la fusión de los dos indicadores, pues hay un solapamiento entre los abonos a la banda ancha por satélite y los abonos a la banda ancha fija.</w:t>
      </w:r>
    </w:p>
    <w:p w14:paraId="67881932" w14:textId="41E34AB5" w:rsidR="00D31931" w:rsidRPr="00D31931" w:rsidRDefault="00D31931" w:rsidP="00254F86">
      <w:pPr>
        <w:jc w:val="both"/>
        <w:rPr>
          <w:lang w:val="es-ES"/>
        </w:rPr>
      </w:pPr>
      <w:r w:rsidRPr="00D31931">
        <w:rPr>
          <w:lang w:val="es-ES"/>
        </w:rPr>
        <w:t>1.16</w:t>
      </w:r>
      <w:r w:rsidRPr="00D31931">
        <w:rPr>
          <w:lang w:val="es-ES"/>
        </w:rPr>
        <w:tab/>
        <w:t>Varios consejeros se dicen favorables a las recomendaciones formuladas en el Documento</w:t>
      </w:r>
      <w:r w:rsidR="00CF1913">
        <w:rPr>
          <w:lang w:val="es-ES"/>
        </w:rPr>
        <w:t> </w:t>
      </w:r>
      <w:r w:rsidRPr="00D31931">
        <w:rPr>
          <w:lang w:val="es-ES"/>
        </w:rPr>
        <w:t>C26/83, en particular a la necesidad de establecer vínculos entre los Planes Estratégico, Financiero y Operacional para garantizar su mutuo refuerzo. Las metas estratégicas deben estar claramente armonizadas con las prioridades y resultados y se les deben asignar indicadores específicos, mensurables, alcanzables, pertinentes y limitados en el tiempo para facilitar la evaluación de las repercusiones reales en el terreno. Además, las actividades deben ajustarse a los recursos disponibles e ir acompañadas de una evaluación realista de las capacidades de implementación. Algunos consejeros y un observador animan a hacer un uso aún mayor de la gestión basada en resultados, en particular a la hora de definir los indicadores, para aumentar la transparencia de la utilización de los recursos; otros dos consejeros insisten en el papel de la</w:t>
      </w:r>
      <w:r w:rsidR="00CF1913">
        <w:rPr>
          <w:lang w:val="es-ES"/>
        </w:rPr>
        <w:t> </w:t>
      </w:r>
      <w:r w:rsidRPr="00D31931">
        <w:rPr>
          <w:lang w:val="es-ES"/>
        </w:rPr>
        <w:t>UIT como organización administrativa responsable de prestar a los Estados Miembros y Miembros de Sector apoyo a la hora de desarrollar las redes y servicios de TIC.</w:t>
      </w:r>
    </w:p>
    <w:p w14:paraId="6B3B9204" w14:textId="552C6C6F" w:rsidR="00D31931" w:rsidRPr="00D31931" w:rsidRDefault="00D31931" w:rsidP="00254F86">
      <w:pPr>
        <w:jc w:val="both"/>
        <w:rPr>
          <w:lang w:val="es-ES"/>
        </w:rPr>
      </w:pPr>
      <w:r w:rsidRPr="00D31931">
        <w:rPr>
          <w:lang w:val="es-ES"/>
        </w:rPr>
        <w:t>1.17</w:t>
      </w:r>
      <w:r w:rsidRPr="00D31931">
        <w:rPr>
          <w:lang w:val="es-ES"/>
        </w:rPr>
        <w:tab/>
        <w:t>Aun reconociendo el valor de la contribución presentada por varios países, un consejero dice que es necesario examinarla con más detenimiento. A pesar del valor que aporta adoptar un enfoque muy estructurado, el proyecto de Plan Estratégico deben ser fácil de utilizar y no ser innecesariamente complejo. También es necesario que sea reactivo ante nuevos retos y que puedan integrarse en él nuevos indicadores cuando sea necesario. A pesar de la innegable importancia de la función administrativa de la</w:t>
      </w:r>
      <w:r w:rsidR="00CF1913">
        <w:rPr>
          <w:lang w:val="es-ES"/>
        </w:rPr>
        <w:t> </w:t>
      </w:r>
      <w:r w:rsidRPr="00D31931">
        <w:rPr>
          <w:lang w:val="es-ES"/>
        </w:rPr>
        <w:t>UIT, en el Plan Estratégico se ha de reflejar también la contribución colectiva global de la Unión.</w:t>
      </w:r>
    </w:p>
    <w:p w14:paraId="675D9125" w14:textId="4D4A1709" w:rsidR="00D31931" w:rsidRPr="00D31931" w:rsidRDefault="00D31931" w:rsidP="00254F86">
      <w:pPr>
        <w:jc w:val="both"/>
        <w:rPr>
          <w:lang w:val="es-ES"/>
        </w:rPr>
      </w:pPr>
      <w:r w:rsidRPr="00D31931">
        <w:rPr>
          <w:lang w:val="es-ES"/>
        </w:rPr>
        <w:t>1.18</w:t>
      </w:r>
      <w:r w:rsidRPr="00D31931">
        <w:rPr>
          <w:lang w:val="es-ES"/>
        </w:rPr>
        <w:tab/>
      </w:r>
      <w:r w:rsidR="00A078E7">
        <w:rPr>
          <w:lang w:val="es-ES"/>
        </w:rPr>
        <w:t>Un</w:t>
      </w:r>
      <w:r w:rsidRPr="00D31931">
        <w:rPr>
          <w:lang w:val="es-ES"/>
        </w:rPr>
        <w:t xml:space="preserve"> consejero dice que debe incluirse en el Plan Estratégico un mecanismo estructurado para garantizar que se utiliza lo aprendido a la hora de preparar futuros Planes Estratégicos. Señala, además, que su delegación señaló este asunto en la última reunión del</w:t>
      </w:r>
      <w:r w:rsidR="00B5058D">
        <w:rPr>
          <w:lang w:val="es-ES"/>
        </w:rPr>
        <w:t> </w:t>
      </w:r>
      <w:r w:rsidRPr="00D31931">
        <w:rPr>
          <w:lang w:val="es-ES"/>
        </w:rPr>
        <w:t>GTC-PEF, pero no ha recibido respuesta alguna de la Secretaría. Anima a la Secretaría a responder a las observaciones de todos los Estados Miembros a fin de que nadie pueda considerar que se ignoran sus opiniones.</w:t>
      </w:r>
    </w:p>
    <w:p w14:paraId="0B9635A6" w14:textId="2C6809E0" w:rsidR="00D31931" w:rsidRPr="00D31931" w:rsidRDefault="00D31931" w:rsidP="00254F86">
      <w:pPr>
        <w:jc w:val="both"/>
        <w:rPr>
          <w:lang w:val="es-ES"/>
        </w:rPr>
      </w:pPr>
      <w:r w:rsidRPr="00D31931">
        <w:rPr>
          <w:lang w:val="es-ES"/>
        </w:rPr>
        <w:t>1.19</w:t>
      </w:r>
      <w:r w:rsidRPr="00D31931">
        <w:rPr>
          <w:lang w:val="es-ES"/>
        </w:rPr>
        <w:tab/>
        <w:t>Varios consejeros y un observador piden seguir debatiendo acerca del proyecto de Plan Estratégico antes de presentarlo a la</w:t>
      </w:r>
      <w:r w:rsidR="00B5058D">
        <w:rPr>
          <w:lang w:val="es-ES"/>
        </w:rPr>
        <w:t> </w:t>
      </w:r>
      <w:r w:rsidRPr="00D31931">
        <w:rPr>
          <w:lang w:val="es-ES"/>
        </w:rPr>
        <w:t>PP</w:t>
      </w:r>
      <w:r w:rsidRPr="00D31931">
        <w:rPr>
          <w:lang w:val="es-ES"/>
        </w:rPr>
        <w:noBreakHyphen/>
        <w:t>26, siguiendo el precedente del periodo preparatorio para la Conferencia de</w:t>
      </w:r>
      <w:r w:rsidR="00542882">
        <w:rPr>
          <w:lang w:val="es-ES"/>
        </w:rPr>
        <w:t> </w:t>
      </w:r>
      <w:r w:rsidRPr="00D31931">
        <w:rPr>
          <w:lang w:val="es-ES"/>
        </w:rPr>
        <w:t xml:space="preserve">2022. Un consejero anima a los Estados Miembros a llegar a un acuerdo con suficiente antelación a fin de permitir la adecuada coordinación regional. Otro consejero pide al Presidente del GTC-PEF que aborde los temas planteados en colaboración con el </w:t>
      </w:r>
      <w:r w:rsidRPr="00D31931">
        <w:rPr>
          <w:lang w:val="es-ES"/>
        </w:rPr>
        <w:lastRenderedPageBreak/>
        <w:t>Presidente del Grupo de Trabajo del Consejo sobre Recursos Humanos y Financieros; un tercer consejero solicita fijar un calendario para los ulteriores debates a fin de garantizar que los Estados Miembros pueden participar de manera constructiva.</w:t>
      </w:r>
    </w:p>
    <w:p w14:paraId="1C94E8CA" w14:textId="6E33762B" w:rsidR="00D31931" w:rsidRPr="00D31931" w:rsidRDefault="00D31931" w:rsidP="00254F86">
      <w:pPr>
        <w:jc w:val="both"/>
        <w:rPr>
          <w:lang w:val="es-ES"/>
        </w:rPr>
      </w:pPr>
      <w:r w:rsidRPr="00D31931">
        <w:rPr>
          <w:lang w:val="es-ES"/>
        </w:rPr>
        <w:t>1.20</w:t>
      </w:r>
      <w:r w:rsidRPr="00D31931">
        <w:rPr>
          <w:lang w:val="es-ES"/>
        </w:rPr>
        <w:tab/>
        <w:t>El consejero de Estados Unidos pronuncia la declaración que puede encontrarse en el Anexo</w:t>
      </w:r>
      <w:r w:rsidR="00CF1913">
        <w:rPr>
          <w:lang w:val="es-ES"/>
        </w:rPr>
        <w:t> </w:t>
      </w:r>
      <w:r w:rsidRPr="00D31931">
        <w:rPr>
          <w:lang w:val="es-ES"/>
        </w:rPr>
        <w:t xml:space="preserve">1 al </w:t>
      </w:r>
      <w:hyperlink r:id="rId14" w:history="1">
        <w:proofErr w:type="spellStart"/>
        <w:r w:rsidRPr="00254F86">
          <w:rPr>
            <w:rStyle w:val="Hyperlink"/>
            <w:rFonts w:eastAsia="Times New Roman" w:cs="Times New Roman"/>
            <w:szCs w:val="20"/>
            <w:lang w:val="es-ES"/>
          </w:rPr>
          <w:t>Addéndu</w:t>
        </w:r>
        <w:r w:rsidRPr="00254F86">
          <w:rPr>
            <w:rStyle w:val="Hyperlink"/>
            <w:rFonts w:eastAsia="Times New Roman" w:cs="Times New Roman"/>
            <w:szCs w:val="20"/>
            <w:lang w:val="es-ES"/>
          </w:rPr>
          <w:t>m</w:t>
        </w:r>
        <w:proofErr w:type="spellEnd"/>
        <w:r w:rsidR="00CF1913" w:rsidRPr="00254F86">
          <w:rPr>
            <w:rStyle w:val="Hyperlink"/>
            <w:rFonts w:eastAsia="Times New Roman" w:cs="Times New Roman"/>
            <w:szCs w:val="20"/>
            <w:lang w:val="es-ES"/>
          </w:rPr>
          <w:t> </w:t>
        </w:r>
        <w:r w:rsidRPr="00254F86">
          <w:rPr>
            <w:rStyle w:val="Hyperlink"/>
            <w:rFonts w:eastAsia="Times New Roman" w:cs="Times New Roman"/>
            <w:szCs w:val="20"/>
            <w:lang w:val="es-ES"/>
          </w:rPr>
          <w:t>2</w:t>
        </w:r>
      </w:hyperlink>
      <w:r w:rsidRPr="00D31931">
        <w:rPr>
          <w:lang w:val="es-ES"/>
        </w:rPr>
        <w:t xml:space="preserve"> al Documento</w:t>
      </w:r>
      <w:r w:rsidR="00CF1913">
        <w:rPr>
          <w:lang w:val="es-ES"/>
        </w:rPr>
        <w:t> </w:t>
      </w:r>
      <w:proofErr w:type="spellStart"/>
      <w:r>
        <w:fldChar w:fldCharType="begin"/>
      </w:r>
      <w:proofErr w:type="spellEnd"/>
      <w:r w:rsidRPr="00254F86">
        <w:rPr>
          <w:lang w:val="es-ES"/>
        </w:rPr>
        <w:instrText>HYPERLINK "https://www.itu.int/md/S26-CL-C-0031/es"</w:instrText>
      </w:r>
      <w:proofErr w:type="spellStart"/>
      <w:r>
        <w:fldChar w:fldCharType="separate"/>
      </w:r>
      <w:r w:rsidRPr="00D31931">
        <w:rPr>
          <w:rStyle w:val="Hyperlink"/>
          <w:rFonts w:eastAsia="Times New Roman" w:cs="Times New Roman"/>
          <w:szCs w:val="20"/>
          <w:lang w:val="es-ES"/>
        </w:rPr>
        <w:t>C26</w:t>
      </w:r>
      <w:proofErr w:type="spellEnd"/>
      <w:r w:rsidRPr="00D31931">
        <w:rPr>
          <w:rStyle w:val="Hyperlink"/>
          <w:rFonts w:eastAsia="Times New Roman" w:cs="Times New Roman"/>
          <w:szCs w:val="20"/>
          <w:lang w:val="es-ES"/>
        </w:rPr>
        <w:t>/31</w:t>
      </w:r>
      <w:r>
        <w:fldChar w:fldCharType="end"/>
      </w:r>
      <w:r w:rsidRPr="00D31931">
        <w:rPr>
          <w:lang w:val="es-ES"/>
        </w:rPr>
        <w:t>.</w:t>
      </w:r>
    </w:p>
    <w:p w14:paraId="17B34BCD" w14:textId="2E9D18C5" w:rsidR="00D31931" w:rsidRPr="00D31931" w:rsidRDefault="00D31931" w:rsidP="00254F86">
      <w:pPr>
        <w:jc w:val="both"/>
        <w:rPr>
          <w:lang w:val="es-ES"/>
        </w:rPr>
      </w:pPr>
      <w:r w:rsidRPr="00D31931">
        <w:rPr>
          <w:lang w:val="es-ES"/>
        </w:rPr>
        <w:t>1.21</w:t>
      </w:r>
      <w:r w:rsidRPr="00D31931">
        <w:rPr>
          <w:lang w:val="es-ES"/>
        </w:rPr>
        <w:tab/>
      </w:r>
      <w:r w:rsidR="00542882" w:rsidRPr="00542882">
        <w:rPr>
          <w:lang w:val="es-ES"/>
        </w:rPr>
        <w:t>El Presidente propone proseguir las consultas oficiosas al respecto y que se comunique el resultado a la próxima Sesión Plenaria</w:t>
      </w:r>
      <w:r w:rsidRPr="00D31931">
        <w:rPr>
          <w:lang w:val="es-ES"/>
        </w:rPr>
        <w:t>.</w:t>
      </w:r>
    </w:p>
    <w:p w14:paraId="546FB6B6" w14:textId="7967A75C" w:rsidR="00D31931" w:rsidRPr="00D31931" w:rsidRDefault="00D31931" w:rsidP="00254F86">
      <w:pPr>
        <w:jc w:val="both"/>
        <w:rPr>
          <w:lang w:val="es-ES"/>
        </w:rPr>
      </w:pPr>
      <w:r w:rsidRPr="00D31931">
        <w:rPr>
          <w:lang w:val="es-ES"/>
        </w:rPr>
        <w:t>1.22</w:t>
      </w:r>
      <w:r w:rsidRPr="00D31931">
        <w:rPr>
          <w:lang w:val="es-ES"/>
        </w:rPr>
        <w:tab/>
      </w:r>
      <w:r w:rsidR="00542882" w:rsidRPr="00542882">
        <w:rPr>
          <w:lang w:val="es-ES"/>
        </w:rPr>
        <w:t xml:space="preserve">Así si </w:t>
      </w:r>
      <w:r w:rsidR="00542882" w:rsidRPr="00542882">
        <w:rPr>
          <w:b/>
          <w:bCs/>
          <w:lang w:val="es-ES"/>
        </w:rPr>
        <w:t>acuerda</w:t>
      </w:r>
      <w:r w:rsidRPr="00D31931">
        <w:rPr>
          <w:lang w:val="es-ES"/>
        </w:rPr>
        <w:t>.</w:t>
      </w:r>
    </w:p>
    <w:p w14:paraId="5CC149A5" w14:textId="7D2B4ACB" w:rsidR="00D31931" w:rsidRPr="00D31931" w:rsidRDefault="00D31931" w:rsidP="00D31931">
      <w:pPr>
        <w:pStyle w:val="Heading1"/>
        <w:rPr>
          <w:lang w:val="es-ES"/>
        </w:rPr>
      </w:pPr>
      <w:r w:rsidRPr="00D31931">
        <w:rPr>
          <w:lang w:val="es-ES"/>
        </w:rPr>
        <w:t>2</w:t>
      </w:r>
      <w:r w:rsidRPr="00D31931">
        <w:rPr>
          <w:lang w:val="es-ES"/>
        </w:rPr>
        <w:tab/>
        <w:t>Informes del Presidente del Grupo de Trabajo del Consejo sobre la Protección de la Infancia en Línea (Documentos</w:t>
      </w:r>
      <w:r>
        <w:rPr>
          <w:lang w:val="es-ES"/>
        </w:rPr>
        <w:t> </w:t>
      </w:r>
      <w:proofErr w:type="spellStart"/>
      <w:r>
        <w:fldChar w:fldCharType="begin"/>
      </w:r>
      <w:r>
        <w:instrText>HYPERLINK "https://www.itu.int/md/S26-CL-C-0015/es" \h</w:instrText>
      </w:r>
      <w:r>
        <w:fldChar w:fldCharType="separate"/>
      </w:r>
      <w:r w:rsidRPr="00D31931">
        <w:rPr>
          <w:rStyle w:val="Hyperlink"/>
          <w:rFonts w:eastAsia="Times New Roman" w:cs="Times New Roman"/>
          <w:szCs w:val="20"/>
          <w:lang w:val="es-ES"/>
        </w:rPr>
        <w:t>C26</w:t>
      </w:r>
      <w:proofErr w:type="spellEnd"/>
      <w:r w:rsidRPr="00D31931">
        <w:rPr>
          <w:rStyle w:val="Hyperlink"/>
          <w:rFonts w:eastAsia="Times New Roman" w:cs="Times New Roman"/>
          <w:szCs w:val="20"/>
          <w:lang w:val="es-ES"/>
        </w:rPr>
        <w:t>/15</w:t>
      </w:r>
      <w:r>
        <w:fldChar w:fldCharType="end"/>
      </w:r>
      <w:r w:rsidRPr="00D31931">
        <w:rPr>
          <w:lang w:val="es-ES"/>
        </w:rPr>
        <w:t xml:space="preserve"> y </w:t>
      </w:r>
      <w:hyperlink r:id="rId15">
        <w:proofErr w:type="spellStart"/>
        <w:r w:rsidRPr="00D31931">
          <w:rPr>
            <w:rStyle w:val="Hyperlink"/>
            <w:rFonts w:eastAsia="Times New Roman" w:cs="Times New Roman"/>
            <w:szCs w:val="20"/>
            <w:lang w:val="es-ES"/>
          </w:rPr>
          <w:t>C26</w:t>
        </w:r>
        <w:proofErr w:type="spellEnd"/>
        <w:r w:rsidRPr="00D31931">
          <w:rPr>
            <w:rStyle w:val="Hyperlink"/>
            <w:rFonts w:eastAsia="Times New Roman" w:cs="Times New Roman"/>
            <w:szCs w:val="20"/>
            <w:lang w:val="es-ES"/>
          </w:rPr>
          <w:t>/18</w:t>
        </w:r>
      </w:hyperlink>
      <w:r w:rsidRPr="00D31931">
        <w:rPr>
          <w:lang w:val="es-ES"/>
        </w:rPr>
        <w:t>)</w:t>
      </w:r>
    </w:p>
    <w:p w14:paraId="7E331D7F" w14:textId="5493BDBB" w:rsidR="00D31931" w:rsidRPr="00D31931" w:rsidRDefault="00D31931" w:rsidP="008E01A0">
      <w:pPr>
        <w:jc w:val="both"/>
        <w:rPr>
          <w:lang w:val="es-ES"/>
        </w:rPr>
      </w:pPr>
      <w:r w:rsidRPr="00D31931">
        <w:rPr>
          <w:lang w:val="es-ES"/>
        </w:rPr>
        <w:t>2.1</w:t>
      </w:r>
      <w:r w:rsidRPr="00D31931">
        <w:rPr>
          <w:lang w:val="es-ES"/>
        </w:rPr>
        <w:tab/>
        <w:t>La Vicepresidenta del Grupo de Trabajo del Consejo sobre la Protección de la Infancia en Línea (GTC-PIeL) presenta el Documento</w:t>
      </w:r>
      <w:r w:rsidR="00CF1913">
        <w:rPr>
          <w:lang w:val="es-ES"/>
        </w:rPr>
        <w:t> </w:t>
      </w:r>
      <w:r w:rsidRPr="00D31931">
        <w:rPr>
          <w:lang w:val="es-ES"/>
        </w:rPr>
        <w:t xml:space="preserve">C26/15, en el que se exponen las principales esferas de actividad del Grupo de Trabajo durante el periodo considerado y se resumen los resultados de las </w:t>
      </w:r>
      <w:r w:rsidR="00CF1913" w:rsidRPr="00D31931">
        <w:rPr>
          <w:lang w:val="es-ES"/>
        </w:rPr>
        <w:t xml:space="preserve">reuniones </w:t>
      </w:r>
      <w:r w:rsidRPr="00D31931">
        <w:rPr>
          <w:lang w:val="es-ES"/>
        </w:rPr>
        <w:t>23</w:t>
      </w:r>
      <w:r w:rsidR="00CF1913">
        <w:rPr>
          <w:lang w:val="es-ES"/>
        </w:rPr>
        <w:t>.</w:t>
      </w:r>
      <w:r w:rsidRPr="00D31931">
        <w:rPr>
          <w:lang w:val="es-ES"/>
        </w:rPr>
        <w:t>ª y 24</w:t>
      </w:r>
      <w:r w:rsidR="00CF1913">
        <w:rPr>
          <w:lang w:val="es-ES"/>
        </w:rPr>
        <w:t>.</w:t>
      </w:r>
      <w:r w:rsidRPr="00D31931">
        <w:rPr>
          <w:lang w:val="es-ES"/>
        </w:rPr>
        <w:t>ª del Grupo. Presenta también el Informe cuadrienal del GTC-PIeL, reproducido en el Documento</w:t>
      </w:r>
      <w:r w:rsidR="00CF1913">
        <w:rPr>
          <w:lang w:val="es-ES"/>
        </w:rPr>
        <w:t> </w:t>
      </w:r>
      <w:r w:rsidRPr="00D31931">
        <w:rPr>
          <w:lang w:val="es-ES"/>
        </w:rPr>
        <w:t>C26/18, en el que se presentan las actividades y logros del Grupo de Trabajo durante el periodo 2022-2026 y se destaca la continua pertinencia del GTC-PIeL para considerar los riesgos que conlleva la evolución digital para los niños y los jóvenes. Se invita al Consejo a recomendar que la PP</w:t>
      </w:r>
      <w:r w:rsidRPr="00D31931">
        <w:rPr>
          <w:lang w:val="es-ES"/>
        </w:rPr>
        <w:noBreakHyphen/>
        <w:t>26 prolongue la actividad del GTC-PIeL durante el próximo periodo de cuatro años.</w:t>
      </w:r>
    </w:p>
    <w:p w14:paraId="09FF9A2F" w14:textId="217CB0A8" w:rsidR="00D31931" w:rsidRPr="00D31931" w:rsidRDefault="00D31931" w:rsidP="008E01A0">
      <w:pPr>
        <w:jc w:val="both"/>
        <w:rPr>
          <w:lang w:val="es-ES"/>
        </w:rPr>
      </w:pPr>
      <w:r w:rsidRPr="00D31931">
        <w:rPr>
          <w:lang w:val="es-ES"/>
        </w:rPr>
        <w:t>2.2</w:t>
      </w:r>
      <w:r w:rsidRPr="00D31931">
        <w:rPr>
          <w:lang w:val="es-ES"/>
        </w:rPr>
        <w:tab/>
        <w:t>Numerosos consejeros y dos observadores agradecen los informes y alaban las importantes actividades del Grupo de Trabajo, señalando que la protección de la infancia en línea es una gran prioridad en el contexto de la transformación digital y coherente con el trabajo de la</w:t>
      </w:r>
      <w:r w:rsidR="00CF1913">
        <w:rPr>
          <w:lang w:val="es-ES"/>
        </w:rPr>
        <w:t> </w:t>
      </w:r>
      <w:r w:rsidRPr="00D31931">
        <w:rPr>
          <w:lang w:val="es-ES"/>
        </w:rPr>
        <w:t xml:space="preserve">UIT en su calidad de facilitador de la Línea de Acción C5 de la Cumbre Mundial sobre la Sociedad de la Información (CMSI). Se expresó apoyo a las actividades del Grupo de Trabajo para promover la colaboración multipartita, incluso con el sector privado, la sociedad civil, las instituciones académicas y las organizaciones internacionales, y para explorar modalidades para la participación segura y efectiva de los niños y los jóvenes en la protección de la infancia en línea. Algunos consejeros piden una mayor participación de partes interesadas clave para garantizar la adopción de un enfoque coordinado e inclusivo. Se sugirió un enfoque multipartito similar podría ser beneficioso para otros Grupos de Trabajo del Consejo. Los consejeros se mostraron asimismo satisfechos de la atención prestada a las tecnologías incipientes, en particular la inteligencia artificial (IA), y destacaron la importancia de reforzar las salvaguardas particulares para niños y de recurrir a la seguridad por diseño. Es necesario equilibrar la protección de los niños contra los peligros de </w:t>
      </w:r>
      <w:r w:rsidR="00B5058D" w:rsidRPr="00D31931">
        <w:rPr>
          <w:lang w:val="es-ES"/>
        </w:rPr>
        <w:t xml:space="preserve">Internet </w:t>
      </w:r>
      <w:r w:rsidRPr="00D31931">
        <w:rPr>
          <w:lang w:val="es-ES"/>
        </w:rPr>
        <w:t>y el respeto de sus derechos. Los consejeros aprecian las actividades del Grupo de Trabajo destinadas a intensificar la coordinación entre las actividades políticas, operacionales y de normalización técnica de la</w:t>
      </w:r>
      <w:r w:rsidR="00CF1913">
        <w:rPr>
          <w:lang w:val="es-ES"/>
        </w:rPr>
        <w:t> </w:t>
      </w:r>
      <w:r w:rsidRPr="00D31931">
        <w:rPr>
          <w:lang w:val="es-ES"/>
        </w:rPr>
        <w:t>UIT, incluso mediante una mayor coordinación con la Comisión de Estudio</w:t>
      </w:r>
      <w:r w:rsidR="00CF1913">
        <w:rPr>
          <w:lang w:val="es-ES"/>
        </w:rPr>
        <w:t> </w:t>
      </w:r>
      <w:r w:rsidRPr="00D31931">
        <w:rPr>
          <w:lang w:val="es-ES"/>
        </w:rPr>
        <w:t>17 del Sector de Normalización de las Telecomunicaciones de la</w:t>
      </w:r>
      <w:r w:rsidR="00CF1913">
        <w:rPr>
          <w:lang w:val="es-ES"/>
        </w:rPr>
        <w:t> </w:t>
      </w:r>
      <w:r w:rsidRPr="00D31931">
        <w:rPr>
          <w:lang w:val="es-ES"/>
        </w:rPr>
        <w:t>UIT (UIT-T). Un consejero señala que la aprobación de la Recomendación</w:t>
      </w:r>
      <w:r w:rsidR="00542882">
        <w:rPr>
          <w:lang w:val="es-ES"/>
        </w:rPr>
        <w:t> </w:t>
      </w:r>
      <w:r w:rsidRPr="00D31931">
        <w:rPr>
          <w:lang w:val="es-ES"/>
        </w:rPr>
        <w:t>UIT-T X.1901 marcó un hito, pues es la primera norma técnica del</w:t>
      </w:r>
      <w:r w:rsidR="00B5058D">
        <w:rPr>
          <w:lang w:val="es-ES"/>
        </w:rPr>
        <w:t> </w:t>
      </w:r>
      <w:r w:rsidRPr="00D31931">
        <w:rPr>
          <w:lang w:val="es-ES"/>
        </w:rPr>
        <w:t>UIT</w:t>
      </w:r>
      <w:r w:rsidR="00B5058D">
        <w:rPr>
          <w:lang w:val="es-ES"/>
        </w:rPr>
        <w:noBreakHyphen/>
      </w:r>
      <w:r w:rsidRPr="00D31931">
        <w:rPr>
          <w:lang w:val="es-ES"/>
        </w:rPr>
        <w:t>T centrada en la protección de la infancia en línea, en particular tras superar las inquietudes iniciales en torno a si la protección de la infancia en línea recaía en el ámbito de la normalización técnica.</w:t>
      </w:r>
    </w:p>
    <w:p w14:paraId="2DCAB918" w14:textId="6E6000AA" w:rsidR="00D31931" w:rsidRPr="00D31931" w:rsidRDefault="00D31931" w:rsidP="008E01A0">
      <w:pPr>
        <w:jc w:val="both"/>
        <w:rPr>
          <w:lang w:val="es-ES"/>
        </w:rPr>
      </w:pPr>
      <w:r w:rsidRPr="00D31931">
        <w:rPr>
          <w:lang w:val="es-ES"/>
        </w:rPr>
        <w:lastRenderedPageBreak/>
        <w:t>2.3</w:t>
      </w:r>
      <w:r w:rsidRPr="00D31931">
        <w:rPr>
          <w:lang w:val="es-ES"/>
        </w:rPr>
        <w:tab/>
        <w:t>Los consejeros están de acuerdo en que las iniciativas de protección de la infancia en línea deben seguir siendo inclusivas, centradas en los niños y reactivas ante la evolución de los riesgos digitales. Para que los Estados Miembros, en particular los países en desarrollo, puedan implementar los marcos nacionales y traducir los principios y prácticas idóneas en políticas, procedimientos y salvaguardas efectivos, será útil contar con mecanismos prácticos como son los sistemas de información, las herramientas de empoderamiento parental, las actividades de sensibilización, la compartición de conocimientos y la capacitación. Se destaca la importancia de la transparencia y la compartición de información y se indicó que una mayor información de las Oficinas Regionales de la</w:t>
      </w:r>
      <w:r w:rsidR="00CF1913">
        <w:rPr>
          <w:lang w:val="es-ES"/>
        </w:rPr>
        <w:t> </w:t>
      </w:r>
      <w:r w:rsidRPr="00D31931">
        <w:rPr>
          <w:lang w:val="es-ES"/>
        </w:rPr>
        <w:t>UIT sobre las iniciativas de protección de la infancia en línea permitiría reflejar mejor las prioridades regionales, las condiciones de implementación reales y las necesidades a escala nacional.</w:t>
      </w:r>
    </w:p>
    <w:p w14:paraId="552B9426" w14:textId="2BD44C76" w:rsidR="00D31931" w:rsidRPr="00D31931" w:rsidRDefault="00D31931" w:rsidP="008E01A0">
      <w:pPr>
        <w:jc w:val="both"/>
        <w:rPr>
          <w:lang w:val="es-ES"/>
        </w:rPr>
      </w:pPr>
      <w:r w:rsidRPr="00D31931">
        <w:rPr>
          <w:lang w:val="es-ES"/>
        </w:rPr>
        <w:t>2.4</w:t>
      </w:r>
      <w:r w:rsidRPr="00D31931">
        <w:rPr>
          <w:lang w:val="es-ES"/>
        </w:rPr>
        <w:tab/>
        <w:t>Un observador pregunta cómo puede la</w:t>
      </w:r>
      <w:r w:rsidR="00CF1913">
        <w:rPr>
          <w:lang w:val="es-ES"/>
        </w:rPr>
        <w:t> </w:t>
      </w:r>
      <w:r w:rsidRPr="00D31931">
        <w:rPr>
          <w:lang w:val="es-ES"/>
        </w:rPr>
        <w:t>UIT ayudar a los Estados Miembros a garantizar la integración de la seguridad de la infancia en línea en la educación digital normalizada, en lugar de considerarla un tema político aparte.</w:t>
      </w:r>
    </w:p>
    <w:p w14:paraId="03DF6C1F" w14:textId="121CDB97" w:rsidR="00D31931" w:rsidRPr="00D31931" w:rsidRDefault="00D31931" w:rsidP="008E01A0">
      <w:pPr>
        <w:jc w:val="both"/>
        <w:rPr>
          <w:lang w:val="es-ES"/>
        </w:rPr>
      </w:pPr>
      <w:r w:rsidRPr="00D31931">
        <w:rPr>
          <w:lang w:val="es-ES"/>
        </w:rPr>
        <w:t>2.5</w:t>
      </w:r>
      <w:r w:rsidRPr="00D31931">
        <w:rPr>
          <w:lang w:val="es-ES"/>
        </w:rPr>
        <w:tab/>
        <w:t>Los consejeros señalan que el GTC-PIeL es una plataforma única de sensibilización, intercambio de prácticas idóneas y apoyo a los Estados Miembros para la protección de los niños en el entorno digital para la</w:t>
      </w:r>
      <w:r w:rsidR="00CF1913">
        <w:rPr>
          <w:lang w:val="es-ES"/>
        </w:rPr>
        <w:t> </w:t>
      </w:r>
      <w:r w:rsidRPr="00D31931">
        <w:rPr>
          <w:lang w:val="es-ES"/>
        </w:rPr>
        <w:t>UIT y todos los Estados Miembros. Este Grupo debe proseguir sus trabajos durante el próximo periodo de cuatro años, centrándose en los aspectos técnicos pertinentes al mandato de la</w:t>
      </w:r>
      <w:r w:rsidR="00CF1913">
        <w:rPr>
          <w:lang w:val="es-ES"/>
        </w:rPr>
        <w:t> </w:t>
      </w:r>
      <w:r w:rsidRPr="00D31931">
        <w:rPr>
          <w:lang w:val="es-ES"/>
        </w:rPr>
        <w:t>UIT. El Grupo de Trabajo debe poder reunirse dos veces al año durante el próximo ciclo, de ser necesario, aprovechando el tiempo de reunión no utilizado por otros Grupos de Trabajo del Consejo. Deberá velarse por evitar la duplicación de actividades y por la utilización efectiva de los recursos. El Grupo de Trabajo deberá considerar actividades prácticas, innovadoras y de gran influencia que mejoren la protección de la infancia en línea, reduzcan las brechas de implementación, fomenten la cooperación regional y ayuden a los Estados Miembros a implementar efectivamente las políticas y procedimientos nacionales en un entorno digital rápidamente evolutivo. Dos consejeros sugieren incluir una referencia a la protección de la infancia en línea en el proyecto de Plan Estratégico de la Unión para 2028-2031.</w:t>
      </w:r>
    </w:p>
    <w:p w14:paraId="2D438D79" w14:textId="77777777" w:rsidR="00D31931" w:rsidRPr="00D31931" w:rsidRDefault="00D31931" w:rsidP="008E01A0">
      <w:pPr>
        <w:jc w:val="both"/>
        <w:rPr>
          <w:lang w:val="es-ES"/>
        </w:rPr>
      </w:pPr>
      <w:r w:rsidRPr="00D31931">
        <w:rPr>
          <w:lang w:val="es-ES"/>
        </w:rPr>
        <w:t>2.6</w:t>
      </w:r>
      <w:r w:rsidRPr="00D31931">
        <w:rPr>
          <w:lang w:val="es-ES"/>
        </w:rPr>
        <w:tab/>
        <w:t>Algunos consejeros y un observadores exponen los esfuerzos realizados en sus países para hacer de la protección de la infancia en línea una prioridad y mejorar la alfabetización digital de los niños.</w:t>
      </w:r>
    </w:p>
    <w:p w14:paraId="139714E1" w14:textId="77777777" w:rsidR="00D31931" w:rsidRPr="00D31931" w:rsidRDefault="00D31931" w:rsidP="008E01A0">
      <w:pPr>
        <w:jc w:val="both"/>
        <w:rPr>
          <w:lang w:val="es-ES"/>
        </w:rPr>
      </w:pPr>
      <w:r w:rsidRPr="00D31931">
        <w:rPr>
          <w:lang w:val="es-ES"/>
        </w:rPr>
        <w:t>2.7</w:t>
      </w:r>
      <w:r w:rsidRPr="00D31931">
        <w:rPr>
          <w:lang w:val="es-ES"/>
        </w:rPr>
        <w:tab/>
        <w:t xml:space="preserve">El Consejo </w:t>
      </w:r>
      <w:r w:rsidRPr="00D31931">
        <w:rPr>
          <w:b/>
          <w:bCs/>
          <w:lang w:val="es-ES"/>
        </w:rPr>
        <w:t xml:space="preserve">toma nota </w:t>
      </w:r>
      <w:r w:rsidRPr="00D31931">
        <w:rPr>
          <w:lang w:val="es-ES"/>
        </w:rPr>
        <w:t xml:space="preserve">de los informes presentados en los Documentos C26/15 y C26/18 y </w:t>
      </w:r>
      <w:r w:rsidRPr="00D31931">
        <w:rPr>
          <w:b/>
          <w:bCs/>
          <w:lang w:val="es-ES"/>
        </w:rPr>
        <w:t xml:space="preserve">acuerda </w:t>
      </w:r>
      <w:r w:rsidRPr="00D31931">
        <w:rPr>
          <w:lang w:val="es-ES"/>
        </w:rPr>
        <w:t>transmitir el informe del Documento C26/18 a la PP</w:t>
      </w:r>
      <w:r w:rsidRPr="00D31931">
        <w:rPr>
          <w:lang w:val="es-ES"/>
        </w:rPr>
        <w:noBreakHyphen/>
        <w:t>26 para su ulterior consideración.</w:t>
      </w:r>
    </w:p>
    <w:p w14:paraId="2608BEE0" w14:textId="41BAD463" w:rsidR="00D31931" w:rsidRPr="00D31931" w:rsidRDefault="00D31931" w:rsidP="00D31931">
      <w:pPr>
        <w:pStyle w:val="Heading1"/>
        <w:rPr>
          <w:lang w:val="es-ES"/>
        </w:rPr>
      </w:pPr>
      <w:r w:rsidRPr="00D31931">
        <w:rPr>
          <w:lang w:val="es-ES"/>
        </w:rPr>
        <w:t>3</w:t>
      </w:r>
      <w:r w:rsidRPr="00D31931">
        <w:rPr>
          <w:lang w:val="es-ES"/>
        </w:rPr>
        <w:tab/>
        <w:t>Informe sobre la Resolución</w:t>
      </w:r>
      <w:r>
        <w:rPr>
          <w:lang w:val="es-ES"/>
        </w:rPr>
        <w:t> </w:t>
      </w:r>
      <w:r w:rsidRPr="00D31931">
        <w:rPr>
          <w:lang w:val="es-ES"/>
        </w:rPr>
        <w:t>214 (Bucarest, 2022) de la Conferencia de Plenipotenciarios sobre las tecnologías de inteligencia artificial y l</w:t>
      </w:r>
      <w:r>
        <w:rPr>
          <w:lang w:val="es-ES"/>
        </w:rPr>
        <w:t>a</w:t>
      </w:r>
      <w:r w:rsidRPr="00D31931">
        <w:rPr>
          <w:lang w:val="es-ES"/>
        </w:rPr>
        <w:t>s telecomunicaciones/tecnologías de la información y la comunicación (Documentos</w:t>
      </w:r>
      <w:r>
        <w:rPr>
          <w:lang w:val="es-ES"/>
        </w:rPr>
        <w:t> </w:t>
      </w:r>
      <w:proofErr w:type="spellStart"/>
      <w:r>
        <w:fldChar w:fldCharType="begin"/>
      </w:r>
      <w:r>
        <w:instrText>HYPERLINK "https://www.itu.int/md/S26-CL-C-0029/es" \h</w:instrText>
      </w:r>
      <w:r>
        <w:fldChar w:fldCharType="separate"/>
      </w:r>
      <w:r w:rsidRPr="00D31931">
        <w:rPr>
          <w:rStyle w:val="Hyperlink"/>
          <w:rFonts w:eastAsia="Times New Roman" w:cs="Times New Roman"/>
          <w:szCs w:val="20"/>
          <w:lang w:val="es-ES"/>
        </w:rPr>
        <w:t>C26</w:t>
      </w:r>
      <w:proofErr w:type="spellEnd"/>
      <w:r w:rsidRPr="00D31931">
        <w:rPr>
          <w:rStyle w:val="Hyperlink"/>
          <w:rFonts w:eastAsia="Times New Roman" w:cs="Times New Roman"/>
          <w:szCs w:val="20"/>
          <w:lang w:val="es-ES"/>
        </w:rPr>
        <w:t>/29</w:t>
      </w:r>
      <w:r>
        <w:fldChar w:fldCharType="end"/>
      </w:r>
      <w:r w:rsidRPr="00D31931">
        <w:rPr>
          <w:lang w:val="es-ES"/>
        </w:rPr>
        <w:t xml:space="preserve"> y </w:t>
      </w:r>
      <w:hyperlink r:id="rId16">
        <w:proofErr w:type="spellStart"/>
        <w:r w:rsidRPr="00D31931">
          <w:rPr>
            <w:rStyle w:val="Hyperlink"/>
            <w:rFonts w:eastAsia="Times New Roman" w:cs="Times New Roman"/>
            <w:szCs w:val="20"/>
            <w:lang w:val="es-ES"/>
          </w:rPr>
          <w:t>C26</w:t>
        </w:r>
        <w:proofErr w:type="spellEnd"/>
        <w:r w:rsidRPr="00D31931">
          <w:rPr>
            <w:rStyle w:val="Hyperlink"/>
            <w:rFonts w:eastAsia="Times New Roman" w:cs="Times New Roman"/>
            <w:szCs w:val="20"/>
            <w:lang w:val="es-ES"/>
          </w:rPr>
          <w:t>/79</w:t>
        </w:r>
      </w:hyperlink>
      <w:r w:rsidRPr="00D31931">
        <w:rPr>
          <w:lang w:val="es-ES"/>
        </w:rPr>
        <w:t>)</w:t>
      </w:r>
    </w:p>
    <w:p w14:paraId="388F67A0" w14:textId="2DBF20D4" w:rsidR="00D31931" w:rsidRPr="00D31931" w:rsidRDefault="00D31931" w:rsidP="008E01A0">
      <w:pPr>
        <w:jc w:val="both"/>
        <w:rPr>
          <w:lang w:val="es-ES"/>
        </w:rPr>
      </w:pPr>
      <w:r w:rsidRPr="00D31931">
        <w:rPr>
          <w:lang w:val="es-ES"/>
        </w:rPr>
        <w:t>3.1</w:t>
      </w:r>
      <w:r w:rsidRPr="00D31931">
        <w:rPr>
          <w:lang w:val="es-ES"/>
        </w:rPr>
        <w:tab/>
        <w:t>El Director Adjunto de la Oficina de Normalización de las Telecomunicaciones (TSB) presenta el Documento</w:t>
      </w:r>
      <w:r w:rsidR="00CF1913">
        <w:rPr>
          <w:lang w:val="es-ES"/>
        </w:rPr>
        <w:t> </w:t>
      </w:r>
      <w:r w:rsidRPr="00D31931">
        <w:rPr>
          <w:lang w:val="es-ES"/>
        </w:rPr>
        <w:t>C26/29, que contiene el Informe sobre la Resolución 214 (Bucarest,</w:t>
      </w:r>
      <w:r w:rsidR="00CF1913">
        <w:rPr>
          <w:lang w:val="es-ES"/>
        </w:rPr>
        <w:t> </w:t>
      </w:r>
      <w:r w:rsidRPr="00D31931">
        <w:rPr>
          <w:lang w:val="es-ES"/>
        </w:rPr>
        <w:t>2022) de la Conferencia de Plenipotenciarios. En el documento se hace un repaso exhaustivo de las actividades de la</w:t>
      </w:r>
      <w:r w:rsidR="00CF1913">
        <w:rPr>
          <w:lang w:val="es-ES"/>
        </w:rPr>
        <w:t> </w:t>
      </w:r>
      <w:r w:rsidRPr="00D31931">
        <w:rPr>
          <w:lang w:val="es-ES"/>
        </w:rPr>
        <w:t>UIT relacionadas con la</w:t>
      </w:r>
      <w:r w:rsidR="00CF1913">
        <w:rPr>
          <w:lang w:val="es-ES"/>
        </w:rPr>
        <w:t> </w:t>
      </w:r>
      <w:r w:rsidRPr="00D31931">
        <w:rPr>
          <w:lang w:val="es-ES"/>
        </w:rPr>
        <w:t xml:space="preserve">IA dentro del marco unificado de </w:t>
      </w:r>
      <w:r w:rsidR="00CF1913">
        <w:rPr>
          <w:lang w:val="es-ES"/>
        </w:rPr>
        <w:t>"</w:t>
      </w:r>
      <w:r w:rsidRPr="00D31931">
        <w:rPr>
          <w:lang w:val="es-ES"/>
        </w:rPr>
        <w:t>Una UIT</w:t>
      </w:r>
      <w:r w:rsidR="00CF1913">
        <w:rPr>
          <w:lang w:val="es-ES"/>
        </w:rPr>
        <w:t>"</w:t>
      </w:r>
      <w:r w:rsidRPr="00D31931">
        <w:rPr>
          <w:lang w:val="es-ES"/>
        </w:rPr>
        <w:t xml:space="preserve"> y estructuradas en torno a tres pilares estratégicos, a saber, soluciones y </w:t>
      </w:r>
      <w:r w:rsidRPr="00D31931">
        <w:rPr>
          <w:lang w:val="es-ES"/>
        </w:rPr>
        <w:lastRenderedPageBreak/>
        <w:t>conocimientos, competencias y capacidad y normas y políticas. Señala que en el Documento C26/42 se solicita financiación adicional a partir de los ahorros realizados en la ejecución presupuestaria de</w:t>
      </w:r>
      <w:r w:rsidR="00542882">
        <w:rPr>
          <w:lang w:val="es-ES"/>
        </w:rPr>
        <w:t> </w:t>
      </w:r>
      <w:r w:rsidRPr="00D31931">
        <w:rPr>
          <w:lang w:val="es-ES"/>
        </w:rPr>
        <w:t>2025 a fin de mantener y aumentar las actividades de la</w:t>
      </w:r>
      <w:r w:rsidR="00CF1913">
        <w:rPr>
          <w:lang w:val="es-ES"/>
        </w:rPr>
        <w:t> </w:t>
      </w:r>
      <w:r w:rsidRPr="00D31931">
        <w:rPr>
          <w:lang w:val="es-ES"/>
        </w:rPr>
        <w:t>UIT relacionadas con la</w:t>
      </w:r>
      <w:r w:rsidR="00542882">
        <w:rPr>
          <w:lang w:val="es-ES"/>
        </w:rPr>
        <w:t> </w:t>
      </w:r>
      <w:r w:rsidRPr="00D31931">
        <w:rPr>
          <w:lang w:val="es-ES"/>
        </w:rPr>
        <w:t>IA.</w:t>
      </w:r>
    </w:p>
    <w:p w14:paraId="70872D34" w14:textId="757F2FEA" w:rsidR="00D31931" w:rsidRPr="00D31931" w:rsidRDefault="00D31931" w:rsidP="008E01A0">
      <w:pPr>
        <w:jc w:val="both"/>
        <w:rPr>
          <w:lang w:val="es-ES"/>
        </w:rPr>
      </w:pPr>
      <w:r w:rsidRPr="00D31931">
        <w:rPr>
          <w:lang w:val="es-ES"/>
        </w:rPr>
        <w:t>3.2</w:t>
      </w:r>
      <w:r w:rsidRPr="00D31931">
        <w:rPr>
          <w:lang w:val="es-ES"/>
        </w:rPr>
        <w:tab/>
        <w:t>El consejero de India presenta la contribución del Documento C26/79 sobre la Cumbre AI</w:t>
      </w:r>
      <w:r w:rsidR="003C6503">
        <w:rPr>
          <w:lang w:val="es-ES"/>
        </w:rPr>
        <w:t> </w:t>
      </w:r>
      <w:r w:rsidRPr="00D31931">
        <w:rPr>
          <w:lang w:val="es-ES"/>
        </w:rPr>
        <w:t>Impact celebrada en Nueva Delhi en febrero de</w:t>
      </w:r>
      <w:r w:rsidR="00542882">
        <w:rPr>
          <w:lang w:val="es-ES"/>
        </w:rPr>
        <w:t> </w:t>
      </w:r>
      <w:r w:rsidRPr="00D31931">
        <w:rPr>
          <w:lang w:val="es-ES"/>
        </w:rPr>
        <w:t>2026, primera cumbre mundial de IA organizada por un país del Sur global. En el documento se describen el proceso preparatorio inclusivo de la Cumbre, sus principales resultados y su influencia para la gobernanza mundial de la</w:t>
      </w:r>
      <w:r w:rsidR="00CF1913">
        <w:rPr>
          <w:lang w:val="es-ES"/>
        </w:rPr>
        <w:t> </w:t>
      </w:r>
      <w:r w:rsidRPr="00D31931">
        <w:rPr>
          <w:lang w:val="es-ES"/>
        </w:rPr>
        <w:t>IA y los trabajos de la</w:t>
      </w:r>
      <w:r w:rsidR="00CF1913">
        <w:rPr>
          <w:lang w:val="es-ES"/>
        </w:rPr>
        <w:t> </w:t>
      </w:r>
      <w:r w:rsidRPr="00D31931">
        <w:rPr>
          <w:lang w:val="es-ES"/>
        </w:rPr>
        <w:t>UIT.</w:t>
      </w:r>
    </w:p>
    <w:p w14:paraId="0CDE1A0E" w14:textId="747BFB19" w:rsidR="00D31931" w:rsidRPr="00D31931" w:rsidRDefault="00D31931" w:rsidP="008E01A0">
      <w:pPr>
        <w:jc w:val="both"/>
        <w:rPr>
          <w:lang w:val="es-ES"/>
        </w:rPr>
      </w:pPr>
      <w:r w:rsidRPr="00D31931">
        <w:rPr>
          <w:lang w:val="es-ES"/>
        </w:rPr>
        <w:t>3.3</w:t>
      </w:r>
      <w:r w:rsidRPr="00D31931">
        <w:rPr>
          <w:lang w:val="es-ES"/>
        </w:rPr>
        <w:tab/>
        <w:t>Los consejeros agradecen el completo y claramente estructurado informe del Documento</w:t>
      </w:r>
      <w:r w:rsidR="00CF1913">
        <w:rPr>
          <w:lang w:val="es-ES"/>
        </w:rPr>
        <w:t> </w:t>
      </w:r>
      <w:r w:rsidRPr="00D31931">
        <w:rPr>
          <w:lang w:val="es-ES"/>
        </w:rPr>
        <w:t>C26/29, que demuestra el enfoque operativo y coherente adoptado por la</w:t>
      </w:r>
      <w:r w:rsidR="00CF1913">
        <w:rPr>
          <w:lang w:val="es-ES"/>
        </w:rPr>
        <w:t> </w:t>
      </w:r>
      <w:r w:rsidRPr="00D31931">
        <w:rPr>
          <w:lang w:val="es-ES"/>
        </w:rPr>
        <w:t>UIT de cara al importante tema de la</w:t>
      </w:r>
      <w:r w:rsidR="00542882">
        <w:rPr>
          <w:lang w:val="es-ES"/>
        </w:rPr>
        <w:t> </w:t>
      </w:r>
      <w:r w:rsidRPr="00D31931">
        <w:rPr>
          <w:lang w:val="es-ES"/>
        </w:rPr>
        <w:t>IA y felicitan a la</w:t>
      </w:r>
      <w:r w:rsidR="00CF1913">
        <w:rPr>
          <w:lang w:val="es-ES"/>
        </w:rPr>
        <w:t> </w:t>
      </w:r>
      <w:r w:rsidRPr="00D31931">
        <w:rPr>
          <w:lang w:val="es-ES"/>
        </w:rPr>
        <w:t>UIT por los esfuerzos invertidos en apoyar a los Estados Miembros a lo largo de toda la cadena de valor de la</w:t>
      </w:r>
      <w:r w:rsidR="00542882">
        <w:rPr>
          <w:lang w:val="es-ES"/>
        </w:rPr>
        <w:t> </w:t>
      </w:r>
      <w:r w:rsidRPr="00D31931">
        <w:rPr>
          <w:lang w:val="es-ES"/>
        </w:rPr>
        <w:t>IA. Se señala la creciente influencia de AI for Good como plataforma esencial para aprovechar la</w:t>
      </w:r>
      <w:r w:rsidR="00542882">
        <w:rPr>
          <w:lang w:val="es-ES"/>
        </w:rPr>
        <w:t> </w:t>
      </w:r>
      <w:r w:rsidRPr="00D31931">
        <w:rPr>
          <w:lang w:val="es-ES"/>
        </w:rPr>
        <w:t>IA para el desarrollo sostenible y las iniciativas de alerta temprana. Se expresó apoyo a la esencial labor de la</w:t>
      </w:r>
      <w:r w:rsidR="00542882">
        <w:rPr>
          <w:lang w:val="es-ES"/>
        </w:rPr>
        <w:t> </w:t>
      </w:r>
      <w:r w:rsidRPr="00D31931">
        <w:rPr>
          <w:lang w:val="es-ES"/>
        </w:rPr>
        <w:t>TSB y se reconocieron la importancia la cooperación multipartita, las soluciones de IA adecuadas al contexto y la participación inclusiva de los países en desarrollo en el proceso normalizador. Los consejeros insistieron en que las actividades de la</w:t>
      </w:r>
      <w:r w:rsidR="00CF1913">
        <w:rPr>
          <w:lang w:val="es-ES"/>
        </w:rPr>
        <w:t> </w:t>
      </w:r>
      <w:r w:rsidRPr="00D31931">
        <w:rPr>
          <w:lang w:val="es-ES"/>
        </w:rPr>
        <w:t>UIT relacionadas con la</w:t>
      </w:r>
      <w:r w:rsidR="00542882">
        <w:rPr>
          <w:lang w:val="es-ES"/>
        </w:rPr>
        <w:t> </w:t>
      </w:r>
      <w:r w:rsidRPr="00D31931">
        <w:rPr>
          <w:lang w:val="es-ES"/>
        </w:rPr>
        <w:t>IA deben seguir siendo prácticas, mensurables, inclusivas y reactivas a las necesidades de los países en desarrollo, además de estar armonizadas con las iniciativas regionales.</w:t>
      </w:r>
    </w:p>
    <w:p w14:paraId="3F9A4FCC" w14:textId="4962FFB6" w:rsidR="00D31931" w:rsidRPr="00D31931" w:rsidRDefault="00D31931" w:rsidP="008E01A0">
      <w:pPr>
        <w:jc w:val="both"/>
        <w:rPr>
          <w:lang w:val="es-ES"/>
        </w:rPr>
      </w:pPr>
      <w:r w:rsidRPr="00D31931">
        <w:rPr>
          <w:lang w:val="es-ES"/>
        </w:rPr>
        <w:t>3.4</w:t>
      </w:r>
      <w:r w:rsidRPr="00D31931">
        <w:rPr>
          <w:lang w:val="es-ES"/>
        </w:rPr>
        <w:tab/>
        <w:t>Dos consejeros señalan que muchas de las actividades presentadas en el Documento C26/29, incluido el curso de formación práctica sobre gobernanza de la</w:t>
      </w:r>
      <w:r w:rsidR="00CF1913">
        <w:rPr>
          <w:lang w:val="es-ES"/>
        </w:rPr>
        <w:t> </w:t>
      </w:r>
      <w:r w:rsidRPr="00D31931">
        <w:rPr>
          <w:lang w:val="es-ES"/>
        </w:rPr>
        <w:t>IA, parece exceder el alcance y el mandato establecidos en la Resolución 214 (Bucarest,</w:t>
      </w:r>
      <w:r w:rsidR="00542882">
        <w:rPr>
          <w:lang w:val="es-ES"/>
        </w:rPr>
        <w:t> </w:t>
      </w:r>
      <w:r w:rsidRPr="00D31931">
        <w:rPr>
          <w:lang w:val="es-ES"/>
        </w:rPr>
        <w:t>2022). El mandato de la</w:t>
      </w:r>
      <w:r w:rsidR="00CF1913">
        <w:rPr>
          <w:lang w:val="es-ES"/>
        </w:rPr>
        <w:t> </w:t>
      </w:r>
      <w:r w:rsidRPr="00D31931">
        <w:rPr>
          <w:lang w:val="es-ES"/>
        </w:rPr>
        <w:t>UIT está determinado por sus órganos rectores, no por otras entidades de las Naciones Unidas, y se agradecería conocer la justificación de ciertas actividades. Un consejero pide, además, aclaraciones acerca del papel de la</w:t>
      </w:r>
      <w:r w:rsidR="00CF1913">
        <w:rPr>
          <w:lang w:val="es-ES"/>
        </w:rPr>
        <w:t> </w:t>
      </w:r>
      <w:r w:rsidRPr="00D31931">
        <w:rPr>
          <w:lang w:val="es-ES"/>
        </w:rPr>
        <w:t>UIT en el Diálogo Mundial sobre la Gobernanza de la</w:t>
      </w:r>
      <w:r w:rsidR="00542882">
        <w:rPr>
          <w:lang w:val="es-ES"/>
        </w:rPr>
        <w:t> </w:t>
      </w:r>
      <w:r w:rsidRPr="00D31931">
        <w:rPr>
          <w:lang w:val="es-ES"/>
        </w:rPr>
        <w:t>IA, pues esa iniciativa emana de la Asamblea General de las Naciones Unidas. También se destacó la necesidad de evitar la duplicación de otros procesos de las Naciones Unidas. Un consejero pregunta, por otra parte, si los criterios de evaluación utilizados en el examen estratégico integral de la</w:t>
      </w:r>
      <w:r w:rsidR="00542882">
        <w:rPr>
          <w:lang w:val="es-ES"/>
        </w:rPr>
        <w:t> </w:t>
      </w:r>
      <w:r w:rsidRPr="00D31931">
        <w:rPr>
          <w:lang w:val="es-ES"/>
        </w:rPr>
        <w:t>IA realizado por la Secretaría en 2025 se incluyó la armonización de las actividades con la Resolución 214 (Bucarest,</w:t>
      </w:r>
      <w:r w:rsidR="00542882">
        <w:rPr>
          <w:lang w:val="es-ES"/>
        </w:rPr>
        <w:t> </w:t>
      </w:r>
      <w:r w:rsidRPr="00D31931">
        <w:rPr>
          <w:lang w:val="es-ES"/>
        </w:rPr>
        <w:t>2022). Tales ejercicios de priorización exigen la contribución y supervisión de los Estados Miembros para garantizar que las decisiones, incluso sobre actividades relacionadas con la</w:t>
      </w:r>
      <w:r w:rsidR="008F616C">
        <w:rPr>
          <w:lang w:val="es-ES"/>
        </w:rPr>
        <w:t> </w:t>
      </w:r>
      <w:r w:rsidRPr="00D31931">
        <w:rPr>
          <w:lang w:val="es-ES"/>
        </w:rPr>
        <w:t>IA, emanan de los Estados Miembros, responden a las contribuciones presentadas y están consensuadas. Algunos consejeros consideran que la Secretaría debe presentar más información sobre cómo se utilizará la financiación adicional solicitada y cuáles son los resultados previstos. Otro consejero, por su parte, considera que la financiación adicional es fundamental para garantizar la continuidad y sostenibilidad de las cada vez más numerosas actividades de la</w:t>
      </w:r>
      <w:r w:rsidR="00CF1913">
        <w:rPr>
          <w:lang w:val="es-ES"/>
        </w:rPr>
        <w:t> </w:t>
      </w:r>
      <w:r w:rsidRPr="00D31931">
        <w:rPr>
          <w:lang w:val="es-ES"/>
        </w:rPr>
        <w:t>UIT relacionadas con la</w:t>
      </w:r>
      <w:r w:rsidR="00542882">
        <w:rPr>
          <w:lang w:val="es-ES"/>
        </w:rPr>
        <w:t> </w:t>
      </w:r>
      <w:r w:rsidRPr="00D31931">
        <w:rPr>
          <w:lang w:val="es-ES"/>
        </w:rPr>
        <w:t>IA. También se pide más información sobre el alcance del Fondo de IA, las actividades que se quiere ampliar, mantener o cesar y sobre la declaración conjunta sobre IA y derechos de niño firmada por la</w:t>
      </w:r>
      <w:r w:rsidR="00CF1913">
        <w:rPr>
          <w:lang w:val="es-ES"/>
        </w:rPr>
        <w:t> </w:t>
      </w:r>
      <w:r w:rsidRPr="00D31931">
        <w:rPr>
          <w:lang w:val="es-ES"/>
        </w:rPr>
        <w:t>UIT y otras organizaciones en enero de</w:t>
      </w:r>
      <w:r w:rsidR="00CF1913">
        <w:rPr>
          <w:lang w:val="es-ES"/>
        </w:rPr>
        <w:t> </w:t>
      </w:r>
      <w:r w:rsidRPr="00D31931">
        <w:rPr>
          <w:lang w:val="es-ES"/>
        </w:rPr>
        <w:t>2026.</w:t>
      </w:r>
    </w:p>
    <w:p w14:paraId="1DF40E3E" w14:textId="0A3F5F62" w:rsidR="00D31931" w:rsidRPr="00D31931" w:rsidRDefault="00D31931" w:rsidP="008E01A0">
      <w:pPr>
        <w:jc w:val="both"/>
        <w:rPr>
          <w:lang w:val="es-ES"/>
        </w:rPr>
      </w:pPr>
      <w:r w:rsidRPr="00D31931">
        <w:rPr>
          <w:lang w:val="es-ES"/>
        </w:rPr>
        <w:t>3.5</w:t>
      </w:r>
      <w:r w:rsidRPr="00D31931">
        <w:rPr>
          <w:lang w:val="es-ES"/>
        </w:rPr>
        <w:tab/>
        <w:t>Satisfechos con el Documento</w:t>
      </w:r>
      <w:r w:rsidR="00CF1913">
        <w:rPr>
          <w:lang w:val="es-ES"/>
        </w:rPr>
        <w:t> </w:t>
      </w:r>
      <w:r w:rsidRPr="00D31931">
        <w:rPr>
          <w:lang w:val="es-ES"/>
        </w:rPr>
        <w:t>C26/79, los consejeros agradecen a India la organización de la interesante Cumbre AI Impact.</w:t>
      </w:r>
    </w:p>
    <w:p w14:paraId="36D31ECA" w14:textId="77777777" w:rsidR="00D31931" w:rsidRPr="00D31931" w:rsidRDefault="00D31931" w:rsidP="008E01A0">
      <w:pPr>
        <w:jc w:val="both"/>
        <w:rPr>
          <w:lang w:val="es-ES"/>
        </w:rPr>
      </w:pPr>
      <w:r w:rsidRPr="00D31931">
        <w:rPr>
          <w:lang w:val="es-ES"/>
        </w:rPr>
        <w:t>3.6</w:t>
      </w:r>
      <w:r w:rsidRPr="00D31931">
        <w:rPr>
          <w:lang w:val="es-ES"/>
        </w:rPr>
        <w:tab/>
        <w:t xml:space="preserve">El Consejo </w:t>
      </w:r>
      <w:r w:rsidRPr="00D31931">
        <w:rPr>
          <w:b/>
          <w:bCs/>
          <w:lang w:val="es-ES"/>
        </w:rPr>
        <w:t xml:space="preserve">toma nota </w:t>
      </w:r>
      <w:r w:rsidRPr="00D31931">
        <w:rPr>
          <w:lang w:val="es-ES"/>
        </w:rPr>
        <w:t>del informe presentado en el Documento C26/29 y de la contribución del Documento C26/79.</w:t>
      </w:r>
    </w:p>
    <w:p w14:paraId="5C51030C" w14:textId="77777777" w:rsidR="00D31931" w:rsidRPr="00D31931" w:rsidRDefault="00D31931" w:rsidP="00D31931">
      <w:pPr>
        <w:pStyle w:val="Heading1"/>
        <w:rPr>
          <w:lang w:val="es-ES"/>
        </w:rPr>
      </w:pPr>
      <w:r w:rsidRPr="00D31931">
        <w:rPr>
          <w:lang w:val="es-ES"/>
        </w:rPr>
        <w:lastRenderedPageBreak/>
        <w:t>4</w:t>
      </w:r>
      <w:r w:rsidRPr="00D31931">
        <w:rPr>
          <w:lang w:val="es-ES"/>
        </w:rPr>
        <w:tab/>
        <w:t>Declaraciones de los consejeros</w:t>
      </w:r>
    </w:p>
    <w:p w14:paraId="2AEED122" w14:textId="1CFF07D4" w:rsidR="00D31931" w:rsidRPr="00D31931" w:rsidRDefault="00D31931" w:rsidP="008E01A0">
      <w:pPr>
        <w:jc w:val="both"/>
        <w:rPr>
          <w:lang w:val="es-ES"/>
        </w:rPr>
      </w:pPr>
      <w:r w:rsidRPr="00D31931">
        <w:rPr>
          <w:lang w:val="es-ES"/>
        </w:rPr>
        <w:t>4.1</w:t>
      </w:r>
      <w:r w:rsidRPr="00D31931">
        <w:rPr>
          <w:lang w:val="es-ES"/>
        </w:rPr>
        <w:tab/>
        <w:t>Los consejeros de Argelia, Bulgaria y Emiratos Árabes Unidos anuncian la candidatura de sus países a la reelección al Consejo en la</w:t>
      </w:r>
      <w:r w:rsidR="00542882">
        <w:rPr>
          <w:lang w:val="es-ES"/>
        </w:rPr>
        <w:t> </w:t>
      </w:r>
      <w:r w:rsidRPr="00D31931">
        <w:rPr>
          <w:lang w:val="es-ES"/>
        </w:rPr>
        <w:t>PP</w:t>
      </w:r>
      <w:r w:rsidRPr="00D31931">
        <w:rPr>
          <w:lang w:val="es-ES"/>
        </w:rPr>
        <w:noBreakHyphen/>
        <w:t>26.</w:t>
      </w:r>
    </w:p>
    <w:p w14:paraId="26D9BCCD" w14:textId="77777777" w:rsidR="00D31931" w:rsidRPr="00D31931" w:rsidRDefault="00D31931" w:rsidP="00D31931">
      <w:pPr>
        <w:pStyle w:val="Heading1"/>
        <w:rPr>
          <w:lang w:val="es-ES"/>
        </w:rPr>
      </w:pPr>
      <w:r w:rsidRPr="00D31931">
        <w:rPr>
          <w:lang w:val="es-ES"/>
        </w:rPr>
        <w:t>5</w:t>
      </w:r>
      <w:r w:rsidRPr="00D31931">
        <w:rPr>
          <w:lang w:val="es-ES"/>
        </w:rPr>
        <w:tab/>
        <w:t>Condolencias por el fallecimiento del Sr. Yury Grin</w:t>
      </w:r>
    </w:p>
    <w:p w14:paraId="5619D7F6" w14:textId="5C926702" w:rsidR="00411A60" w:rsidRPr="00411A60" w:rsidRDefault="00D31931" w:rsidP="008E01A0">
      <w:pPr>
        <w:jc w:val="both"/>
        <w:rPr>
          <w:lang w:val="es-ES"/>
        </w:rPr>
      </w:pPr>
      <w:r w:rsidRPr="00D31931">
        <w:rPr>
          <w:lang w:val="es-ES"/>
        </w:rPr>
        <w:t>La Secretaria General expresa sus condolencias por el fallecimiento del Sr. Yury Grin, que fue miembro de la Junta de ITU</w:t>
      </w:r>
      <w:r w:rsidR="00542882">
        <w:rPr>
          <w:lang w:val="es-ES"/>
        </w:rPr>
        <w:t> </w:t>
      </w:r>
      <w:r w:rsidRPr="00D31931">
        <w:rPr>
          <w:lang w:val="es-ES"/>
        </w:rPr>
        <w:t>Telecom, presidió el Consejo y asumió los cargos de Jefe del Departamento de Conferencias y Publicaciones y de Director Adjunto de la Oficina de Desarrollo de las Telecomunicaciones. Invita a los presentes a observar un minuto de silencio.</w:t>
      </w:r>
    </w:p>
    <w:p w14:paraId="64C9E3E3" w14:textId="10C346CD" w:rsidR="000147ED" w:rsidRPr="00A078E7" w:rsidRDefault="000147ED" w:rsidP="00832703">
      <w:pPr>
        <w:tabs>
          <w:tab w:val="clear" w:pos="2268"/>
          <w:tab w:val="clear" w:pos="2835"/>
          <w:tab w:val="left" w:pos="6237"/>
        </w:tabs>
        <w:spacing w:before="840"/>
        <w:rPr>
          <w:lang w:val="es-ES"/>
        </w:rPr>
      </w:pPr>
      <w:r w:rsidRPr="000147ED">
        <w:rPr>
          <w:lang w:val="es-ES"/>
        </w:rPr>
        <w:t>La Secretaria General:</w:t>
      </w:r>
      <w:r w:rsidRPr="000147ED">
        <w:rPr>
          <w:lang w:val="es-ES"/>
        </w:rPr>
        <w:tab/>
        <w:t>El Presidente:</w:t>
      </w:r>
      <w:r w:rsidR="00832703">
        <w:rPr>
          <w:lang w:val="es-ES"/>
        </w:rPr>
        <w:br/>
      </w:r>
      <w:r w:rsidRPr="00A078E7">
        <w:rPr>
          <w:lang w:val="es-ES"/>
        </w:rPr>
        <w:t>D. BOGDAN-MARTIN</w:t>
      </w:r>
      <w:r w:rsidRPr="00A078E7">
        <w:rPr>
          <w:lang w:val="es-ES"/>
        </w:rPr>
        <w:tab/>
        <w:t>B. TIJANI</w:t>
      </w:r>
    </w:p>
    <w:sectPr w:rsidR="000147ED" w:rsidRPr="00A078E7" w:rsidSect="00C538FC">
      <w:footerReference w:type="default" r:id="rId17"/>
      <w:headerReference w:type="first" r:id="rId18"/>
      <w:footerReference w:type="first" r:id="rId19"/>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6AA3A" w14:textId="77777777" w:rsidR="002A188B" w:rsidRDefault="002A188B">
      <w:r>
        <w:separator/>
      </w:r>
    </w:p>
  </w:endnote>
  <w:endnote w:type="continuationSeparator" w:id="0">
    <w:p w14:paraId="5E952370" w14:textId="77777777" w:rsidR="002A188B" w:rsidRDefault="002A1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3273A4" w:rsidRPr="00784011" w14:paraId="20555E03" w14:textId="77777777" w:rsidTr="00E31DCE">
      <w:trPr>
        <w:jc w:val="center"/>
      </w:trPr>
      <w:tc>
        <w:tcPr>
          <w:tcW w:w="1803" w:type="dxa"/>
          <w:vAlign w:val="center"/>
        </w:tcPr>
        <w:p w14:paraId="0F678F2F" w14:textId="404D60A0" w:rsidR="003273A4" w:rsidRDefault="00832703" w:rsidP="003273A4">
          <w:pPr>
            <w:pStyle w:val="Header"/>
            <w:jc w:val="left"/>
            <w:rPr>
              <w:noProof/>
            </w:rPr>
          </w:pPr>
          <w:r>
            <w:rPr>
              <w:noProof/>
            </w:rPr>
            <w:t>26013</w:t>
          </w:r>
          <w:r w:rsidR="007777C1">
            <w:rPr>
              <w:noProof/>
            </w:rPr>
            <w:t>4</w:t>
          </w:r>
          <w:r w:rsidR="00D31931">
            <w:rPr>
              <w:noProof/>
            </w:rPr>
            <w:t>2</w:t>
          </w:r>
        </w:p>
      </w:tc>
      <w:tc>
        <w:tcPr>
          <w:tcW w:w="8261" w:type="dxa"/>
        </w:tcPr>
        <w:p w14:paraId="12ECC52F" w14:textId="1BFBE732" w:rsidR="003273A4" w:rsidRPr="00E06FD5" w:rsidRDefault="003273A4" w:rsidP="00B060DF">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F85E5C">
            <w:rPr>
              <w:bCs/>
            </w:rPr>
            <w:t>6</w:t>
          </w:r>
          <w:r w:rsidRPr="00623AE3">
            <w:rPr>
              <w:bCs/>
            </w:rPr>
            <w:t>/</w:t>
          </w:r>
          <w:r w:rsidR="00832703">
            <w:rPr>
              <w:bCs/>
            </w:rPr>
            <w:t>1</w:t>
          </w:r>
          <w:r w:rsidR="00016F53">
            <w:rPr>
              <w:bCs/>
            </w:rPr>
            <w:t>2</w:t>
          </w:r>
          <w:r w:rsidR="00D31931">
            <w:rPr>
              <w:bCs/>
            </w:rPr>
            <w:t>2</w:t>
          </w:r>
          <w:r w:rsidRPr="00623AE3">
            <w:rPr>
              <w:bCs/>
            </w:rPr>
            <w:t>-</w:t>
          </w:r>
          <w:r>
            <w:rPr>
              <w:bCs/>
            </w:rPr>
            <w:t>S</w:t>
          </w:r>
          <w:r>
            <w:rPr>
              <w:bCs/>
            </w:rPr>
            <w:tab/>
          </w:r>
          <w:r>
            <w:fldChar w:fldCharType="begin"/>
          </w:r>
          <w:r>
            <w:instrText>PAGE</w:instrText>
          </w:r>
          <w:r>
            <w:fldChar w:fldCharType="separate"/>
          </w:r>
          <w:r>
            <w:t>1</w:t>
          </w:r>
          <w:r>
            <w:rPr>
              <w:noProof/>
            </w:rPr>
            <w:fldChar w:fldCharType="end"/>
          </w:r>
        </w:p>
      </w:tc>
    </w:tr>
  </w:tbl>
  <w:p w14:paraId="06046CF0" w14:textId="77777777" w:rsidR="00760F1C" w:rsidRPr="003273A4" w:rsidRDefault="00760F1C" w:rsidP="003273A4">
    <w:pPr>
      <w:pStyle w:val="Footer"/>
      <w:rPr>
        <w:b/>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F24B71" w:rsidRPr="00784011" w14:paraId="4A19E555" w14:textId="77777777" w:rsidTr="00E31DCE">
      <w:trPr>
        <w:jc w:val="center"/>
      </w:trPr>
      <w:tc>
        <w:tcPr>
          <w:tcW w:w="1803" w:type="dxa"/>
          <w:vAlign w:val="center"/>
        </w:tcPr>
        <w:p w14:paraId="66B3775A" w14:textId="63063E21" w:rsidR="00F24B71" w:rsidRPr="002946E2" w:rsidRDefault="00F85E5C" w:rsidP="00F24B71">
          <w:pPr>
            <w:pStyle w:val="Header"/>
            <w:jc w:val="left"/>
            <w:rPr>
              <w:noProof/>
            </w:rPr>
          </w:pPr>
          <w:hyperlink r:id="rId1" w:anchor="/es" w:history="1">
            <w:r>
              <w:rPr>
                <w:rStyle w:val="Hyperlink"/>
                <w:noProof/>
              </w:rPr>
              <w:t>council.itu.int/2026</w:t>
            </w:r>
          </w:hyperlink>
        </w:p>
      </w:tc>
      <w:tc>
        <w:tcPr>
          <w:tcW w:w="8261" w:type="dxa"/>
        </w:tcPr>
        <w:p w14:paraId="0DF6A4B8" w14:textId="2994C889" w:rsidR="00F24B71" w:rsidRPr="00E06FD5" w:rsidRDefault="00F24B71" w:rsidP="00B060DF">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F85E5C">
            <w:rPr>
              <w:bCs/>
            </w:rPr>
            <w:t>6</w:t>
          </w:r>
          <w:r w:rsidRPr="00623AE3">
            <w:rPr>
              <w:bCs/>
            </w:rPr>
            <w:t>/</w:t>
          </w:r>
          <w:r w:rsidR="00016F53">
            <w:rPr>
              <w:bCs/>
            </w:rPr>
            <w:t>12</w:t>
          </w:r>
          <w:r w:rsidR="00D31931">
            <w:rPr>
              <w:bCs/>
            </w:rPr>
            <w:t>2</w:t>
          </w:r>
          <w:r w:rsidRPr="00623AE3">
            <w:rPr>
              <w:bCs/>
            </w:rPr>
            <w:t>-</w:t>
          </w:r>
          <w:r w:rsidR="003273A4">
            <w:rPr>
              <w:bCs/>
            </w:rPr>
            <w:t>S</w:t>
          </w:r>
          <w:r>
            <w:rPr>
              <w:bCs/>
            </w:rPr>
            <w:tab/>
          </w:r>
          <w:r>
            <w:fldChar w:fldCharType="begin"/>
          </w:r>
          <w:r>
            <w:instrText>PAGE</w:instrText>
          </w:r>
          <w:r>
            <w:fldChar w:fldCharType="separate"/>
          </w:r>
          <w:r>
            <w:t>1</w:t>
          </w:r>
          <w:r>
            <w:rPr>
              <w:noProof/>
            </w:rPr>
            <w:fldChar w:fldCharType="end"/>
          </w:r>
        </w:p>
      </w:tc>
    </w:tr>
  </w:tbl>
  <w:p w14:paraId="5E7FDA73" w14:textId="77777777" w:rsidR="00760F1C" w:rsidRPr="00F24B71" w:rsidRDefault="00760F1C" w:rsidP="00F24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0600A" w14:textId="77777777" w:rsidR="002A188B" w:rsidRDefault="002A188B">
      <w:r>
        <w:t>____________________</w:t>
      </w:r>
    </w:p>
  </w:footnote>
  <w:footnote w:type="continuationSeparator" w:id="0">
    <w:p w14:paraId="3C07F868" w14:textId="77777777" w:rsidR="002A188B" w:rsidRDefault="002A18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687D" w14:textId="77777777" w:rsidR="001559F5" w:rsidRPr="00B1560D" w:rsidRDefault="00B1560D" w:rsidP="00B1560D">
    <w:pPr>
      <w:pStyle w:val="Header"/>
    </w:pPr>
    <w:r>
      <w:rPr>
        <w:noProof/>
      </w:rPr>
      <w:drawing>
        <wp:inline distT="0" distB="0" distL="0" distR="0" wp14:anchorId="77E234E2" wp14:editId="3C13B62B">
          <wp:extent cx="5760085" cy="840740"/>
          <wp:effectExtent l="0" t="0" r="0" b="0"/>
          <wp:docPr id="397875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875340" name="Picture 397875340"/>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770"/>
    <w:rsid w:val="000007D1"/>
    <w:rsid w:val="000147ED"/>
    <w:rsid w:val="00016F53"/>
    <w:rsid w:val="0006007D"/>
    <w:rsid w:val="00091B52"/>
    <w:rsid w:val="00093EEB"/>
    <w:rsid w:val="000A4BD1"/>
    <w:rsid w:val="000B0D00"/>
    <w:rsid w:val="000B7C15"/>
    <w:rsid w:val="000D1D0F"/>
    <w:rsid w:val="000E3F07"/>
    <w:rsid w:val="000F5290"/>
    <w:rsid w:val="000F5A95"/>
    <w:rsid w:val="0010165C"/>
    <w:rsid w:val="00137BDC"/>
    <w:rsid w:val="00146BFB"/>
    <w:rsid w:val="00155333"/>
    <w:rsid w:val="001559F5"/>
    <w:rsid w:val="00157AC4"/>
    <w:rsid w:val="0016169C"/>
    <w:rsid w:val="001958F5"/>
    <w:rsid w:val="001B6E2B"/>
    <w:rsid w:val="001F14A2"/>
    <w:rsid w:val="0020641D"/>
    <w:rsid w:val="00254F86"/>
    <w:rsid w:val="00277DEA"/>
    <w:rsid w:val="002801AA"/>
    <w:rsid w:val="002946E2"/>
    <w:rsid w:val="002A188B"/>
    <w:rsid w:val="002C3F32"/>
    <w:rsid w:val="002C4676"/>
    <w:rsid w:val="002C70B0"/>
    <w:rsid w:val="002F3CC4"/>
    <w:rsid w:val="003032E2"/>
    <w:rsid w:val="0031300A"/>
    <w:rsid w:val="003273A4"/>
    <w:rsid w:val="0034796E"/>
    <w:rsid w:val="0039578B"/>
    <w:rsid w:val="003B276A"/>
    <w:rsid w:val="003C3B9A"/>
    <w:rsid w:val="003C6503"/>
    <w:rsid w:val="00411A60"/>
    <w:rsid w:val="004571B0"/>
    <w:rsid w:val="00465C35"/>
    <w:rsid w:val="00473962"/>
    <w:rsid w:val="004B5D49"/>
    <w:rsid w:val="004D3A3C"/>
    <w:rsid w:val="00513630"/>
    <w:rsid w:val="00542882"/>
    <w:rsid w:val="00544175"/>
    <w:rsid w:val="00560125"/>
    <w:rsid w:val="00585553"/>
    <w:rsid w:val="005B34D9"/>
    <w:rsid w:val="005D0CCF"/>
    <w:rsid w:val="005E3F36"/>
    <w:rsid w:val="005F0915"/>
    <w:rsid w:val="005F3BCB"/>
    <w:rsid w:val="005F410F"/>
    <w:rsid w:val="005F4F38"/>
    <w:rsid w:val="0060149A"/>
    <w:rsid w:val="00601924"/>
    <w:rsid w:val="006447EA"/>
    <w:rsid w:val="0064481D"/>
    <w:rsid w:val="0064731F"/>
    <w:rsid w:val="00664572"/>
    <w:rsid w:val="00666D09"/>
    <w:rsid w:val="00670579"/>
    <w:rsid w:val="006710F6"/>
    <w:rsid w:val="00677A97"/>
    <w:rsid w:val="006C1B56"/>
    <w:rsid w:val="006D4761"/>
    <w:rsid w:val="00726872"/>
    <w:rsid w:val="00760F1C"/>
    <w:rsid w:val="007657F0"/>
    <w:rsid w:val="00770770"/>
    <w:rsid w:val="0077110E"/>
    <w:rsid w:val="0077252D"/>
    <w:rsid w:val="007777C1"/>
    <w:rsid w:val="007955DA"/>
    <w:rsid w:val="007C35C4"/>
    <w:rsid w:val="007E5DD3"/>
    <w:rsid w:val="007F350B"/>
    <w:rsid w:val="00820BE4"/>
    <w:rsid w:val="00825E63"/>
    <w:rsid w:val="00832703"/>
    <w:rsid w:val="008451E8"/>
    <w:rsid w:val="0084546D"/>
    <w:rsid w:val="008A5340"/>
    <w:rsid w:val="008A6575"/>
    <w:rsid w:val="008E01A0"/>
    <w:rsid w:val="008F616C"/>
    <w:rsid w:val="008F6ABC"/>
    <w:rsid w:val="00913B9C"/>
    <w:rsid w:val="00927F93"/>
    <w:rsid w:val="009526ED"/>
    <w:rsid w:val="00956E77"/>
    <w:rsid w:val="009A338E"/>
    <w:rsid w:val="009A57D1"/>
    <w:rsid w:val="009A76A8"/>
    <w:rsid w:val="009F4811"/>
    <w:rsid w:val="00A01F4F"/>
    <w:rsid w:val="00A04080"/>
    <w:rsid w:val="00A078E7"/>
    <w:rsid w:val="00A109AF"/>
    <w:rsid w:val="00A94438"/>
    <w:rsid w:val="00AA390C"/>
    <w:rsid w:val="00AD5A4D"/>
    <w:rsid w:val="00AF0EAC"/>
    <w:rsid w:val="00B0200A"/>
    <w:rsid w:val="00B060DF"/>
    <w:rsid w:val="00B1560D"/>
    <w:rsid w:val="00B5058D"/>
    <w:rsid w:val="00B574DB"/>
    <w:rsid w:val="00B826C2"/>
    <w:rsid w:val="00B8298E"/>
    <w:rsid w:val="00BB6FD8"/>
    <w:rsid w:val="00BD0723"/>
    <w:rsid w:val="00BD2518"/>
    <w:rsid w:val="00BD4654"/>
    <w:rsid w:val="00BF1D1C"/>
    <w:rsid w:val="00C20C59"/>
    <w:rsid w:val="00C2727F"/>
    <w:rsid w:val="00C4421B"/>
    <w:rsid w:val="00C538FC"/>
    <w:rsid w:val="00C55B1F"/>
    <w:rsid w:val="00C74BEC"/>
    <w:rsid w:val="00CC1FAF"/>
    <w:rsid w:val="00CF1913"/>
    <w:rsid w:val="00CF1A67"/>
    <w:rsid w:val="00CF5005"/>
    <w:rsid w:val="00D2750E"/>
    <w:rsid w:val="00D31931"/>
    <w:rsid w:val="00D375E0"/>
    <w:rsid w:val="00D50A36"/>
    <w:rsid w:val="00D62446"/>
    <w:rsid w:val="00DA4EA2"/>
    <w:rsid w:val="00DC3D3E"/>
    <w:rsid w:val="00DC60B4"/>
    <w:rsid w:val="00DD3300"/>
    <w:rsid w:val="00DE2C90"/>
    <w:rsid w:val="00DE3B24"/>
    <w:rsid w:val="00DE7376"/>
    <w:rsid w:val="00E06947"/>
    <w:rsid w:val="00E11319"/>
    <w:rsid w:val="00E21444"/>
    <w:rsid w:val="00E34072"/>
    <w:rsid w:val="00E3592D"/>
    <w:rsid w:val="00E50D76"/>
    <w:rsid w:val="00E74DB8"/>
    <w:rsid w:val="00E8018B"/>
    <w:rsid w:val="00E92DE8"/>
    <w:rsid w:val="00EB1212"/>
    <w:rsid w:val="00ED65AB"/>
    <w:rsid w:val="00F12850"/>
    <w:rsid w:val="00F12D42"/>
    <w:rsid w:val="00F24B71"/>
    <w:rsid w:val="00F33BF4"/>
    <w:rsid w:val="00F7105E"/>
    <w:rsid w:val="00F75F57"/>
    <w:rsid w:val="00F82FEE"/>
    <w:rsid w:val="00F85E5C"/>
    <w:rsid w:val="00F92BED"/>
    <w:rsid w:val="00FD57D3"/>
    <w:rsid w:val="00FE57F6"/>
    <w:rsid w:val="00FF11B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718FB3"/>
  <w15:docId w15:val="{1F5B70C9-BADA-4E08-A3C6-F8237D445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5A95"/>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qFormat/>
    <w:rsid w:val="000F5A95"/>
    <w:pPr>
      <w:keepNext/>
      <w:keepLines/>
      <w:spacing w:before="360"/>
      <w:ind w:left="567" w:hanging="567"/>
      <w:outlineLvl w:val="0"/>
    </w:pPr>
    <w:rPr>
      <w:b/>
      <w:sz w:val="28"/>
    </w:rPr>
  </w:style>
  <w:style w:type="paragraph" w:styleId="Heading2">
    <w:name w:val="heading 2"/>
    <w:basedOn w:val="Heading1"/>
    <w:next w:val="Normal"/>
    <w:qFormat/>
    <w:rsid w:val="000F5A95"/>
    <w:pPr>
      <w:spacing w:before="200"/>
      <w:outlineLvl w:val="1"/>
    </w:pPr>
    <w:rPr>
      <w:sz w:val="24"/>
    </w:rPr>
  </w:style>
  <w:style w:type="paragraph" w:styleId="Heading3">
    <w:name w:val="heading 3"/>
    <w:basedOn w:val="Heading1"/>
    <w:next w:val="Normal"/>
    <w:qFormat/>
    <w:rsid w:val="000F5A95"/>
    <w:pPr>
      <w:spacing w:before="200"/>
      <w:outlineLvl w:val="2"/>
    </w:pPr>
    <w:rPr>
      <w:sz w:val="24"/>
    </w:rPr>
  </w:style>
  <w:style w:type="paragraph" w:styleId="Heading4">
    <w:name w:val="heading 4"/>
    <w:basedOn w:val="Heading3"/>
    <w:next w:val="Normal"/>
    <w:qFormat/>
    <w:rsid w:val="000F5A95"/>
    <w:pPr>
      <w:ind w:left="1134" w:hanging="1134"/>
      <w:outlineLvl w:val="3"/>
    </w:pPr>
  </w:style>
  <w:style w:type="paragraph" w:styleId="Heading5">
    <w:name w:val="heading 5"/>
    <w:basedOn w:val="Heading4"/>
    <w:next w:val="Normal"/>
    <w:qFormat/>
    <w:rsid w:val="000F5A95"/>
    <w:pPr>
      <w:outlineLvl w:val="4"/>
    </w:pPr>
  </w:style>
  <w:style w:type="paragraph" w:styleId="Heading6">
    <w:name w:val="heading 6"/>
    <w:basedOn w:val="Heading4"/>
    <w:next w:val="Normal"/>
    <w:qFormat/>
    <w:rsid w:val="000F5A95"/>
    <w:pPr>
      <w:outlineLvl w:val="5"/>
    </w:pPr>
  </w:style>
  <w:style w:type="paragraph" w:styleId="Heading7">
    <w:name w:val="heading 7"/>
    <w:basedOn w:val="Heading4"/>
    <w:next w:val="Normal"/>
    <w:qFormat/>
    <w:rsid w:val="000F5A95"/>
    <w:pPr>
      <w:ind w:left="1701" w:hanging="1701"/>
      <w:outlineLvl w:val="6"/>
    </w:pPr>
  </w:style>
  <w:style w:type="paragraph" w:styleId="Heading8">
    <w:name w:val="heading 8"/>
    <w:basedOn w:val="Heading4"/>
    <w:next w:val="Normal"/>
    <w:qFormat/>
    <w:rsid w:val="000F5A95"/>
    <w:pPr>
      <w:ind w:left="1701" w:hanging="1701"/>
      <w:outlineLvl w:val="7"/>
    </w:pPr>
  </w:style>
  <w:style w:type="paragraph" w:styleId="Heading9">
    <w:name w:val="heading 9"/>
    <w:basedOn w:val="Heading4"/>
    <w:next w:val="Normal"/>
    <w:qFormat/>
    <w:rsid w:val="000F5A95"/>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0F5A95"/>
  </w:style>
  <w:style w:type="paragraph" w:styleId="TOC4">
    <w:name w:val="toc 4"/>
    <w:basedOn w:val="TOC1"/>
    <w:next w:val="Normal"/>
    <w:rsid w:val="000F5A95"/>
  </w:style>
  <w:style w:type="paragraph" w:styleId="TOC3">
    <w:name w:val="toc 3"/>
    <w:basedOn w:val="TOC1"/>
    <w:next w:val="Normal"/>
    <w:rsid w:val="000F5A95"/>
  </w:style>
  <w:style w:type="paragraph" w:styleId="TOC2">
    <w:name w:val="toc 2"/>
    <w:basedOn w:val="TOC1"/>
    <w:next w:val="Normal"/>
    <w:rsid w:val="000F5A95"/>
    <w:pPr>
      <w:spacing w:before="160"/>
    </w:pPr>
  </w:style>
  <w:style w:type="paragraph" w:styleId="TOC1">
    <w:name w:val="toc 1"/>
    <w:basedOn w:val="Normal"/>
    <w:rsid w:val="000F5A95"/>
    <w:pPr>
      <w:tabs>
        <w:tab w:val="clear" w:pos="567"/>
        <w:tab w:val="clear" w:pos="1134"/>
        <w:tab w:val="clear" w:pos="1701"/>
        <w:tab w:val="clear" w:pos="2268"/>
        <w:tab w:val="clear" w:pos="2835"/>
        <w:tab w:val="left" w:pos="964"/>
        <w:tab w:val="left" w:leader="dot" w:pos="7938"/>
        <w:tab w:val="right" w:pos="9072"/>
      </w:tabs>
      <w:spacing w:before="200"/>
      <w:ind w:left="964" w:hanging="964"/>
    </w:pPr>
  </w:style>
  <w:style w:type="paragraph" w:styleId="TOC7">
    <w:name w:val="toc 7"/>
    <w:basedOn w:val="TOC6"/>
    <w:next w:val="Normal"/>
    <w:rsid w:val="000F5A95"/>
  </w:style>
  <w:style w:type="paragraph" w:styleId="TOC6">
    <w:name w:val="toc 6"/>
    <w:basedOn w:val="TOC5"/>
    <w:next w:val="Normal"/>
    <w:rsid w:val="000F5A95"/>
  </w:style>
  <w:style w:type="paragraph" w:styleId="TOC5">
    <w:name w:val="toc 5"/>
    <w:basedOn w:val="TOC4"/>
    <w:next w:val="Normal"/>
    <w:rsid w:val="000F5A95"/>
    <w:rPr>
      <w:lang w:val="fr-CH"/>
    </w:rPr>
  </w:style>
  <w:style w:type="paragraph" w:styleId="Index7">
    <w:name w:val="index 7"/>
    <w:basedOn w:val="Normal"/>
    <w:next w:val="Normal"/>
    <w:rsid w:val="000F5A95"/>
    <w:pPr>
      <w:ind w:left="1698"/>
    </w:pPr>
  </w:style>
  <w:style w:type="paragraph" w:styleId="Index6">
    <w:name w:val="index 6"/>
    <w:basedOn w:val="Normal"/>
    <w:next w:val="Normal"/>
    <w:rsid w:val="000F5A95"/>
    <w:pPr>
      <w:ind w:left="1415"/>
    </w:pPr>
  </w:style>
  <w:style w:type="paragraph" w:styleId="Index5">
    <w:name w:val="index 5"/>
    <w:basedOn w:val="Normal"/>
    <w:next w:val="Normal"/>
    <w:rsid w:val="000F5A95"/>
    <w:pPr>
      <w:ind w:left="1132"/>
    </w:pPr>
  </w:style>
  <w:style w:type="paragraph" w:styleId="Index4">
    <w:name w:val="index 4"/>
    <w:basedOn w:val="Normal"/>
    <w:next w:val="Normal"/>
    <w:rsid w:val="000F5A95"/>
    <w:pPr>
      <w:ind w:left="849"/>
    </w:pPr>
  </w:style>
  <w:style w:type="paragraph" w:styleId="Index3">
    <w:name w:val="index 3"/>
    <w:basedOn w:val="Normal"/>
    <w:next w:val="Normal"/>
    <w:rsid w:val="000F5A95"/>
    <w:pPr>
      <w:ind w:left="566"/>
    </w:pPr>
  </w:style>
  <w:style w:type="paragraph" w:styleId="Index2">
    <w:name w:val="index 2"/>
    <w:basedOn w:val="Normal"/>
    <w:next w:val="Normal"/>
    <w:rsid w:val="000F5A95"/>
    <w:pPr>
      <w:ind w:left="283"/>
    </w:pPr>
  </w:style>
  <w:style w:type="paragraph" w:styleId="Index1">
    <w:name w:val="index 1"/>
    <w:basedOn w:val="Normal"/>
    <w:next w:val="Normal"/>
    <w:rsid w:val="000F5A95"/>
  </w:style>
  <w:style w:type="character" w:styleId="LineNumber">
    <w:name w:val="line number"/>
    <w:basedOn w:val="DefaultParagraphFont"/>
    <w:rsid w:val="000F5A95"/>
  </w:style>
  <w:style w:type="paragraph" w:styleId="IndexHeading">
    <w:name w:val="index heading"/>
    <w:basedOn w:val="Normal"/>
    <w:next w:val="Index1"/>
    <w:rsid w:val="000F5A95"/>
  </w:style>
  <w:style w:type="paragraph" w:styleId="Footer">
    <w:name w:val="footer"/>
    <w:basedOn w:val="Normal"/>
    <w:rsid w:val="000F5A95"/>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0F5A95"/>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0F5A95"/>
    <w:rPr>
      <w:rFonts w:ascii="Calibri" w:hAnsi="Calibri"/>
      <w:position w:val="6"/>
      <w:sz w:val="16"/>
    </w:rPr>
  </w:style>
  <w:style w:type="paragraph" w:styleId="FootnoteText">
    <w:name w:val="footnote text"/>
    <w:basedOn w:val="Normal"/>
    <w:rsid w:val="000F5A95"/>
    <w:pPr>
      <w:keepLines/>
      <w:tabs>
        <w:tab w:val="left" w:pos="256"/>
      </w:tabs>
      <w:ind w:left="256" w:hanging="256"/>
    </w:pPr>
    <w:rPr>
      <w:sz w:val="22"/>
    </w:rPr>
  </w:style>
  <w:style w:type="paragraph" w:styleId="NormalIndent">
    <w:name w:val="Normal Indent"/>
    <w:basedOn w:val="Normal"/>
    <w:rsid w:val="000F5A95"/>
    <w:pPr>
      <w:ind w:left="567"/>
    </w:pPr>
  </w:style>
  <w:style w:type="paragraph" w:customStyle="1" w:styleId="AnnexNo">
    <w:name w:val="Annex_No"/>
    <w:basedOn w:val="Normal"/>
    <w:next w:val="Annexref"/>
    <w:rsid w:val="000F5A95"/>
    <w:pPr>
      <w:keepNext/>
      <w:keepLines/>
      <w:spacing w:before="720"/>
      <w:jc w:val="center"/>
    </w:pPr>
    <w:rPr>
      <w:caps/>
      <w:sz w:val="28"/>
    </w:rPr>
  </w:style>
  <w:style w:type="paragraph" w:customStyle="1" w:styleId="Annextitle">
    <w:name w:val="Annex_title"/>
    <w:basedOn w:val="Normal"/>
    <w:next w:val="Normalaftertitle"/>
    <w:rsid w:val="000F5A95"/>
    <w:pPr>
      <w:keepNext/>
      <w:keepLines/>
      <w:spacing w:before="240" w:after="240"/>
      <w:jc w:val="center"/>
    </w:pPr>
    <w:rPr>
      <w:b/>
      <w:sz w:val="28"/>
    </w:rPr>
  </w:style>
  <w:style w:type="paragraph" w:customStyle="1" w:styleId="Annexref">
    <w:name w:val="Annex_ref"/>
    <w:basedOn w:val="Normal"/>
    <w:next w:val="Annextitle"/>
    <w:rsid w:val="000F5A95"/>
    <w:pPr>
      <w:keepNext/>
      <w:keepLines/>
      <w:jc w:val="center"/>
    </w:pPr>
    <w:rPr>
      <w:sz w:val="28"/>
    </w:rPr>
  </w:style>
  <w:style w:type="paragraph" w:customStyle="1" w:styleId="Normalaftertitle">
    <w:name w:val="Normal after title"/>
    <w:basedOn w:val="Normal"/>
    <w:next w:val="Normal"/>
    <w:rsid w:val="000F5A95"/>
    <w:pPr>
      <w:spacing w:before="240"/>
    </w:pPr>
  </w:style>
  <w:style w:type="paragraph" w:customStyle="1" w:styleId="AppendixNo">
    <w:name w:val="Appendix_No"/>
    <w:basedOn w:val="AnnexNo"/>
    <w:next w:val="Appendixref"/>
    <w:rsid w:val="000F5A95"/>
  </w:style>
  <w:style w:type="paragraph" w:customStyle="1" w:styleId="Appendixtitle">
    <w:name w:val="Appendix_title"/>
    <w:basedOn w:val="Annextitle"/>
    <w:next w:val="Normalaftertitle"/>
    <w:rsid w:val="000F5A95"/>
  </w:style>
  <w:style w:type="paragraph" w:customStyle="1" w:styleId="Appendixref">
    <w:name w:val="Appendix_ref"/>
    <w:basedOn w:val="Annexref"/>
    <w:next w:val="Appendixtitle"/>
    <w:rsid w:val="000F5A95"/>
  </w:style>
  <w:style w:type="paragraph" w:customStyle="1" w:styleId="enumlev1">
    <w:name w:val="enumlev1"/>
    <w:basedOn w:val="Normal"/>
    <w:rsid w:val="000F5A95"/>
    <w:pPr>
      <w:spacing w:before="80"/>
      <w:ind w:left="567" w:hanging="567"/>
    </w:pPr>
  </w:style>
  <w:style w:type="paragraph" w:customStyle="1" w:styleId="enumlev2">
    <w:name w:val="enumlev2"/>
    <w:basedOn w:val="enumlev1"/>
    <w:rsid w:val="000F5A95"/>
    <w:pPr>
      <w:ind w:left="1134"/>
    </w:pPr>
  </w:style>
  <w:style w:type="paragraph" w:customStyle="1" w:styleId="enumlev3">
    <w:name w:val="enumlev3"/>
    <w:basedOn w:val="enumlev2"/>
    <w:rsid w:val="000F5A95"/>
    <w:pPr>
      <w:ind w:left="1701"/>
    </w:pPr>
  </w:style>
  <w:style w:type="paragraph" w:customStyle="1" w:styleId="Artheading">
    <w:name w:val="Art_heading"/>
    <w:basedOn w:val="Normal"/>
    <w:next w:val="Normalaftertitle"/>
    <w:rsid w:val="000F5A95"/>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0F5A95"/>
    <w:pPr>
      <w:keepNext/>
      <w:keepLines/>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0F5A95"/>
    <w:pPr>
      <w:keepNext/>
      <w:keepLines/>
      <w:tabs>
        <w:tab w:val="clear" w:pos="567"/>
        <w:tab w:val="clear" w:pos="1134"/>
        <w:tab w:val="clear" w:pos="1701"/>
        <w:tab w:val="clear" w:pos="2268"/>
        <w:tab w:val="clear" w:pos="2835"/>
      </w:tabs>
      <w:spacing w:before="240" w:after="240"/>
      <w:jc w:val="center"/>
    </w:pPr>
    <w:rPr>
      <w:b/>
      <w:sz w:val="28"/>
    </w:rPr>
  </w:style>
  <w:style w:type="paragraph" w:customStyle="1" w:styleId="Call">
    <w:name w:val="Call"/>
    <w:basedOn w:val="Normal"/>
    <w:next w:val="Normal"/>
    <w:rsid w:val="000F5A95"/>
    <w:pPr>
      <w:keepNext/>
      <w:keepLines/>
      <w:tabs>
        <w:tab w:val="clear" w:pos="1134"/>
        <w:tab w:val="clear" w:pos="1701"/>
        <w:tab w:val="clear" w:pos="2268"/>
        <w:tab w:val="clear" w:pos="2835"/>
      </w:tabs>
      <w:spacing w:before="160"/>
      <w:ind w:left="567"/>
    </w:pPr>
    <w:rPr>
      <w:i/>
    </w:rPr>
  </w:style>
  <w:style w:type="paragraph" w:customStyle="1" w:styleId="ChapNo">
    <w:name w:val="Chap_No"/>
    <w:basedOn w:val="ArtNo"/>
    <w:next w:val="Chaptitle"/>
    <w:rsid w:val="000F5A95"/>
  </w:style>
  <w:style w:type="paragraph" w:customStyle="1" w:styleId="Chaptitle">
    <w:name w:val="Chap_title"/>
    <w:basedOn w:val="Arttitle"/>
    <w:next w:val="Normalaftertitle"/>
    <w:rsid w:val="000F5A95"/>
  </w:style>
  <w:style w:type="paragraph" w:customStyle="1" w:styleId="Equationlegend">
    <w:name w:val="Equation_legend"/>
    <w:basedOn w:val="NormalIndent"/>
    <w:rsid w:val="000F5A95"/>
    <w:pPr>
      <w:tabs>
        <w:tab w:val="right" w:pos="1531"/>
      </w:tabs>
      <w:spacing w:before="80"/>
      <w:ind w:left="1701" w:hanging="1701"/>
    </w:pPr>
  </w:style>
  <w:style w:type="paragraph" w:customStyle="1" w:styleId="Figure">
    <w:name w:val="Figure"/>
    <w:basedOn w:val="Normal"/>
    <w:next w:val="Normal"/>
    <w:rsid w:val="000F5A95"/>
    <w:pPr>
      <w:spacing w:after="240"/>
      <w:jc w:val="center"/>
    </w:pPr>
  </w:style>
  <w:style w:type="paragraph" w:customStyle="1" w:styleId="Figuretitle">
    <w:name w:val="Figure_title"/>
    <w:basedOn w:val="Tabletitle"/>
    <w:next w:val="Normalaftertitle"/>
    <w:rsid w:val="000F5A95"/>
    <w:pPr>
      <w:spacing w:before="120" w:after="0"/>
    </w:pPr>
  </w:style>
  <w:style w:type="paragraph" w:customStyle="1" w:styleId="Tabletitle">
    <w:name w:val="Table_title"/>
    <w:basedOn w:val="TableNo"/>
    <w:next w:val="Tabletext"/>
    <w:rsid w:val="000F5A95"/>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0F5A95"/>
    <w:pPr>
      <w:keepNext/>
      <w:keepLines/>
      <w:spacing w:before="480" w:after="120"/>
      <w:jc w:val="center"/>
    </w:pPr>
    <w:rPr>
      <w:caps/>
    </w:rPr>
  </w:style>
  <w:style w:type="paragraph" w:customStyle="1" w:styleId="Tabletext">
    <w:name w:val="Table_text"/>
    <w:basedOn w:val="Normal"/>
    <w:rsid w:val="000F5A95"/>
    <w:pPr>
      <w:tabs>
        <w:tab w:val="clear" w:pos="1134"/>
        <w:tab w:val="clear" w:pos="1701"/>
        <w:tab w:val="clear" w:pos="2268"/>
        <w:tab w:val="clear" w:pos="2835"/>
        <w:tab w:val="left" w:pos="284"/>
        <w:tab w:val="left" w:pos="851"/>
      </w:tabs>
      <w:spacing w:before="40" w:after="40"/>
    </w:pPr>
    <w:rPr>
      <w:sz w:val="22"/>
    </w:rPr>
  </w:style>
  <w:style w:type="paragraph" w:customStyle="1" w:styleId="Figurelegend">
    <w:name w:val="Figure_legend"/>
    <w:basedOn w:val="Normal"/>
    <w:next w:val="Normal"/>
    <w:rsid w:val="000F5A95"/>
    <w:pPr>
      <w:spacing w:before="20" w:after="240"/>
    </w:pPr>
    <w:rPr>
      <w:sz w:val="18"/>
    </w:rPr>
  </w:style>
  <w:style w:type="paragraph" w:customStyle="1" w:styleId="Equation">
    <w:name w:val="Equation"/>
    <w:basedOn w:val="Normal"/>
    <w:rsid w:val="000F5A95"/>
    <w:pPr>
      <w:tabs>
        <w:tab w:val="center" w:pos="4820"/>
        <w:tab w:val="right" w:pos="9639"/>
      </w:tabs>
    </w:pPr>
  </w:style>
  <w:style w:type="paragraph" w:customStyle="1" w:styleId="Head">
    <w:name w:val="Head"/>
    <w:basedOn w:val="Normal"/>
    <w:rsid w:val="000F5A95"/>
    <w:pPr>
      <w:tabs>
        <w:tab w:val="left" w:pos="6663"/>
      </w:tabs>
      <w:overflowPunct/>
      <w:autoSpaceDE/>
      <w:autoSpaceDN/>
      <w:adjustRightInd/>
      <w:spacing w:before="0"/>
      <w:textAlignment w:val="auto"/>
    </w:pPr>
  </w:style>
  <w:style w:type="paragraph" w:customStyle="1" w:styleId="toc0">
    <w:name w:val="toc 0"/>
    <w:basedOn w:val="Normal"/>
    <w:next w:val="TOC1"/>
    <w:rsid w:val="000F5A95"/>
    <w:pPr>
      <w:tabs>
        <w:tab w:val="clear" w:pos="567"/>
        <w:tab w:val="clear" w:pos="1134"/>
        <w:tab w:val="clear" w:pos="1701"/>
        <w:tab w:val="clear" w:pos="2268"/>
        <w:tab w:val="clear" w:pos="2835"/>
        <w:tab w:val="right" w:pos="9781"/>
      </w:tabs>
    </w:pPr>
    <w:rPr>
      <w:b/>
    </w:rPr>
  </w:style>
  <w:style w:type="paragraph" w:styleId="List">
    <w:name w:val="List"/>
    <w:basedOn w:val="Normal"/>
    <w:rsid w:val="000F5A95"/>
    <w:pPr>
      <w:tabs>
        <w:tab w:val="left" w:pos="2127"/>
      </w:tabs>
      <w:ind w:left="2127" w:hanging="2127"/>
    </w:pPr>
  </w:style>
  <w:style w:type="paragraph" w:customStyle="1" w:styleId="Part">
    <w:name w:val="Part"/>
    <w:basedOn w:val="Normal"/>
    <w:rsid w:val="000F5A95"/>
    <w:pPr>
      <w:tabs>
        <w:tab w:val="left" w:pos="1276"/>
      </w:tabs>
      <w:spacing w:before="199"/>
      <w:ind w:left="1701" w:hanging="1701"/>
    </w:pPr>
    <w:rPr>
      <w:caps/>
    </w:rPr>
  </w:style>
  <w:style w:type="paragraph" w:customStyle="1" w:styleId="Figurewithouttitle">
    <w:name w:val="Figure_without_title"/>
    <w:basedOn w:val="Figure"/>
    <w:next w:val="Normal"/>
    <w:rsid w:val="000F5A95"/>
  </w:style>
  <w:style w:type="character" w:styleId="PageNumber">
    <w:name w:val="page number"/>
    <w:basedOn w:val="DefaultParagraphFont"/>
    <w:rsid w:val="000F5A95"/>
    <w:rPr>
      <w:rFonts w:ascii="Calibri" w:hAnsi="Calibri"/>
    </w:rPr>
  </w:style>
  <w:style w:type="paragraph" w:customStyle="1" w:styleId="meeting">
    <w:name w:val="meeting"/>
    <w:basedOn w:val="Head"/>
    <w:next w:val="Head"/>
    <w:rsid w:val="000F5A95"/>
    <w:pPr>
      <w:tabs>
        <w:tab w:val="left" w:pos="7371"/>
      </w:tabs>
      <w:spacing w:after="567"/>
    </w:pPr>
  </w:style>
  <w:style w:type="paragraph" w:customStyle="1" w:styleId="PartNo">
    <w:name w:val="Part_No"/>
    <w:basedOn w:val="AnnexNo"/>
    <w:next w:val="Parttitle"/>
    <w:rsid w:val="000F5A95"/>
  </w:style>
  <w:style w:type="paragraph" w:customStyle="1" w:styleId="Parttitle">
    <w:name w:val="Part_title"/>
    <w:basedOn w:val="Annextitle"/>
    <w:next w:val="Partref"/>
    <w:rsid w:val="000F5A95"/>
  </w:style>
  <w:style w:type="paragraph" w:customStyle="1" w:styleId="Partref">
    <w:name w:val="Part_ref"/>
    <w:basedOn w:val="Annexref"/>
    <w:next w:val="Normalaftertitle"/>
    <w:rsid w:val="000F5A95"/>
  </w:style>
  <w:style w:type="paragraph" w:customStyle="1" w:styleId="Headingb">
    <w:name w:val="Heading_b"/>
    <w:basedOn w:val="Heading3"/>
    <w:next w:val="Normal"/>
    <w:rsid w:val="000F5A95"/>
    <w:pPr>
      <w:spacing w:before="160"/>
      <w:ind w:left="0" w:firstLine="0"/>
      <w:outlineLvl w:val="0"/>
    </w:pPr>
  </w:style>
  <w:style w:type="paragraph" w:customStyle="1" w:styleId="Subject">
    <w:name w:val="Subject"/>
    <w:basedOn w:val="Normal"/>
    <w:next w:val="Source"/>
    <w:rsid w:val="000F5A95"/>
    <w:pPr>
      <w:tabs>
        <w:tab w:val="left" w:pos="709"/>
      </w:tabs>
      <w:spacing w:before="0"/>
      <w:ind w:left="709" w:hanging="709"/>
    </w:pPr>
  </w:style>
  <w:style w:type="paragraph" w:customStyle="1" w:styleId="Source">
    <w:name w:val="Source"/>
    <w:basedOn w:val="Normal"/>
    <w:next w:val="Title1"/>
    <w:rsid w:val="000F5A95"/>
    <w:pPr>
      <w:spacing w:before="840"/>
      <w:jc w:val="center"/>
    </w:pPr>
    <w:rPr>
      <w:b/>
      <w:sz w:val="28"/>
    </w:rPr>
  </w:style>
  <w:style w:type="paragraph" w:customStyle="1" w:styleId="Data">
    <w:name w:val="Data"/>
    <w:basedOn w:val="Subject"/>
    <w:next w:val="Subject"/>
    <w:rsid w:val="000F5A95"/>
  </w:style>
  <w:style w:type="character" w:styleId="Hyperlink">
    <w:name w:val="Hyperlink"/>
    <w:basedOn w:val="DefaultParagraphFont"/>
    <w:rsid w:val="0039578B"/>
    <w:rPr>
      <w:rFonts w:eastAsiaTheme="minorHAnsi" w:cstheme="minorBidi"/>
      <w:color w:val="4F81BD" w:themeColor="accent1"/>
      <w:szCs w:val="22"/>
      <w:u w:val="single"/>
    </w:rPr>
  </w:style>
  <w:style w:type="character" w:styleId="FollowedHyperlink">
    <w:name w:val="FollowedHyperlink"/>
    <w:basedOn w:val="DefaultParagraphFont"/>
    <w:rsid w:val="000F5A95"/>
    <w:rPr>
      <w:color w:val="800080"/>
      <w:u w:val="single"/>
    </w:rPr>
  </w:style>
  <w:style w:type="paragraph" w:customStyle="1" w:styleId="FirstFooter">
    <w:name w:val="FirstFooter"/>
    <w:basedOn w:val="Footer"/>
    <w:rsid w:val="000F5A95"/>
    <w:rPr>
      <w:caps w:val="0"/>
    </w:rPr>
  </w:style>
  <w:style w:type="paragraph" w:customStyle="1" w:styleId="Note">
    <w:name w:val="Note"/>
    <w:basedOn w:val="Normal"/>
    <w:rsid w:val="000F5A95"/>
    <w:pPr>
      <w:spacing w:before="80"/>
    </w:pPr>
    <w:rPr>
      <w:sz w:val="22"/>
    </w:rPr>
  </w:style>
  <w:style w:type="paragraph" w:styleId="TOC9">
    <w:name w:val="toc 9"/>
    <w:basedOn w:val="Normal"/>
    <w:next w:val="Normal"/>
    <w:rsid w:val="000F5A95"/>
    <w:pPr>
      <w:tabs>
        <w:tab w:val="clear" w:pos="567"/>
        <w:tab w:val="clear" w:pos="1134"/>
        <w:tab w:val="clear" w:pos="1701"/>
        <w:tab w:val="clear" w:pos="2268"/>
        <w:tab w:val="clear" w:pos="2835"/>
        <w:tab w:val="right" w:leader="dot" w:pos="9645"/>
      </w:tabs>
      <w:ind w:left="1920"/>
    </w:pPr>
  </w:style>
  <w:style w:type="paragraph" w:customStyle="1" w:styleId="Headingi">
    <w:name w:val="Heading_i"/>
    <w:basedOn w:val="Heading3"/>
    <w:next w:val="Normal"/>
    <w:rsid w:val="000F5A95"/>
    <w:pPr>
      <w:spacing w:before="160"/>
      <w:ind w:left="0" w:firstLine="0"/>
      <w:outlineLvl w:val="0"/>
    </w:pPr>
    <w:rPr>
      <w:b w:val="0"/>
      <w:i/>
    </w:rPr>
  </w:style>
  <w:style w:type="paragraph" w:customStyle="1" w:styleId="Title1">
    <w:name w:val="Title 1"/>
    <w:basedOn w:val="Normal"/>
    <w:next w:val="Normalaftertitle"/>
    <w:rsid w:val="000F5A95"/>
    <w:pPr>
      <w:spacing w:before="360"/>
      <w:jc w:val="center"/>
    </w:pPr>
    <w:rPr>
      <w:caps/>
    </w:rPr>
  </w:style>
  <w:style w:type="paragraph" w:customStyle="1" w:styleId="Title2">
    <w:name w:val="Title 2"/>
    <w:basedOn w:val="Title1"/>
    <w:next w:val="Normalaftertitle"/>
    <w:rsid w:val="000F5A95"/>
    <w:pPr>
      <w:keepNext/>
      <w:keepLines/>
      <w:spacing w:before="240"/>
    </w:pPr>
    <w:rPr>
      <w:b/>
      <w:caps w:val="0"/>
    </w:rPr>
  </w:style>
  <w:style w:type="paragraph" w:customStyle="1" w:styleId="Title3">
    <w:name w:val="Title 3"/>
    <w:basedOn w:val="Title2"/>
    <w:next w:val="Normalaftertitle"/>
    <w:rsid w:val="000F5A95"/>
    <w:rPr>
      <w:b w:val="0"/>
      <w:caps/>
    </w:rPr>
  </w:style>
  <w:style w:type="paragraph" w:customStyle="1" w:styleId="Title4">
    <w:name w:val="Title 4"/>
    <w:basedOn w:val="Annextitle"/>
    <w:next w:val="Normal"/>
    <w:rsid w:val="000F5A95"/>
    <w:pPr>
      <w:spacing w:after="120"/>
    </w:pPr>
    <w:rPr>
      <w:b w:val="0"/>
    </w:rPr>
  </w:style>
  <w:style w:type="paragraph" w:customStyle="1" w:styleId="dnum">
    <w:name w:val="dnum"/>
    <w:basedOn w:val="Normal"/>
    <w:rsid w:val="000F5A95"/>
    <w:pPr>
      <w:framePr w:hSpace="181" w:wrap="notBeside" w:vAnchor="page" w:hAnchor="margin" w:x="1" w:y="852"/>
      <w:shd w:val="solid" w:color="FFFFFF" w:fill="FFFFFF"/>
      <w:tabs>
        <w:tab w:val="left" w:pos="1871"/>
      </w:tabs>
    </w:pPr>
    <w:rPr>
      <w:b/>
      <w:bCs/>
    </w:rPr>
  </w:style>
  <w:style w:type="paragraph" w:customStyle="1" w:styleId="ddate">
    <w:name w:val="ddate"/>
    <w:basedOn w:val="Normal"/>
    <w:rsid w:val="000F5A95"/>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0F5A95"/>
    <w:pPr>
      <w:framePr w:hSpace="181" w:wrap="notBeside" w:vAnchor="page" w:hAnchor="margin" w:x="1" w:y="852"/>
      <w:shd w:val="solid" w:color="FFFFFF" w:fill="FFFFFF"/>
      <w:tabs>
        <w:tab w:val="left" w:pos="1871"/>
      </w:tabs>
      <w:spacing w:before="0"/>
    </w:pPr>
    <w:rPr>
      <w:b/>
      <w:bCs/>
    </w:rPr>
  </w:style>
  <w:style w:type="paragraph" w:customStyle="1" w:styleId="RecNo">
    <w:name w:val="Rec_No"/>
    <w:basedOn w:val="Normal"/>
    <w:next w:val="Rectitle"/>
    <w:rsid w:val="000F5A95"/>
    <w:pPr>
      <w:keepNext/>
      <w:keepLines/>
      <w:spacing w:before="720"/>
      <w:jc w:val="center"/>
    </w:pPr>
    <w:rPr>
      <w:caps/>
      <w:sz w:val="28"/>
    </w:rPr>
  </w:style>
  <w:style w:type="paragraph" w:customStyle="1" w:styleId="Rectitle">
    <w:name w:val="Rec_title"/>
    <w:basedOn w:val="Normal"/>
    <w:next w:val="Heading1"/>
    <w:rsid w:val="000F5A95"/>
    <w:pPr>
      <w:keepNext/>
      <w:keepLines/>
      <w:jc w:val="center"/>
    </w:pPr>
    <w:rPr>
      <w:b/>
      <w:sz w:val="28"/>
    </w:rPr>
  </w:style>
  <w:style w:type="paragraph" w:customStyle="1" w:styleId="Recref">
    <w:name w:val="Rec_ref"/>
    <w:basedOn w:val="Rectitle"/>
    <w:next w:val="Recdate"/>
    <w:rsid w:val="000F5A95"/>
    <w:rPr>
      <w:rFonts w:ascii="Times New Roman" w:hAnsi="Times New Roman"/>
      <w:b w:val="0"/>
      <w:sz w:val="24"/>
    </w:rPr>
  </w:style>
  <w:style w:type="paragraph" w:customStyle="1" w:styleId="Recdate">
    <w:name w:val="Rec_date"/>
    <w:basedOn w:val="Recref"/>
    <w:next w:val="Normalaftertitle"/>
    <w:rsid w:val="000F5A95"/>
    <w:pPr>
      <w:jc w:val="right"/>
    </w:pPr>
    <w:rPr>
      <w:sz w:val="22"/>
    </w:rPr>
  </w:style>
  <w:style w:type="paragraph" w:customStyle="1" w:styleId="Questiondate">
    <w:name w:val="Question_date"/>
    <w:basedOn w:val="Recdate"/>
    <w:next w:val="Normalaftertitle"/>
    <w:rsid w:val="000F5A95"/>
  </w:style>
  <w:style w:type="paragraph" w:customStyle="1" w:styleId="QuestionNo">
    <w:name w:val="Question_No"/>
    <w:basedOn w:val="RecNo"/>
    <w:next w:val="Questiontitle"/>
    <w:rsid w:val="000F5A95"/>
  </w:style>
  <w:style w:type="paragraph" w:customStyle="1" w:styleId="Questiontitle">
    <w:name w:val="Question_title"/>
    <w:basedOn w:val="Rectitle"/>
    <w:next w:val="Questionref"/>
    <w:rsid w:val="000F5A95"/>
  </w:style>
  <w:style w:type="paragraph" w:customStyle="1" w:styleId="Questionref">
    <w:name w:val="Question_ref"/>
    <w:basedOn w:val="Recref"/>
    <w:next w:val="Questiondate"/>
    <w:rsid w:val="000F5A95"/>
  </w:style>
  <w:style w:type="paragraph" w:customStyle="1" w:styleId="Reftext">
    <w:name w:val="Ref_text"/>
    <w:basedOn w:val="Normal"/>
    <w:rsid w:val="000F5A95"/>
    <w:pPr>
      <w:ind w:left="567" w:hanging="567"/>
    </w:pPr>
  </w:style>
  <w:style w:type="paragraph" w:customStyle="1" w:styleId="Reftitle">
    <w:name w:val="Ref_title"/>
    <w:basedOn w:val="Normal"/>
    <w:next w:val="Reftext"/>
    <w:rsid w:val="000F5A95"/>
    <w:pPr>
      <w:spacing w:before="480"/>
      <w:jc w:val="center"/>
    </w:pPr>
    <w:rPr>
      <w:caps/>
      <w:sz w:val="28"/>
    </w:rPr>
  </w:style>
  <w:style w:type="paragraph" w:customStyle="1" w:styleId="Repdate">
    <w:name w:val="Rep_date"/>
    <w:basedOn w:val="Recdate"/>
    <w:next w:val="Normalaftertitle"/>
    <w:rsid w:val="000F5A95"/>
  </w:style>
  <w:style w:type="paragraph" w:customStyle="1" w:styleId="RepNo">
    <w:name w:val="Rep_No"/>
    <w:basedOn w:val="RecNo"/>
    <w:next w:val="Reptitle"/>
    <w:rsid w:val="000F5A95"/>
  </w:style>
  <w:style w:type="paragraph" w:customStyle="1" w:styleId="Reptitle">
    <w:name w:val="Rep_title"/>
    <w:basedOn w:val="Rectitle"/>
    <w:next w:val="Repref"/>
    <w:rsid w:val="000F5A95"/>
  </w:style>
  <w:style w:type="paragraph" w:customStyle="1" w:styleId="Repref">
    <w:name w:val="Rep_ref"/>
    <w:basedOn w:val="Recref"/>
    <w:next w:val="Repdate"/>
    <w:rsid w:val="000F5A95"/>
  </w:style>
  <w:style w:type="paragraph" w:customStyle="1" w:styleId="Resdate">
    <w:name w:val="Res_date"/>
    <w:basedOn w:val="Recdate"/>
    <w:next w:val="Normalaftertitle"/>
    <w:rsid w:val="000F5A95"/>
  </w:style>
  <w:style w:type="paragraph" w:customStyle="1" w:styleId="ResNo">
    <w:name w:val="Res_No"/>
    <w:basedOn w:val="AnnexNo"/>
    <w:next w:val="Restitle"/>
    <w:rsid w:val="000F5A95"/>
  </w:style>
  <w:style w:type="paragraph" w:customStyle="1" w:styleId="Restitle">
    <w:name w:val="Res_title"/>
    <w:basedOn w:val="Annextitle"/>
    <w:next w:val="Normal"/>
    <w:rsid w:val="000F5A95"/>
  </w:style>
  <w:style w:type="paragraph" w:customStyle="1" w:styleId="Resref">
    <w:name w:val="Res_ref"/>
    <w:basedOn w:val="Recref"/>
    <w:next w:val="Resdate"/>
    <w:rsid w:val="000F5A95"/>
  </w:style>
  <w:style w:type="paragraph" w:customStyle="1" w:styleId="SectionNo">
    <w:name w:val="Section_No"/>
    <w:basedOn w:val="AnnexNo"/>
    <w:next w:val="Sectiontitle"/>
    <w:rsid w:val="000F5A95"/>
  </w:style>
  <w:style w:type="paragraph" w:customStyle="1" w:styleId="Sectiontitle">
    <w:name w:val="Section_title"/>
    <w:basedOn w:val="Normal"/>
    <w:next w:val="Normalaftertitle"/>
    <w:rsid w:val="000F5A95"/>
    <w:rPr>
      <w:sz w:val="28"/>
    </w:rPr>
  </w:style>
  <w:style w:type="paragraph" w:customStyle="1" w:styleId="SpecialFooter">
    <w:name w:val="Special Footer"/>
    <w:basedOn w:val="Footer"/>
    <w:rsid w:val="000F5A95"/>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rsid w:val="000F5A95"/>
    <w:pPr>
      <w:keepNext/>
      <w:keepLines/>
      <w:spacing w:before="80" w:after="80"/>
      <w:jc w:val="center"/>
    </w:pPr>
    <w:rPr>
      <w:b/>
    </w:rPr>
  </w:style>
  <w:style w:type="paragraph" w:customStyle="1" w:styleId="Tablelegend">
    <w:name w:val="Table_legend"/>
    <w:basedOn w:val="Tabletext"/>
    <w:rsid w:val="000F5A95"/>
    <w:pPr>
      <w:ind w:left="284" w:hanging="284"/>
    </w:pPr>
    <w:rPr>
      <w:sz w:val="20"/>
    </w:rPr>
  </w:style>
  <w:style w:type="paragraph" w:customStyle="1" w:styleId="Tableref">
    <w:name w:val="Table_ref"/>
    <w:basedOn w:val="Normal"/>
    <w:next w:val="Tabletitle"/>
    <w:rsid w:val="000F5A95"/>
    <w:pPr>
      <w:keepNext/>
      <w:keepLines/>
      <w:jc w:val="center"/>
    </w:pPr>
    <w:rPr>
      <w:sz w:val="20"/>
    </w:rPr>
  </w:style>
  <w:style w:type="paragraph" w:customStyle="1" w:styleId="Reasons">
    <w:name w:val="Reasons"/>
    <w:basedOn w:val="Normal"/>
    <w:qFormat/>
    <w:rsid w:val="000F5A95"/>
  </w:style>
  <w:style w:type="paragraph" w:customStyle="1" w:styleId="FigureNo">
    <w:name w:val="Figure_No"/>
    <w:basedOn w:val="Normal"/>
    <w:next w:val="Figuretitle"/>
    <w:rsid w:val="000F5A95"/>
    <w:pPr>
      <w:keepNext/>
      <w:keepLines/>
      <w:spacing w:before="480" w:after="120"/>
      <w:jc w:val="center"/>
    </w:pPr>
    <w:rPr>
      <w:caps/>
    </w:rPr>
  </w:style>
  <w:style w:type="paragraph" w:customStyle="1" w:styleId="Table">
    <w:name w:val="Table_#"/>
    <w:basedOn w:val="Normal"/>
    <w:next w:val="Normal"/>
    <w:rsid w:val="00093EEB"/>
    <w:pPr>
      <w:keepNext/>
      <w:overflowPunct/>
      <w:autoSpaceDE/>
      <w:autoSpaceDN/>
      <w:adjustRightInd/>
      <w:spacing w:before="560" w:after="120"/>
      <w:jc w:val="center"/>
      <w:textAlignment w:val="auto"/>
    </w:pPr>
    <w:rPr>
      <w:caps/>
      <w:lang w:val="en-GB"/>
    </w:rPr>
  </w:style>
  <w:style w:type="paragraph" w:customStyle="1" w:styleId="Subtitle">
    <w:name w:val="Sub_title"/>
    <w:basedOn w:val="Normal"/>
    <w:qFormat/>
    <w:rsid w:val="000F5A95"/>
    <w:pPr>
      <w:framePr w:hSpace="180" w:wrap="around" w:hAnchor="page" w:x="1821" w:y="2317"/>
      <w:spacing w:after="160"/>
    </w:pPr>
    <w:rPr>
      <w:sz w:val="34"/>
      <w:lang w:val="en-GB"/>
    </w:rPr>
  </w:style>
  <w:style w:type="character" w:customStyle="1" w:styleId="HeaderChar">
    <w:name w:val="Header Char"/>
    <w:basedOn w:val="DefaultParagraphFont"/>
    <w:link w:val="Header"/>
    <w:uiPriority w:val="99"/>
    <w:rsid w:val="000F5A95"/>
    <w:rPr>
      <w:rFonts w:ascii="Calibri" w:hAnsi="Calibri"/>
      <w:sz w:val="18"/>
      <w:lang w:val="fr-FR" w:eastAsia="en-US"/>
    </w:rPr>
  </w:style>
  <w:style w:type="table" w:styleId="TableGrid">
    <w:name w:val="Table Grid"/>
    <w:basedOn w:val="TableNormal"/>
    <w:uiPriority w:val="39"/>
    <w:rsid w:val="000F5A95"/>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F5A95"/>
    <w:rPr>
      <w:color w:val="666666"/>
    </w:rPr>
  </w:style>
  <w:style w:type="character" w:styleId="UnresolvedMention">
    <w:name w:val="Unresolved Mention"/>
    <w:basedOn w:val="DefaultParagraphFont"/>
    <w:uiPriority w:val="99"/>
    <w:semiHidden/>
    <w:unhideWhenUsed/>
    <w:rsid w:val="002946E2"/>
    <w:rPr>
      <w:color w:val="605E5C"/>
      <w:shd w:val="clear" w:color="auto" w:fill="E1DFDD"/>
    </w:rPr>
  </w:style>
  <w:style w:type="paragraph" w:customStyle="1" w:styleId="firstfooter0">
    <w:name w:val="firstfooter"/>
    <w:basedOn w:val="Normal"/>
    <w:rsid w:val="000F5A95"/>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Object">
    <w:name w:val="Object"/>
    <w:basedOn w:val="Subject"/>
    <w:next w:val="Subject"/>
    <w:rsid w:val="000F5A95"/>
  </w:style>
  <w:style w:type="paragraph" w:customStyle="1" w:styleId="Referencetext">
    <w:name w:val="Reference_text"/>
    <w:basedOn w:val="Normal"/>
    <w:rsid w:val="000F5A95"/>
    <w:pPr>
      <w:framePr w:hSpace="181" w:wrap="around" w:vAnchor="page" w:hAnchor="page" w:x="1589" w:y="2314"/>
      <w:spacing w:after="160"/>
    </w:pPr>
    <w:rPr>
      <w:i/>
      <w:iCs/>
      <w:sz w:val="22"/>
      <w:szCs w:val="22"/>
    </w:rPr>
  </w:style>
  <w:style w:type="paragraph" w:styleId="Revision">
    <w:name w:val="Revision"/>
    <w:hidden/>
    <w:uiPriority w:val="99"/>
    <w:semiHidden/>
    <w:rsid w:val="005E3F36"/>
    <w:rPr>
      <w:rFonts w:ascii="Calibri" w:hAnsi="Calibri"/>
      <w:sz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md/S26-CL-C-0083/en" TargetMode="External"/><Relationship Id="rId13" Type="http://schemas.openxmlformats.org/officeDocument/2006/relationships/hyperlink" Target="https://www.itu.int/md/S26-CL-C-0083/es"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itu.int/md/S26-CL-C-0031/es" TargetMode="External"/><Relationship Id="rId12" Type="http://schemas.openxmlformats.org/officeDocument/2006/relationships/hyperlink" Target="https://www.itu.int/md/S26-CL-C-0079/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itu.int/md/S26-CL-C-0079/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itu.int/md/S26-CL-C-0029/es" TargetMode="External"/><Relationship Id="rId5" Type="http://schemas.openxmlformats.org/officeDocument/2006/relationships/footnotes" Target="footnotes.xml"/><Relationship Id="rId15" Type="http://schemas.openxmlformats.org/officeDocument/2006/relationships/hyperlink" Target="https://www.itu.int/md/S26-CL-C-0018/es" TargetMode="External"/><Relationship Id="rId10" Type="http://schemas.openxmlformats.org/officeDocument/2006/relationships/hyperlink" Target="https://www.itu.int/md/S26-CL-C-0018/es"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itu.int/md/S26-CL-C-0015/es" TargetMode="External"/><Relationship Id="rId14" Type="http://schemas.openxmlformats.org/officeDocument/2006/relationships/hyperlink" Target="https://www.itu.int/dms_pub/itu-s/md/26/cl/c/S26-CL-C-0031!A2!MSW-S.doc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Q:\TEMPLATE\ITUOffice2007\POOL\POOL%20S%20-%20ITU\GS\PS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3B289-2409-48B1-88FF-B82D6C16F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PS_Council26.dotx</Template>
  <TotalTime>6</TotalTime>
  <Pages>8</Pages>
  <Words>3592</Words>
  <Characters>20982</Characters>
  <Application>Microsoft Office Word</Application>
  <DocSecurity>0</DocSecurity>
  <Lines>338</Lines>
  <Paragraphs>89</Paragraphs>
  <ScaleCrop>false</ScaleCrop>
  <HeadingPairs>
    <vt:vector size="4" baseType="variant">
      <vt:variant>
        <vt:lpstr>Title</vt:lpstr>
      </vt:variant>
      <vt:variant>
        <vt:i4>1</vt:i4>
      </vt:variant>
      <vt:variant>
        <vt:lpstr>UNIÓN INTERNACIONAL DE TELECOMUNICACIONES	</vt:lpstr>
      </vt:variant>
      <vt:variant>
        <vt:i4>0</vt:i4>
      </vt:variant>
    </vt:vector>
  </HeadingPairs>
  <TitlesOfParts>
    <vt:vector size="1" baseType="lpstr">
      <vt:lpstr>Resumen de los debates de la quinta Sesión Plenaria</vt:lpstr>
    </vt:vector>
  </TitlesOfParts>
  <Manager>Secretaría General - Pool</Manager>
  <Company>International Telecommunication Union</Company>
  <LinksUpToDate>false</LinksUpToDate>
  <CharactersWithSpaces>24485</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Resumen de los debates de la quinta Sesión Plenaria</dc:title>
  <dc:subject>Consejo 2026 de la UIT</dc:subject>
  <cp:keywords>C26; C2026; Council 2026; PP26</cp:keywords>
  <dc:description/>
  <cp:lastPrinted>2006-03-24T09:51:00Z</cp:lastPrinted>
  <dcterms:created xsi:type="dcterms:W3CDTF">2026-08-06T09:46:00Z</dcterms:created>
  <dcterms:modified xsi:type="dcterms:W3CDTF">2026-08-06T09:52:00Z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Documento C17/-S</vt:lpwstr>
  </property>
  <property fmtid="{D5CDD505-2E9C-101B-9397-08002B2CF9AE}" pid="3" name="Docdate">
    <vt:lpwstr>enero de 2017</vt:lpwstr>
  </property>
  <property fmtid="{D5CDD505-2E9C-101B-9397-08002B2CF9AE}" pid="4" name="Docorlang">
    <vt:lpwstr>Original: inglés</vt:lpwstr>
  </property>
  <property fmtid="{D5CDD505-2E9C-101B-9397-08002B2CF9AE}" pid="5" name="Docbluepink">
    <vt:lpwstr>Consejo 2017 Ginebra, 15-25 de mayo de 2017</vt:lpwstr>
  </property>
  <property fmtid="{D5CDD505-2E9C-101B-9397-08002B2CF9AE}" pid="6" name="Docdest">
    <vt:lpwstr/>
  </property>
  <property fmtid="{D5CDD505-2E9C-101B-9397-08002B2CF9AE}" pid="7" name="Docauthor">
    <vt:lpwstr/>
  </property>
  <property fmtid="{D5CDD505-2E9C-101B-9397-08002B2CF9AE}" pid="8" name="GrammarlyDocumentId">
    <vt:lpwstr>5c03a5c9b91678b956e25536f0296632c716f66cf9a10e87f22af88ff3e788b1</vt:lpwstr>
  </property>
</Properties>
</file>