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709"/>
        <w:gridCol w:w="3260"/>
        <w:gridCol w:w="3119"/>
        <w:gridCol w:w="2126"/>
      </w:tblGrid>
      <w:tr w:rsidR="00D72F49" w:rsidRPr="00813E5E" w14:paraId="3FA4A9C8" w14:textId="77777777" w:rsidTr="00796BDB">
        <w:trPr>
          <w:cantSplit/>
          <w:trHeight w:val="23"/>
        </w:trPr>
        <w:tc>
          <w:tcPr>
            <w:tcW w:w="3969" w:type="dxa"/>
            <w:gridSpan w:val="2"/>
            <w:vMerge w:val="restart"/>
            <w:tcMar>
              <w:left w:w="0" w:type="dxa"/>
            </w:tcMar>
          </w:tcPr>
          <w:p w14:paraId="78783ABE" w14:textId="2A33DEFC" w:rsidR="00D72F49" w:rsidRPr="00E85629" w:rsidRDefault="00D72F49" w:rsidP="00796BDB">
            <w:pPr>
              <w:tabs>
                <w:tab w:val="left" w:pos="851"/>
              </w:tabs>
              <w:spacing w:before="0" w:line="240" w:lineRule="atLeast"/>
              <w:rPr>
                <w:b/>
              </w:rPr>
            </w:pPr>
          </w:p>
        </w:tc>
        <w:tc>
          <w:tcPr>
            <w:tcW w:w="5245" w:type="dxa"/>
            <w:gridSpan w:val="2"/>
          </w:tcPr>
          <w:p w14:paraId="377286A8" w14:textId="432D3241" w:rsidR="00D72F49" w:rsidRPr="00E85629" w:rsidRDefault="00D72F49" w:rsidP="00796BDB">
            <w:pPr>
              <w:tabs>
                <w:tab w:val="left" w:pos="851"/>
              </w:tabs>
              <w:spacing w:before="0" w:line="240" w:lineRule="atLeast"/>
              <w:jc w:val="right"/>
              <w:rPr>
                <w:b/>
              </w:rPr>
            </w:pPr>
            <w:r>
              <w:rPr>
                <w:b/>
              </w:rPr>
              <w:t>Document C2</w:t>
            </w:r>
            <w:r w:rsidR="00E4448E">
              <w:rPr>
                <w:b/>
              </w:rPr>
              <w:t>6</w:t>
            </w:r>
            <w:r>
              <w:rPr>
                <w:b/>
              </w:rPr>
              <w:t>/</w:t>
            </w:r>
            <w:r w:rsidR="00341437">
              <w:rPr>
                <w:b/>
              </w:rPr>
              <w:t>122</w:t>
            </w:r>
            <w:r>
              <w:rPr>
                <w:b/>
              </w:rPr>
              <w:t>-F</w:t>
            </w:r>
          </w:p>
        </w:tc>
      </w:tr>
      <w:tr w:rsidR="00D72F49" w:rsidRPr="00C049D7" w14:paraId="61619DF2" w14:textId="77777777" w:rsidTr="00796BDB">
        <w:trPr>
          <w:cantSplit/>
        </w:trPr>
        <w:tc>
          <w:tcPr>
            <w:tcW w:w="3969" w:type="dxa"/>
            <w:gridSpan w:val="2"/>
            <w:vMerge/>
          </w:tcPr>
          <w:p w14:paraId="2B1233D3" w14:textId="77777777" w:rsidR="00D72F49" w:rsidRPr="00813E5E" w:rsidRDefault="00D72F49" w:rsidP="00796BDB">
            <w:pPr>
              <w:tabs>
                <w:tab w:val="left" w:pos="851"/>
              </w:tabs>
              <w:spacing w:line="240" w:lineRule="atLeast"/>
              <w:rPr>
                <w:b/>
              </w:rPr>
            </w:pPr>
          </w:p>
        </w:tc>
        <w:tc>
          <w:tcPr>
            <w:tcW w:w="5245" w:type="dxa"/>
            <w:gridSpan w:val="2"/>
          </w:tcPr>
          <w:p w14:paraId="745AFB25" w14:textId="50E07626" w:rsidR="00D72F49" w:rsidRPr="00FC6D7D" w:rsidRDefault="00B958A9" w:rsidP="00796BDB">
            <w:pPr>
              <w:tabs>
                <w:tab w:val="left" w:pos="851"/>
              </w:tabs>
              <w:spacing w:before="0"/>
              <w:jc w:val="right"/>
              <w:rPr>
                <w:b/>
                <w:lang w:val="en-GB"/>
              </w:rPr>
            </w:pPr>
            <w:r>
              <w:rPr>
                <w:b/>
              </w:rPr>
              <w:t>3 août</w:t>
            </w:r>
            <w:r w:rsidR="00341437">
              <w:rPr>
                <w:b/>
              </w:rPr>
              <w:t xml:space="preserve"> 2026</w:t>
            </w:r>
          </w:p>
        </w:tc>
      </w:tr>
      <w:tr w:rsidR="00D72F49" w:rsidRPr="00813E5E" w14:paraId="39B9CB50" w14:textId="77777777" w:rsidTr="00796BDB">
        <w:trPr>
          <w:cantSplit/>
          <w:trHeight w:val="23"/>
        </w:trPr>
        <w:tc>
          <w:tcPr>
            <w:tcW w:w="3969" w:type="dxa"/>
            <w:gridSpan w:val="2"/>
            <w:vMerge/>
          </w:tcPr>
          <w:p w14:paraId="78F52F24" w14:textId="77777777" w:rsidR="00D72F49" w:rsidRPr="00FC6D7D" w:rsidRDefault="00D72F49" w:rsidP="00796BDB">
            <w:pPr>
              <w:tabs>
                <w:tab w:val="left" w:pos="851"/>
              </w:tabs>
              <w:spacing w:line="240" w:lineRule="atLeast"/>
              <w:rPr>
                <w:b/>
                <w:lang w:val="en-GB"/>
              </w:rPr>
            </w:pPr>
          </w:p>
        </w:tc>
        <w:tc>
          <w:tcPr>
            <w:tcW w:w="5245" w:type="dxa"/>
            <w:gridSpan w:val="2"/>
          </w:tcPr>
          <w:p w14:paraId="711E7D4C" w14:textId="77777777" w:rsidR="00D72F49" w:rsidRPr="00E85629" w:rsidRDefault="00D72F49" w:rsidP="00796BDB">
            <w:pPr>
              <w:tabs>
                <w:tab w:val="left" w:pos="851"/>
              </w:tabs>
              <w:spacing w:before="0" w:line="240" w:lineRule="atLeast"/>
              <w:jc w:val="right"/>
              <w:rPr>
                <w:b/>
              </w:rPr>
            </w:pPr>
            <w:r w:rsidRPr="00122CE1">
              <w:rPr>
                <w:b/>
                <w:lang w:val="fr-CH"/>
              </w:rPr>
              <w:t>Original: anglais</w:t>
            </w:r>
          </w:p>
        </w:tc>
      </w:tr>
      <w:tr w:rsidR="00D72F49" w:rsidRPr="00813E5E" w14:paraId="5A90E17F" w14:textId="77777777" w:rsidTr="00796BDB">
        <w:trPr>
          <w:cantSplit/>
          <w:trHeight w:val="23"/>
        </w:trPr>
        <w:tc>
          <w:tcPr>
            <w:tcW w:w="3969" w:type="dxa"/>
            <w:gridSpan w:val="2"/>
          </w:tcPr>
          <w:p w14:paraId="27B99BE6" w14:textId="77777777" w:rsidR="00D72F49" w:rsidRPr="00813E5E" w:rsidRDefault="00D72F49" w:rsidP="00796BDB">
            <w:pPr>
              <w:tabs>
                <w:tab w:val="left" w:pos="851"/>
              </w:tabs>
              <w:spacing w:line="240" w:lineRule="atLeast"/>
              <w:rPr>
                <w:b/>
              </w:rPr>
            </w:pPr>
          </w:p>
        </w:tc>
        <w:tc>
          <w:tcPr>
            <w:tcW w:w="5245" w:type="dxa"/>
            <w:gridSpan w:val="2"/>
          </w:tcPr>
          <w:p w14:paraId="169E863F" w14:textId="77777777" w:rsidR="00D72F49" w:rsidRDefault="00D72F49" w:rsidP="00796BDB">
            <w:pPr>
              <w:tabs>
                <w:tab w:val="left" w:pos="851"/>
              </w:tabs>
              <w:spacing w:before="0" w:line="240" w:lineRule="atLeast"/>
              <w:jc w:val="right"/>
              <w:rPr>
                <w:b/>
              </w:rPr>
            </w:pPr>
          </w:p>
        </w:tc>
      </w:tr>
      <w:tr w:rsidR="00D72F49" w:rsidRPr="00122CE1" w14:paraId="24CAEECF" w14:textId="77777777" w:rsidTr="00796BDB">
        <w:trPr>
          <w:cantSplit/>
        </w:trPr>
        <w:tc>
          <w:tcPr>
            <w:tcW w:w="9214" w:type="dxa"/>
            <w:gridSpan w:val="4"/>
            <w:tcMar>
              <w:left w:w="0" w:type="dxa"/>
            </w:tcMar>
          </w:tcPr>
          <w:p w14:paraId="0327B156" w14:textId="6AE138EB" w:rsidR="00D72F49" w:rsidRPr="00341437" w:rsidRDefault="00341437" w:rsidP="00341437">
            <w:pPr>
              <w:pStyle w:val="Summary-Record"/>
              <w:framePr w:hSpace="0" w:wrap="auto" w:vAnchor="margin" w:hAnchor="text" w:xAlign="left" w:yAlign="inline"/>
              <w:rPr>
                <w:bCs/>
                <w:color w:val="000000"/>
                <w:lang w:val="fr-FR"/>
              </w:rPr>
            </w:pPr>
            <w:r>
              <w:rPr>
                <w:bCs/>
                <w:color w:val="000000"/>
                <w:lang w:val="fr-FR"/>
              </w:rPr>
              <w:t xml:space="preserve">COMPTE RENDU </w:t>
            </w:r>
            <w:r>
              <w:rPr>
                <w:bCs/>
                <w:color w:val="000000"/>
                <w:lang w:val="fr-FR"/>
              </w:rPr>
              <w:br/>
            </w:r>
            <w:r>
              <w:rPr>
                <w:bCs/>
                <w:color w:val="000000"/>
                <w:lang w:val="fr-FR"/>
              </w:rPr>
              <w:br/>
              <w:t xml:space="preserve">DE LA </w:t>
            </w:r>
            <w:r>
              <w:rPr>
                <w:bCs/>
                <w:color w:val="000000"/>
                <w:lang w:val="fr-FR"/>
              </w:rPr>
              <w:br/>
            </w:r>
            <w:r>
              <w:rPr>
                <w:bCs/>
                <w:color w:val="000000"/>
                <w:lang w:val="fr-FR"/>
              </w:rPr>
              <w:br/>
              <w:t>CINQUIÈME SÉANCE PLÉNIÈRE</w:t>
            </w:r>
          </w:p>
        </w:tc>
      </w:tr>
      <w:tr w:rsidR="00D72F49" w:rsidRPr="00813E5E" w14:paraId="423D7F2A" w14:textId="77777777" w:rsidTr="00796BDB">
        <w:trPr>
          <w:cantSplit/>
        </w:trPr>
        <w:tc>
          <w:tcPr>
            <w:tcW w:w="9214" w:type="dxa"/>
            <w:gridSpan w:val="4"/>
            <w:tcMar>
              <w:left w:w="0" w:type="dxa"/>
            </w:tcMar>
          </w:tcPr>
          <w:p w14:paraId="5F936632" w14:textId="77777777" w:rsidR="00341437" w:rsidRPr="00341437" w:rsidRDefault="00341437" w:rsidP="00341437">
            <w:pPr>
              <w:spacing w:after="240"/>
              <w:jc w:val="center"/>
            </w:pPr>
            <w:r w:rsidRPr="00341437">
              <w:t>Lundi 4 mai 2026, de 9 h 30 à 12 h 45</w:t>
            </w:r>
          </w:p>
          <w:p w14:paraId="18384861" w14:textId="34C4871F" w:rsidR="00D72F49" w:rsidRPr="00C049D7" w:rsidRDefault="00341437" w:rsidP="00341437">
            <w:pPr>
              <w:spacing w:after="240"/>
              <w:jc w:val="center"/>
              <w:rPr>
                <w:sz w:val="32"/>
                <w:szCs w:val="32"/>
              </w:rPr>
            </w:pPr>
            <w:r w:rsidRPr="00341437">
              <w:rPr>
                <w:b/>
                <w:bCs/>
              </w:rPr>
              <w:t>Président</w:t>
            </w:r>
            <w:r w:rsidRPr="00341437">
              <w:t>: M. B. Tijani (Nigéria)</w:t>
            </w:r>
          </w:p>
        </w:tc>
      </w:tr>
      <w:tr w:rsidR="00341437" w:rsidRPr="00341437" w14:paraId="0E8F0AFA" w14:textId="77777777" w:rsidTr="00341437">
        <w:trPr>
          <w:cantSplit/>
          <w:trHeight w:val="502"/>
        </w:trPr>
        <w:tc>
          <w:tcPr>
            <w:tcW w:w="709" w:type="dxa"/>
            <w:tcMar>
              <w:left w:w="0" w:type="dxa"/>
            </w:tcMar>
          </w:tcPr>
          <w:p w14:paraId="32CF3EE8" w14:textId="77777777" w:rsidR="00341437" w:rsidRPr="00341437" w:rsidRDefault="00341437" w:rsidP="00341437">
            <w:pPr>
              <w:spacing w:after="120"/>
              <w:jc w:val="center"/>
              <w:rPr>
                <w:b/>
                <w:bCs/>
              </w:rPr>
            </w:pPr>
          </w:p>
        </w:tc>
        <w:tc>
          <w:tcPr>
            <w:tcW w:w="6379" w:type="dxa"/>
            <w:gridSpan w:val="2"/>
          </w:tcPr>
          <w:p w14:paraId="53AD1CC7" w14:textId="6FD846B1" w:rsidR="00341437" w:rsidRPr="00341437" w:rsidRDefault="00341437" w:rsidP="00341437">
            <w:pPr>
              <w:spacing w:after="120"/>
              <w:rPr>
                <w:b/>
                <w:bCs/>
              </w:rPr>
            </w:pPr>
            <w:r w:rsidRPr="00341437">
              <w:rPr>
                <w:b/>
                <w:bCs/>
              </w:rPr>
              <w:t>Sujets traités</w:t>
            </w:r>
          </w:p>
        </w:tc>
        <w:tc>
          <w:tcPr>
            <w:tcW w:w="2126" w:type="dxa"/>
          </w:tcPr>
          <w:p w14:paraId="7513AADE" w14:textId="2AAED0CD" w:rsidR="00341437" w:rsidRPr="00341437" w:rsidRDefault="00341437" w:rsidP="00341437">
            <w:pPr>
              <w:spacing w:after="120"/>
              <w:jc w:val="center"/>
              <w:rPr>
                <w:b/>
                <w:bCs/>
              </w:rPr>
            </w:pPr>
            <w:r w:rsidRPr="00341437">
              <w:rPr>
                <w:b/>
                <w:bCs/>
              </w:rPr>
              <w:t>Documents</w:t>
            </w:r>
          </w:p>
        </w:tc>
      </w:tr>
      <w:tr w:rsidR="00341437" w:rsidRPr="00813E5E" w14:paraId="0FA92073" w14:textId="77777777" w:rsidTr="00341437">
        <w:trPr>
          <w:cantSplit/>
          <w:trHeight w:val="501"/>
        </w:trPr>
        <w:tc>
          <w:tcPr>
            <w:tcW w:w="709" w:type="dxa"/>
            <w:tcMar>
              <w:left w:w="0" w:type="dxa"/>
            </w:tcMar>
          </w:tcPr>
          <w:p w14:paraId="5CC9ED0D" w14:textId="3C0DADB8" w:rsidR="00341437" w:rsidRPr="00341437" w:rsidRDefault="00341437" w:rsidP="00341437">
            <w:pPr>
              <w:spacing w:after="120"/>
              <w:jc w:val="center"/>
            </w:pPr>
            <w:r>
              <w:t>1</w:t>
            </w:r>
          </w:p>
        </w:tc>
        <w:tc>
          <w:tcPr>
            <w:tcW w:w="6379" w:type="dxa"/>
            <w:gridSpan w:val="2"/>
          </w:tcPr>
          <w:p w14:paraId="4998051B" w14:textId="5C40E3B1" w:rsidR="00341437" w:rsidRPr="00341437" w:rsidRDefault="00341437" w:rsidP="00341437">
            <w:pPr>
              <w:spacing w:after="120"/>
            </w:pPr>
            <w:r w:rsidRPr="00341437">
              <w:t xml:space="preserve">Rapport du Président du Groupe de travail du Conseil chargé d'élaborer le </w:t>
            </w:r>
            <w:r>
              <w:t>P</w:t>
            </w:r>
            <w:r w:rsidRPr="00341437">
              <w:t xml:space="preserve">lan stratégique et le </w:t>
            </w:r>
            <w:r>
              <w:t>P</w:t>
            </w:r>
            <w:r w:rsidRPr="00341437">
              <w:t>lan financier pour la période 2028-2031 et projet de plan stratégique pour la période 2028-2031</w:t>
            </w:r>
          </w:p>
        </w:tc>
        <w:tc>
          <w:tcPr>
            <w:tcW w:w="2126" w:type="dxa"/>
          </w:tcPr>
          <w:p w14:paraId="7BAF5051" w14:textId="1978662F" w:rsidR="00341437" w:rsidRPr="00341437" w:rsidRDefault="00341437" w:rsidP="00341437">
            <w:pPr>
              <w:spacing w:after="120"/>
              <w:jc w:val="center"/>
            </w:pPr>
            <w:hyperlink r:id="rId7" w:history="1">
              <w:r w:rsidRPr="00341437">
                <w:rPr>
                  <w:rStyle w:val="Hyperlink"/>
                  <w:rFonts w:eastAsia="Times New Roman" w:cs="Times New Roman"/>
                  <w:szCs w:val="20"/>
                </w:rPr>
                <w:t>C26/31+Add.1</w:t>
              </w:r>
            </w:hyperlink>
            <w:r>
              <w:t>;</w:t>
            </w:r>
            <w:r w:rsidRPr="00341437">
              <w:t xml:space="preserve"> </w:t>
            </w:r>
            <w:hyperlink r:id="rId8" w:history="1">
              <w:r w:rsidRPr="00341437">
                <w:rPr>
                  <w:rStyle w:val="Hyperlink"/>
                  <w:rFonts w:eastAsia="Times New Roman" w:cs="Times New Roman"/>
                  <w:szCs w:val="20"/>
                </w:rPr>
                <w:t>C26/83</w:t>
              </w:r>
            </w:hyperlink>
          </w:p>
        </w:tc>
      </w:tr>
      <w:tr w:rsidR="00341437" w:rsidRPr="00813E5E" w14:paraId="7083EF24" w14:textId="77777777" w:rsidTr="00341437">
        <w:trPr>
          <w:cantSplit/>
          <w:trHeight w:val="501"/>
        </w:trPr>
        <w:tc>
          <w:tcPr>
            <w:tcW w:w="709" w:type="dxa"/>
            <w:tcMar>
              <w:left w:w="0" w:type="dxa"/>
            </w:tcMar>
          </w:tcPr>
          <w:p w14:paraId="7D77E147" w14:textId="73CE4F58" w:rsidR="00341437" w:rsidRPr="00341437" w:rsidRDefault="00341437" w:rsidP="00341437">
            <w:pPr>
              <w:spacing w:after="120"/>
              <w:jc w:val="center"/>
            </w:pPr>
            <w:r>
              <w:t>2</w:t>
            </w:r>
          </w:p>
        </w:tc>
        <w:tc>
          <w:tcPr>
            <w:tcW w:w="6379" w:type="dxa"/>
            <w:gridSpan w:val="2"/>
          </w:tcPr>
          <w:p w14:paraId="7B0A4A5D" w14:textId="4D46AEBE" w:rsidR="00341437" w:rsidRPr="00341437" w:rsidRDefault="00341437" w:rsidP="00341437">
            <w:pPr>
              <w:spacing w:after="120"/>
            </w:pPr>
            <w:r w:rsidRPr="00341437">
              <w:t>Rapports du Président du Groupe de travail du Conseil sur la protection en ligne des enfants</w:t>
            </w:r>
          </w:p>
        </w:tc>
        <w:tc>
          <w:tcPr>
            <w:tcW w:w="2126" w:type="dxa"/>
          </w:tcPr>
          <w:p w14:paraId="664E9A57" w14:textId="06C0EF6F" w:rsidR="00341437" w:rsidRPr="00341437" w:rsidRDefault="00341437" w:rsidP="00341437">
            <w:pPr>
              <w:spacing w:after="120"/>
              <w:jc w:val="center"/>
            </w:pPr>
            <w:hyperlink r:id="rId9" w:history="1">
              <w:r w:rsidRPr="003B0DF5">
                <w:rPr>
                  <w:rStyle w:val="Hyperlink"/>
                  <w:rFonts w:eastAsia="Times New Roman" w:cs="Times New Roman"/>
                  <w:szCs w:val="20"/>
                </w:rPr>
                <w:t>C26/15</w:t>
              </w:r>
            </w:hyperlink>
            <w:r>
              <w:t xml:space="preserve">; </w:t>
            </w:r>
            <w:hyperlink r:id="rId10" w:history="1">
              <w:r w:rsidRPr="003B0DF5">
                <w:rPr>
                  <w:rStyle w:val="Hyperlink"/>
                  <w:rFonts w:eastAsia="Times New Roman" w:cs="Times New Roman"/>
                  <w:szCs w:val="20"/>
                </w:rPr>
                <w:t>C26/18</w:t>
              </w:r>
            </w:hyperlink>
          </w:p>
        </w:tc>
      </w:tr>
      <w:tr w:rsidR="00341437" w:rsidRPr="00813E5E" w14:paraId="3C522DF4" w14:textId="77777777" w:rsidTr="00341437">
        <w:trPr>
          <w:cantSplit/>
          <w:trHeight w:val="501"/>
        </w:trPr>
        <w:tc>
          <w:tcPr>
            <w:tcW w:w="709" w:type="dxa"/>
            <w:tcMar>
              <w:left w:w="0" w:type="dxa"/>
            </w:tcMar>
          </w:tcPr>
          <w:p w14:paraId="22C33F85" w14:textId="4CC6EB90" w:rsidR="00341437" w:rsidRPr="00341437" w:rsidRDefault="00341437" w:rsidP="00341437">
            <w:pPr>
              <w:spacing w:after="120"/>
              <w:jc w:val="center"/>
            </w:pPr>
            <w:r>
              <w:t>3</w:t>
            </w:r>
          </w:p>
        </w:tc>
        <w:tc>
          <w:tcPr>
            <w:tcW w:w="6379" w:type="dxa"/>
            <w:gridSpan w:val="2"/>
          </w:tcPr>
          <w:p w14:paraId="37688A43" w14:textId="68899A2D" w:rsidR="00341437" w:rsidRPr="00341437" w:rsidRDefault="00341437" w:rsidP="00341437">
            <w:pPr>
              <w:spacing w:after="120"/>
            </w:pPr>
            <w:r w:rsidRPr="00341437">
              <w:t>Rapport sur la Résolution 214 (Bucarest, 2022) de la Conférence de plénipotentiaires relative aux technologies fondées sur l'intelligence artificielle et aux télécommunications/technologies de l'information et de la communication</w:t>
            </w:r>
          </w:p>
        </w:tc>
        <w:tc>
          <w:tcPr>
            <w:tcW w:w="2126" w:type="dxa"/>
          </w:tcPr>
          <w:p w14:paraId="107A3BBB" w14:textId="452ECE74" w:rsidR="00341437" w:rsidRPr="00341437" w:rsidRDefault="00341437" w:rsidP="00341437">
            <w:pPr>
              <w:spacing w:after="120"/>
              <w:jc w:val="center"/>
            </w:pPr>
            <w:hyperlink r:id="rId11" w:history="1">
              <w:r w:rsidRPr="003B0DF5">
                <w:rPr>
                  <w:rStyle w:val="Hyperlink"/>
                  <w:rFonts w:eastAsia="Times New Roman" w:cs="Times New Roman"/>
                  <w:szCs w:val="20"/>
                </w:rPr>
                <w:t>C26/29</w:t>
              </w:r>
            </w:hyperlink>
            <w:r>
              <w:t xml:space="preserve">; </w:t>
            </w:r>
            <w:hyperlink r:id="rId12" w:history="1">
              <w:r w:rsidRPr="003B0DF5">
                <w:rPr>
                  <w:rStyle w:val="Hyperlink"/>
                  <w:rFonts w:eastAsia="Times New Roman" w:cs="Times New Roman"/>
                  <w:szCs w:val="20"/>
                </w:rPr>
                <w:t>C26/79</w:t>
              </w:r>
            </w:hyperlink>
          </w:p>
        </w:tc>
      </w:tr>
      <w:tr w:rsidR="00341437" w:rsidRPr="00813E5E" w14:paraId="6DDD6839" w14:textId="77777777" w:rsidTr="00341437">
        <w:trPr>
          <w:cantSplit/>
          <w:trHeight w:val="501"/>
        </w:trPr>
        <w:tc>
          <w:tcPr>
            <w:tcW w:w="709" w:type="dxa"/>
            <w:tcMar>
              <w:left w:w="0" w:type="dxa"/>
            </w:tcMar>
          </w:tcPr>
          <w:p w14:paraId="2951D135" w14:textId="0647D240" w:rsidR="00341437" w:rsidRPr="00341437" w:rsidRDefault="00341437" w:rsidP="00341437">
            <w:pPr>
              <w:spacing w:after="120"/>
              <w:jc w:val="center"/>
            </w:pPr>
            <w:r>
              <w:t>4</w:t>
            </w:r>
          </w:p>
        </w:tc>
        <w:tc>
          <w:tcPr>
            <w:tcW w:w="6379" w:type="dxa"/>
            <w:gridSpan w:val="2"/>
          </w:tcPr>
          <w:p w14:paraId="42D39CD2" w14:textId="595288D3" w:rsidR="00341437" w:rsidRPr="00341437" w:rsidRDefault="00341437" w:rsidP="00341437">
            <w:pPr>
              <w:spacing w:after="120"/>
            </w:pPr>
            <w:r w:rsidRPr="00341437">
              <w:t>Déclarations de conseillers</w:t>
            </w:r>
          </w:p>
        </w:tc>
        <w:tc>
          <w:tcPr>
            <w:tcW w:w="2126" w:type="dxa"/>
          </w:tcPr>
          <w:p w14:paraId="37B9CC3F" w14:textId="20EAF080" w:rsidR="00341437" w:rsidRPr="00341437" w:rsidRDefault="00341437" w:rsidP="00341437">
            <w:pPr>
              <w:spacing w:after="120"/>
              <w:jc w:val="center"/>
            </w:pPr>
            <w:r>
              <w:t>–</w:t>
            </w:r>
          </w:p>
        </w:tc>
      </w:tr>
      <w:tr w:rsidR="00341437" w:rsidRPr="00813E5E" w14:paraId="71C7CCE0" w14:textId="77777777" w:rsidTr="00341437">
        <w:trPr>
          <w:cantSplit/>
          <w:trHeight w:val="501"/>
        </w:trPr>
        <w:tc>
          <w:tcPr>
            <w:tcW w:w="709" w:type="dxa"/>
            <w:tcMar>
              <w:left w:w="0" w:type="dxa"/>
            </w:tcMar>
          </w:tcPr>
          <w:p w14:paraId="337ADD79" w14:textId="0C599A0D" w:rsidR="00341437" w:rsidRPr="00341437" w:rsidRDefault="00341437" w:rsidP="00341437">
            <w:pPr>
              <w:spacing w:after="120"/>
              <w:jc w:val="center"/>
            </w:pPr>
            <w:r>
              <w:t>5</w:t>
            </w:r>
          </w:p>
        </w:tc>
        <w:tc>
          <w:tcPr>
            <w:tcW w:w="6379" w:type="dxa"/>
            <w:gridSpan w:val="2"/>
          </w:tcPr>
          <w:p w14:paraId="0B8F2AA6" w14:textId="17DB5A8C" w:rsidR="00341437" w:rsidRPr="00341437" w:rsidRDefault="00341437" w:rsidP="00341437">
            <w:pPr>
              <w:spacing w:after="120"/>
            </w:pPr>
            <w:r w:rsidRPr="00341437">
              <w:t>Message de condoléances à la suite du décès de M. Yury Grin</w:t>
            </w:r>
          </w:p>
        </w:tc>
        <w:tc>
          <w:tcPr>
            <w:tcW w:w="2126" w:type="dxa"/>
          </w:tcPr>
          <w:p w14:paraId="61F43CA7" w14:textId="7019242E" w:rsidR="00341437" w:rsidRPr="00341437" w:rsidRDefault="00341437" w:rsidP="00341437">
            <w:pPr>
              <w:spacing w:after="120"/>
              <w:jc w:val="center"/>
            </w:pPr>
            <w:r>
              <w:t>–</w:t>
            </w:r>
          </w:p>
        </w:tc>
      </w:tr>
    </w:tbl>
    <w:p w14:paraId="7D097B3E" w14:textId="77777777" w:rsidR="00A51849" w:rsidRDefault="00A51849" w:rsidP="00CF0534"/>
    <w:p w14:paraId="6FC9F946" w14:textId="77777777" w:rsidR="00A51849" w:rsidRDefault="00A51849">
      <w:pPr>
        <w:tabs>
          <w:tab w:val="clear" w:pos="567"/>
          <w:tab w:val="clear" w:pos="1134"/>
          <w:tab w:val="clear" w:pos="1701"/>
          <w:tab w:val="clear" w:pos="2268"/>
          <w:tab w:val="clear" w:pos="2835"/>
        </w:tabs>
        <w:overflowPunct/>
        <w:autoSpaceDE/>
        <w:autoSpaceDN/>
        <w:adjustRightInd/>
        <w:spacing w:before="0"/>
        <w:textAlignment w:val="auto"/>
      </w:pPr>
      <w:r>
        <w:br w:type="page"/>
      </w:r>
    </w:p>
    <w:p w14:paraId="105E4624" w14:textId="0CBBB7EC" w:rsidR="00341437" w:rsidRDefault="00341437" w:rsidP="00341437">
      <w:pPr>
        <w:pStyle w:val="Heading1"/>
      </w:pPr>
      <w:r>
        <w:lastRenderedPageBreak/>
        <w:t>1</w:t>
      </w:r>
      <w:r>
        <w:tab/>
        <w:t xml:space="preserve">Rapport du Président du Groupe de travail du Conseil chargé d'élaborer le Plan stratégique et le Plan financier pour la période 2028-2031 et projet de plan stratégique pour la période 2028-2031 </w:t>
      </w:r>
      <w:r w:rsidR="00821DA2">
        <w:t>(</w:t>
      </w:r>
      <w:r w:rsidR="00821DA2" w:rsidRPr="00821DA2">
        <w:t>Documents </w:t>
      </w:r>
      <w:proofErr w:type="spellStart"/>
      <w:r>
        <w:fldChar w:fldCharType="begin"/>
      </w:r>
      <w:r>
        <w:instrText>HYPERLINK "https://www.itu.int/md/S26-CL-C-0031/fr"</w:instrText>
      </w:r>
      <w:r>
        <w:fldChar w:fldCharType="separate"/>
      </w:r>
      <w:r w:rsidRPr="00341437">
        <w:rPr>
          <w:rStyle w:val="Hyperlink"/>
          <w:rFonts w:eastAsia="Times New Roman" w:cs="Times New Roman"/>
          <w:szCs w:val="20"/>
        </w:rPr>
        <w:t>C26</w:t>
      </w:r>
      <w:proofErr w:type="spellEnd"/>
      <w:r w:rsidRPr="00341437">
        <w:rPr>
          <w:rStyle w:val="Hyperlink"/>
          <w:rFonts w:eastAsia="Times New Roman" w:cs="Times New Roman"/>
          <w:szCs w:val="20"/>
        </w:rPr>
        <w:t>/</w:t>
      </w:r>
      <w:proofErr w:type="spellStart"/>
      <w:r w:rsidRPr="00341437">
        <w:rPr>
          <w:rStyle w:val="Hyperlink"/>
          <w:rFonts w:eastAsia="Times New Roman" w:cs="Times New Roman"/>
          <w:szCs w:val="20"/>
        </w:rPr>
        <w:t>31+Add.1</w:t>
      </w:r>
      <w:proofErr w:type="spellEnd"/>
      <w:r>
        <w:fldChar w:fldCharType="end"/>
      </w:r>
      <w:r>
        <w:t xml:space="preserve"> et </w:t>
      </w:r>
      <w:hyperlink r:id="rId13" w:history="1">
        <w:proofErr w:type="spellStart"/>
        <w:r w:rsidRPr="00341437">
          <w:rPr>
            <w:rStyle w:val="Hyperlink"/>
            <w:rFonts w:eastAsia="Times New Roman" w:cs="Times New Roman"/>
            <w:szCs w:val="20"/>
          </w:rPr>
          <w:t>C26</w:t>
        </w:r>
        <w:proofErr w:type="spellEnd"/>
        <w:r w:rsidRPr="00341437">
          <w:rPr>
            <w:rStyle w:val="Hyperlink"/>
            <w:rFonts w:eastAsia="Times New Roman" w:cs="Times New Roman"/>
            <w:szCs w:val="20"/>
          </w:rPr>
          <w:t>/83</w:t>
        </w:r>
      </w:hyperlink>
      <w:r>
        <w:t>)</w:t>
      </w:r>
    </w:p>
    <w:p w14:paraId="0BB57F4A" w14:textId="02EE058F" w:rsidR="00341437" w:rsidRDefault="00341437" w:rsidP="00821DA2">
      <w:pPr>
        <w:jc w:val="both"/>
      </w:pPr>
      <w:r>
        <w:t>1.1</w:t>
      </w:r>
      <w:r>
        <w:tab/>
        <w:t xml:space="preserve">Le Président du Groupe de travail du Conseil chargé d'élaborer le Plan stratégique et le Plan financier pour la période 2028-2031 (GTC-SFP) présente le Document C26/31, ainsi que ses Annexes 1 à 3 et son Addendum 1. Il y est question des travaux menés par le </w:t>
      </w:r>
      <w:r w:rsidR="00A075BE">
        <w:t>g</w:t>
      </w:r>
      <w:r>
        <w:t>roupe entre 2024 et 2026. Il relève qu'un accord doit encore être trouvé sur le projet d'</w:t>
      </w:r>
      <w:r w:rsidR="00A075BE">
        <w:t>A</w:t>
      </w:r>
      <w:r>
        <w:t>nnexe</w:t>
      </w:r>
      <w:r w:rsidR="003B0DF5">
        <w:t> </w:t>
      </w:r>
      <w:r>
        <w:t>1 proposé dans le cadre de la révision de la Résolution 71 (Rév. Bucarest, 2022) de la Conférence de plénipotentiaires, contenant le projet de plan stratégique et le projet de plan financier, et de l'</w:t>
      </w:r>
      <w:r w:rsidR="00A075BE">
        <w:t>A</w:t>
      </w:r>
      <w:r>
        <w:t xml:space="preserve">nnexe 2, contenant le projet d'analyse de la situation. Le </w:t>
      </w:r>
      <w:r w:rsidR="00A075BE">
        <w:t>g</w:t>
      </w:r>
      <w:r>
        <w:t>roupe a demandé au Secrétariat d'élaborer des solutions de rechange pour certains objectifs, résultats et indicateurs et d'assurer une coordination avec les auteurs de la contribution présentée par plusieurs pays au titre de ce point de l'ordre du jour.</w:t>
      </w:r>
    </w:p>
    <w:p w14:paraId="4CE0F3CD" w14:textId="486E9611" w:rsidR="00341437" w:rsidRDefault="00341437" w:rsidP="00821DA2">
      <w:pPr>
        <w:jc w:val="both"/>
      </w:pPr>
      <w:r>
        <w:t>1.2</w:t>
      </w:r>
      <w:r>
        <w:tab/>
        <w:t>Un représentant du Secrétariat général dit qu'après consultation des experts de l'UIT, un certain nombre de propositions ont été faites concernant le projet d'</w:t>
      </w:r>
      <w:r w:rsidR="00A075BE">
        <w:t>A</w:t>
      </w:r>
      <w:r>
        <w:t>nnexe 1. Les nouveaux indicateurs proposés au titre des cibles 1.5 et 1.7 ont été inclus. Le Secrétariat propose également de modifier le titre de la cible 1.7 pour favoriser une approche de gestion axée sur les résultats. En outre, il propose d'insérer une note de bas de page pour clarifier les références au Règlement des radiocommunications en ce qui concerne la priorité dans l'utilisation du spectre pour les services spatiaux et les services de Terre. Il propose également de supprimer les références à la réduction de l'écart en matière de normalisation, qui est déjà traitée dans le projet de plan opérationnel. Après consultation de la Fédération de Russie, il est proposé d'insérer un paragraphe dans l'</w:t>
      </w:r>
      <w:r w:rsidR="00A075BE">
        <w:t>A</w:t>
      </w:r>
      <w:r>
        <w:t>ppendice 1 du projet d'</w:t>
      </w:r>
      <w:r w:rsidR="00A075BE">
        <w:t>A</w:t>
      </w:r>
      <w:r>
        <w:t>nnexe</w:t>
      </w:r>
      <w:r w:rsidR="00A075BE">
        <w:t> </w:t>
      </w:r>
      <w:r>
        <w:t xml:space="preserve">1 afin de clarifier la relation qui existe entre le </w:t>
      </w:r>
      <w:r w:rsidR="003B0DF5">
        <w:t>P</w:t>
      </w:r>
      <w:r>
        <w:t xml:space="preserve">lan stratégique et le </w:t>
      </w:r>
      <w:r w:rsidR="003B0DF5">
        <w:t>P</w:t>
      </w:r>
      <w:r>
        <w:t>lan opérationnel. Il est également proposé de supprimer les indicateurs relatifs aux catalyseurs.</w:t>
      </w:r>
    </w:p>
    <w:p w14:paraId="6CF5E8F8" w14:textId="5701BD15" w:rsidR="00341437" w:rsidRDefault="00341437" w:rsidP="00821DA2">
      <w:pPr>
        <w:jc w:val="both"/>
      </w:pPr>
      <w:r>
        <w:t>1.3</w:t>
      </w:r>
      <w:r>
        <w:tab/>
        <w:t>Le Président du GTC-SFP indique qu'aucun consensus n'a été trouvé sur la question</w:t>
      </w:r>
      <w:r w:rsidR="00A075BE">
        <w:t> </w:t>
      </w:r>
      <w:r>
        <w:t>de</w:t>
      </w:r>
      <w:r w:rsidR="00A075BE">
        <w:t> </w:t>
      </w:r>
      <w:r>
        <w:t>savoir si le projet d'</w:t>
      </w:r>
      <w:r w:rsidR="00A075BE">
        <w:t>A</w:t>
      </w:r>
      <w:r>
        <w:t>nnexe 2 devrait être joint à la révision de la Résolution</w:t>
      </w:r>
      <w:r w:rsidR="00A075BE">
        <w:t> </w:t>
      </w:r>
      <w:r>
        <w:t>71</w:t>
      </w:r>
      <w:r w:rsidR="00A075BE">
        <w:t> </w:t>
      </w:r>
      <w:r>
        <w:t>(Rév.</w:t>
      </w:r>
      <w:r w:rsidR="00A075BE">
        <w:t> </w:t>
      </w:r>
      <w:r>
        <w:t xml:space="preserve">Bucarest, 2022) ou présenté en tant que document d'information distinct afin de guider l'élaboration des </w:t>
      </w:r>
      <w:r w:rsidR="001C188A">
        <w:t>P</w:t>
      </w:r>
      <w:r>
        <w:t>lans stratégique et financier. Il attire l'attention sur</w:t>
      </w:r>
      <w:r w:rsidR="00A075BE">
        <w:t> </w:t>
      </w:r>
      <w:r>
        <w:t>le projet d'</w:t>
      </w:r>
      <w:r w:rsidR="00A075BE">
        <w:t>A</w:t>
      </w:r>
      <w:r>
        <w:t>nnexe 3, qui contient un glossaire de termes conformes au Manuel des Nations</w:t>
      </w:r>
      <w:r w:rsidR="00A075BE">
        <w:t> </w:t>
      </w:r>
      <w:r>
        <w:t xml:space="preserve">Unies pour la mise en </w:t>
      </w:r>
      <w:r w:rsidR="00A075BE">
        <w:t>œuvre</w:t>
      </w:r>
      <w:r>
        <w:t xml:space="preserve"> de la gestion axée sur les résultats. De plus, bien qu'aucune proposition n'ait été présentée quant à la révision des dispositions de la Résolution</w:t>
      </w:r>
      <w:r w:rsidR="00A075BE">
        <w:t> </w:t>
      </w:r>
      <w:r>
        <w:t>71</w:t>
      </w:r>
      <w:r w:rsidR="00A075BE">
        <w:t> </w:t>
      </w:r>
      <w:r>
        <w:t>(Rév.</w:t>
      </w:r>
      <w:r w:rsidR="00A075BE">
        <w:t> </w:t>
      </w:r>
      <w:r>
        <w:t>Bucarest, 2022), le Secrétariat a publié le</w:t>
      </w:r>
      <w:r w:rsidR="00821DA2">
        <w:t xml:space="preserve"> </w:t>
      </w:r>
      <w:r w:rsidR="00821DA2" w:rsidRPr="00821DA2">
        <w:t>Document </w:t>
      </w:r>
      <w:proofErr w:type="spellStart"/>
      <w:r>
        <w:fldChar w:fldCharType="begin"/>
      </w:r>
      <w:r>
        <w:instrText>HYPERLINK "https://www.itu.int/md/S26-CL-INF-0001/fr"</w:instrText>
      </w:r>
      <w:r>
        <w:fldChar w:fldCharType="separate"/>
      </w:r>
      <w:r w:rsidRPr="00A075BE">
        <w:rPr>
          <w:rStyle w:val="Hyperlink"/>
          <w:rFonts w:eastAsia="Times New Roman" w:cs="Times New Roman"/>
          <w:szCs w:val="20"/>
        </w:rPr>
        <w:t>C26</w:t>
      </w:r>
      <w:proofErr w:type="spellEnd"/>
      <w:r w:rsidRPr="00A075BE">
        <w:rPr>
          <w:rStyle w:val="Hyperlink"/>
          <w:rFonts w:eastAsia="Times New Roman" w:cs="Times New Roman"/>
          <w:szCs w:val="20"/>
        </w:rPr>
        <w:t>/</w:t>
      </w:r>
      <w:proofErr w:type="spellStart"/>
      <w:r w:rsidRPr="00A075BE">
        <w:rPr>
          <w:rStyle w:val="Hyperlink"/>
          <w:rFonts w:eastAsia="Times New Roman" w:cs="Times New Roman"/>
          <w:szCs w:val="20"/>
        </w:rPr>
        <w:t>INF</w:t>
      </w:r>
      <w:proofErr w:type="spellEnd"/>
      <w:r w:rsidRPr="00A075BE">
        <w:rPr>
          <w:rStyle w:val="Hyperlink"/>
          <w:rFonts w:eastAsia="Times New Roman" w:cs="Times New Roman"/>
          <w:szCs w:val="20"/>
        </w:rPr>
        <w:t>/1</w:t>
      </w:r>
      <w:r>
        <w:fldChar w:fldCharType="end"/>
      </w:r>
      <w:r>
        <w:t xml:space="preserve">, qui contient des lignes directrices destinées à harmoniser les </w:t>
      </w:r>
      <w:r w:rsidR="00A075BE">
        <w:t>R</w:t>
      </w:r>
      <w:r>
        <w:t xml:space="preserve">ésolutions et les </w:t>
      </w:r>
      <w:r w:rsidR="00A075BE">
        <w:t>D</w:t>
      </w:r>
      <w:r>
        <w:t>écisions issues de la Conférence de plénipotentiaires.</w:t>
      </w:r>
    </w:p>
    <w:p w14:paraId="30F768B5" w14:textId="517CC18C" w:rsidR="00341437" w:rsidRDefault="00341437" w:rsidP="00821DA2">
      <w:pPr>
        <w:jc w:val="both"/>
      </w:pPr>
      <w:r>
        <w:t>1.4</w:t>
      </w:r>
      <w:r>
        <w:tab/>
        <w:t>Étant donné que les documents soumis à la Conférence de plénipotentiaires ne peuvent contenir de commentaires, le Président invite les auteurs des propositions à envisager de soumettre les points de vue exposés dans les projets d'annexe précédents sous la forme de contributions officielles à la Conférence de plénipotentiaires (Doha, 2026) (PP</w:t>
      </w:r>
      <w:r w:rsidR="00A075BE">
        <w:noBreakHyphen/>
      </w:r>
      <w:r>
        <w:t>26).</w:t>
      </w:r>
    </w:p>
    <w:p w14:paraId="1E78AFEA" w14:textId="47B8750E" w:rsidR="00341437" w:rsidRDefault="00341437" w:rsidP="00821DA2">
      <w:pPr>
        <w:jc w:val="both"/>
      </w:pPr>
      <w:r>
        <w:t>1.5</w:t>
      </w:r>
      <w:r>
        <w:tab/>
        <w:t xml:space="preserve">La conseillère de la Bulgarie présente la contribution soumise par plusieurs pays, figurant dans le Document C26/83, au nom de quatre pays. Il y est question du point de vue de ces derniers sur le projet de plan stratégique de l'Union pour la période 2028-2031. Selon ces pays, il est important que le </w:t>
      </w:r>
      <w:r w:rsidR="001C188A">
        <w:t>P</w:t>
      </w:r>
      <w:r>
        <w:t xml:space="preserve">lan stratégique fasse apparaître le rôle de l'Union en tant que structure administrative. En outre, il conviendrait dans son élaboration d'adopter une approche plus stratégique, fondée sur les principes de la gestion axée sur les résultats, afin </w:t>
      </w:r>
      <w:r>
        <w:lastRenderedPageBreak/>
        <w:t xml:space="preserve">d'établir un lien clair avec le </w:t>
      </w:r>
      <w:r w:rsidR="003E365A">
        <w:t>P</w:t>
      </w:r>
      <w:r>
        <w:t xml:space="preserve">lan financier et le </w:t>
      </w:r>
      <w:r w:rsidR="003E365A">
        <w:t>P</w:t>
      </w:r>
      <w:r>
        <w:t xml:space="preserve">lan opérationnel. Il faudrait mettre en place des objectifs et des priorités thématiques spécifiques et mesurables, ainsi que des indicateurs réalistes, et procéder à des évaluations pragmatiques de la probabilité de mise en œuvre dans les quatre ans à venir. Tous les objectifs, priorités et résultats devraient correspondre aux ressources humaines, financières et techniques disponibles et il ne faudrait pas avoir à utiliser des ressources supplémentaires pour obtenir les données nécessaires à tel ou tel indicateur. En outre, conformément au glossaire proposé, les catalyseurs devraient être examinés dans le contexte de leur rôle en tant que ressources existantes disponibles pour appuyer la mise en œuvre du </w:t>
      </w:r>
      <w:r w:rsidR="001C188A">
        <w:t>P</w:t>
      </w:r>
      <w:r>
        <w:t>lan stratégique, et non comme des facteurs à atteindre.</w:t>
      </w:r>
    </w:p>
    <w:p w14:paraId="1701546A" w14:textId="481525B3" w:rsidR="00341437" w:rsidRDefault="00341437" w:rsidP="00821DA2">
      <w:pPr>
        <w:jc w:val="both"/>
      </w:pPr>
      <w:r>
        <w:t>1.6</w:t>
      </w:r>
      <w:r>
        <w:tab/>
        <w:t>Les conseillers se félicitent des progrès accomplis dans le cadre de l'actuel projet de plan stratégique pour la période 2028-2031, qui servira de boussole pour guider les travaux de l'Union vers la réalisation d'objectifs communs.</w:t>
      </w:r>
    </w:p>
    <w:p w14:paraId="29102706" w14:textId="7C84CF1D" w:rsidR="00341437" w:rsidRDefault="00341437" w:rsidP="00821DA2">
      <w:pPr>
        <w:jc w:val="both"/>
      </w:pPr>
      <w:r>
        <w:t>1.7</w:t>
      </w:r>
      <w:r>
        <w:tab/>
        <w:t xml:space="preserve">Certains conseillers souscrivent à l'orientation générale du projet de plan stratégique, en particulier l'accent mis sur la connectivité universelle et la transformation numérique durable, étant donné le nombre élevé de personnes – principalement dans les pays en développement – qui ne sont toujours pas connectées. Le </w:t>
      </w:r>
      <w:r w:rsidR="00A075BE">
        <w:t>P</w:t>
      </w:r>
      <w:r>
        <w:t>lan stratégique doit tenir compte des réalités et des priorités des pays en développement. Un conseiller se félicite de l'ajout d'une priorité sur l'interopérabilité et l'innovation dans le domaine des télécommunications/technologies de l'information et de la communication (TIC) dans le monde, tandis qu'un autre souligne l'importance des indicateurs relatifs à la couverture large bande, à l'accessibilité financière, à la cybersécurité et à la résilience des réseaux.</w:t>
      </w:r>
    </w:p>
    <w:p w14:paraId="6BB5D3B7" w14:textId="4F433403" w:rsidR="00341437" w:rsidRDefault="00341437" w:rsidP="00821DA2">
      <w:pPr>
        <w:jc w:val="both"/>
      </w:pPr>
      <w:r>
        <w:t>1.8</w:t>
      </w:r>
      <w:r>
        <w:tab/>
        <w:t>Deux conseillers soulignent qu'il convient de trouver un équilibre pragmatique entre ambition et accessibilité financière, compte tenu des contraintes économiques mondiales. Une autre conseillère souligne qu'il est important de veiller à ce que les efforts visant à renforcer la présence régionale de l'UIT cadrent avec le projet de plan stratégique.</w:t>
      </w:r>
    </w:p>
    <w:p w14:paraId="3987F8B6" w14:textId="017EF63F" w:rsidR="00341437" w:rsidRDefault="00341437" w:rsidP="00821DA2">
      <w:pPr>
        <w:jc w:val="both"/>
      </w:pPr>
      <w:r>
        <w:t>1.9</w:t>
      </w:r>
      <w:r>
        <w:tab/>
        <w:t>Une conseillère indique qu'il est bon de procéder à une analyse de la situation. Dans le cas du projet de plan stratégique, il faut reconnaître que le personnel de l'UIT constitue une force essentielle. Un autre conseiller fait observer que les contraintes de ressources ont été considérées dans l'analyse à la fois comme une faiblesse et comme une menace. Il propose également que la collaboration entre les principales institutions des Nations Unies soit envisagée comme une possibilité.</w:t>
      </w:r>
    </w:p>
    <w:p w14:paraId="305D20E1" w14:textId="438EBB34" w:rsidR="00341437" w:rsidRDefault="00341437" w:rsidP="00821DA2">
      <w:pPr>
        <w:jc w:val="both"/>
      </w:pPr>
      <w:r>
        <w:t>1.10</w:t>
      </w:r>
      <w:r>
        <w:tab/>
        <w:t>Une conseillère se dit favorable au glossaire figurant dans le projet d'</w:t>
      </w:r>
      <w:r w:rsidR="00A075BE">
        <w:t>A</w:t>
      </w:r>
      <w:r>
        <w:t>nnexe 3, qui contribuera à rationaliser les travaux de l'Union.</w:t>
      </w:r>
    </w:p>
    <w:p w14:paraId="7FC32B81" w14:textId="28DF07C8" w:rsidR="00341437" w:rsidRDefault="00341437" w:rsidP="00821DA2">
      <w:pPr>
        <w:jc w:val="both"/>
      </w:pPr>
      <w:r>
        <w:t>1.11</w:t>
      </w:r>
      <w:r>
        <w:tab/>
        <w:t>Certains conseillers soulignent que la réduction de l'écart en matière de normalisation demeure une grande priorité de l'UIT pour les pays en développement et est essentielle pour un développement inclusif et durable. Il convient donc de continuer à en faire mention dans le projet de plan stratégique. Une autre conseillère se dit favorable au maintien des indicateurs catalyseurs dans le projet de plan stratégique, ceux-ci étant essentiels à la mise en œuvre efficace de ce plan.</w:t>
      </w:r>
    </w:p>
    <w:p w14:paraId="7D68F6E9" w14:textId="4CE265A7" w:rsidR="00341437" w:rsidRDefault="00341437" w:rsidP="00821DA2">
      <w:pPr>
        <w:jc w:val="both"/>
      </w:pPr>
      <w:r>
        <w:t>1.12</w:t>
      </w:r>
      <w:r>
        <w:tab/>
        <w:t>Deux conseillers demandent que des informations détaillées sur les risques, y compris les indicateurs clés et les mesures d'atténuation associées, soient consignées dans le projet de plan stratégique.</w:t>
      </w:r>
    </w:p>
    <w:p w14:paraId="3ED53D02" w14:textId="2E019768" w:rsidR="00341437" w:rsidRDefault="00341437" w:rsidP="00821DA2">
      <w:pPr>
        <w:jc w:val="both"/>
      </w:pPr>
      <w:r>
        <w:t>1.13</w:t>
      </w:r>
      <w:r>
        <w:tab/>
        <w:t xml:space="preserve">Une conseillère souligne que l'évaluation de l'incidence devrait être axée sur les résultats obtenus dans le cadre des activités de l'UIT, plutôt que sur les accomplissements des </w:t>
      </w:r>
      <w:r>
        <w:lastRenderedPageBreak/>
        <w:t>États Membres. En outre, il faudrait accorder la priorité aux indicateurs mesurables au moyen des outils existants et éviter de s'appuyer sur des indicateurs indirects.</w:t>
      </w:r>
    </w:p>
    <w:p w14:paraId="15925304" w14:textId="7E5B16E1" w:rsidR="00341437" w:rsidRDefault="00341437" w:rsidP="00821DA2">
      <w:pPr>
        <w:jc w:val="both"/>
      </w:pPr>
      <w:r>
        <w:t>1.14</w:t>
      </w:r>
      <w:r>
        <w:tab/>
        <w:t>Un conseiller appelle à des efforts pour réduire le nombre d'indicateurs en évaluant l'utilité des données proposées pour la prise de décisions. Il souhaite également savoir quels mécanismes sont en place pour justifier le remplacement des rapports fondés sur les activités par des rapports axés sur les résultats, comme le préconise le projet de plan stratégique.</w:t>
      </w:r>
    </w:p>
    <w:p w14:paraId="29877966" w14:textId="33D0CEBA" w:rsidR="00341437" w:rsidRDefault="00341437" w:rsidP="00821DA2">
      <w:pPr>
        <w:jc w:val="both"/>
      </w:pPr>
      <w:r>
        <w:t>1.15</w:t>
      </w:r>
      <w:r>
        <w:tab/>
        <w:t>Un conseiller demande un examen plus approfondi des indicateurs sur les émissions de gaz à effet de serre du secteur des TIC et sur les technologies spatiales au service du développement. Un autre conseiller suggère de faire expressément référence à l'alignement sur d'autres institutions et ressources des Nations Unies – en particulier le Rapport sur l'investissement dans le monde de la Conférence des Nations Unies sur le commerce et le développement – lorsqu'il est fait mention des statistiques. Un troisième conseiller propose d'utiliser un indicateur plus pertinent pour l'objectif relatif aux réseaux résilients, par exemple un indicateur lié à la résilience des câbles sous-marins. S'agissant des incidences des TIC sur l'environnement, il conviendrait également d'inclure un indicateur pour rendre compte de la contribution positive de ce secteur à la promotion de la transformation numérique verte. S'agissant des technologies spatiales au service du développement, il propose de fusionner les deux indicateurs, relevant un chevauchement entre les abonnements au large bande par satellite et les abonnements au large bande fixe.</w:t>
      </w:r>
    </w:p>
    <w:p w14:paraId="4D4919B1" w14:textId="027DB64A" w:rsidR="00341437" w:rsidRDefault="00341437" w:rsidP="00821DA2">
      <w:pPr>
        <w:jc w:val="both"/>
      </w:pPr>
      <w:r>
        <w:t>1.16</w:t>
      </w:r>
      <w:r>
        <w:tab/>
        <w:t>Plusieurs conseillers appuient les recommandations figurant dans le Document</w:t>
      </w:r>
      <w:r w:rsidR="00A075BE">
        <w:t> </w:t>
      </w:r>
      <w:r>
        <w:t xml:space="preserve">C26/83, en particulier la nécessité d'établir des liens entre les </w:t>
      </w:r>
      <w:r w:rsidR="00A075BE">
        <w:t>P</w:t>
      </w:r>
      <w:r>
        <w:t xml:space="preserve">lans stratégique, financier et opérationnel pour veiller à ce qu'ils se renforcent mutuellement. Les buts stratégiques devraient être clairement alignés sur les priorités et les résultats et devraient être associés à des indicateurs spécifiques, mesurables, réalisables, pertinents et assortis d'échéances pour aider à évaluer l'impact réel sur le terrain. En outre, les activités doivent être adaptées aux ressources disponibles et assorties d'une évaluation réaliste de la capacité de mise en œuvre. Certains conseillers et un observateur préconisent de recourir encore davantage à la gestion axée sur les résultats, en particulier dans l'élaboration des indicateurs, afin d'accroître la transparence dans l'utilisation des ressources, et deux autres conseillères insistent sur le rôle de l'UIT en tant qu'organisation administrative chargée d'aider les </w:t>
      </w:r>
      <w:r w:rsidR="00A075BE">
        <w:t>États</w:t>
      </w:r>
      <w:r>
        <w:t xml:space="preserve"> Membres et les Membres de Secteur à développer les réseaux et services</w:t>
      </w:r>
      <w:r w:rsidR="00A075BE">
        <w:t> </w:t>
      </w:r>
      <w:r>
        <w:t>TIC.</w:t>
      </w:r>
    </w:p>
    <w:p w14:paraId="086B7AC3" w14:textId="0601234D" w:rsidR="00341437" w:rsidRDefault="00341437" w:rsidP="00821DA2">
      <w:pPr>
        <w:jc w:val="both"/>
      </w:pPr>
      <w:r>
        <w:t>1.17</w:t>
      </w:r>
      <w:r>
        <w:tab/>
        <w:t xml:space="preserve">Une conseillère, qui reconnaît la valeur de la contribution présentée par plusieurs pays, dit qu'un examen plus approfondi est nécessaire. Une approche très structurée est certes utile, mais le projet de plan stratégique doit être convivial et éviter toute complexité inutile. Il doit également pouvoir répondre aux nouveaux défis et intégrer au besoin de nouveaux indicateurs. Il est important de souligner le rôle administratif de l'UIT. Toutefois, le </w:t>
      </w:r>
      <w:r w:rsidR="00A075BE">
        <w:t>P</w:t>
      </w:r>
      <w:r>
        <w:t>lan stratégique doit également tenir compte de la contribution collective plus large de l'Union.</w:t>
      </w:r>
    </w:p>
    <w:p w14:paraId="1E514E0E" w14:textId="74A3FD43" w:rsidR="00341437" w:rsidRDefault="00341437" w:rsidP="00821DA2">
      <w:pPr>
        <w:jc w:val="both"/>
      </w:pPr>
      <w:r>
        <w:t>1.18</w:t>
      </w:r>
      <w:r>
        <w:tab/>
      </w:r>
      <w:r w:rsidR="00DD1434">
        <w:t xml:space="preserve">Un </w:t>
      </w:r>
      <w:r>
        <w:t>conseiller dit qu'un mécanisme structuré devrait être inclus dans le projet de plan stratégique pour veiller à ce que les enseignements tirés servent à orienter l'élaboration des futurs plans stratégiques. Il relève également que sa délégation a déjà soulevé cette question à la dernière réunion du GTC-SFP, mais qu'elle n'a pas reçu de réponse du Secrétariat. Il encourage ce dernier à répondre aux observations de tous les États</w:t>
      </w:r>
      <w:r w:rsidR="00A075BE">
        <w:t> </w:t>
      </w:r>
      <w:r>
        <w:t>Membres afin de veiller à ce que personne n'ait l'impression que son avis ne compte pas.</w:t>
      </w:r>
    </w:p>
    <w:p w14:paraId="302C1FF1" w14:textId="2AF520C8" w:rsidR="00341437" w:rsidRDefault="00341437" w:rsidP="00821DA2">
      <w:pPr>
        <w:jc w:val="both"/>
      </w:pPr>
      <w:r>
        <w:t>1.19</w:t>
      </w:r>
      <w:r>
        <w:tab/>
        <w:t xml:space="preserve">Plusieurs conseillers et un observateur demandent que le projet de plan stratégique </w:t>
      </w:r>
      <w:r w:rsidR="00A075BE">
        <w:t>continue</w:t>
      </w:r>
      <w:r>
        <w:t xml:space="preserve"> d'être examiné avant de soumettre le document à la PP-26, conformément au </w:t>
      </w:r>
      <w:r>
        <w:lastRenderedPageBreak/>
        <w:t>précédent créé à l'approche de la Conférence de 2022. Une conseillère encourage les États</w:t>
      </w:r>
      <w:r w:rsidR="00A075BE">
        <w:t> </w:t>
      </w:r>
      <w:r>
        <w:t>Membres à parvenir à un accord bien avant la Conférence, afin de laisser suffisamment de temps pour la coordination au niveau régional. Un autre conseiller demande au Président du GTC-SFP d'examiner les questions soulevées en collaboration avec la Présidente du Groupe de travail sur les ressources financières et les ressources humaines, et une troisième conseillère demande qu'un calendrier soit établi pour la poursuite des discussions afin de garantir une participation constructive des États Membres.</w:t>
      </w:r>
    </w:p>
    <w:p w14:paraId="27D22483" w14:textId="78BFBE58" w:rsidR="00341437" w:rsidRDefault="00341437" w:rsidP="00821DA2">
      <w:pPr>
        <w:jc w:val="both"/>
      </w:pPr>
      <w:r>
        <w:t>1.20</w:t>
      </w:r>
      <w:r>
        <w:tab/>
        <w:t>La conseillère des États-Unis prononce la déclaration disponible à l'</w:t>
      </w:r>
      <w:r w:rsidR="00A075BE">
        <w:t>A</w:t>
      </w:r>
      <w:r>
        <w:t>nnexe 1 de l'</w:t>
      </w:r>
      <w:hyperlink r:id="rId14" w:history="1">
        <w:r w:rsidR="00DD1434" w:rsidRPr="00231D5A">
          <w:rPr>
            <w:rStyle w:val="Hyperlink"/>
            <w:rFonts w:eastAsia="Times New Roman" w:cs="Calibri"/>
            <w:szCs w:val="20"/>
          </w:rPr>
          <w:t>Addendum 2</w:t>
        </w:r>
      </w:hyperlink>
      <w:r>
        <w:t xml:space="preserve"> au </w:t>
      </w:r>
      <w:r w:rsidR="00821DA2" w:rsidRPr="00821DA2">
        <w:t>Document </w:t>
      </w:r>
      <w:proofErr w:type="spellStart"/>
      <w:r>
        <w:fldChar w:fldCharType="begin"/>
      </w:r>
      <w:r>
        <w:instrText>HYPERLINK "https://www.itu.int/md/S26-CL-C-0031/fr"</w:instrText>
      </w:r>
      <w:r>
        <w:fldChar w:fldCharType="separate"/>
      </w:r>
      <w:r w:rsidRPr="00A075BE">
        <w:rPr>
          <w:rStyle w:val="Hyperlink"/>
          <w:rFonts w:eastAsia="Times New Roman" w:cs="Times New Roman"/>
          <w:szCs w:val="20"/>
        </w:rPr>
        <w:t>C26</w:t>
      </w:r>
      <w:proofErr w:type="spellEnd"/>
      <w:r w:rsidRPr="00A075BE">
        <w:rPr>
          <w:rStyle w:val="Hyperlink"/>
          <w:rFonts w:eastAsia="Times New Roman" w:cs="Times New Roman"/>
          <w:szCs w:val="20"/>
        </w:rPr>
        <w:t>/31</w:t>
      </w:r>
      <w:r>
        <w:fldChar w:fldCharType="end"/>
      </w:r>
      <w:r>
        <w:t>.</w:t>
      </w:r>
    </w:p>
    <w:p w14:paraId="43CF85C3" w14:textId="77777777" w:rsidR="00341437" w:rsidRDefault="00341437" w:rsidP="00821DA2">
      <w:pPr>
        <w:jc w:val="both"/>
      </w:pPr>
      <w:r>
        <w:t>1.21</w:t>
      </w:r>
      <w:r>
        <w:tab/>
        <w:t>Le Président propose de tenir des consultations informelles sur cette question et de rendre compte des résultats à une séance plénière ultérieure.</w:t>
      </w:r>
    </w:p>
    <w:p w14:paraId="0B4B7152" w14:textId="77777777" w:rsidR="00341437" w:rsidRDefault="00341437" w:rsidP="00821DA2">
      <w:pPr>
        <w:jc w:val="both"/>
      </w:pPr>
      <w:r>
        <w:t>1.22</w:t>
      </w:r>
      <w:r>
        <w:tab/>
        <w:t xml:space="preserve">Il en est ainsi </w:t>
      </w:r>
      <w:r w:rsidRPr="00A075BE">
        <w:rPr>
          <w:b/>
          <w:bCs/>
        </w:rPr>
        <w:t>décidé</w:t>
      </w:r>
      <w:r>
        <w:t>.</w:t>
      </w:r>
    </w:p>
    <w:p w14:paraId="68470458" w14:textId="6B6684CE" w:rsidR="00341437" w:rsidRDefault="00341437" w:rsidP="00A075BE">
      <w:pPr>
        <w:pStyle w:val="Heading1"/>
      </w:pPr>
      <w:r>
        <w:t>2</w:t>
      </w:r>
      <w:r>
        <w:tab/>
        <w:t>Rapports du Président du Groupe de travail du Conseil sur la protection en ligne des enfants (</w:t>
      </w:r>
      <w:r w:rsidR="00821DA2" w:rsidRPr="00821DA2">
        <w:t>Documents </w:t>
      </w:r>
      <w:proofErr w:type="spellStart"/>
      <w:r>
        <w:fldChar w:fldCharType="begin"/>
      </w:r>
      <w:r>
        <w:instrText>HYPERLINK "https://www.itu.int/md/S26-CL-C-0015/fr"</w:instrText>
      </w:r>
      <w:r>
        <w:fldChar w:fldCharType="separate"/>
      </w:r>
      <w:r w:rsidRPr="00C47B57">
        <w:rPr>
          <w:rStyle w:val="Hyperlink"/>
          <w:rFonts w:eastAsia="Times New Roman" w:cs="Times New Roman"/>
          <w:szCs w:val="20"/>
        </w:rPr>
        <w:t>C26</w:t>
      </w:r>
      <w:proofErr w:type="spellEnd"/>
      <w:r w:rsidRPr="00C47B57">
        <w:rPr>
          <w:rStyle w:val="Hyperlink"/>
          <w:rFonts w:eastAsia="Times New Roman" w:cs="Times New Roman"/>
          <w:szCs w:val="20"/>
        </w:rPr>
        <w:t>/15</w:t>
      </w:r>
      <w:r>
        <w:fldChar w:fldCharType="end"/>
      </w:r>
      <w:r>
        <w:t xml:space="preserve"> et </w:t>
      </w:r>
      <w:hyperlink r:id="rId15" w:history="1">
        <w:proofErr w:type="spellStart"/>
        <w:r w:rsidRPr="00C47B57">
          <w:rPr>
            <w:rStyle w:val="Hyperlink"/>
            <w:rFonts w:eastAsia="Times New Roman" w:cs="Times New Roman"/>
            <w:szCs w:val="20"/>
          </w:rPr>
          <w:t>C26</w:t>
        </w:r>
        <w:proofErr w:type="spellEnd"/>
        <w:r w:rsidRPr="00C47B57">
          <w:rPr>
            <w:rStyle w:val="Hyperlink"/>
            <w:rFonts w:eastAsia="Times New Roman" w:cs="Times New Roman"/>
            <w:szCs w:val="20"/>
          </w:rPr>
          <w:t>/18</w:t>
        </w:r>
      </w:hyperlink>
      <w:r>
        <w:t>)</w:t>
      </w:r>
    </w:p>
    <w:p w14:paraId="077E8E98" w14:textId="43C4815F" w:rsidR="00341437" w:rsidRDefault="00341437" w:rsidP="00821DA2">
      <w:pPr>
        <w:jc w:val="both"/>
      </w:pPr>
      <w:r>
        <w:t>2.1</w:t>
      </w:r>
      <w:r>
        <w:tab/>
        <w:t>La Vice-Présidente du Groupe de travail du Conseil sur la protection en ligne des enfants (GTC-COP) présente le Document C26/15, dans lequel il est fait état des cinq</w:t>
      </w:r>
      <w:r w:rsidR="00C47B57">
        <w:t> </w:t>
      </w:r>
      <w:r>
        <w:t xml:space="preserve">principaux domaines d'activité du groupe de travail pour la période considérée et dans lequel figure le résumé des résultats des 23ème et 24ème réunions du groupe. Elle présente également le </w:t>
      </w:r>
      <w:r w:rsidR="00C47B57">
        <w:t>R</w:t>
      </w:r>
      <w:r>
        <w:t>apport quadriennal du GTC-COP (Document C26/18), qui rend compte des activités et des réalisations du groupe de travail au cours de la période 2022-2026 et souligne que l'action du GTC-COP continue de présenter un intérêt face à l'évolution des risques numériques qui pèsent sur les enfants et les jeunes. Le Conseil est invité à recommander à la PP-26 de maintenir le GTC-COP pour la prochaine période quadriennale.</w:t>
      </w:r>
    </w:p>
    <w:p w14:paraId="1D3122E8" w14:textId="2ACC4A2F" w:rsidR="00341437" w:rsidRDefault="00341437" w:rsidP="00821DA2">
      <w:pPr>
        <w:jc w:val="both"/>
      </w:pPr>
      <w:r>
        <w:t>2.2</w:t>
      </w:r>
      <w:r>
        <w:tab/>
        <w:t>De nombreuses conseillères et deux observatrices accueillent favorablement ces rapports et saluent les activités importantes menées par le groupe de travail, notant que la protection en ligne des enfants est une priorité essentielle dans le contexte de la transformation numérique et s'inscrit dans la droite ligne des travaux menés par l'UIT en</w:t>
      </w:r>
      <w:r w:rsidR="00231D5A">
        <w:t> </w:t>
      </w:r>
      <w:r>
        <w:t xml:space="preserve">tant que coordonnateur de la </w:t>
      </w:r>
      <w:r w:rsidR="00C47B57">
        <w:t>G</w:t>
      </w:r>
      <w:r>
        <w:t>rande orientation C5 du Sommet mondial sur la société de l'information (SMSI). Les participants appuient les activités du groupe de travail visant à promouvoir la participation multipartite, notamment avec le secteur privé, la société civile, les établissements universitaires et les organisations internationales, et à étudier des modalités sûres et efficaces pour la participation des enfants et des jeunes aux activités sur la protection en ligne des enfants. Certains conseillers appellent à une participation plus large des principales parties prenantes pour garantir une approche coordonnée et inclusive. Il est suggéré que d'autres groupes de travail du Conseil tireraient profit d'une approche multi</w:t>
      </w:r>
      <w:r w:rsidR="003E365A">
        <w:noBreakHyphen/>
      </w:r>
      <w:r>
        <w:t xml:space="preserve">parties prenantes similaire. Des conseillers se félicitent également de l'accent mis sur les technologies émergentes, en particulier l'intelligence artificielle (IA), et soulignent l'importance de renforcer les garanties centrées sur l'enfant et les approches de sécurité dès la conception. Une approche équilibrée s'impose pour protéger les enfants contre les préjudices en ligne dans le respect de leurs droits. Des conseillers se félicitent des activités du groupe de travail visant à renforcer la coordination entre les activités de normalisation politique, opérationnelle et technique au sein de l'UIT, y compris la coordination renforcée avec la Commission d'études 17 du Secteur de la normalisation des télécommunications de l'UIT (UIT-T). Une conseillère note que l'approbation de la Recommandation UIT-T X.1901 a </w:t>
      </w:r>
      <w:r>
        <w:lastRenderedPageBreak/>
        <w:t>marqué une étape importante en ce sens qu'elle était la première norme technique de l'UIT</w:t>
      </w:r>
      <w:r w:rsidR="00C47B57">
        <w:noBreakHyphen/>
      </w:r>
      <w:r>
        <w:t>T axée sur la protection en ligne des enfants, en particulier compte tenu des inquiétudes initiales quant à savoir si cette protection relevait de la normalisation technique.</w:t>
      </w:r>
    </w:p>
    <w:p w14:paraId="0114CEEA" w14:textId="0E471C6D" w:rsidR="00341437" w:rsidRDefault="00341437" w:rsidP="00821DA2">
      <w:pPr>
        <w:jc w:val="both"/>
      </w:pPr>
      <w:r>
        <w:t>2.3</w:t>
      </w:r>
      <w:r>
        <w:tab/>
        <w:t xml:space="preserve">Les conseillers sont convenus que les initiatives de protection en ligne des enfants doivent rester inclusives, centrées sur l'enfant et adaptées à l'évolution des risques numériques. Des mécanismes pratiques, tels que des systèmes de signalement, des outils d'autonomisation des parents, des activités de sensibilisation, d'échange de connaissances et d'appui au renforcement des capacités, en particulier pour les pays en développement, seraient utiles pour aider les États Membres à mettre en œuvre des cadres nationaux et à traduire les principes et les bonnes pratiques en politiques, procédures et garanties efficaces. Il est fait état de l'importance de la transparence et de l'échange d'informations, et l'amélioration des rapports des bureaux régionaux de l'UIT sur les initiatives en matière de protection en ligne des enfants contribuerait à mieux rendre compte des priorités régionales, des réalités dans les activités de mise en œuvre et des besoins au niveau national. </w:t>
      </w:r>
    </w:p>
    <w:p w14:paraId="16529611" w14:textId="10780574" w:rsidR="00341437" w:rsidRDefault="00341437" w:rsidP="00821DA2">
      <w:pPr>
        <w:jc w:val="both"/>
      </w:pPr>
      <w:r>
        <w:t>2.4</w:t>
      </w:r>
      <w:r>
        <w:tab/>
        <w:t>Une observatrice demande comment l'UIT pourrait aider les États Membres à faire en sorte que la sécurité en ligne des enfants fasse partie intégrante de l'éducation numérique normale et ne constitue pas un enjeu politique distinct.</w:t>
      </w:r>
    </w:p>
    <w:p w14:paraId="7953C059" w14:textId="1ACCCF62" w:rsidR="00341437" w:rsidRDefault="00341437" w:rsidP="00821DA2">
      <w:pPr>
        <w:jc w:val="both"/>
      </w:pPr>
      <w:r>
        <w:t>2.5</w:t>
      </w:r>
      <w:r>
        <w:tab/>
        <w:t>Des conseillers relèvent que le GTC-COP offre une tribune unique à l'UIT et à tous les États</w:t>
      </w:r>
      <w:r w:rsidR="00C47B57">
        <w:t> </w:t>
      </w:r>
      <w:r>
        <w:t>Membres, en sensibilisant l'opinion, en échangeant des bonnes pratiques et en aidant les États Membres à protéger les enfants dans l'environnement numérique. Ses travaux devraient se poursuivre pour la prochaine période de quatre ans, en mettant l'accent sur les aspects techniques relevant du mandat de l'UIT. Le groupe de travail doit pouvoir se réunir deux fois par an au cours du prochain cycle, si nécessaire, en utilisant le temps de réunion inutilisé des autres groupes de travail du Conseil. Il convient d'éviter les chevauchements d'activités et d'utiliser efficacement les ressources. Le groupe de travail devrait envisager des activités pratiques, innovantes et à fortes répercussions, propres à renforcer la protection en ligne des enfants, à combler les lacunes dans la mise en œuvre, à encourager la coopération régionale et à aider les États Membres à mettre en œuvre des politiques et des procédures nationales efficaces dans un paysage numérique qui évolue rapidement. Deux conseillères proposent d'inclure un renvoi à la protection en ligne des enfants dans le projet de plan stratégique de l'Union pour la période 2028-2031.</w:t>
      </w:r>
    </w:p>
    <w:p w14:paraId="1D070830" w14:textId="77777777" w:rsidR="00341437" w:rsidRDefault="00341437" w:rsidP="00821DA2">
      <w:pPr>
        <w:jc w:val="both"/>
      </w:pPr>
      <w:r>
        <w:t>2.6</w:t>
      </w:r>
      <w:r>
        <w:tab/>
        <w:t>Certains conseillers et un observateur décrivent les efforts déployés au niveau national pour traiter la question prioritaire de la protection en ligne des enfants et améliorer la maîtrise des outils numériques par ces derniers.</w:t>
      </w:r>
    </w:p>
    <w:p w14:paraId="31D1E03F" w14:textId="77777777" w:rsidR="00341437" w:rsidRDefault="00341437" w:rsidP="00821DA2">
      <w:pPr>
        <w:jc w:val="both"/>
      </w:pPr>
      <w:r>
        <w:t>2.7</w:t>
      </w:r>
      <w:r>
        <w:tab/>
        <w:t xml:space="preserve">Le Conseil </w:t>
      </w:r>
      <w:r w:rsidRPr="00C47B57">
        <w:rPr>
          <w:b/>
          <w:bCs/>
        </w:rPr>
        <w:t>prend note</w:t>
      </w:r>
      <w:r>
        <w:t xml:space="preserve"> des rapports figurant dans les Documents C26/15 et C26/18 et décide de transmettre le rapport figurant dans le Document C26/18 à la PP-26 pour examen complémentaire.</w:t>
      </w:r>
    </w:p>
    <w:p w14:paraId="5B949D50" w14:textId="489A7C24" w:rsidR="00341437" w:rsidRDefault="00341437" w:rsidP="00C47B57">
      <w:pPr>
        <w:pStyle w:val="Heading1"/>
      </w:pPr>
      <w:r>
        <w:t>3</w:t>
      </w:r>
      <w:r>
        <w:tab/>
        <w:t>Rapport sur la Résolution 214 (Bucarest, 2022) de la Conférence de plénipotentiaires relative aux technologies fondées sur l'intelligence artificielle et aux télécommunications/technologies de l'information et de la communication (</w:t>
      </w:r>
      <w:r w:rsidR="00821DA2" w:rsidRPr="00821DA2">
        <w:t>Documents </w:t>
      </w:r>
      <w:proofErr w:type="spellStart"/>
      <w:r>
        <w:fldChar w:fldCharType="begin"/>
      </w:r>
      <w:r>
        <w:instrText>HYPERLINK "https://www.itu.int/md/S26-CL-C-0029/fr"</w:instrText>
      </w:r>
      <w:r>
        <w:fldChar w:fldCharType="separate"/>
      </w:r>
      <w:r w:rsidRPr="00C47B57">
        <w:rPr>
          <w:rStyle w:val="Hyperlink"/>
          <w:rFonts w:eastAsia="Times New Roman" w:cs="Times New Roman"/>
          <w:szCs w:val="20"/>
        </w:rPr>
        <w:t>C26</w:t>
      </w:r>
      <w:proofErr w:type="spellEnd"/>
      <w:r w:rsidRPr="00C47B57">
        <w:rPr>
          <w:rStyle w:val="Hyperlink"/>
          <w:rFonts w:eastAsia="Times New Roman" w:cs="Times New Roman"/>
          <w:szCs w:val="20"/>
        </w:rPr>
        <w:t>/29</w:t>
      </w:r>
      <w:r>
        <w:fldChar w:fldCharType="end"/>
      </w:r>
      <w:r>
        <w:t xml:space="preserve"> et </w:t>
      </w:r>
      <w:hyperlink r:id="rId16" w:history="1">
        <w:proofErr w:type="spellStart"/>
        <w:r w:rsidRPr="00C47B57">
          <w:rPr>
            <w:rStyle w:val="Hyperlink"/>
            <w:rFonts w:eastAsia="Times New Roman" w:cs="Times New Roman"/>
            <w:szCs w:val="20"/>
          </w:rPr>
          <w:t>C26</w:t>
        </w:r>
        <w:proofErr w:type="spellEnd"/>
        <w:r w:rsidRPr="00C47B57">
          <w:rPr>
            <w:rStyle w:val="Hyperlink"/>
            <w:rFonts w:eastAsia="Times New Roman" w:cs="Times New Roman"/>
            <w:szCs w:val="20"/>
          </w:rPr>
          <w:t>/79</w:t>
        </w:r>
      </w:hyperlink>
      <w:r>
        <w:t>)</w:t>
      </w:r>
    </w:p>
    <w:p w14:paraId="6F63EA64" w14:textId="2E4E289F" w:rsidR="00341437" w:rsidRDefault="00341437" w:rsidP="00B14AB4">
      <w:pPr>
        <w:jc w:val="both"/>
      </w:pPr>
      <w:r>
        <w:t>3.1</w:t>
      </w:r>
      <w:r>
        <w:tab/>
        <w:t xml:space="preserve">L'Adjoint au Directeur du Bureau de la normalisation des télécommunications (TSB) présente le Document C26/29, qui contient le rapport sur la Résolution 214 (Bucarest, 2022) </w:t>
      </w:r>
      <w:r>
        <w:lastRenderedPageBreak/>
        <w:t>de la Conférence de plénipotentiaires. Ce document donne un aperçu complet des activités de l'UIT liées à l'intelligence artificielle, regroupées dans un cadre unifié d'une "UIT unie dans l'action" et articulées autour de trois piliers stratégiques, à savoir les solutions et les connaissances, les compétences et les capacités, et les normes et les politiques. Il fait observer que le Document C26/42 contient une demande de financement supplémentaire provenant des économies réalisées dans l'exécution du budget de 2025, afin de soutenir et d'intensifier les activités de l'UIT liées à l'IA.</w:t>
      </w:r>
    </w:p>
    <w:p w14:paraId="6723E07B" w14:textId="1AC33754" w:rsidR="00341437" w:rsidRDefault="00341437" w:rsidP="00B14AB4">
      <w:pPr>
        <w:jc w:val="both"/>
      </w:pPr>
      <w:r>
        <w:t>3.2</w:t>
      </w:r>
      <w:r>
        <w:tab/>
        <w:t>Le conseiller de l'Inde présente la contribution figurant dans le Document C26/79 sur le Sommet sur l'impact de l'IA, qui s'est tenu à New Delhi en février 2026, premier Sommet mondial sur l'IA organisé par un pays du Sud. Le document fait état du processus participatif inclusif du Sommet, de ses principaux résultats et de l'intérêt qu'ils présentent pour la gouvernance mondiale de l'IA et les travaux de l'UIT.</w:t>
      </w:r>
    </w:p>
    <w:p w14:paraId="6667CD16" w14:textId="6775E351" w:rsidR="00341437" w:rsidRDefault="00341437" w:rsidP="00B14AB4">
      <w:pPr>
        <w:jc w:val="both"/>
      </w:pPr>
      <w:r>
        <w:t>3.3</w:t>
      </w:r>
      <w:r>
        <w:tab/>
        <w:t>Des conseillers se félicitent du rapport complet et clairement structuré figurant dans le Document</w:t>
      </w:r>
      <w:r w:rsidR="00C47B57">
        <w:t> </w:t>
      </w:r>
      <w:r>
        <w:t>C26/29, qui témoigne de la cohérence et de l'approche opérationnelle de l'UIT sur la question importante de l'intelligence artificielle, et saluent les efforts déployés par l'UIT pour soutenir les États Membres tout au long de la chaîne de valeur de l'IA. L'attention a été attirée sur les incidences croissantes de l'intelligence artificielle au service du bien social, en tant que plate-forme essentielle permettant de mettre l'intelligence artificielle au service du développement durable et des initiatives d'alerte précoce. Les participants expriment leur soutien aux travaux essentiels menés par le TSB et reconnaissent l'importance de la coopération multi-parties prenantes, des solutions d'IA adaptées au contexte et de la participation inclusive des pays en développement au processus de normalisation de l'IA. Des conseillers soulignent que les activités de l'UIT liées à l'IA doivent rester pratiques, mesurables, inclusives et adaptées aux besoins des pays en développement et conformes aux initiatives régionales.</w:t>
      </w:r>
    </w:p>
    <w:p w14:paraId="3733AF3E" w14:textId="309E92C3" w:rsidR="00341437" w:rsidRDefault="00341437" w:rsidP="00B14AB4">
      <w:pPr>
        <w:jc w:val="both"/>
      </w:pPr>
      <w:r>
        <w:t>3.4</w:t>
      </w:r>
      <w:r>
        <w:tab/>
        <w:t>Deux conseillères relèvent que bon nombre des activités énoncées dans le Document</w:t>
      </w:r>
      <w:r w:rsidR="00C47B57">
        <w:t> </w:t>
      </w:r>
      <w:r>
        <w:t>C26/29, notamment le cours de formation sur la gouvernance de l'IA en pratique, semblent dépasser le champ d'application et le mandat établis au titre de la Résolution</w:t>
      </w:r>
      <w:r w:rsidR="00C47B57">
        <w:t> </w:t>
      </w:r>
      <w:r>
        <w:t>214</w:t>
      </w:r>
      <w:r w:rsidR="00C47B57">
        <w:t> </w:t>
      </w:r>
      <w:r>
        <w:t xml:space="preserve">(Bucarest, 2022). Le mandat de l'UIT a été défini par ses organes directeurs, et non par d'autres institutions des Nations Unies, et il serait donc utile de connaître les raisons justifiant certaines activités. Une conseillère demande également des précisions sur le rôle de l'UIT dans le Dialogue mondial sur la gouvernance de l'intelligence artificielle, puisque cette initiative émane de l'Assemblée générale des Nations Unies. Il est également fait mention de la nécessité d'éviter tout chevauchement avec d'autres processus mis en place par les Nations Unies. Une conseillère demande également si les critères d'évaluation utilisés dans l'examen stratégique complet de l'IA mené par le Secrétariat en 2025 comprenaient l'alignement des activités sur la Résolution 214 (Bucarest, 2022). Ces exercices de hiérarchisation des priorités nécessitent la participation et le contrôle des États Membres afin de garantir que les décisions, notamment celles concernant les activités liées à l'IA, sont prises sous l'impulsion des États Membres, fondées sur leurs contributions et adoptées par consensus. Certains conseillers estiment que le Secrétariat devrait fournir davantage d'informations sur la manière dont les fonds supplémentaires demandés seront utilisés et sur les résultats escomptés. Toutefois, un autre conseiller estime que le financement supplémentaire est essentiel pour assurer la continuité et la pérennité des activités de plus en plus nombreuses de l'UIT liées à l'IA. Des précisions sont également demandées concernant le champ d'application du Fonds pour l'IA, les activités devant être maintenues, renforcées ou supprimées, ainsi que la Déclaration </w:t>
      </w:r>
      <w:r>
        <w:lastRenderedPageBreak/>
        <w:t>conjointe sur l'IA et les droits de l'enfant signée par l'UIT et plusieurs autres organisations en janvier 2026.</w:t>
      </w:r>
    </w:p>
    <w:p w14:paraId="54D6A6BA" w14:textId="2A55A4EA" w:rsidR="00341437" w:rsidRDefault="00341437" w:rsidP="00B14AB4">
      <w:pPr>
        <w:jc w:val="both"/>
      </w:pPr>
      <w:r>
        <w:t>3.5</w:t>
      </w:r>
      <w:r>
        <w:tab/>
        <w:t xml:space="preserve">Des conseillers accueillent favorablement le Document C26/79 et remercient l'Inde d'avoir organisé ce </w:t>
      </w:r>
      <w:r w:rsidR="00231FA8">
        <w:t>S</w:t>
      </w:r>
      <w:r>
        <w:t xml:space="preserve">ommet instructif sur </w:t>
      </w:r>
      <w:r w:rsidR="00231FA8">
        <w:t>les incidences</w:t>
      </w:r>
      <w:r>
        <w:t xml:space="preserve"> de l'IA.</w:t>
      </w:r>
    </w:p>
    <w:p w14:paraId="49C7192B" w14:textId="77777777" w:rsidR="00341437" w:rsidRDefault="00341437" w:rsidP="00B14AB4">
      <w:pPr>
        <w:jc w:val="both"/>
      </w:pPr>
      <w:r>
        <w:t>3.6</w:t>
      </w:r>
      <w:r>
        <w:tab/>
        <w:t xml:space="preserve">Le Conseil </w:t>
      </w:r>
      <w:r w:rsidRPr="00C47B57">
        <w:rPr>
          <w:b/>
          <w:bCs/>
        </w:rPr>
        <w:t>prend note</w:t>
      </w:r>
      <w:r>
        <w:t xml:space="preserve"> du rapport figurant dans le Document C26/29 et de la contribution figurant dans le Document C26/79.</w:t>
      </w:r>
    </w:p>
    <w:p w14:paraId="761D5A2A" w14:textId="77777777" w:rsidR="00341437" w:rsidRDefault="00341437" w:rsidP="00C47B57">
      <w:pPr>
        <w:pStyle w:val="Heading1"/>
      </w:pPr>
      <w:r>
        <w:t>4</w:t>
      </w:r>
      <w:r>
        <w:tab/>
        <w:t>Déclarations de conseillers</w:t>
      </w:r>
    </w:p>
    <w:p w14:paraId="5F18EB67" w14:textId="7A2047F7" w:rsidR="00341437" w:rsidRDefault="00341437" w:rsidP="00B14AB4">
      <w:pPr>
        <w:jc w:val="both"/>
      </w:pPr>
      <w:r>
        <w:t>4.1</w:t>
      </w:r>
      <w:r>
        <w:tab/>
        <w:t xml:space="preserve">Les conseillères de l'Algérie et de la Bulgarie et le conseiller des </w:t>
      </w:r>
      <w:r w:rsidR="00C47B57">
        <w:t>Émirats</w:t>
      </w:r>
      <w:r>
        <w:t xml:space="preserve"> arabes unis annoncent que leurs pays présenteront leur candidature en vue de leur réélection au Conseil lors de la PP-26.</w:t>
      </w:r>
    </w:p>
    <w:p w14:paraId="5A0BA8DB" w14:textId="77777777" w:rsidR="00341437" w:rsidRDefault="00341437" w:rsidP="00C47B57">
      <w:pPr>
        <w:pStyle w:val="Heading1"/>
      </w:pPr>
      <w:r>
        <w:t>5</w:t>
      </w:r>
      <w:r>
        <w:tab/>
        <w:t>Message de condoléances à la suite du décès de M. Yury Grin</w:t>
      </w:r>
    </w:p>
    <w:p w14:paraId="0C59BC9E" w14:textId="3D0887A7" w:rsidR="00341437" w:rsidRDefault="00341437" w:rsidP="00B14AB4">
      <w:pPr>
        <w:jc w:val="both"/>
      </w:pPr>
      <w:r>
        <w:t>La Secrétaire générale présente ses condoléances au sujet du décès de M. Yury Grin, qui a été membre du Comité ITU TELECOM, qui a présidé le Conseil, a été Chef du Département des conférences et des publications et Adjoint au Directeur du Bureau de développement des télécommunications. Elle invite les personnes présentes à observer une minute de silence.</w:t>
      </w:r>
    </w:p>
    <w:p w14:paraId="69A5B1D1" w14:textId="77777777" w:rsidR="00341437" w:rsidRDefault="00341437" w:rsidP="00C47B57">
      <w:pPr>
        <w:tabs>
          <w:tab w:val="clear" w:pos="567"/>
          <w:tab w:val="clear" w:pos="1134"/>
          <w:tab w:val="clear" w:pos="1701"/>
          <w:tab w:val="clear" w:pos="2268"/>
          <w:tab w:val="clear" w:pos="2835"/>
          <w:tab w:val="left" w:pos="7088"/>
        </w:tabs>
        <w:spacing w:before="840"/>
      </w:pPr>
      <w:r>
        <w:t>La Secrétaire générale</w:t>
      </w:r>
      <w:r>
        <w:tab/>
        <w:t>Le Président</w:t>
      </w:r>
    </w:p>
    <w:p w14:paraId="3705D4C7" w14:textId="7F00ABFB" w:rsidR="00897553" w:rsidRDefault="00341437" w:rsidP="00C47B57">
      <w:pPr>
        <w:tabs>
          <w:tab w:val="clear" w:pos="567"/>
          <w:tab w:val="clear" w:pos="1134"/>
          <w:tab w:val="clear" w:pos="1701"/>
          <w:tab w:val="clear" w:pos="2268"/>
          <w:tab w:val="clear" w:pos="2835"/>
          <w:tab w:val="left" w:pos="7088"/>
        </w:tabs>
        <w:spacing w:before="0"/>
      </w:pPr>
      <w:r>
        <w:t>D. BOGDAN-MARTIN</w:t>
      </w:r>
      <w:r>
        <w:tab/>
        <w:t>B. TIJANI</w:t>
      </w:r>
    </w:p>
    <w:sectPr w:rsidR="00897553" w:rsidSect="00D72F49">
      <w:headerReference w:type="even" r:id="rId17"/>
      <w:footerReference w:type="even" r:id="rId18"/>
      <w:footerReference w:type="default" r:id="rId19"/>
      <w:headerReference w:type="first" r:id="rId20"/>
      <w:footerReference w:type="first" r:id="rId21"/>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E236" w14:textId="77777777" w:rsidR="001C1E3E" w:rsidRDefault="001C1E3E">
      <w:r>
        <w:separator/>
      </w:r>
    </w:p>
  </w:endnote>
  <w:endnote w:type="continuationSeparator" w:id="0">
    <w:p w14:paraId="321DAA4F" w14:textId="77777777" w:rsidR="001C1E3E" w:rsidRDefault="001C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D7D7" w14:textId="3467A1C1" w:rsidR="00732045" w:rsidRPr="00B958A9" w:rsidRDefault="00231FA8">
    <w:pPr>
      <w:pStyle w:val="Footer"/>
      <w:rPr>
        <w:lang w:val="en-GB"/>
      </w:rPr>
    </w:pPr>
    <w:r>
      <w:fldChar w:fldCharType="begin"/>
    </w:r>
    <w:r w:rsidRPr="00B958A9">
      <w:rPr>
        <w:lang w:val="en-GB"/>
      </w:rPr>
      <w:instrText xml:space="preserve"> FILENAME \p \* MERGEFORMAT </w:instrText>
    </w:r>
    <w:r>
      <w:fldChar w:fldCharType="separate"/>
    </w:r>
    <w:r w:rsidRPr="00B958A9">
      <w:rPr>
        <w:lang w:val="en-GB"/>
      </w:rPr>
      <w:t>P:\FRA\gDoc\SG\C26\2601342F.docx</w:t>
    </w:r>
    <w:r>
      <w:fldChar w:fldCharType="end"/>
    </w:r>
    <w:r w:rsidR="00732045" w:rsidRPr="00B958A9">
      <w:rPr>
        <w:lang w:val="en-GB"/>
      </w:rPr>
      <w:tab/>
    </w:r>
    <w:r w:rsidR="002F1B76">
      <w:fldChar w:fldCharType="begin"/>
    </w:r>
    <w:r w:rsidR="00732045">
      <w:instrText xml:space="preserve"> savedate \@ dd.MM.yy </w:instrText>
    </w:r>
    <w:r w:rsidR="002F1B76">
      <w:fldChar w:fldCharType="separate"/>
    </w:r>
    <w:r w:rsidR="009879A7">
      <w:t>04.08.26</w:t>
    </w:r>
    <w:r w:rsidR="002F1B76">
      <w:fldChar w:fldCharType="end"/>
    </w:r>
    <w:r w:rsidR="00732045" w:rsidRPr="00B958A9">
      <w:rPr>
        <w:lang w:val="en-GB"/>
      </w:rPr>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15521DB2" w14:textId="77777777" w:rsidTr="00E31DCE">
      <w:trPr>
        <w:jc w:val="center"/>
      </w:trPr>
      <w:tc>
        <w:tcPr>
          <w:tcW w:w="1803" w:type="dxa"/>
          <w:vAlign w:val="center"/>
        </w:tcPr>
        <w:p w14:paraId="6C5B9832" w14:textId="62DA6DD0" w:rsidR="00A51849" w:rsidRDefault="00341437" w:rsidP="00A51849">
          <w:pPr>
            <w:pStyle w:val="Header"/>
            <w:jc w:val="left"/>
            <w:rPr>
              <w:noProof/>
            </w:rPr>
          </w:pPr>
          <w:r>
            <w:rPr>
              <w:noProof/>
            </w:rPr>
            <w:t>2601342</w:t>
          </w:r>
        </w:p>
      </w:tc>
      <w:tc>
        <w:tcPr>
          <w:tcW w:w="8261" w:type="dxa"/>
        </w:tcPr>
        <w:p w14:paraId="10EAA895" w14:textId="66C8B8FE"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341437">
            <w:rPr>
              <w:bCs/>
            </w:rPr>
            <w:t>122</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0A49E6AC"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C7F47BE" w14:textId="77777777" w:rsidTr="00E31DCE">
      <w:trPr>
        <w:jc w:val="center"/>
      </w:trPr>
      <w:tc>
        <w:tcPr>
          <w:tcW w:w="1803" w:type="dxa"/>
          <w:vAlign w:val="center"/>
        </w:tcPr>
        <w:p w14:paraId="7F3D5DE8"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70489B6B" w14:textId="7C0F03EA"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341437">
            <w:rPr>
              <w:bCs/>
            </w:rPr>
            <w:t>122</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29EFFED8"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6B3AA" w14:textId="77777777" w:rsidR="001C1E3E" w:rsidRDefault="001C1E3E">
      <w:r>
        <w:t>____________________</w:t>
      </w:r>
    </w:p>
  </w:footnote>
  <w:footnote w:type="continuationSeparator" w:id="0">
    <w:p w14:paraId="7E3F0390" w14:textId="77777777" w:rsidR="001C1E3E" w:rsidRDefault="001C1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B9BA"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611ACD24"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87BF" w14:textId="77777777" w:rsidR="00A51849" w:rsidRPr="001342E0" w:rsidRDefault="001342E0" w:rsidP="001342E0">
    <w:pPr>
      <w:pStyle w:val="Header"/>
    </w:pPr>
    <w:r>
      <w:rPr>
        <w:noProof/>
      </w:rPr>
      <w:drawing>
        <wp:inline distT="0" distB="0" distL="0" distR="0" wp14:anchorId="5ED8E9FD" wp14:editId="1D4E8F16">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A4"/>
    <w:rsid w:val="00003988"/>
    <w:rsid w:val="00075F19"/>
    <w:rsid w:val="00076A2C"/>
    <w:rsid w:val="000D0D0A"/>
    <w:rsid w:val="00103163"/>
    <w:rsid w:val="00106B19"/>
    <w:rsid w:val="001133EF"/>
    <w:rsid w:val="00115D93"/>
    <w:rsid w:val="001247A8"/>
    <w:rsid w:val="001342E0"/>
    <w:rsid w:val="001370B2"/>
    <w:rsid w:val="001378C0"/>
    <w:rsid w:val="001658F9"/>
    <w:rsid w:val="0018694A"/>
    <w:rsid w:val="0019129B"/>
    <w:rsid w:val="001A3287"/>
    <w:rsid w:val="001A6508"/>
    <w:rsid w:val="001C188A"/>
    <w:rsid w:val="001C1E3E"/>
    <w:rsid w:val="001D4C31"/>
    <w:rsid w:val="001E4D21"/>
    <w:rsid w:val="00207CD1"/>
    <w:rsid w:val="00226657"/>
    <w:rsid w:val="00231D5A"/>
    <w:rsid w:val="00231FA8"/>
    <w:rsid w:val="002477A2"/>
    <w:rsid w:val="00263A51"/>
    <w:rsid w:val="00267E02"/>
    <w:rsid w:val="00271321"/>
    <w:rsid w:val="00277DEA"/>
    <w:rsid w:val="002A5D44"/>
    <w:rsid w:val="002C3F32"/>
    <w:rsid w:val="002C4E3D"/>
    <w:rsid w:val="002D2336"/>
    <w:rsid w:val="002E0BC4"/>
    <w:rsid w:val="002F1B76"/>
    <w:rsid w:val="0033568E"/>
    <w:rsid w:val="00341437"/>
    <w:rsid w:val="00355FF5"/>
    <w:rsid w:val="00361350"/>
    <w:rsid w:val="003B0DF5"/>
    <w:rsid w:val="003B276A"/>
    <w:rsid w:val="003C3FAE"/>
    <w:rsid w:val="003E365A"/>
    <w:rsid w:val="004038CB"/>
    <w:rsid w:val="0040546F"/>
    <w:rsid w:val="004177BD"/>
    <w:rsid w:val="0042404A"/>
    <w:rsid w:val="0044618F"/>
    <w:rsid w:val="00465C35"/>
    <w:rsid w:val="004663EE"/>
    <w:rsid w:val="0046769A"/>
    <w:rsid w:val="00475FB3"/>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7BFE"/>
    <w:rsid w:val="00600017"/>
    <w:rsid w:val="00602682"/>
    <w:rsid w:val="006235CA"/>
    <w:rsid w:val="0062366E"/>
    <w:rsid w:val="006643AB"/>
    <w:rsid w:val="006A11AE"/>
    <w:rsid w:val="006B224B"/>
    <w:rsid w:val="006F0A53"/>
    <w:rsid w:val="0071402E"/>
    <w:rsid w:val="007210CD"/>
    <w:rsid w:val="00732045"/>
    <w:rsid w:val="0073275D"/>
    <w:rsid w:val="007369DB"/>
    <w:rsid w:val="0077110E"/>
    <w:rsid w:val="00794BA4"/>
    <w:rsid w:val="007956C2"/>
    <w:rsid w:val="00796BDB"/>
    <w:rsid w:val="007A187E"/>
    <w:rsid w:val="007C72C2"/>
    <w:rsid w:val="007D4436"/>
    <w:rsid w:val="007F257A"/>
    <w:rsid w:val="007F3665"/>
    <w:rsid w:val="00800037"/>
    <w:rsid w:val="00821DA2"/>
    <w:rsid w:val="0082299A"/>
    <w:rsid w:val="0083391C"/>
    <w:rsid w:val="0084546D"/>
    <w:rsid w:val="00861D73"/>
    <w:rsid w:val="00882919"/>
    <w:rsid w:val="00897553"/>
    <w:rsid w:val="008A4E87"/>
    <w:rsid w:val="008D76E6"/>
    <w:rsid w:val="0092392D"/>
    <w:rsid w:val="0093234A"/>
    <w:rsid w:val="00956A78"/>
    <w:rsid w:val="0097363B"/>
    <w:rsid w:val="00973F53"/>
    <w:rsid w:val="0098348E"/>
    <w:rsid w:val="009879A7"/>
    <w:rsid w:val="009A6BAA"/>
    <w:rsid w:val="009A76A8"/>
    <w:rsid w:val="009C307F"/>
    <w:rsid w:val="009C353C"/>
    <w:rsid w:val="009D5955"/>
    <w:rsid w:val="009F0FB8"/>
    <w:rsid w:val="00A01F4F"/>
    <w:rsid w:val="00A075BE"/>
    <w:rsid w:val="00A109AF"/>
    <w:rsid w:val="00A125FB"/>
    <w:rsid w:val="00A2113E"/>
    <w:rsid w:val="00A23A51"/>
    <w:rsid w:val="00A24607"/>
    <w:rsid w:val="00A25CD3"/>
    <w:rsid w:val="00A51849"/>
    <w:rsid w:val="00A709FE"/>
    <w:rsid w:val="00A73C60"/>
    <w:rsid w:val="00A82767"/>
    <w:rsid w:val="00AA332F"/>
    <w:rsid w:val="00AA7BBB"/>
    <w:rsid w:val="00AB64A8"/>
    <w:rsid w:val="00AC0266"/>
    <w:rsid w:val="00AC0F1D"/>
    <w:rsid w:val="00AD24EC"/>
    <w:rsid w:val="00AF7329"/>
    <w:rsid w:val="00B14AB4"/>
    <w:rsid w:val="00B27B00"/>
    <w:rsid w:val="00B309F9"/>
    <w:rsid w:val="00B32B60"/>
    <w:rsid w:val="00B51005"/>
    <w:rsid w:val="00B56B75"/>
    <w:rsid w:val="00B61619"/>
    <w:rsid w:val="00B958A9"/>
    <w:rsid w:val="00BB38C1"/>
    <w:rsid w:val="00BB4545"/>
    <w:rsid w:val="00BD5873"/>
    <w:rsid w:val="00BF4B60"/>
    <w:rsid w:val="00C049D7"/>
    <w:rsid w:val="00C04BE3"/>
    <w:rsid w:val="00C25D29"/>
    <w:rsid w:val="00C2625E"/>
    <w:rsid w:val="00C27A7C"/>
    <w:rsid w:val="00C42437"/>
    <w:rsid w:val="00C47B57"/>
    <w:rsid w:val="00CA08ED"/>
    <w:rsid w:val="00CC6EAA"/>
    <w:rsid w:val="00CE5172"/>
    <w:rsid w:val="00CF0534"/>
    <w:rsid w:val="00CF183B"/>
    <w:rsid w:val="00D037FB"/>
    <w:rsid w:val="00D375CD"/>
    <w:rsid w:val="00D37B53"/>
    <w:rsid w:val="00D553A2"/>
    <w:rsid w:val="00D72F49"/>
    <w:rsid w:val="00D774D3"/>
    <w:rsid w:val="00D904E8"/>
    <w:rsid w:val="00DA08C3"/>
    <w:rsid w:val="00DA0E29"/>
    <w:rsid w:val="00DB5A3E"/>
    <w:rsid w:val="00DC22AA"/>
    <w:rsid w:val="00DD1434"/>
    <w:rsid w:val="00DD1A99"/>
    <w:rsid w:val="00DE62C6"/>
    <w:rsid w:val="00DF74DD"/>
    <w:rsid w:val="00E25AD0"/>
    <w:rsid w:val="00E33426"/>
    <w:rsid w:val="00E4428F"/>
    <w:rsid w:val="00E4448E"/>
    <w:rsid w:val="00E47427"/>
    <w:rsid w:val="00E93668"/>
    <w:rsid w:val="00E95647"/>
    <w:rsid w:val="00EB6350"/>
    <w:rsid w:val="00ED799B"/>
    <w:rsid w:val="00F15B57"/>
    <w:rsid w:val="00F23EDB"/>
    <w:rsid w:val="00F35EF4"/>
    <w:rsid w:val="00F37FE5"/>
    <w:rsid w:val="00F427DB"/>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81315"/>
  <w15:docId w15:val="{32A75075-18AD-4E0C-9EDB-A0235567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D037FB"/>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customStyle="1" w:styleId="Summary-Record">
    <w:name w:val="Summary-Record"/>
    <w:basedOn w:val="Source"/>
    <w:rsid w:val="00341437"/>
    <w:pPr>
      <w:framePr w:hSpace="181" w:wrap="around" w:vAnchor="page" w:hAnchor="page" w:x="1589" w:y="2314"/>
      <w:spacing w:before="240" w:after="120"/>
    </w:pPr>
    <w:rPr>
      <w:sz w:val="34"/>
      <w:szCs w:val="3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3/fr" TargetMode="External"/><Relationship Id="rId13" Type="http://schemas.openxmlformats.org/officeDocument/2006/relationships/hyperlink" Target="https://www.itu.int/md/S26-CL-C-0083/f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itu.int/md/S26-CL-C-0031/fr" TargetMode="External"/><Relationship Id="rId12" Type="http://schemas.openxmlformats.org/officeDocument/2006/relationships/hyperlink" Target="https://www.itu.int/md/S26-CL-C-0079/f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tu.int/md/S26-CL-C-0079/fr"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29/fr" TargetMode="External"/><Relationship Id="rId5" Type="http://schemas.openxmlformats.org/officeDocument/2006/relationships/footnotes" Target="footnotes.xml"/><Relationship Id="rId15" Type="http://schemas.openxmlformats.org/officeDocument/2006/relationships/hyperlink" Target="https://www.itu.int/md/S26-CL-C-0018/fr" TargetMode="External"/><Relationship Id="rId23" Type="http://schemas.openxmlformats.org/officeDocument/2006/relationships/theme" Target="theme/theme1.xml"/><Relationship Id="rId10" Type="http://schemas.openxmlformats.org/officeDocument/2006/relationships/hyperlink" Target="https://www.itu.int/md/S26-CL-C-0018/f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tu.int/md/S26-CL-C-0015/fr" TargetMode="External"/><Relationship Id="rId14" Type="http://schemas.openxmlformats.org/officeDocument/2006/relationships/hyperlink" Target="https://view.officeapps.live.com/op/view.aspx?src=https%3A%2F%2Fwww.itu.int%2Fdms_pub%2Fitu-s%2Fmd%2F26%2Fcl%2Fc%2FS26-CL-C-0031!A2!MSW-F.docx&amp;wdOrigin=BROWSELINK"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3799</Words>
  <Characters>22187</Characters>
  <Application>Microsoft Office Word</Application>
  <DocSecurity>0</DocSecurity>
  <Lines>357</Lines>
  <Paragraphs>94</Paragraphs>
  <ScaleCrop>false</ScaleCrop>
  <HeadingPairs>
    <vt:vector size="2" baseType="variant">
      <vt:variant>
        <vt:lpstr>Title</vt:lpstr>
      </vt:variant>
      <vt:variant>
        <vt:i4>1</vt:i4>
      </vt:variant>
    </vt:vector>
  </HeadingPairs>
  <TitlesOfParts>
    <vt:vector size="1" baseType="lpstr">
      <vt:lpstr>Compte rendu de la cinquième séance plénière</vt:lpstr>
    </vt:vector>
  </TitlesOfParts>
  <Manager>Secrétariat général - Pool</Manager>
  <Company>Union internationale des télécommunications (UIT)</Company>
  <LinksUpToDate>false</LinksUpToDate>
  <CharactersWithSpaces>25892</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cinquième séance plénière</dc:title>
  <dc:subject>Conseil 2026 de l'UIT</dc:subject>
  <cp:keywords>C26; C2026; Council 2026; PP26</cp:keywords>
  <dc:description/>
  <cp:lastPrinted>2000-07-18T08:55:00Z</cp:lastPrinted>
  <dcterms:created xsi:type="dcterms:W3CDTF">2026-08-06T09:46:00Z</dcterms:created>
  <dcterms:modified xsi:type="dcterms:W3CDTF">2026-08-06T09:57:00Z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