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42C857FF" w14:textId="77777777" w:rsidTr="00555C29">
        <w:trPr>
          <w:cantSplit/>
          <w:trHeight w:val="23"/>
        </w:trPr>
        <w:tc>
          <w:tcPr>
            <w:tcW w:w="3969" w:type="dxa"/>
            <w:vMerge w:val="restart"/>
            <w:tcMar>
              <w:left w:w="0" w:type="dxa"/>
            </w:tcMar>
          </w:tcPr>
          <w:p w14:paraId="1FCB47AF" w14:textId="306391B7"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5489BA99" w14:textId="1A714097"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1A3C7B">
              <w:rPr>
                <w:b/>
                <w:lang w:val="fr-CH"/>
              </w:rPr>
              <w:t>122</w:t>
            </w:r>
            <w:r w:rsidRPr="00E24D59">
              <w:rPr>
                <w:b/>
                <w:lang w:val="fr-CH"/>
              </w:rPr>
              <w:t>-C</w:t>
            </w:r>
          </w:p>
        </w:tc>
      </w:tr>
      <w:tr w:rsidR="00E24D59" w:rsidRPr="00813E5E" w14:paraId="2F4D66DC" w14:textId="77777777" w:rsidTr="00555C29">
        <w:trPr>
          <w:cantSplit/>
        </w:trPr>
        <w:tc>
          <w:tcPr>
            <w:tcW w:w="3969" w:type="dxa"/>
            <w:vMerge/>
          </w:tcPr>
          <w:p w14:paraId="1AE4B85E"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5381A2BF" w14:textId="19A6FAFE" w:rsidR="00E24D59" w:rsidRPr="00E85629" w:rsidRDefault="001A3C7B" w:rsidP="00555C29">
            <w:pPr>
              <w:tabs>
                <w:tab w:val="left" w:pos="851"/>
              </w:tabs>
              <w:spacing w:before="0"/>
              <w:jc w:val="right"/>
              <w:rPr>
                <w:b/>
              </w:rPr>
            </w:pPr>
            <w:r>
              <w:rPr>
                <w:rFonts w:hint="eastAsia"/>
                <w:b/>
                <w:lang w:eastAsia="zh-CN"/>
              </w:rPr>
              <w:t>2026</w:t>
            </w:r>
            <w:r>
              <w:rPr>
                <w:rFonts w:hint="eastAsia"/>
                <w:b/>
                <w:lang w:eastAsia="zh-CN"/>
              </w:rPr>
              <w:t>年</w:t>
            </w:r>
            <w:r w:rsidR="00756AD5">
              <w:rPr>
                <w:rFonts w:hint="eastAsia"/>
                <w:b/>
                <w:lang w:eastAsia="zh-CN"/>
              </w:rPr>
              <w:t>8</w:t>
            </w:r>
            <w:r>
              <w:rPr>
                <w:rFonts w:hint="eastAsia"/>
                <w:b/>
                <w:lang w:eastAsia="zh-CN"/>
              </w:rPr>
              <w:t>月</w:t>
            </w:r>
            <w:r w:rsidR="00756AD5">
              <w:rPr>
                <w:rFonts w:hint="eastAsia"/>
                <w:b/>
                <w:lang w:eastAsia="zh-CN"/>
              </w:rPr>
              <w:t>3</w:t>
            </w:r>
            <w:r>
              <w:rPr>
                <w:rFonts w:hint="eastAsia"/>
                <w:b/>
                <w:lang w:eastAsia="zh-CN"/>
              </w:rPr>
              <w:t>日</w:t>
            </w:r>
          </w:p>
        </w:tc>
      </w:tr>
      <w:tr w:rsidR="00E24D59" w:rsidRPr="00813E5E" w14:paraId="5C9D40DB" w14:textId="77777777" w:rsidTr="00555C29">
        <w:trPr>
          <w:cantSplit/>
          <w:trHeight w:val="23"/>
        </w:trPr>
        <w:tc>
          <w:tcPr>
            <w:tcW w:w="3969" w:type="dxa"/>
            <w:vMerge/>
          </w:tcPr>
          <w:p w14:paraId="476FC7DC"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265316C5" w14:textId="3B69C437" w:rsidR="00E24D59" w:rsidRPr="00E85629" w:rsidRDefault="00E24D59" w:rsidP="00555C29">
            <w:pPr>
              <w:tabs>
                <w:tab w:val="left" w:pos="851"/>
              </w:tabs>
              <w:spacing w:before="0" w:line="240" w:lineRule="atLeast"/>
              <w:jc w:val="right"/>
              <w:rPr>
                <w:b/>
                <w:lang w:eastAsia="zh-CN"/>
              </w:rPr>
            </w:pPr>
            <w:r w:rsidRPr="00E24D59">
              <w:rPr>
                <w:rFonts w:cstheme="minorHAnsi"/>
                <w:b/>
                <w:bCs/>
                <w:lang w:val="ru-RU"/>
              </w:rPr>
              <w:t>原文：</w:t>
            </w:r>
            <w:r w:rsidR="001A3C7B">
              <w:rPr>
                <w:rFonts w:hint="eastAsia"/>
                <w:b/>
                <w:bCs/>
                <w:color w:val="000000"/>
                <w:lang w:val="zh-CN"/>
              </w:rPr>
              <w:t>英文</w:t>
            </w:r>
          </w:p>
        </w:tc>
      </w:tr>
      <w:tr w:rsidR="00E24D59" w:rsidRPr="00813E5E" w14:paraId="0A5DF162" w14:textId="77777777" w:rsidTr="00555C29">
        <w:trPr>
          <w:cantSplit/>
          <w:trHeight w:val="23"/>
        </w:trPr>
        <w:tc>
          <w:tcPr>
            <w:tcW w:w="3969" w:type="dxa"/>
          </w:tcPr>
          <w:p w14:paraId="17CE01BB" w14:textId="77777777" w:rsidR="00E24D59" w:rsidRPr="00813E5E" w:rsidRDefault="00E24D59" w:rsidP="00555C29">
            <w:pPr>
              <w:tabs>
                <w:tab w:val="left" w:pos="851"/>
              </w:tabs>
              <w:spacing w:line="240" w:lineRule="atLeast"/>
              <w:rPr>
                <w:b/>
              </w:rPr>
            </w:pPr>
          </w:p>
        </w:tc>
        <w:tc>
          <w:tcPr>
            <w:tcW w:w="5245" w:type="dxa"/>
          </w:tcPr>
          <w:p w14:paraId="55251330" w14:textId="77777777" w:rsidR="00E24D59" w:rsidRDefault="00E24D59" w:rsidP="00555C29">
            <w:pPr>
              <w:tabs>
                <w:tab w:val="left" w:pos="851"/>
              </w:tabs>
              <w:spacing w:before="0" w:line="240" w:lineRule="atLeast"/>
              <w:jc w:val="right"/>
              <w:rPr>
                <w:b/>
              </w:rPr>
            </w:pPr>
          </w:p>
        </w:tc>
      </w:tr>
      <w:tr w:rsidR="00E24D59" w:rsidRPr="00813E5E" w14:paraId="50223AEE" w14:textId="77777777" w:rsidTr="00555C29">
        <w:trPr>
          <w:cantSplit/>
        </w:trPr>
        <w:tc>
          <w:tcPr>
            <w:tcW w:w="9214" w:type="dxa"/>
            <w:gridSpan w:val="2"/>
            <w:tcMar>
              <w:left w:w="0" w:type="dxa"/>
            </w:tcMar>
          </w:tcPr>
          <w:p w14:paraId="5101E104" w14:textId="0F5F681D" w:rsidR="00E24D59" w:rsidRPr="00C24DAC" w:rsidRDefault="001A3C7B" w:rsidP="001A3C7B">
            <w:pPr>
              <w:pStyle w:val="Summary-Record"/>
              <w:framePr w:hSpace="0" w:wrap="auto" w:vAnchor="margin" w:hAnchor="text" w:xAlign="left" w:yAlign="inline"/>
            </w:pPr>
            <w:bookmarkStart w:id="5" w:name="dsource" w:colFirst="0" w:colLast="0"/>
            <w:bookmarkEnd w:id="4"/>
            <w:r>
              <w:rPr>
                <w:bCs/>
                <w:color w:val="000000"/>
                <w:lang w:val="zh-CN"/>
              </w:rPr>
              <w:t>第五次全体会议摘要记录</w:t>
            </w:r>
          </w:p>
        </w:tc>
      </w:tr>
      <w:tr w:rsidR="00E24D59" w:rsidRPr="00813E5E" w14:paraId="2857933D" w14:textId="77777777" w:rsidTr="00555C29">
        <w:trPr>
          <w:cantSplit/>
        </w:trPr>
        <w:tc>
          <w:tcPr>
            <w:tcW w:w="9214" w:type="dxa"/>
            <w:gridSpan w:val="2"/>
            <w:tcMar>
              <w:left w:w="0" w:type="dxa"/>
            </w:tcMar>
          </w:tcPr>
          <w:p w14:paraId="4C3BAC8E" w14:textId="74284DCE" w:rsidR="00E24D59" w:rsidRPr="00C24DAC" w:rsidRDefault="001A3C7B" w:rsidP="001A3C7B">
            <w:pPr>
              <w:tabs>
                <w:tab w:val="clear" w:pos="794"/>
                <w:tab w:val="clear" w:pos="1191"/>
                <w:tab w:val="clear" w:pos="1588"/>
                <w:tab w:val="clear" w:pos="1985"/>
              </w:tabs>
              <w:overflowPunct/>
              <w:autoSpaceDE/>
              <w:autoSpaceDN/>
              <w:adjustRightInd/>
              <w:spacing w:after="240" w:line="280" w:lineRule="exact"/>
              <w:jc w:val="center"/>
              <w:textAlignment w:val="auto"/>
            </w:pPr>
            <w:bookmarkStart w:id="6" w:name="dtitle1" w:colFirst="0" w:colLast="0"/>
            <w:bookmarkEnd w:id="5"/>
            <w:r w:rsidRPr="001A3C7B">
              <w:rPr>
                <w:color w:val="000000"/>
                <w:sz w:val="21"/>
                <w:szCs w:val="10"/>
                <w:lang w:val="en-US" w:eastAsia="zh-CN"/>
              </w:rPr>
              <w:t>2026</w:t>
            </w:r>
            <w:r w:rsidRPr="001A3C7B">
              <w:rPr>
                <w:color w:val="000000"/>
                <w:sz w:val="21"/>
                <w:szCs w:val="10"/>
                <w:lang w:val="zh-CN" w:eastAsia="zh-CN"/>
              </w:rPr>
              <w:t>年</w:t>
            </w:r>
            <w:r w:rsidRPr="001A3C7B">
              <w:rPr>
                <w:color w:val="000000"/>
                <w:sz w:val="21"/>
                <w:szCs w:val="10"/>
                <w:lang w:val="en-US" w:eastAsia="zh-CN"/>
              </w:rPr>
              <w:t>5</w:t>
            </w:r>
            <w:r w:rsidRPr="001A3C7B">
              <w:rPr>
                <w:color w:val="000000"/>
                <w:sz w:val="21"/>
                <w:szCs w:val="10"/>
                <w:lang w:val="zh-CN" w:eastAsia="zh-CN"/>
              </w:rPr>
              <w:t>月</w:t>
            </w:r>
            <w:r w:rsidRPr="001A3C7B">
              <w:rPr>
                <w:color w:val="000000"/>
                <w:sz w:val="21"/>
                <w:szCs w:val="10"/>
                <w:lang w:val="en-US" w:eastAsia="zh-CN"/>
              </w:rPr>
              <w:t>4</w:t>
            </w:r>
            <w:r w:rsidRPr="001A3C7B">
              <w:rPr>
                <w:color w:val="000000"/>
                <w:sz w:val="21"/>
                <w:szCs w:val="10"/>
                <w:lang w:val="zh-CN" w:eastAsia="zh-CN"/>
              </w:rPr>
              <w:t>日</w:t>
            </w:r>
            <w:r w:rsidRPr="001A3C7B">
              <w:rPr>
                <w:color w:val="000000"/>
                <w:sz w:val="21"/>
                <w:szCs w:val="10"/>
                <w:lang w:val="en-US" w:eastAsia="zh-CN"/>
              </w:rPr>
              <w:t>（</w:t>
            </w:r>
            <w:r w:rsidRPr="001A3C7B">
              <w:rPr>
                <w:color w:val="000000"/>
                <w:sz w:val="21"/>
                <w:szCs w:val="10"/>
                <w:lang w:val="zh-CN" w:eastAsia="zh-CN"/>
              </w:rPr>
              <w:t>星期一</w:t>
            </w:r>
            <w:r w:rsidRPr="001A3C7B">
              <w:rPr>
                <w:color w:val="000000"/>
                <w:sz w:val="21"/>
                <w:szCs w:val="10"/>
                <w:lang w:val="en-US" w:eastAsia="zh-CN"/>
              </w:rPr>
              <w:t>），</w:t>
            </w:r>
            <w:r w:rsidRPr="001A3C7B">
              <w:rPr>
                <w:color w:val="000000"/>
                <w:sz w:val="21"/>
                <w:szCs w:val="10"/>
                <w:lang w:val="en-US" w:eastAsia="zh-CN"/>
              </w:rPr>
              <w:t>09:30</w:t>
            </w:r>
            <w:r w:rsidRPr="001A3C7B">
              <w:rPr>
                <w:color w:val="000000"/>
                <w:sz w:val="21"/>
                <w:szCs w:val="10"/>
                <w:lang w:val="zh-CN" w:eastAsia="zh-CN"/>
              </w:rPr>
              <w:t>至</w:t>
            </w:r>
            <w:r w:rsidRPr="001A3C7B">
              <w:rPr>
                <w:color w:val="000000"/>
                <w:sz w:val="21"/>
                <w:szCs w:val="10"/>
                <w:lang w:val="en-US" w:eastAsia="zh-CN"/>
              </w:rPr>
              <w:t>12:45</w:t>
            </w:r>
            <w:r>
              <w:rPr>
                <w:sz w:val="21"/>
                <w:szCs w:val="10"/>
                <w:lang w:val="en-US" w:eastAsia="zh-CN"/>
              </w:rPr>
              <w:br/>
            </w:r>
            <w:r w:rsidRPr="001A3C7B">
              <w:rPr>
                <w:b/>
                <w:bCs/>
                <w:color w:val="000000"/>
                <w:sz w:val="21"/>
                <w:szCs w:val="10"/>
                <w:lang w:val="zh-CN"/>
              </w:rPr>
              <w:t>主席</w:t>
            </w:r>
            <w:r w:rsidRPr="001A3C7B">
              <w:rPr>
                <w:color w:val="000000"/>
                <w:sz w:val="21"/>
                <w:szCs w:val="10"/>
                <w:lang w:val="zh-CN"/>
              </w:rPr>
              <w:t>：</w:t>
            </w:r>
            <w:r w:rsidRPr="001A3C7B">
              <w:rPr>
                <w:color w:val="000000"/>
                <w:sz w:val="21"/>
                <w:szCs w:val="10"/>
                <w:lang w:val="zh-CN"/>
              </w:rPr>
              <w:t>B. Tijani</w:t>
            </w:r>
            <w:r w:rsidRPr="001A3C7B">
              <w:rPr>
                <w:color w:val="000000"/>
                <w:sz w:val="21"/>
                <w:szCs w:val="10"/>
                <w:lang w:val="zh-CN"/>
              </w:rPr>
              <w:t>先生（尼日利亚）</w:t>
            </w:r>
          </w:p>
        </w:tc>
      </w:tr>
    </w:tbl>
    <w:tbl>
      <w:tblPr>
        <w:tblW w:w="9214" w:type="dxa"/>
        <w:tblInd w:w="142" w:type="dxa"/>
        <w:tblLayout w:type="fixed"/>
        <w:tblLook w:val="04A0" w:firstRow="1" w:lastRow="0" w:firstColumn="1" w:lastColumn="0" w:noHBand="0" w:noVBand="1"/>
      </w:tblPr>
      <w:tblGrid>
        <w:gridCol w:w="425"/>
        <w:gridCol w:w="6476"/>
        <w:gridCol w:w="2313"/>
      </w:tblGrid>
      <w:tr w:rsidR="001A3C7B" w:rsidRPr="00C77512" w14:paraId="22295091" w14:textId="77777777" w:rsidTr="001A3C7B">
        <w:tc>
          <w:tcPr>
            <w:tcW w:w="425" w:type="dxa"/>
          </w:tcPr>
          <w:p w14:paraId="4101F5A4" w14:textId="77777777" w:rsidR="001A3C7B" w:rsidRPr="00C77512" w:rsidRDefault="001A3C7B" w:rsidP="000A341F">
            <w:pPr>
              <w:spacing w:before="480"/>
              <w:rPr>
                <w:b/>
                <w:bCs/>
                <w:szCs w:val="24"/>
              </w:rPr>
            </w:pPr>
            <w:bookmarkStart w:id="7" w:name="_Hlk141438382"/>
            <w:bookmarkEnd w:id="2"/>
            <w:bookmarkEnd w:id="6"/>
            <w:r w:rsidRPr="00C77512">
              <w:rPr>
                <w:b/>
                <w:bCs/>
                <w:color w:val="000000"/>
                <w:szCs w:val="24"/>
              </w:rPr>
              <w:br w:type="page"/>
            </w:r>
            <w:r w:rsidRPr="00C77512">
              <w:rPr>
                <w:b/>
                <w:bCs/>
                <w:color w:val="000000"/>
                <w:szCs w:val="24"/>
              </w:rPr>
              <w:br w:type="page"/>
            </w:r>
          </w:p>
        </w:tc>
        <w:tc>
          <w:tcPr>
            <w:tcW w:w="6476" w:type="dxa"/>
            <w:hideMark/>
          </w:tcPr>
          <w:p w14:paraId="03395C24" w14:textId="77777777" w:rsidR="001A3C7B" w:rsidRPr="00C77512" w:rsidRDefault="001A3C7B" w:rsidP="000A341F">
            <w:pPr>
              <w:spacing w:before="480"/>
              <w:rPr>
                <w:b/>
                <w:bCs/>
                <w:szCs w:val="24"/>
              </w:rPr>
            </w:pPr>
            <w:r>
              <w:rPr>
                <w:b/>
                <w:bCs/>
                <w:color w:val="000000"/>
                <w:lang w:val="zh-CN"/>
              </w:rPr>
              <w:t>讨论</w:t>
            </w:r>
            <w:r>
              <w:rPr>
                <w:rFonts w:hint="eastAsia"/>
                <w:b/>
                <w:bCs/>
                <w:color w:val="000000"/>
                <w:lang w:val="zh-CN"/>
              </w:rPr>
              <w:t>的</w:t>
            </w:r>
            <w:r>
              <w:rPr>
                <w:b/>
                <w:bCs/>
                <w:color w:val="000000"/>
                <w:lang w:val="zh-CN"/>
              </w:rPr>
              <w:t>议题</w:t>
            </w:r>
          </w:p>
        </w:tc>
        <w:tc>
          <w:tcPr>
            <w:tcW w:w="2313" w:type="dxa"/>
            <w:hideMark/>
          </w:tcPr>
          <w:p w14:paraId="4A907019" w14:textId="77777777" w:rsidR="001A3C7B" w:rsidRPr="00C77512" w:rsidRDefault="001A3C7B" w:rsidP="000A341F">
            <w:pPr>
              <w:spacing w:before="480"/>
              <w:jc w:val="center"/>
              <w:rPr>
                <w:b/>
                <w:bCs/>
                <w:szCs w:val="24"/>
              </w:rPr>
            </w:pPr>
            <w:r>
              <w:rPr>
                <w:rFonts w:hint="eastAsia"/>
                <w:b/>
                <w:bCs/>
                <w:color w:val="000000"/>
                <w:lang w:val="zh-CN"/>
              </w:rPr>
              <w:t>文件</w:t>
            </w:r>
          </w:p>
        </w:tc>
      </w:tr>
      <w:tr w:rsidR="001A3C7B" w:rsidRPr="00C77512" w14:paraId="6C79C941" w14:textId="77777777" w:rsidTr="001A3C7B">
        <w:trPr>
          <w:trHeight w:val="20"/>
        </w:trPr>
        <w:tc>
          <w:tcPr>
            <w:tcW w:w="425" w:type="dxa"/>
            <w:hideMark/>
          </w:tcPr>
          <w:p w14:paraId="2604A138" w14:textId="77777777" w:rsidR="001A3C7B" w:rsidRPr="00C77512" w:rsidRDefault="001A3C7B" w:rsidP="000A341F">
            <w:pPr>
              <w:spacing w:before="80" w:after="80"/>
              <w:rPr>
                <w:sz w:val="22"/>
                <w:szCs w:val="22"/>
              </w:rPr>
            </w:pPr>
            <w:r>
              <w:rPr>
                <w:color w:val="000000"/>
                <w:lang w:val="zh-CN"/>
              </w:rPr>
              <w:t>1</w:t>
            </w:r>
          </w:p>
        </w:tc>
        <w:tc>
          <w:tcPr>
            <w:tcW w:w="6476" w:type="dxa"/>
          </w:tcPr>
          <w:p w14:paraId="1AA9B351" w14:textId="77777777" w:rsidR="001A3C7B" w:rsidRPr="00C77512" w:rsidRDefault="001A3C7B" w:rsidP="000A341F">
            <w:pPr>
              <w:spacing w:before="80" w:after="80"/>
              <w:rPr>
                <w:sz w:val="22"/>
                <w:szCs w:val="22"/>
                <w:lang w:eastAsia="zh-CN"/>
              </w:rPr>
            </w:pPr>
            <w:r>
              <w:rPr>
                <w:color w:val="000000"/>
                <w:lang w:val="zh-CN" w:eastAsia="zh-CN"/>
              </w:rPr>
              <w:t>理事会</w:t>
            </w:r>
            <w:r>
              <w:rPr>
                <w:color w:val="000000"/>
                <w:lang w:val="zh-CN" w:eastAsia="zh-CN"/>
              </w:rPr>
              <w:t>2028-2031</w:t>
            </w:r>
            <w:r>
              <w:rPr>
                <w:color w:val="000000"/>
                <w:lang w:val="zh-CN" w:eastAsia="zh-CN"/>
              </w:rPr>
              <w:t>年战略规划和财务规划（包括</w:t>
            </w:r>
            <w:r>
              <w:rPr>
                <w:color w:val="000000"/>
                <w:lang w:val="zh-CN" w:eastAsia="zh-CN"/>
              </w:rPr>
              <w:t>2028-2031</w:t>
            </w:r>
            <w:r>
              <w:rPr>
                <w:color w:val="000000"/>
                <w:lang w:val="zh-CN" w:eastAsia="zh-CN"/>
              </w:rPr>
              <w:t>年战略规划草案）工作组主席的报告</w:t>
            </w:r>
          </w:p>
        </w:tc>
        <w:tc>
          <w:tcPr>
            <w:tcW w:w="2313" w:type="dxa"/>
          </w:tcPr>
          <w:p w14:paraId="7B50F952" w14:textId="77777777" w:rsidR="001A3C7B" w:rsidRPr="00C77512" w:rsidRDefault="001A3C7B" w:rsidP="000A341F">
            <w:pPr>
              <w:spacing w:before="80" w:after="80"/>
              <w:jc w:val="center"/>
              <w:rPr>
                <w:sz w:val="22"/>
                <w:szCs w:val="22"/>
              </w:rPr>
            </w:pPr>
            <w:hyperlink r:id="rId8" w:history="1">
              <w:hyperlink r:id="rId9" w:history="1">
                <w:r w:rsidRPr="00C77512">
                  <w:rPr>
                    <w:rStyle w:val="Hyperlink"/>
                    <w:rFonts w:eastAsia="SimSun"/>
                    <w:szCs w:val="24"/>
                  </w:rPr>
                  <w:t>C26/31</w:t>
                </w:r>
              </w:hyperlink>
              <w:r w:rsidRPr="00C77512">
                <w:rPr>
                  <w:rStyle w:val="Hyperlink"/>
                  <w:rFonts w:eastAsia="SimSun"/>
                  <w:szCs w:val="24"/>
                </w:rPr>
                <w:t>+Add.1</w:t>
              </w:r>
              <w:r>
                <w:rPr>
                  <w:color w:val="000000"/>
                </w:rPr>
                <w:t>、</w:t>
              </w:r>
              <w:hyperlink r:id="rId10" w:history="1">
                <w:r w:rsidRPr="00C77512">
                  <w:rPr>
                    <w:rStyle w:val="Hyperlink"/>
                    <w:rFonts w:eastAsia="SimSun"/>
                    <w:szCs w:val="24"/>
                  </w:rPr>
                  <w:t>C26/83</w:t>
                </w:r>
              </w:hyperlink>
            </w:hyperlink>
          </w:p>
        </w:tc>
      </w:tr>
      <w:tr w:rsidR="001A3C7B" w:rsidRPr="00C77512" w14:paraId="54AB1982" w14:textId="77777777" w:rsidTr="001A3C7B">
        <w:trPr>
          <w:trHeight w:val="20"/>
        </w:trPr>
        <w:tc>
          <w:tcPr>
            <w:tcW w:w="425" w:type="dxa"/>
          </w:tcPr>
          <w:p w14:paraId="172AB63B" w14:textId="77777777" w:rsidR="001A3C7B" w:rsidRPr="00C77512" w:rsidRDefault="001A3C7B" w:rsidP="000A341F">
            <w:pPr>
              <w:spacing w:before="80" w:after="80"/>
              <w:rPr>
                <w:sz w:val="22"/>
                <w:szCs w:val="22"/>
              </w:rPr>
            </w:pPr>
            <w:r>
              <w:rPr>
                <w:color w:val="000000"/>
                <w:lang w:val="zh-CN"/>
              </w:rPr>
              <w:t>2</w:t>
            </w:r>
          </w:p>
        </w:tc>
        <w:tc>
          <w:tcPr>
            <w:tcW w:w="6476" w:type="dxa"/>
          </w:tcPr>
          <w:p w14:paraId="5C9DB366" w14:textId="77777777" w:rsidR="001A3C7B" w:rsidRPr="00C77512" w:rsidRDefault="001A3C7B" w:rsidP="000A341F">
            <w:pPr>
              <w:spacing w:before="80" w:after="80"/>
              <w:rPr>
                <w:rFonts w:asciiTheme="minorHAnsi" w:hAnsiTheme="minorHAnsi" w:cstheme="minorHAnsi"/>
                <w:color w:val="2F2F2F"/>
                <w:sz w:val="22"/>
                <w:szCs w:val="22"/>
                <w:shd w:val="clear" w:color="auto" w:fill="FFFFFF"/>
                <w:lang w:eastAsia="zh-CN"/>
              </w:rPr>
            </w:pPr>
            <w:r>
              <w:rPr>
                <w:color w:val="000000"/>
                <w:lang w:val="zh-CN" w:eastAsia="zh-CN"/>
              </w:rPr>
              <w:t>理事会保护上网儿童工作组主席的报告</w:t>
            </w:r>
          </w:p>
        </w:tc>
        <w:tc>
          <w:tcPr>
            <w:tcW w:w="2313" w:type="dxa"/>
            <w:vAlign w:val="center"/>
          </w:tcPr>
          <w:p w14:paraId="28F83236" w14:textId="77777777" w:rsidR="001A3C7B" w:rsidRPr="00C77512" w:rsidRDefault="001A3C7B" w:rsidP="000A341F">
            <w:pPr>
              <w:spacing w:before="80" w:after="80"/>
              <w:jc w:val="center"/>
              <w:rPr>
                <w:sz w:val="22"/>
                <w:szCs w:val="22"/>
              </w:rPr>
            </w:pPr>
            <w:hyperlink r:id="rId11" w:history="1">
              <w:hyperlink r:id="rId12" w:history="1">
                <w:r w:rsidRPr="00C77512">
                  <w:rPr>
                    <w:rStyle w:val="Hyperlink"/>
                    <w:rFonts w:eastAsia="SimSun"/>
                    <w:szCs w:val="24"/>
                  </w:rPr>
                  <w:t>C26/15</w:t>
                </w:r>
              </w:hyperlink>
              <w:r>
                <w:rPr>
                  <w:color w:val="000000"/>
                </w:rPr>
                <w:t>、</w:t>
              </w:r>
              <w:hyperlink r:id="rId13" w:history="1">
                <w:r w:rsidRPr="00C77512">
                  <w:rPr>
                    <w:rStyle w:val="Hyperlink"/>
                    <w:rFonts w:eastAsia="SimSun"/>
                    <w:szCs w:val="24"/>
                  </w:rPr>
                  <w:t>C26/18</w:t>
                </w:r>
              </w:hyperlink>
            </w:hyperlink>
          </w:p>
        </w:tc>
      </w:tr>
      <w:tr w:rsidR="001A3C7B" w:rsidRPr="00C77512" w14:paraId="0CDBECA0" w14:textId="77777777" w:rsidTr="001A3C7B">
        <w:trPr>
          <w:trHeight w:val="20"/>
        </w:trPr>
        <w:tc>
          <w:tcPr>
            <w:tcW w:w="425" w:type="dxa"/>
          </w:tcPr>
          <w:p w14:paraId="42FE6C8A" w14:textId="77777777" w:rsidR="001A3C7B" w:rsidRPr="00C77512" w:rsidRDefault="001A3C7B" w:rsidP="000A341F">
            <w:pPr>
              <w:spacing w:before="80" w:after="80"/>
              <w:rPr>
                <w:sz w:val="22"/>
                <w:szCs w:val="22"/>
              </w:rPr>
            </w:pPr>
            <w:r>
              <w:rPr>
                <w:color w:val="000000"/>
                <w:lang w:val="zh-CN"/>
              </w:rPr>
              <w:t>3</w:t>
            </w:r>
          </w:p>
        </w:tc>
        <w:tc>
          <w:tcPr>
            <w:tcW w:w="6476" w:type="dxa"/>
          </w:tcPr>
          <w:p w14:paraId="3596BB95" w14:textId="77777777" w:rsidR="001A3C7B" w:rsidRPr="00C77512" w:rsidRDefault="001A3C7B" w:rsidP="000A341F">
            <w:pPr>
              <w:spacing w:before="80" w:after="80"/>
              <w:rPr>
                <w:sz w:val="22"/>
                <w:szCs w:val="22"/>
                <w:lang w:eastAsia="zh-CN"/>
              </w:rPr>
            </w:pPr>
            <w:r>
              <w:rPr>
                <w:color w:val="000000"/>
                <w:lang w:val="zh-CN" w:eastAsia="zh-CN"/>
              </w:rPr>
              <w:t>有关人工智能技术和电信</w:t>
            </w:r>
            <w:r>
              <w:rPr>
                <w:color w:val="000000"/>
                <w:lang w:val="zh-CN" w:eastAsia="zh-CN"/>
              </w:rPr>
              <w:t>/</w:t>
            </w:r>
            <w:r>
              <w:rPr>
                <w:color w:val="000000"/>
                <w:lang w:val="zh-CN" w:eastAsia="zh-CN"/>
              </w:rPr>
              <w:t>信息通信技术的全权代表大会第</w:t>
            </w:r>
            <w:r>
              <w:rPr>
                <w:color w:val="000000"/>
                <w:lang w:val="zh-CN" w:eastAsia="zh-CN"/>
              </w:rPr>
              <w:t>214</w:t>
            </w:r>
            <w:r>
              <w:rPr>
                <w:color w:val="000000"/>
                <w:lang w:val="zh-CN" w:eastAsia="zh-CN"/>
              </w:rPr>
              <w:t>号决议（</w:t>
            </w:r>
            <w:r>
              <w:rPr>
                <w:color w:val="000000"/>
                <w:lang w:val="zh-CN" w:eastAsia="zh-CN"/>
              </w:rPr>
              <w:t>2022</w:t>
            </w:r>
            <w:r>
              <w:rPr>
                <w:color w:val="000000"/>
                <w:lang w:val="zh-CN" w:eastAsia="zh-CN"/>
              </w:rPr>
              <w:t>年，布加勒斯特）的报告</w:t>
            </w:r>
          </w:p>
        </w:tc>
        <w:tc>
          <w:tcPr>
            <w:tcW w:w="2313" w:type="dxa"/>
          </w:tcPr>
          <w:p w14:paraId="72A7079C" w14:textId="77777777" w:rsidR="001A3C7B" w:rsidRPr="00C77512" w:rsidRDefault="001A3C7B" w:rsidP="000A341F">
            <w:pPr>
              <w:spacing w:before="80" w:after="80"/>
              <w:jc w:val="center"/>
              <w:rPr>
                <w:sz w:val="22"/>
                <w:szCs w:val="22"/>
              </w:rPr>
            </w:pPr>
            <w:hyperlink r:id="rId14" w:history="1">
              <w:hyperlink r:id="rId15" w:history="1">
                <w:r w:rsidRPr="00C77512">
                  <w:rPr>
                    <w:rStyle w:val="Hyperlink"/>
                    <w:rFonts w:eastAsia="SimSun"/>
                    <w:szCs w:val="24"/>
                  </w:rPr>
                  <w:t>C26/29</w:t>
                </w:r>
              </w:hyperlink>
              <w:r w:rsidRPr="000C622E">
                <w:rPr>
                  <w:color w:val="000000"/>
                </w:rPr>
                <w:t>、</w:t>
              </w:r>
            </w:hyperlink>
            <w:hyperlink r:id="rId16" w:history="1">
              <w:r w:rsidRPr="00C77512">
                <w:rPr>
                  <w:rStyle w:val="Hyperlink"/>
                  <w:rFonts w:eastAsia="SimSun"/>
                  <w:szCs w:val="24"/>
                </w:rPr>
                <w:t>C26/79</w:t>
              </w:r>
            </w:hyperlink>
          </w:p>
        </w:tc>
      </w:tr>
      <w:tr w:rsidR="001A3C7B" w:rsidRPr="00C77512" w14:paraId="4D5BBA8A" w14:textId="77777777" w:rsidTr="001A3C7B">
        <w:trPr>
          <w:trHeight w:val="20"/>
        </w:trPr>
        <w:tc>
          <w:tcPr>
            <w:tcW w:w="425" w:type="dxa"/>
          </w:tcPr>
          <w:p w14:paraId="6C1180D3" w14:textId="77777777" w:rsidR="001A3C7B" w:rsidRPr="00C77512" w:rsidRDefault="001A3C7B" w:rsidP="000A341F">
            <w:pPr>
              <w:spacing w:before="80" w:after="80"/>
              <w:rPr>
                <w:sz w:val="22"/>
                <w:szCs w:val="22"/>
              </w:rPr>
            </w:pPr>
            <w:r>
              <w:rPr>
                <w:color w:val="000000"/>
                <w:lang w:val="zh-CN"/>
              </w:rPr>
              <w:t>4</w:t>
            </w:r>
          </w:p>
        </w:tc>
        <w:tc>
          <w:tcPr>
            <w:tcW w:w="6476" w:type="dxa"/>
          </w:tcPr>
          <w:p w14:paraId="76882286" w14:textId="77777777" w:rsidR="001A3C7B" w:rsidRPr="00C77512" w:rsidRDefault="001A3C7B" w:rsidP="000A341F">
            <w:pPr>
              <w:spacing w:before="80" w:after="80"/>
            </w:pPr>
            <w:r>
              <w:rPr>
                <w:color w:val="000000"/>
                <w:lang w:val="zh-CN"/>
              </w:rPr>
              <w:t>理事们的</w:t>
            </w:r>
            <w:r>
              <w:rPr>
                <w:rFonts w:hint="eastAsia"/>
                <w:color w:val="000000"/>
                <w:lang w:val="zh-CN"/>
              </w:rPr>
              <w:t>发言</w:t>
            </w:r>
          </w:p>
        </w:tc>
        <w:tc>
          <w:tcPr>
            <w:tcW w:w="2313" w:type="dxa"/>
          </w:tcPr>
          <w:p w14:paraId="5FA162E4" w14:textId="77777777" w:rsidR="001A3C7B" w:rsidRPr="00C77512" w:rsidRDefault="001A3C7B" w:rsidP="000A341F">
            <w:pPr>
              <w:spacing w:before="80" w:after="80"/>
              <w:jc w:val="center"/>
              <w:rPr>
                <w:sz w:val="22"/>
                <w:szCs w:val="22"/>
              </w:rPr>
            </w:pPr>
            <w:r>
              <w:rPr>
                <w:color w:val="000000"/>
                <w:lang w:val="zh-CN"/>
              </w:rPr>
              <w:t>–</w:t>
            </w:r>
          </w:p>
        </w:tc>
      </w:tr>
      <w:tr w:rsidR="001A3C7B" w:rsidRPr="00C77512" w14:paraId="79909A91" w14:textId="77777777" w:rsidTr="001A3C7B">
        <w:trPr>
          <w:trHeight w:val="20"/>
        </w:trPr>
        <w:tc>
          <w:tcPr>
            <w:tcW w:w="425" w:type="dxa"/>
          </w:tcPr>
          <w:p w14:paraId="531027AF" w14:textId="77777777" w:rsidR="001A3C7B" w:rsidRPr="00C77512" w:rsidRDefault="001A3C7B" w:rsidP="000A341F">
            <w:pPr>
              <w:spacing w:before="80" w:after="80"/>
              <w:rPr>
                <w:sz w:val="22"/>
                <w:szCs w:val="22"/>
              </w:rPr>
            </w:pPr>
            <w:r>
              <w:rPr>
                <w:color w:val="000000"/>
                <w:lang w:val="zh-CN"/>
              </w:rPr>
              <w:t>5</w:t>
            </w:r>
          </w:p>
        </w:tc>
        <w:tc>
          <w:tcPr>
            <w:tcW w:w="6476" w:type="dxa"/>
          </w:tcPr>
          <w:p w14:paraId="2DCF3F77" w14:textId="77777777" w:rsidR="001A3C7B" w:rsidRPr="00C77512" w:rsidRDefault="001A3C7B" w:rsidP="000A341F">
            <w:pPr>
              <w:spacing w:before="80" w:after="80"/>
            </w:pPr>
            <w:r>
              <w:rPr>
                <w:color w:val="000000"/>
                <w:lang w:val="zh-CN"/>
              </w:rPr>
              <w:t>哀悼</w:t>
            </w:r>
            <w:r w:rsidRPr="008753EF">
              <w:rPr>
                <w:color w:val="000000"/>
              </w:rPr>
              <w:t>Yury Grin</w:t>
            </w:r>
            <w:r>
              <w:rPr>
                <w:color w:val="000000"/>
                <w:lang w:val="zh-CN"/>
              </w:rPr>
              <w:t>先生的去世</w:t>
            </w:r>
          </w:p>
        </w:tc>
        <w:tc>
          <w:tcPr>
            <w:tcW w:w="2313" w:type="dxa"/>
          </w:tcPr>
          <w:p w14:paraId="02C27860" w14:textId="77777777" w:rsidR="001A3C7B" w:rsidRPr="00C77512" w:rsidRDefault="001A3C7B" w:rsidP="000A341F">
            <w:pPr>
              <w:spacing w:before="80" w:after="80"/>
              <w:jc w:val="center"/>
            </w:pPr>
            <w:r>
              <w:rPr>
                <w:color w:val="000000"/>
                <w:lang w:val="zh-CN"/>
              </w:rPr>
              <w:t>–</w:t>
            </w:r>
          </w:p>
        </w:tc>
      </w:tr>
      <w:bookmarkEnd w:id="7"/>
    </w:tbl>
    <w:p w14:paraId="597EDA53" w14:textId="77777777" w:rsidR="00E24D59" w:rsidRDefault="00E24D59">
      <w:pPr>
        <w:tabs>
          <w:tab w:val="clear" w:pos="794"/>
          <w:tab w:val="clear" w:pos="1191"/>
          <w:tab w:val="clear" w:pos="1588"/>
          <w:tab w:val="clear" w:pos="1985"/>
        </w:tabs>
        <w:overflowPunct/>
        <w:autoSpaceDE/>
        <w:autoSpaceDN/>
        <w:adjustRightInd/>
        <w:spacing w:before="0"/>
        <w:textAlignment w:val="auto"/>
      </w:pPr>
    </w:p>
    <w:p w14:paraId="728A9A56"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p w14:paraId="2FC928BD" w14:textId="77777777" w:rsidR="001A3C7B" w:rsidRPr="00C77512" w:rsidRDefault="001A3C7B" w:rsidP="001A3C7B">
      <w:pPr>
        <w:pStyle w:val="Heading1"/>
        <w:rPr>
          <w:lang w:eastAsia="zh-CN"/>
        </w:rPr>
      </w:pPr>
      <w:r>
        <w:rPr>
          <w:bCs/>
          <w:lang w:val="zh-CN" w:eastAsia="zh-CN"/>
        </w:rPr>
        <w:lastRenderedPageBreak/>
        <w:t>1</w:t>
      </w:r>
      <w:r>
        <w:rPr>
          <w:bCs/>
          <w:lang w:val="zh-CN" w:eastAsia="zh-CN"/>
        </w:rPr>
        <w:tab/>
      </w:r>
      <w:r>
        <w:rPr>
          <w:lang w:val="zh-CN" w:eastAsia="zh-CN"/>
        </w:rPr>
        <w:t>理事会</w:t>
      </w:r>
      <w:r>
        <w:rPr>
          <w:lang w:val="zh-CN" w:eastAsia="zh-CN"/>
        </w:rPr>
        <w:t>2028-2031</w:t>
      </w:r>
      <w:r>
        <w:rPr>
          <w:lang w:val="zh-CN" w:eastAsia="zh-CN"/>
        </w:rPr>
        <w:t>年战略规划和财务规划（包括</w:t>
      </w:r>
      <w:r>
        <w:rPr>
          <w:lang w:val="zh-CN" w:eastAsia="zh-CN"/>
        </w:rPr>
        <w:t>2028-2031</w:t>
      </w:r>
      <w:r>
        <w:rPr>
          <w:lang w:val="zh-CN" w:eastAsia="zh-CN"/>
        </w:rPr>
        <w:t>年战略规划草案）工作组主席的报告（</w:t>
      </w:r>
      <w:r>
        <w:fldChar w:fldCharType="begin"/>
      </w:r>
      <w:r>
        <w:instrText>HYPERLINK "https://www.itu.int/md/S26-CL-C-0031/en"</w:instrText>
      </w:r>
      <w:r>
        <w:fldChar w:fldCharType="separate"/>
      </w:r>
      <w:r w:rsidRPr="00C77512">
        <w:rPr>
          <w:rStyle w:val="Hyperlink"/>
          <w:rFonts w:eastAsia="SimSun"/>
          <w:szCs w:val="24"/>
          <w:lang w:eastAsia="zh-CN"/>
        </w:rPr>
        <w:t>C26/31</w:t>
      </w:r>
      <w:r>
        <w:fldChar w:fldCharType="end"/>
      </w:r>
      <w:r w:rsidRPr="00C77512">
        <w:rPr>
          <w:rStyle w:val="Hyperlink"/>
          <w:rFonts w:eastAsia="SimSun"/>
          <w:szCs w:val="24"/>
          <w:lang w:eastAsia="zh-CN"/>
        </w:rPr>
        <w:t>+Add.1</w:t>
      </w:r>
      <w:r>
        <w:rPr>
          <w:lang w:val="zh-CN" w:eastAsia="zh-CN"/>
        </w:rPr>
        <w:t>和</w:t>
      </w:r>
      <w:hyperlink r:id="rId17" w:history="1">
        <w:r w:rsidRPr="00C77512">
          <w:rPr>
            <w:rStyle w:val="Hyperlink"/>
            <w:rFonts w:eastAsia="SimSun"/>
            <w:szCs w:val="24"/>
            <w:lang w:eastAsia="zh-CN"/>
          </w:rPr>
          <w:t>C26/83</w:t>
        </w:r>
      </w:hyperlink>
      <w:r>
        <w:rPr>
          <w:lang w:val="zh-CN" w:eastAsia="zh-CN"/>
        </w:rPr>
        <w:t>号文件）</w:t>
      </w:r>
      <w:r>
        <w:fldChar w:fldCharType="begin"/>
      </w:r>
      <w:r>
        <w:instrText>HYPERLINK "https://www.itu.int/md/S26-CL-C-0031/en"</w:instrText>
      </w:r>
      <w:r>
        <w:fldChar w:fldCharType="separate"/>
      </w:r>
      <w:r>
        <w:fldChar w:fldCharType="end"/>
      </w:r>
      <w:hyperlink r:id="rId18" w:history="1"/>
    </w:p>
    <w:p w14:paraId="532CB64C" w14:textId="77777777" w:rsidR="001A3C7B" w:rsidRPr="00C77512" w:rsidRDefault="001A3C7B" w:rsidP="00D0603A">
      <w:pPr>
        <w:jc w:val="both"/>
        <w:rPr>
          <w:lang w:eastAsia="zh-CN"/>
        </w:rPr>
      </w:pPr>
      <w:r>
        <w:rPr>
          <w:lang w:val="zh-CN" w:eastAsia="zh-CN"/>
        </w:rPr>
        <w:t>1.1</w:t>
      </w:r>
      <w:r>
        <w:rPr>
          <w:lang w:val="zh-CN" w:eastAsia="zh-CN"/>
        </w:rPr>
        <w:tab/>
      </w:r>
      <w:r>
        <w:rPr>
          <w:lang w:val="zh-CN" w:eastAsia="zh-CN"/>
        </w:rPr>
        <w:t>理事会</w:t>
      </w:r>
      <w:r>
        <w:rPr>
          <w:lang w:val="zh-CN" w:eastAsia="zh-CN"/>
        </w:rPr>
        <w:t>2028-2031</w:t>
      </w:r>
      <w:r>
        <w:rPr>
          <w:lang w:val="zh-CN" w:eastAsia="zh-CN"/>
        </w:rPr>
        <w:t>年战略规划和财务规划工作组（</w:t>
      </w:r>
      <w:r>
        <w:rPr>
          <w:lang w:val="zh-CN" w:eastAsia="zh-CN"/>
        </w:rPr>
        <w:t>CWG-SFP</w:t>
      </w:r>
      <w:r>
        <w:rPr>
          <w:lang w:val="zh-CN" w:eastAsia="zh-CN"/>
        </w:rPr>
        <w:t>）主席介绍了</w:t>
      </w:r>
      <w:r>
        <w:rPr>
          <w:lang w:val="zh-CN" w:eastAsia="zh-CN"/>
        </w:rPr>
        <w:t>C26/31</w:t>
      </w:r>
      <w:r>
        <w:rPr>
          <w:lang w:val="zh-CN" w:eastAsia="zh-CN"/>
        </w:rPr>
        <w:t>号文件及其附件</w:t>
      </w:r>
      <w:r>
        <w:rPr>
          <w:lang w:val="zh-CN" w:eastAsia="zh-CN"/>
        </w:rPr>
        <w:t>1-3</w:t>
      </w:r>
      <w:r>
        <w:rPr>
          <w:rFonts w:hint="eastAsia"/>
          <w:lang w:val="zh-CN" w:eastAsia="zh-CN"/>
        </w:rPr>
        <w:t>和</w:t>
      </w:r>
      <w:r>
        <w:rPr>
          <w:lang w:val="zh-CN" w:eastAsia="zh-CN"/>
        </w:rPr>
        <w:t>补遗</w:t>
      </w:r>
      <w:r>
        <w:rPr>
          <w:lang w:val="zh-CN" w:eastAsia="zh-CN"/>
        </w:rPr>
        <w:t>1</w:t>
      </w:r>
      <w:r>
        <w:rPr>
          <w:lang w:val="zh-CN" w:eastAsia="zh-CN"/>
        </w:rPr>
        <w:t>。该文件报告了该组</w:t>
      </w:r>
      <w:r>
        <w:rPr>
          <w:lang w:val="zh-CN" w:eastAsia="zh-CN"/>
        </w:rPr>
        <w:t>2024</w:t>
      </w:r>
      <w:r>
        <w:rPr>
          <w:lang w:val="zh-CN" w:eastAsia="zh-CN"/>
        </w:rPr>
        <w:t>年至</w:t>
      </w:r>
      <w:r>
        <w:rPr>
          <w:lang w:val="zh-CN" w:eastAsia="zh-CN"/>
        </w:rPr>
        <w:t>2026</w:t>
      </w:r>
      <w:r>
        <w:rPr>
          <w:lang w:val="zh-CN" w:eastAsia="zh-CN"/>
        </w:rPr>
        <w:t>年的工作情况。他指出，尚未就包含战略和财务规划草案的全权代表大会第</w:t>
      </w:r>
      <w:r>
        <w:rPr>
          <w:lang w:val="zh-CN" w:eastAsia="zh-CN"/>
        </w:rPr>
        <w:t>71</w:t>
      </w:r>
      <w:r>
        <w:rPr>
          <w:lang w:val="zh-CN" w:eastAsia="zh-CN"/>
        </w:rPr>
        <w:t>号决议（</w:t>
      </w:r>
      <w:r>
        <w:rPr>
          <w:lang w:val="zh-CN" w:eastAsia="zh-CN"/>
        </w:rPr>
        <w:t>2022</w:t>
      </w:r>
      <w:r>
        <w:rPr>
          <w:lang w:val="zh-CN" w:eastAsia="zh-CN"/>
        </w:rPr>
        <w:t>年，布加勒斯特，修订版）修订</w:t>
      </w:r>
      <w:r>
        <w:rPr>
          <w:rFonts w:hint="eastAsia"/>
          <w:lang w:val="zh-CN" w:eastAsia="zh-CN"/>
        </w:rPr>
        <w:t>案</w:t>
      </w:r>
      <w:r>
        <w:rPr>
          <w:lang w:val="zh-CN" w:eastAsia="zh-CN"/>
        </w:rPr>
        <w:t>的拟议附件</w:t>
      </w:r>
      <w:r>
        <w:rPr>
          <w:lang w:val="zh-CN" w:eastAsia="zh-CN"/>
        </w:rPr>
        <w:t>1</w:t>
      </w:r>
      <w:r>
        <w:rPr>
          <w:lang w:val="zh-CN" w:eastAsia="zh-CN"/>
        </w:rPr>
        <w:t>草案和包含形势分析草案的附件</w:t>
      </w:r>
      <w:r>
        <w:rPr>
          <w:lang w:val="zh-CN" w:eastAsia="zh-CN"/>
        </w:rPr>
        <w:t>2</w:t>
      </w:r>
      <w:r>
        <w:rPr>
          <w:lang w:val="zh-CN" w:eastAsia="zh-CN"/>
        </w:rPr>
        <w:t>达成一致。工作组要求秘书处为某些具体目标、成果和指标制定备选方案，并在该议项下与多国文稿的发起</w:t>
      </w:r>
      <w:r>
        <w:rPr>
          <w:rFonts w:hint="eastAsia"/>
          <w:lang w:val="zh-CN" w:eastAsia="zh-CN"/>
        </w:rPr>
        <w:t>国</w:t>
      </w:r>
      <w:r>
        <w:rPr>
          <w:lang w:val="zh-CN" w:eastAsia="zh-CN"/>
        </w:rPr>
        <w:t>进行协调。</w:t>
      </w:r>
    </w:p>
    <w:p w14:paraId="755A6111" w14:textId="77777777" w:rsidR="001A3C7B" w:rsidRPr="00C77512" w:rsidRDefault="001A3C7B" w:rsidP="00D0603A">
      <w:pPr>
        <w:jc w:val="both"/>
        <w:rPr>
          <w:rFonts w:cs="Calibri"/>
          <w:spacing w:val="-2"/>
          <w:lang w:eastAsia="zh-CN"/>
        </w:rPr>
      </w:pPr>
      <w:r>
        <w:rPr>
          <w:lang w:val="zh-CN" w:eastAsia="zh-CN"/>
        </w:rPr>
        <w:t>1.2</w:t>
      </w:r>
      <w:r>
        <w:rPr>
          <w:lang w:val="zh-CN" w:eastAsia="zh-CN"/>
        </w:rPr>
        <w:tab/>
      </w:r>
      <w:r>
        <w:rPr>
          <w:lang w:val="zh-CN" w:eastAsia="zh-CN"/>
        </w:rPr>
        <w:t>总秘书处的一位代表</w:t>
      </w:r>
      <w:r>
        <w:rPr>
          <w:rFonts w:hint="eastAsia"/>
          <w:lang w:val="zh-CN" w:eastAsia="zh-CN"/>
        </w:rPr>
        <w:t>指出</w:t>
      </w:r>
      <w:r>
        <w:rPr>
          <w:lang w:val="zh-CN" w:eastAsia="zh-CN"/>
        </w:rPr>
        <w:t>，在与国际电联专家磋商后，就附件</w:t>
      </w:r>
      <w:r>
        <w:rPr>
          <w:lang w:val="zh-CN" w:eastAsia="zh-CN"/>
        </w:rPr>
        <w:t>1</w:t>
      </w:r>
      <w:r>
        <w:rPr>
          <w:lang w:val="zh-CN" w:eastAsia="zh-CN"/>
        </w:rPr>
        <w:t>草案提出了一些建议。纳入了具体目标</w:t>
      </w:r>
      <w:r>
        <w:rPr>
          <w:lang w:val="zh-CN" w:eastAsia="zh-CN"/>
        </w:rPr>
        <w:t>1</w:t>
      </w:r>
      <w:r>
        <w:rPr>
          <w:rFonts w:hint="eastAsia"/>
          <w:lang w:val="zh-CN" w:eastAsia="zh-CN"/>
        </w:rPr>
        <w:t>.</w:t>
      </w:r>
      <w:r>
        <w:rPr>
          <w:lang w:val="zh-CN" w:eastAsia="zh-CN"/>
        </w:rPr>
        <w:t>5</w:t>
      </w:r>
      <w:r>
        <w:rPr>
          <w:lang w:val="zh-CN" w:eastAsia="zh-CN"/>
        </w:rPr>
        <w:t>和</w:t>
      </w:r>
      <w:r>
        <w:rPr>
          <w:lang w:val="zh-CN" w:eastAsia="zh-CN"/>
        </w:rPr>
        <w:t>1</w:t>
      </w:r>
      <w:r>
        <w:rPr>
          <w:rFonts w:hint="eastAsia"/>
          <w:lang w:val="zh-CN" w:eastAsia="zh-CN"/>
        </w:rPr>
        <w:t>.</w:t>
      </w:r>
      <w:r>
        <w:rPr>
          <w:lang w:val="zh-CN" w:eastAsia="zh-CN"/>
        </w:rPr>
        <w:t>7</w:t>
      </w:r>
      <w:r>
        <w:rPr>
          <w:lang w:val="zh-CN" w:eastAsia="zh-CN"/>
        </w:rPr>
        <w:t>下拟议的新指标。秘书处还建议修改具体目标</w:t>
      </w:r>
      <w:r>
        <w:rPr>
          <w:lang w:val="zh-CN" w:eastAsia="zh-CN"/>
        </w:rPr>
        <w:t>1</w:t>
      </w:r>
      <w:r>
        <w:rPr>
          <w:rFonts w:hint="eastAsia"/>
          <w:lang w:val="zh-CN" w:eastAsia="zh-CN"/>
        </w:rPr>
        <w:t>.</w:t>
      </w:r>
      <w:r>
        <w:rPr>
          <w:lang w:val="zh-CN" w:eastAsia="zh-CN"/>
        </w:rPr>
        <w:t>7</w:t>
      </w:r>
      <w:r>
        <w:rPr>
          <w:lang w:val="zh-CN" w:eastAsia="zh-CN"/>
        </w:rPr>
        <w:t>的标题，以支持基于结果的管理方式。此外，</w:t>
      </w:r>
      <w:r>
        <w:rPr>
          <w:rFonts w:hint="eastAsia"/>
          <w:lang w:val="zh-CN" w:eastAsia="zh-CN"/>
        </w:rPr>
        <w:t>秘书处还</w:t>
      </w:r>
      <w:r>
        <w:rPr>
          <w:lang w:val="zh-CN" w:eastAsia="zh-CN"/>
        </w:rPr>
        <w:t>建议插入一个脚注，以澄清有关空间和地面业务频谱使用的优先权对《无线电规则》的参引。</w:t>
      </w:r>
      <w:r>
        <w:rPr>
          <w:rFonts w:hint="eastAsia"/>
          <w:lang w:val="zh-CN" w:eastAsia="zh-CN"/>
        </w:rPr>
        <w:t>秘书处</w:t>
      </w:r>
      <w:r>
        <w:rPr>
          <w:lang w:val="zh-CN" w:eastAsia="zh-CN"/>
        </w:rPr>
        <w:t>进一步建议删除对缩小标准化工作差距的提及，因为运作规划草案已涉及这一问题。经与俄罗斯联邦磋商，建议在附件</w:t>
      </w:r>
      <w:r>
        <w:rPr>
          <w:lang w:val="zh-CN" w:eastAsia="zh-CN"/>
        </w:rPr>
        <w:t>1</w:t>
      </w:r>
      <w:r>
        <w:rPr>
          <w:lang w:val="zh-CN" w:eastAsia="zh-CN"/>
        </w:rPr>
        <w:t>草案附录</w:t>
      </w:r>
      <w:r>
        <w:rPr>
          <w:lang w:val="zh-CN" w:eastAsia="zh-CN"/>
        </w:rPr>
        <w:t>1</w:t>
      </w:r>
      <w:r>
        <w:rPr>
          <w:lang w:val="zh-CN" w:eastAsia="zh-CN"/>
        </w:rPr>
        <w:t>中增加一段，以澄清战略和运作规划之间的关系。还有人建议删除推动因素指标。</w:t>
      </w:r>
    </w:p>
    <w:p w14:paraId="274AB2C0" w14:textId="77777777" w:rsidR="001A3C7B" w:rsidRPr="00C77512" w:rsidRDefault="001A3C7B" w:rsidP="00D0603A">
      <w:pPr>
        <w:jc w:val="both"/>
        <w:rPr>
          <w:rFonts w:cs="Calibri"/>
          <w:lang w:eastAsia="zh-CN"/>
        </w:rPr>
      </w:pPr>
      <w:r>
        <w:rPr>
          <w:lang w:val="zh-CN" w:eastAsia="zh-CN"/>
        </w:rPr>
        <w:t>1.3</w:t>
      </w:r>
      <w:r>
        <w:rPr>
          <w:lang w:val="zh-CN" w:eastAsia="zh-CN"/>
        </w:rPr>
        <w:tab/>
        <w:t>CWG-SFP</w:t>
      </w:r>
      <w:r>
        <w:rPr>
          <w:lang w:val="zh-CN" w:eastAsia="zh-CN"/>
        </w:rPr>
        <w:t>主席</w:t>
      </w:r>
      <w:r>
        <w:rPr>
          <w:rFonts w:hint="eastAsia"/>
          <w:lang w:val="zh-CN" w:eastAsia="zh-CN"/>
        </w:rPr>
        <w:t>表示</w:t>
      </w:r>
      <w:r>
        <w:rPr>
          <w:lang w:val="zh-CN" w:eastAsia="zh-CN"/>
        </w:rPr>
        <w:t>，对于附件</w:t>
      </w:r>
      <w:r>
        <w:rPr>
          <w:lang w:val="zh-CN" w:eastAsia="zh-CN"/>
        </w:rPr>
        <w:t>2</w:t>
      </w:r>
      <w:r>
        <w:rPr>
          <w:lang w:val="zh-CN" w:eastAsia="zh-CN"/>
        </w:rPr>
        <w:t>草案是应附于第</w:t>
      </w:r>
      <w:r>
        <w:rPr>
          <w:lang w:val="zh-CN" w:eastAsia="zh-CN"/>
        </w:rPr>
        <w:t>71</w:t>
      </w:r>
      <w:r>
        <w:rPr>
          <w:lang w:val="zh-CN" w:eastAsia="zh-CN"/>
        </w:rPr>
        <w:t>号决议（</w:t>
      </w:r>
      <w:r>
        <w:rPr>
          <w:lang w:val="zh-CN" w:eastAsia="zh-CN"/>
        </w:rPr>
        <w:t>2022</w:t>
      </w:r>
      <w:r>
        <w:rPr>
          <w:lang w:val="zh-CN" w:eastAsia="zh-CN"/>
        </w:rPr>
        <w:t>年，布加勒斯特，修订版）修订</w:t>
      </w:r>
      <w:r>
        <w:rPr>
          <w:rFonts w:hint="eastAsia"/>
          <w:lang w:val="zh-CN" w:eastAsia="zh-CN"/>
        </w:rPr>
        <w:t>案之后</w:t>
      </w:r>
      <w:r>
        <w:rPr>
          <w:lang w:val="zh-CN" w:eastAsia="zh-CN"/>
        </w:rPr>
        <w:t>还是作为一份单独的情况通报文件来指导战略和财务规划</w:t>
      </w:r>
      <w:r>
        <w:rPr>
          <w:rFonts w:hint="eastAsia"/>
          <w:lang w:val="zh-CN" w:eastAsia="zh-CN"/>
        </w:rPr>
        <w:t>的</w:t>
      </w:r>
      <w:r>
        <w:rPr>
          <w:lang w:val="zh-CN" w:eastAsia="zh-CN"/>
        </w:rPr>
        <w:t>起草</w:t>
      </w:r>
      <w:r>
        <w:rPr>
          <w:rFonts w:hint="eastAsia"/>
          <w:lang w:val="zh-CN" w:eastAsia="zh-CN"/>
        </w:rPr>
        <w:t>这一问题，</w:t>
      </w:r>
      <w:r>
        <w:rPr>
          <w:lang w:val="zh-CN" w:eastAsia="zh-CN"/>
        </w:rPr>
        <w:t>尚未达成共识。他提请大家注意附件</w:t>
      </w:r>
      <w:r>
        <w:rPr>
          <w:lang w:val="zh-CN" w:eastAsia="zh-CN"/>
        </w:rPr>
        <w:t>3</w:t>
      </w:r>
      <w:r>
        <w:rPr>
          <w:lang w:val="zh-CN" w:eastAsia="zh-CN"/>
        </w:rPr>
        <w:t>草案，该草案包含的术语表</w:t>
      </w:r>
      <w:r>
        <w:rPr>
          <w:rFonts w:hint="eastAsia"/>
          <w:lang w:val="zh-CN" w:eastAsia="zh-CN"/>
        </w:rPr>
        <w:t>已</w:t>
      </w:r>
      <w:r>
        <w:rPr>
          <w:lang w:val="zh-CN" w:eastAsia="zh-CN"/>
        </w:rPr>
        <w:t>与联合国实施基于结果的管理方式手册</w:t>
      </w:r>
      <w:r>
        <w:rPr>
          <w:rFonts w:hint="eastAsia"/>
          <w:lang w:val="zh-CN" w:eastAsia="zh-CN"/>
        </w:rPr>
        <w:t>进行了统一</w:t>
      </w:r>
      <w:r>
        <w:rPr>
          <w:lang w:val="zh-CN" w:eastAsia="zh-CN"/>
        </w:rPr>
        <w:t>。此外，虽然没有提出关于修订第</w:t>
      </w:r>
      <w:r>
        <w:rPr>
          <w:lang w:val="zh-CN" w:eastAsia="zh-CN"/>
        </w:rPr>
        <w:t>71</w:t>
      </w:r>
      <w:r>
        <w:rPr>
          <w:lang w:val="zh-CN" w:eastAsia="zh-CN"/>
        </w:rPr>
        <w:t>号决议（</w:t>
      </w:r>
      <w:r>
        <w:rPr>
          <w:lang w:val="zh-CN" w:eastAsia="zh-CN"/>
        </w:rPr>
        <w:t>2022</w:t>
      </w:r>
      <w:r>
        <w:rPr>
          <w:lang w:val="zh-CN" w:eastAsia="zh-CN"/>
        </w:rPr>
        <w:t>年，布加勒斯特，修订版）条款的提案，但秘书处发布了</w:t>
      </w:r>
      <w:hyperlink r:id="rId19" w:history="1">
        <w:r w:rsidRPr="00C77512">
          <w:rPr>
            <w:rStyle w:val="Hyperlink"/>
            <w:rFonts w:eastAsia="SimSun" w:cs="Calibri"/>
            <w:lang w:eastAsia="zh-CN"/>
          </w:rPr>
          <w:t>C26/INF/1</w:t>
        </w:r>
      </w:hyperlink>
      <w:r>
        <w:rPr>
          <w:lang w:val="zh-CN" w:eastAsia="zh-CN"/>
        </w:rPr>
        <w:t>号文件，其中载有</w:t>
      </w:r>
      <w:r>
        <w:rPr>
          <w:rFonts w:hint="eastAsia"/>
          <w:lang w:val="zh-CN" w:eastAsia="zh-CN"/>
        </w:rPr>
        <w:t>对</w:t>
      </w:r>
      <w:r>
        <w:rPr>
          <w:lang w:val="zh-CN" w:eastAsia="zh-CN"/>
        </w:rPr>
        <w:t>全权代表大会决议和决定</w:t>
      </w:r>
      <w:r>
        <w:rPr>
          <w:rFonts w:hint="eastAsia"/>
          <w:lang w:val="zh-CN" w:eastAsia="zh-CN"/>
        </w:rPr>
        <w:t>进行</w:t>
      </w:r>
      <w:r>
        <w:rPr>
          <w:lang w:val="zh-CN" w:eastAsia="zh-CN"/>
        </w:rPr>
        <w:t>统一的导则。</w:t>
      </w:r>
    </w:p>
    <w:p w14:paraId="77B8470A" w14:textId="77777777" w:rsidR="001A3C7B" w:rsidRPr="00C77512" w:rsidRDefault="001A3C7B" w:rsidP="00D0603A">
      <w:pPr>
        <w:jc w:val="both"/>
        <w:rPr>
          <w:rFonts w:cs="Calibri"/>
          <w:spacing w:val="-2"/>
          <w:lang w:eastAsia="zh-CN"/>
        </w:rPr>
      </w:pPr>
      <w:r>
        <w:rPr>
          <w:lang w:val="zh-CN" w:eastAsia="zh-CN"/>
        </w:rPr>
        <w:t>1.4</w:t>
      </w:r>
      <w:r>
        <w:rPr>
          <w:lang w:val="zh-CN" w:eastAsia="zh-CN"/>
        </w:rPr>
        <w:tab/>
      </w:r>
      <w:r>
        <w:rPr>
          <w:lang w:val="zh-CN" w:eastAsia="zh-CN"/>
        </w:rPr>
        <w:t>由于提交全权代表大会的文件不能包含意见，他请提议者考虑通过正式文稿提交此前附件草案中反映的观点，提交</w:t>
      </w:r>
      <w:r>
        <w:rPr>
          <w:lang w:val="zh-CN" w:eastAsia="zh-CN"/>
        </w:rPr>
        <w:t>2026</w:t>
      </w:r>
      <w:r>
        <w:rPr>
          <w:lang w:val="zh-CN" w:eastAsia="zh-CN"/>
        </w:rPr>
        <w:t>年多哈全权代表大会（</w:t>
      </w:r>
      <w:r>
        <w:rPr>
          <w:lang w:val="zh-CN" w:eastAsia="zh-CN"/>
        </w:rPr>
        <w:t>PP-26</w:t>
      </w:r>
      <w:r>
        <w:rPr>
          <w:lang w:val="zh-CN" w:eastAsia="zh-CN"/>
        </w:rPr>
        <w:t>）</w:t>
      </w:r>
      <w:r>
        <w:rPr>
          <w:rFonts w:hint="eastAsia"/>
          <w:lang w:val="zh-CN" w:eastAsia="zh-CN"/>
        </w:rPr>
        <w:t>审议</w:t>
      </w:r>
      <w:r>
        <w:rPr>
          <w:lang w:val="zh-CN" w:eastAsia="zh-CN"/>
        </w:rPr>
        <w:t>。</w:t>
      </w:r>
    </w:p>
    <w:p w14:paraId="738A3BEC" w14:textId="77777777" w:rsidR="001A3C7B" w:rsidRPr="00C77512" w:rsidRDefault="001A3C7B" w:rsidP="00D0603A">
      <w:pPr>
        <w:jc w:val="both"/>
        <w:rPr>
          <w:lang w:eastAsia="zh-CN"/>
        </w:rPr>
      </w:pPr>
      <w:r>
        <w:rPr>
          <w:lang w:val="zh-CN" w:eastAsia="zh-CN"/>
        </w:rPr>
        <w:t>1.5</w:t>
      </w:r>
      <w:r>
        <w:rPr>
          <w:lang w:val="zh-CN" w:eastAsia="zh-CN"/>
        </w:rPr>
        <w:tab/>
      </w:r>
      <w:r>
        <w:rPr>
          <w:lang w:val="zh-CN" w:eastAsia="zh-CN"/>
        </w:rPr>
        <w:t>保加利亚理事代表四个国家介绍了</w:t>
      </w:r>
      <w:r>
        <w:rPr>
          <w:lang w:val="zh-CN" w:eastAsia="zh-CN"/>
        </w:rPr>
        <w:t>C26/83</w:t>
      </w:r>
      <w:r>
        <w:rPr>
          <w:lang w:val="zh-CN" w:eastAsia="zh-CN"/>
        </w:rPr>
        <w:t>号文件所载的多国文稿。该文件载有这些国家对国际电联</w:t>
      </w:r>
      <w:r>
        <w:rPr>
          <w:lang w:val="zh-CN" w:eastAsia="zh-CN"/>
        </w:rPr>
        <w:t>2028-2031</w:t>
      </w:r>
      <w:r>
        <w:rPr>
          <w:lang w:val="zh-CN" w:eastAsia="zh-CN"/>
        </w:rPr>
        <w:t>年战略规划草案的意见。在他们看来，战略规划反映出国际电联作为行政</w:t>
      </w:r>
      <w:r>
        <w:rPr>
          <w:rFonts w:hint="eastAsia"/>
          <w:lang w:val="zh-CN" w:eastAsia="zh-CN"/>
        </w:rPr>
        <w:t>架构</w:t>
      </w:r>
      <w:r>
        <w:rPr>
          <w:lang w:val="zh-CN" w:eastAsia="zh-CN"/>
        </w:rPr>
        <w:t>的</w:t>
      </w:r>
      <w:r>
        <w:rPr>
          <w:rFonts w:hint="eastAsia"/>
          <w:lang w:val="zh-CN" w:eastAsia="zh-CN"/>
        </w:rPr>
        <w:t>职能这一点</w:t>
      </w:r>
      <w:r>
        <w:rPr>
          <w:lang w:val="zh-CN" w:eastAsia="zh-CN"/>
        </w:rPr>
        <w:t>很重要。此外，为了在财务规划和运作规划之间建立明确的联系，在起草文件时，应</w:t>
      </w:r>
      <w:r>
        <w:rPr>
          <w:rFonts w:hint="eastAsia"/>
          <w:lang w:val="zh-CN" w:eastAsia="zh-CN"/>
        </w:rPr>
        <w:t>以</w:t>
      </w:r>
      <w:r>
        <w:rPr>
          <w:lang w:val="zh-CN" w:eastAsia="zh-CN"/>
        </w:rPr>
        <w:t>基于结果的管理原则</w:t>
      </w:r>
      <w:r>
        <w:rPr>
          <w:rFonts w:hint="eastAsia"/>
          <w:lang w:val="zh-CN" w:eastAsia="zh-CN"/>
        </w:rPr>
        <w:t>为基础</w:t>
      </w:r>
      <w:r>
        <w:rPr>
          <w:lang w:val="zh-CN" w:eastAsia="zh-CN"/>
        </w:rPr>
        <w:t>，采取更具战略性的做法。应</w:t>
      </w:r>
      <w:r>
        <w:rPr>
          <w:rFonts w:hint="eastAsia"/>
          <w:lang w:val="zh-CN" w:eastAsia="zh-CN"/>
        </w:rPr>
        <w:t>采用</w:t>
      </w:r>
      <w:r>
        <w:rPr>
          <w:lang w:val="zh-CN" w:eastAsia="zh-CN"/>
        </w:rPr>
        <w:t>具体和可衡量的目标和主题重点以及现实的指标，并应对四年内实施的可能性进行务实的评估。所有总体目标、工作重点和成果均应与可用的人力、财务和技术资源相一致，并且不应为获取任何指标所需的数据而要求</w:t>
      </w:r>
      <w:r>
        <w:rPr>
          <w:rFonts w:hint="eastAsia"/>
          <w:lang w:val="zh-CN" w:eastAsia="zh-CN"/>
        </w:rPr>
        <w:t>获得</w:t>
      </w:r>
      <w:r>
        <w:rPr>
          <w:lang w:val="zh-CN" w:eastAsia="zh-CN"/>
        </w:rPr>
        <w:t>额外的资源。此外，根据拟议的术语表，推动因素应结合其作为支持战略规划落实的现有资产而非有待实现的因素的作用来加以讨论。</w:t>
      </w:r>
    </w:p>
    <w:p w14:paraId="1929BF27" w14:textId="77777777" w:rsidR="001A3C7B" w:rsidRPr="00C77512" w:rsidRDefault="001A3C7B" w:rsidP="00D0603A">
      <w:pPr>
        <w:jc w:val="both"/>
        <w:rPr>
          <w:lang w:eastAsia="zh-CN"/>
        </w:rPr>
      </w:pPr>
      <w:r>
        <w:rPr>
          <w:lang w:val="zh-CN" w:eastAsia="zh-CN"/>
        </w:rPr>
        <w:t>1.6</w:t>
      </w:r>
      <w:r>
        <w:rPr>
          <w:lang w:val="zh-CN" w:eastAsia="zh-CN"/>
        </w:rPr>
        <w:tab/>
      </w:r>
      <w:r>
        <w:rPr>
          <w:lang w:val="zh-CN" w:eastAsia="zh-CN"/>
        </w:rPr>
        <w:t>理事们对当前</w:t>
      </w:r>
      <w:r>
        <w:rPr>
          <w:lang w:val="zh-CN" w:eastAsia="zh-CN"/>
        </w:rPr>
        <w:t>2028-2031</w:t>
      </w:r>
      <w:r>
        <w:rPr>
          <w:lang w:val="zh-CN" w:eastAsia="zh-CN"/>
        </w:rPr>
        <w:t>年战略规划草案取得的进展表示欢迎，该草案将作为指导国际电联工作实现共同目标的指南针。</w:t>
      </w:r>
    </w:p>
    <w:p w14:paraId="7196FCBA" w14:textId="77777777" w:rsidR="001A3C7B" w:rsidRPr="00C77512" w:rsidRDefault="001A3C7B" w:rsidP="00D0603A">
      <w:pPr>
        <w:jc w:val="both"/>
        <w:rPr>
          <w:lang w:eastAsia="zh-CN"/>
        </w:rPr>
      </w:pPr>
      <w:r>
        <w:rPr>
          <w:lang w:val="zh-CN" w:eastAsia="zh-CN"/>
        </w:rPr>
        <w:t>1.7</w:t>
      </w:r>
      <w:r>
        <w:rPr>
          <w:lang w:val="zh-CN" w:eastAsia="zh-CN"/>
        </w:rPr>
        <w:tab/>
      </w:r>
      <w:r>
        <w:rPr>
          <w:lang w:val="zh-CN" w:eastAsia="zh-CN"/>
        </w:rPr>
        <w:t>一些理事表示支持战略规划草案的总体方向，特别是将重点放在普遍连接和可持续数字化转型上，因为仍有大量人（主要在发展中国家）无法上网。战略规划必须考虑到发展中国家的实际情况和</w:t>
      </w:r>
      <w:r>
        <w:rPr>
          <w:rFonts w:hint="eastAsia"/>
          <w:lang w:val="zh-CN" w:eastAsia="zh-CN"/>
        </w:rPr>
        <w:t>重点工作</w:t>
      </w:r>
      <w:r>
        <w:rPr>
          <w:lang w:val="zh-CN" w:eastAsia="zh-CN"/>
        </w:rPr>
        <w:t>。一位理事对将全球电信</w:t>
      </w:r>
      <w:r>
        <w:rPr>
          <w:lang w:val="zh-CN" w:eastAsia="zh-CN"/>
        </w:rPr>
        <w:t>/</w:t>
      </w:r>
      <w:r>
        <w:rPr>
          <w:lang w:val="zh-CN" w:eastAsia="zh-CN"/>
        </w:rPr>
        <w:t>信息通信技术（</w:t>
      </w:r>
      <w:r>
        <w:rPr>
          <w:lang w:val="zh-CN" w:eastAsia="zh-CN"/>
        </w:rPr>
        <w:t>ICT</w:t>
      </w:r>
      <w:r>
        <w:rPr>
          <w:lang w:val="zh-CN" w:eastAsia="zh-CN"/>
        </w:rPr>
        <w:t>）互操作性和创新作为重点工作表示赞赏，而另一位理事则强调了与宽带覆盖、价格可承受性、网络安全和网络复原力有关的指标的重要性。</w:t>
      </w:r>
    </w:p>
    <w:p w14:paraId="486A694D" w14:textId="77777777" w:rsidR="001A3C7B" w:rsidRPr="00C77512" w:rsidRDefault="001A3C7B" w:rsidP="001A3C7B">
      <w:pPr>
        <w:rPr>
          <w:lang w:eastAsia="zh-CN"/>
        </w:rPr>
      </w:pPr>
      <w:r>
        <w:rPr>
          <w:lang w:val="zh-CN" w:eastAsia="zh-CN"/>
        </w:rPr>
        <w:lastRenderedPageBreak/>
        <w:t>1.8</w:t>
      </w:r>
      <w:r>
        <w:rPr>
          <w:lang w:val="zh-CN" w:eastAsia="zh-CN"/>
        </w:rPr>
        <w:tab/>
      </w:r>
      <w:r>
        <w:rPr>
          <w:lang w:val="zh-CN" w:eastAsia="zh-CN"/>
        </w:rPr>
        <w:t>两位理事强调，考虑到全球经济的</w:t>
      </w:r>
      <w:r>
        <w:rPr>
          <w:rFonts w:hint="eastAsia"/>
          <w:lang w:val="zh-CN" w:eastAsia="zh-CN"/>
        </w:rPr>
        <w:t>局限性</w:t>
      </w:r>
      <w:r>
        <w:rPr>
          <w:lang w:val="zh-CN" w:eastAsia="zh-CN"/>
        </w:rPr>
        <w:t>，应在雄心与可负担性之间取得务实的平衡。另一位理事强调了确保加强国际电联区域代表性的</w:t>
      </w:r>
      <w:r>
        <w:rPr>
          <w:rFonts w:hint="eastAsia"/>
          <w:lang w:val="zh-CN" w:eastAsia="zh-CN"/>
        </w:rPr>
        <w:t>工作</w:t>
      </w:r>
      <w:r>
        <w:rPr>
          <w:lang w:val="zh-CN" w:eastAsia="zh-CN"/>
        </w:rPr>
        <w:t>与战略规划草案保持一致的重要性。</w:t>
      </w:r>
    </w:p>
    <w:p w14:paraId="35568105" w14:textId="77777777" w:rsidR="001A3C7B" w:rsidRPr="00C77512" w:rsidRDefault="001A3C7B" w:rsidP="00D0603A">
      <w:pPr>
        <w:jc w:val="both"/>
        <w:rPr>
          <w:lang w:eastAsia="zh-CN"/>
        </w:rPr>
      </w:pPr>
      <w:r>
        <w:rPr>
          <w:lang w:val="zh-CN" w:eastAsia="zh-CN"/>
        </w:rPr>
        <w:t>1.9</w:t>
      </w:r>
      <w:r>
        <w:rPr>
          <w:lang w:val="zh-CN" w:eastAsia="zh-CN"/>
        </w:rPr>
        <w:tab/>
      </w:r>
      <w:r>
        <w:rPr>
          <w:lang w:val="zh-CN" w:eastAsia="zh-CN"/>
        </w:rPr>
        <w:t>一位理事</w:t>
      </w:r>
      <w:r>
        <w:rPr>
          <w:rFonts w:hint="eastAsia"/>
          <w:lang w:val="zh-CN" w:eastAsia="zh-CN"/>
        </w:rPr>
        <w:t>指出</w:t>
      </w:r>
      <w:r>
        <w:rPr>
          <w:lang w:val="zh-CN" w:eastAsia="zh-CN"/>
        </w:rPr>
        <w:t>，进行情况分析是好的做法。在战略规划草案方面，应将国际电联职员视为一支至关重要的力量。另一位理事指出，在分析中发现资源限制既是一种弱点，也是一种威胁。他还建议，应将联合国主要机构之间的合作视为一种机遇。</w:t>
      </w:r>
    </w:p>
    <w:p w14:paraId="52A072AF" w14:textId="77777777" w:rsidR="001A3C7B" w:rsidRPr="00C77512" w:rsidRDefault="001A3C7B" w:rsidP="00D0603A">
      <w:pPr>
        <w:jc w:val="both"/>
        <w:rPr>
          <w:lang w:eastAsia="zh-CN"/>
        </w:rPr>
      </w:pPr>
      <w:r>
        <w:rPr>
          <w:lang w:val="zh-CN" w:eastAsia="zh-CN"/>
        </w:rPr>
        <w:t>1.10</w:t>
      </w:r>
      <w:r>
        <w:rPr>
          <w:lang w:val="zh-CN" w:eastAsia="zh-CN"/>
        </w:rPr>
        <w:tab/>
      </w:r>
      <w:r>
        <w:rPr>
          <w:lang w:val="zh-CN" w:eastAsia="zh-CN"/>
        </w:rPr>
        <w:t>一位理事表示支持附件</w:t>
      </w:r>
      <w:r>
        <w:rPr>
          <w:lang w:val="zh-CN" w:eastAsia="zh-CN"/>
        </w:rPr>
        <w:t>3</w:t>
      </w:r>
      <w:r>
        <w:rPr>
          <w:lang w:val="zh-CN" w:eastAsia="zh-CN"/>
        </w:rPr>
        <w:t>草案中的词汇表，这将有助于简化国际电联的工作。</w:t>
      </w:r>
    </w:p>
    <w:p w14:paraId="705C838E" w14:textId="77777777" w:rsidR="001A3C7B" w:rsidRPr="00C77512" w:rsidRDefault="001A3C7B" w:rsidP="00D0603A">
      <w:pPr>
        <w:jc w:val="both"/>
        <w:rPr>
          <w:lang w:eastAsia="zh-CN"/>
        </w:rPr>
      </w:pPr>
      <w:r>
        <w:rPr>
          <w:lang w:val="zh-CN" w:eastAsia="zh-CN"/>
        </w:rPr>
        <w:t>1.11</w:t>
      </w:r>
      <w:r>
        <w:rPr>
          <w:lang w:val="zh-CN" w:eastAsia="zh-CN"/>
        </w:rPr>
        <w:tab/>
      </w:r>
      <w:r>
        <w:rPr>
          <w:lang w:val="zh-CN" w:eastAsia="zh-CN"/>
        </w:rPr>
        <w:t>一些理事强调，缩小标准化差距对发展中国家</w:t>
      </w:r>
      <w:r>
        <w:rPr>
          <w:rFonts w:hint="eastAsia"/>
          <w:lang w:val="zh-CN" w:eastAsia="zh-CN"/>
        </w:rPr>
        <w:t>而言</w:t>
      </w:r>
      <w:r>
        <w:rPr>
          <w:lang w:val="zh-CN" w:eastAsia="zh-CN"/>
        </w:rPr>
        <w:t>仍然是国际电联的核心</w:t>
      </w:r>
      <w:r>
        <w:rPr>
          <w:rFonts w:hint="eastAsia"/>
          <w:lang w:val="zh-CN" w:eastAsia="zh-CN"/>
        </w:rPr>
        <w:t>工作重点</w:t>
      </w:r>
      <w:r>
        <w:rPr>
          <w:lang w:val="zh-CN" w:eastAsia="zh-CN"/>
        </w:rPr>
        <w:t>，</w:t>
      </w:r>
      <w:r>
        <w:rPr>
          <w:rFonts w:hint="eastAsia"/>
          <w:lang w:val="zh-CN" w:eastAsia="zh-CN"/>
        </w:rPr>
        <w:t>对于</w:t>
      </w:r>
      <w:r>
        <w:rPr>
          <w:lang w:val="zh-CN" w:eastAsia="zh-CN"/>
        </w:rPr>
        <w:t>包容性和可持续发展至关重要。因此，在战略规划草案中应</w:t>
      </w:r>
      <w:r>
        <w:rPr>
          <w:rFonts w:hint="eastAsia"/>
          <w:lang w:val="zh-CN" w:eastAsia="zh-CN"/>
        </w:rPr>
        <w:t>提到这一点</w:t>
      </w:r>
      <w:r>
        <w:rPr>
          <w:lang w:val="zh-CN" w:eastAsia="zh-CN"/>
        </w:rPr>
        <w:t>。另一位理事表示支持在战略规划草案中保留推动因素指标，因为它们是规划有效实施的关键。</w:t>
      </w:r>
    </w:p>
    <w:p w14:paraId="282FD294" w14:textId="77777777" w:rsidR="001A3C7B" w:rsidRPr="00C77512" w:rsidRDefault="001A3C7B" w:rsidP="00D0603A">
      <w:pPr>
        <w:jc w:val="both"/>
        <w:rPr>
          <w:lang w:eastAsia="zh-CN"/>
        </w:rPr>
      </w:pPr>
      <w:r>
        <w:rPr>
          <w:lang w:val="zh-CN" w:eastAsia="zh-CN"/>
        </w:rPr>
        <w:t>1.12</w:t>
      </w:r>
      <w:r>
        <w:rPr>
          <w:lang w:val="zh-CN" w:eastAsia="zh-CN"/>
        </w:rPr>
        <w:tab/>
      </w:r>
      <w:r>
        <w:rPr>
          <w:lang w:val="zh-CN" w:eastAsia="zh-CN"/>
        </w:rPr>
        <w:t>两位理事呼吁在战略规划草案中反映有关风险的详细信息，包括关键指标和相关缓解措施。</w:t>
      </w:r>
    </w:p>
    <w:p w14:paraId="4DAE3222" w14:textId="77777777" w:rsidR="001A3C7B" w:rsidRPr="00C77512" w:rsidRDefault="001A3C7B" w:rsidP="00D0603A">
      <w:pPr>
        <w:jc w:val="both"/>
        <w:rPr>
          <w:lang w:eastAsia="zh-CN"/>
        </w:rPr>
      </w:pPr>
      <w:r>
        <w:rPr>
          <w:lang w:val="zh-CN" w:eastAsia="zh-CN"/>
        </w:rPr>
        <w:t>1.13</w:t>
      </w:r>
      <w:r>
        <w:rPr>
          <w:lang w:val="zh-CN" w:eastAsia="zh-CN"/>
        </w:rPr>
        <w:tab/>
      </w:r>
      <w:r>
        <w:rPr>
          <w:lang w:val="zh-CN" w:eastAsia="zh-CN"/>
        </w:rPr>
        <w:t>一位理事强调，影响</w:t>
      </w:r>
      <w:r>
        <w:rPr>
          <w:rFonts w:hint="eastAsia"/>
          <w:lang w:val="zh-CN" w:eastAsia="zh-CN"/>
        </w:rPr>
        <w:t>力</w:t>
      </w:r>
      <w:r>
        <w:rPr>
          <w:lang w:val="zh-CN" w:eastAsia="zh-CN"/>
        </w:rPr>
        <w:t>衡量应侧重于通过国际电联活动取得的结果，而不是成员国的表现。此外，应优先考虑利用现有工具可衡量的指标，并应避免依赖代理指标。</w:t>
      </w:r>
    </w:p>
    <w:p w14:paraId="2EC62F4C" w14:textId="77777777" w:rsidR="001A3C7B" w:rsidRPr="00C77512" w:rsidRDefault="001A3C7B" w:rsidP="00D0603A">
      <w:pPr>
        <w:jc w:val="both"/>
        <w:rPr>
          <w:lang w:eastAsia="zh-CN"/>
        </w:rPr>
      </w:pPr>
      <w:r>
        <w:rPr>
          <w:lang w:val="zh-CN" w:eastAsia="zh-CN"/>
        </w:rPr>
        <w:t>1.14</w:t>
      </w:r>
      <w:r>
        <w:rPr>
          <w:lang w:val="zh-CN" w:eastAsia="zh-CN"/>
        </w:rPr>
        <w:tab/>
      </w:r>
      <w:r>
        <w:rPr>
          <w:lang w:val="zh-CN" w:eastAsia="zh-CN"/>
        </w:rPr>
        <w:t>一位理事呼吁通过评估拟议决策数据的有用性，努力减少指标的数量。他还表示有兴趣了解有哪些机制支持战略规划草案所鼓励的从基于活动的报告向基于结果的报告转变。</w:t>
      </w:r>
    </w:p>
    <w:p w14:paraId="04115480" w14:textId="77777777" w:rsidR="001A3C7B" w:rsidRPr="00C77512" w:rsidRDefault="001A3C7B" w:rsidP="00D0603A">
      <w:pPr>
        <w:jc w:val="both"/>
        <w:rPr>
          <w:lang w:eastAsia="zh-CN"/>
        </w:rPr>
      </w:pPr>
      <w:r>
        <w:rPr>
          <w:lang w:val="zh-CN" w:eastAsia="zh-CN"/>
        </w:rPr>
        <w:t>1.15</w:t>
      </w:r>
      <w:r>
        <w:rPr>
          <w:lang w:val="zh-CN" w:eastAsia="zh-CN"/>
        </w:rPr>
        <w:tab/>
      </w:r>
      <w:r>
        <w:rPr>
          <w:lang w:val="zh-CN" w:eastAsia="zh-CN"/>
        </w:rPr>
        <w:t>一位理事呼吁进一步审议</w:t>
      </w:r>
      <w:r>
        <w:rPr>
          <w:lang w:val="zh-CN" w:eastAsia="zh-CN"/>
        </w:rPr>
        <w:t>ICT</w:t>
      </w:r>
      <w:r>
        <w:rPr>
          <w:lang w:val="zh-CN" w:eastAsia="zh-CN"/>
        </w:rPr>
        <w:t>行业的温室气体排放指标以及空间</w:t>
      </w:r>
      <w:r>
        <w:rPr>
          <w:rFonts w:hint="eastAsia"/>
          <w:lang w:val="zh-CN" w:eastAsia="zh-CN"/>
        </w:rPr>
        <w:t>促</w:t>
      </w:r>
      <w:r>
        <w:rPr>
          <w:lang w:val="zh-CN" w:eastAsia="zh-CN"/>
        </w:rPr>
        <w:t>发展指标。另一位理事建议，在提及统计数据时，应明确提及与其它联合国机构和资源（特别是《联合国贸易和发展</w:t>
      </w:r>
      <w:r>
        <w:rPr>
          <w:rFonts w:hint="eastAsia"/>
          <w:lang w:val="zh-CN" w:eastAsia="zh-CN"/>
        </w:rPr>
        <w:t>大会</w:t>
      </w:r>
      <w:r>
        <w:rPr>
          <w:lang w:val="zh-CN" w:eastAsia="zh-CN"/>
        </w:rPr>
        <w:t>世界投资报告》）保持一致。第三位理事建议，对于</w:t>
      </w:r>
      <w:r>
        <w:rPr>
          <w:rFonts w:hint="eastAsia"/>
          <w:lang w:val="zh-CN" w:eastAsia="zh-CN"/>
        </w:rPr>
        <w:t>有复原力</w:t>
      </w:r>
      <w:r>
        <w:rPr>
          <w:lang w:val="zh-CN" w:eastAsia="zh-CN"/>
        </w:rPr>
        <w:t>网络的</w:t>
      </w:r>
      <w:r>
        <w:rPr>
          <w:rFonts w:hint="eastAsia"/>
          <w:lang w:val="zh-CN" w:eastAsia="zh-CN"/>
        </w:rPr>
        <w:t>具体</w:t>
      </w:r>
      <w:r>
        <w:rPr>
          <w:lang w:val="zh-CN" w:eastAsia="zh-CN"/>
        </w:rPr>
        <w:t>目标，应使用更相关的指标，例如与海底电缆</w:t>
      </w:r>
      <w:r>
        <w:rPr>
          <w:rFonts w:hint="eastAsia"/>
          <w:lang w:val="zh-CN" w:eastAsia="zh-CN"/>
        </w:rPr>
        <w:t>复原力</w:t>
      </w:r>
      <w:r>
        <w:rPr>
          <w:lang w:val="zh-CN" w:eastAsia="zh-CN"/>
        </w:rPr>
        <w:t>相关的指标。关于</w:t>
      </w:r>
      <w:r>
        <w:rPr>
          <w:lang w:val="zh-CN" w:eastAsia="zh-CN"/>
        </w:rPr>
        <w:t>ICT</w:t>
      </w:r>
      <w:r>
        <w:rPr>
          <w:lang w:val="zh-CN" w:eastAsia="zh-CN"/>
        </w:rPr>
        <w:t>的环境影响，还应包括一项指标，以反映</w:t>
      </w:r>
      <w:r>
        <w:rPr>
          <w:lang w:val="zh-CN" w:eastAsia="zh-CN"/>
        </w:rPr>
        <w:t>ICT</w:t>
      </w:r>
      <w:r>
        <w:rPr>
          <w:lang w:val="zh-CN" w:eastAsia="zh-CN"/>
        </w:rPr>
        <w:t>行业对促进绿色数字化转型的积极贡献。关于空间</w:t>
      </w:r>
      <w:r>
        <w:rPr>
          <w:rFonts w:hint="eastAsia"/>
          <w:lang w:val="zh-CN" w:eastAsia="zh-CN"/>
        </w:rPr>
        <w:t>促</w:t>
      </w:r>
      <w:r>
        <w:rPr>
          <w:lang w:val="zh-CN" w:eastAsia="zh-CN"/>
        </w:rPr>
        <w:t>发展</w:t>
      </w:r>
      <w:r>
        <w:rPr>
          <w:rFonts w:hint="eastAsia"/>
          <w:lang w:val="zh-CN" w:eastAsia="zh-CN"/>
        </w:rPr>
        <w:t>问题</w:t>
      </w:r>
      <w:r>
        <w:rPr>
          <w:lang w:val="zh-CN" w:eastAsia="zh-CN"/>
        </w:rPr>
        <w:t>，他建议合并这两个指标，并指出卫星宽带签约用户和固定宽带签约用户之间存在重叠。</w:t>
      </w:r>
    </w:p>
    <w:p w14:paraId="27E35678" w14:textId="77777777" w:rsidR="001A3C7B" w:rsidRPr="00C77512" w:rsidRDefault="001A3C7B" w:rsidP="00D0603A">
      <w:pPr>
        <w:jc w:val="both"/>
        <w:rPr>
          <w:lang w:eastAsia="zh-CN"/>
        </w:rPr>
      </w:pPr>
      <w:r>
        <w:rPr>
          <w:lang w:val="zh-CN" w:eastAsia="zh-CN"/>
        </w:rPr>
        <w:t>1.16</w:t>
      </w:r>
      <w:r>
        <w:rPr>
          <w:lang w:val="zh-CN" w:eastAsia="zh-CN"/>
        </w:rPr>
        <w:tab/>
      </w:r>
      <w:r>
        <w:rPr>
          <w:lang w:val="zh-CN" w:eastAsia="zh-CN"/>
        </w:rPr>
        <w:t>几位理事表示支持</w:t>
      </w:r>
      <w:r>
        <w:rPr>
          <w:lang w:val="zh-CN" w:eastAsia="zh-CN"/>
        </w:rPr>
        <w:t>C26/83</w:t>
      </w:r>
      <w:r>
        <w:rPr>
          <w:lang w:val="zh-CN" w:eastAsia="zh-CN"/>
        </w:rPr>
        <w:t>号文件所载的建议，特别是需要在战略、财务和运作规划之间建立联系，以确保它们相辅相成。战略目标应与</w:t>
      </w:r>
      <w:r>
        <w:rPr>
          <w:rFonts w:hint="eastAsia"/>
          <w:lang w:val="zh-CN" w:eastAsia="zh-CN"/>
        </w:rPr>
        <w:t>重点工作</w:t>
      </w:r>
      <w:r>
        <w:rPr>
          <w:lang w:val="zh-CN" w:eastAsia="zh-CN"/>
        </w:rPr>
        <w:t>和成果明确保持一致，并应分配具体、可衡量、可实现、相关和有时限的指标，以帮助评估实际影响。此外，活动应与可用资源相一致，并应辅之以对实施能力的现实评估。一些理事和一位观察员鼓励更多地使用基于结果的管理方式，特别是在制定指标方面，以提高资源使用的透明度。另外两位理事强调了国际电联作为行政管理组织的</w:t>
      </w:r>
      <w:r>
        <w:rPr>
          <w:rFonts w:hint="eastAsia"/>
          <w:lang w:val="zh-CN" w:eastAsia="zh-CN"/>
        </w:rPr>
        <w:t>职能</w:t>
      </w:r>
      <w:r>
        <w:rPr>
          <w:lang w:val="zh-CN" w:eastAsia="zh-CN"/>
        </w:rPr>
        <w:t>，负责为发展</w:t>
      </w:r>
      <w:r>
        <w:rPr>
          <w:lang w:val="zh-CN" w:eastAsia="zh-CN"/>
        </w:rPr>
        <w:t>ICT</w:t>
      </w:r>
      <w:r>
        <w:rPr>
          <w:lang w:val="zh-CN" w:eastAsia="zh-CN"/>
        </w:rPr>
        <w:t>网络和服务的成员国和部门成员提供支持。</w:t>
      </w:r>
    </w:p>
    <w:p w14:paraId="5778F443" w14:textId="77777777" w:rsidR="001A3C7B" w:rsidRPr="00C77512" w:rsidRDefault="001A3C7B" w:rsidP="00D0603A">
      <w:pPr>
        <w:jc w:val="both"/>
        <w:rPr>
          <w:lang w:eastAsia="zh-CN"/>
        </w:rPr>
      </w:pPr>
      <w:r>
        <w:rPr>
          <w:lang w:val="zh-CN" w:eastAsia="zh-CN"/>
        </w:rPr>
        <w:t>1.17</w:t>
      </w:r>
      <w:r>
        <w:rPr>
          <w:lang w:val="zh-CN" w:eastAsia="zh-CN"/>
        </w:rPr>
        <w:tab/>
      </w:r>
      <w:r>
        <w:rPr>
          <w:lang w:val="zh-CN" w:eastAsia="zh-CN"/>
        </w:rPr>
        <w:t>一位理事虽然认可多国文稿的价值，但表示需要进一步审议。虽然高度结构化的方式很有价值，但战略规划草案需要用户友好并避免不必要的复杂性。它还需要对新出现的挑战做出反应，并能够在必要时纳入新的指标。强调国际电联的行政</w:t>
      </w:r>
      <w:r>
        <w:rPr>
          <w:rFonts w:hint="eastAsia"/>
          <w:lang w:val="zh-CN" w:eastAsia="zh-CN"/>
        </w:rPr>
        <w:t>职能</w:t>
      </w:r>
      <w:r>
        <w:rPr>
          <w:lang w:val="zh-CN" w:eastAsia="zh-CN"/>
        </w:rPr>
        <w:t>很重要</w:t>
      </w:r>
      <w:r>
        <w:rPr>
          <w:rFonts w:hint="eastAsia"/>
          <w:lang w:val="zh-CN" w:eastAsia="zh-CN"/>
        </w:rPr>
        <w:t>；</w:t>
      </w:r>
      <w:r>
        <w:rPr>
          <w:lang w:val="zh-CN" w:eastAsia="zh-CN"/>
        </w:rPr>
        <w:t>但是，战略规划也需要反映国际电联更广泛的集体</w:t>
      </w:r>
      <w:r>
        <w:rPr>
          <w:rFonts w:hint="eastAsia"/>
          <w:lang w:val="zh-CN" w:eastAsia="zh-CN"/>
        </w:rPr>
        <w:t>输入</w:t>
      </w:r>
      <w:r>
        <w:rPr>
          <w:lang w:val="zh-CN" w:eastAsia="zh-CN"/>
        </w:rPr>
        <w:t>。</w:t>
      </w:r>
    </w:p>
    <w:p w14:paraId="563F90CB" w14:textId="696E772F" w:rsidR="001A3C7B" w:rsidRPr="00C77512" w:rsidRDefault="001A3C7B" w:rsidP="00D0603A">
      <w:pPr>
        <w:jc w:val="both"/>
        <w:rPr>
          <w:lang w:eastAsia="zh-CN"/>
        </w:rPr>
      </w:pPr>
      <w:r>
        <w:rPr>
          <w:lang w:val="zh-CN" w:eastAsia="zh-CN"/>
        </w:rPr>
        <w:t>1.18</w:t>
      </w:r>
      <w:r>
        <w:rPr>
          <w:lang w:val="zh-CN" w:eastAsia="zh-CN"/>
        </w:rPr>
        <w:tab/>
      </w:r>
      <w:r w:rsidR="00756AD5">
        <w:rPr>
          <w:rFonts w:hint="eastAsia"/>
          <w:lang w:val="zh-CN" w:eastAsia="zh-CN"/>
        </w:rPr>
        <w:t>一位</w:t>
      </w:r>
      <w:r>
        <w:rPr>
          <w:lang w:val="zh-CN" w:eastAsia="zh-CN"/>
        </w:rPr>
        <w:t>理事说，战略规划草案中应包括一个结构化的机制，以确保将汲取的经验教训用于指导未来战略规划的起草。他还指出，他的代表团在</w:t>
      </w:r>
      <w:r>
        <w:rPr>
          <w:lang w:val="zh-CN" w:eastAsia="zh-CN"/>
        </w:rPr>
        <w:t>CWG-SFP</w:t>
      </w:r>
      <w:r>
        <w:rPr>
          <w:lang w:val="zh-CN" w:eastAsia="zh-CN"/>
        </w:rPr>
        <w:t>最近的会议上提出了这一点，但尚未收到秘书处的回应。他鼓励秘书处对所有成员国的意见做出回应，以确保</w:t>
      </w:r>
      <w:r>
        <w:rPr>
          <w:rFonts w:hint="eastAsia"/>
          <w:lang w:val="zh-CN" w:eastAsia="zh-CN"/>
        </w:rPr>
        <w:t>不会有</w:t>
      </w:r>
      <w:r>
        <w:rPr>
          <w:lang w:val="zh-CN" w:eastAsia="zh-CN"/>
        </w:rPr>
        <w:t>人</w:t>
      </w:r>
      <w:r>
        <w:rPr>
          <w:rFonts w:hint="eastAsia"/>
          <w:lang w:val="zh-CN" w:eastAsia="zh-CN"/>
        </w:rPr>
        <w:t>认为</w:t>
      </w:r>
      <w:r>
        <w:rPr>
          <w:lang w:val="zh-CN" w:eastAsia="zh-CN"/>
        </w:rPr>
        <w:t>他们的意见被忽视了。</w:t>
      </w:r>
    </w:p>
    <w:p w14:paraId="5FA2AF82" w14:textId="77777777" w:rsidR="001A3C7B" w:rsidRPr="00C77512" w:rsidRDefault="001A3C7B" w:rsidP="00D0603A">
      <w:pPr>
        <w:jc w:val="both"/>
        <w:rPr>
          <w:lang w:eastAsia="zh-CN"/>
        </w:rPr>
      </w:pPr>
      <w:r>
        <w:rPr>
          <w:lang w:val="zh-CN" w:eastAsia="zh-CN"/>
        </w:rPr>
        <w:lastRenderedPageBreak/>
        <w:t>1.19</w:t>
      </w:r>
      <w:r>
        <w:rPr>
          <w:lang w:val="zh-CN" w:eastAsia="zh-CN"/>
        </w:rPr>
        <w:tab/>
      </w:r>
      <w:r>
        <w:rPr>
          <w:lang w:val="zh-CN" w:eastAsia="zh-CN"/>
        </w:rPr>
        <w:t>按照</w:t>
      </w:r>
      <w:r>
        <w:rPr>
          <w:lang w:val="zh-CN" w:eastAsia="zh-CN"/>
        </w:rPr>
        <w:t>2022</w:t>
      </w:r>
      <w:r>
        <w:rPr>
          <w:lang w:val="zh-CN" w:eastAsia="zh-CN"/>
        </w:rPr>
        <w:t>年大会筹备阶段的先例，几位理事和一名观察员呼吁在将文件提交</w:t>
      </w:r>
      <w:r>
        <w:rPr>
          <w:lang w:val="zh-CN" w:eastAsia="zh-CN"/>
        </w:rPr>
        <w:t>PP-26</w:t>
      </w:r>
      <w:r>
        <w:rPr>
          <w:lang w:val="zh-CN" w:eastAsia="zh-CN"/>
        </w:rPr>
        <w:t>之前进一步讨论战略规划草案。一位理事鼓励成员国在活动之前尽早达成协议，以便为区域协调工作留出足够的时间。另一位理事呼吁</w:t>
      </w:r>
      <w:r>
        <w:rPr>
          <w:lang w:val="zh-CN" w:eastAsia="zh-CN"/>
        </w:rPr>
        <w:t>CWG-SFP</w:t>
      </w:r>
      <w:r>
        <w:rPr>
          <w:lang w:val="zh-CN" w:eastAsia="zh-CN"/>
        </w:rPr>
        <w:t>主席与财务和人力资源工作组主席协作解决提出的问题，第三位理事要求提供进一步讨论的时间表，以确保成员国能够建设性地参与。</w:t>
      </w:r>
    </w:p>
    <w:p w14:paraId="7F34006A" w14:textId="795A8ABD" w:rsidR="001A3C7B" w:rsidRPr="00C77512" w:rsidRDefault="001A3C7B" w:rsidP="00D0603A">
      <w:pPr>
        <w:jc w:val="both"/>
        <w:rPr>
          <w:rFonts w:cs="Calibri"/>
          <w:lang w:eastAsia="zh-CN"/>
        </w:rPr>
      </w:pPr>
      <w:r>
        <w:rPr>
          <w:lang w:val="zh-CN" w:eastAsia="zh-CN"/>
        </w:rPr>
        <w:t>1.20</w:t>
      </w:r>
      <w:r>
        <w:rPr>
          <w:lang w:val="zh-CN" w:eastAsia="zh-CN"/>
        </w:rPr>
        <w:tab/>
      </w:r>
      <w:r>
        <w:rPr>
          <w:lang w:val="zh-CN" w:eastAsia="zh-CN"/>
        </w:rPr>
        <w:t>美国理事发表的声明见</w:t>
      </w:r>
      <w:r>
        <w:fldChar w:fldCharType="begin"/>
      </w:r>
      <w:r>
        <w:rPr>
          <w:lang w:eastAsia="zh-CN"/>
        </w:rPr>
        <w:instrText>HYPERLINK "https://www.itu.int/md/S26-CL-C-0031/en"</w:instrText>
      </w:r>
      <w:r>
        <w:fldChar w:fldCharType="separate"/>
      </w:r>
      <w:r w:rsidRPr="00C77512">
        <w:rPr>
          <w:rStyle w:val="Hyperlink"/>
          <w:rFonts w:eastAsia="SimSun" w:cs="Calibri"/>
          <w:lang w:eastAsia="zh-CN"/>
        </w:rPr>
        <w:t>C26/31</w:t>
      </w:r>
      <w:r>
        <w:fldChar w:fldCharType="end"/>
      </w:r>
      <w:r>
        <w:rPr>
          <w:lang w:val="zh-CN" w:eastAsia="zh-CN"/>
        </w:rPr>
        <w:t>号文件补遗</w:t>
      </w:r>
      <w:r w:rsidR="00C410E0">
        <w:rPr>
          <w:lang w:val="zh-CN" w:eastAsia="zh-CN"/>
        </w:rPr>
        <w:fldChar w:fldCharType="begin"/>
      </w:r>
      <w:r w:rsidR="00C410E0">
        <w:rPr>
          <w:lang w:val="zh-CN" w:eastAsia="zh-CN"/>
        </w:rPr>
        <w:instrText>HYPERLINK "https://www.itu.int/dms_pub/itu-s/md/26/cl/c/S26-CL-C-0031!A2!MSW-C.docx"</w:instrText>
      </w:r>
      <w:r w:rsidR="00C410E0">
        <w:rPr>
          <w:lang w:val="zh-CN" w:eastAsia="zh-CN"/>
        </w:rPr>
      </w:r>
      <w:r w:rsidR="00C410E0">
        <w:rPr>
          <w:lang w:val="zh-CN" w:eastAsia="zh-CN"/>
        </w:rPr>
        <w:fldChar w:fldCharType="separate"/>
      </w:r>
      <w:r w:rsidRPr="00C410E0">
        <w:rPr>
          <w:rStyle w:val="Hyperlink"/>
          <w:rFonts w:eastAsia="SimSun"/>
          <w:noProof w:val="0"/>
          <w:lang w:val="zh-CN" w:eastAsia="zh-CN"/>
        </w:rPr>
        <w:t>2</w:t>
      </w:r>
      <w:r w:rsidR="00C410E0">
        <w:rPr>
          <w:lang w:val="zh-CN" w:eastAsia="zh-CN"/>
        </w:rPr>
        <w:fldChar w:fldCharType="end"/>
      </w:r>
      <w:r>
        <w:rPr>
          <w:rFonts w:hint="eastAsia"/>
          <w:lang w:val="zh-CN" w:eastAsia="zh-CN"/>
        </w:rPr>
        <w:t>的</w:t>
      </w:r>
      <w:r>
        <w:rPr>
          <w:lang w:val="zh-CN" w:eastAsia="zh-CN"/>
        </w:rPr>
        <w:t>附件</w:t>
      </w:r>
      <w:r>
        <w:rPr>
          <w:lang w:val="zh-CN" w:eastAsia="zh-CN"/>
        </w:rPr>
        <w:t>1</w:t>
      </w:r>
      <w:r>
        <w:rPr>
          <w:lang w:val="zh-CN" w:eastAsia="zh-CN"/>
        </w:rPr>
        <w:t>。</w:t>
      </w:r>
      <w:r>
        <w:fldChar w:fldCharType="begin"/>
      </w:r>
      <w:r>
        <w:rPr>
          <w:lang w:eastAsia="zh-CN"/>
        </w:rPr>
        <w:instrText>HYPERLINK "https://www.itu.int/md/S26-CL-C-0031/en"</w:instrText>
      </w:r>
      <w:r>
        <w:fldChar w:fldCharType="separate"/>
      </w:r>
      <w:r>
        <w:fldChar w:fldCharType="end"/>
      </w:r>
    </w:p>
    <w:p w14:paraId="0900DBD2" w14:textId="77777777" w:rsidR="001A3C7B" w:rsidRPr="00C77512" w:rsidRDefault="001A3C7B" w:rsidP="00D0603A">
      <w:pPr>
        <w:jc w:val="both"/>
        <w:rPr>
          <w:lang w:eastAsia="zh-CN"/>
        </w:rPr>
      </w:pPr>
      <w:r>
        <w:rPr>
          <w:lang w:val="zh-CN" w:eastAsia="zh-CN"/>
        </w:rPr>
        <w:t>1.21</w:t>
      </w:r>
      <w:r>
        <w:rPr>
          <w:lang w:val="zh-CN" w:eastAsia="zh-CN"/>
        </w:rPr>
        <w:tab/>
      </w:r>
      <w:r>
        <w:rPr>
          <w:lang w:val="zh-CN" w:eastAsia="zh-CN"/>
        </w:rPr>
        <w:t>主席提议就此事进行非正式磋商，并将磋商结果报告给随后的全体会议。</w:t>
      </w:r>
    </w:p>
    <w:p w14:paraId="00FDBDC4" w14:textId="77777777" w:rsidR="001A3C7B" w:rsidRPr="00C77512" w:rsidRDefault="001A3C7B" w:rsidP="001A3C7B">
      <w:pPr>
        <w:rPr>
          <w:lang w:eastAsia="zh-CN"/>
        </w:rPr>
      </w:pPr>
      <w:r>
        <w:rPr>
          <w:lang w:val="zh-CN" w:eastAsia="zh-CN"/>
        </w:rPr>
        <w:t>1.22</w:t>
      </w:r>
      <w:r>
        <w:rPr>
          <w:lang w:val="zh-CN" w:eastAsia="zh-CN"/>
        </w:rPr>
        <w:tab/>
      </w:r>
      <w:r>
        <w:rPr>
          <w:lang w:val="zh-CN" w:eastAsia="zh-CN"/>
        </w:rPr>
        <w:t>会议对此</w:t>
      </w:r>
      <w:r w:rsidRPr="00161D5D">
        <w:rPr>
          <w:b/>
          <w:bCs/>
          <w:lang w:val="zh-CN" w:eastAsia="zh-CN"/>
        </w:rPr>
        <w:t>表示同意</w:t>
      </w:r>
      <w:r>
        <w:rPr>
          <w:lang w:val="zh-CN" w:eastAsia="zh-CN"/>
        </w:rPr>
        <w:t>。</w:t>
      </w:r>
    </w:p>
    <w:p w14:paraId="2165BDB4" w14:textId="77777777" w:rsidR="001A3C7B" w:rsidRPr="00C77512" w:rsidRDefault="001A3C7B" w:rsidP="001A3C7B">
      <w:pPr>
        <w:pStyle w:val="Heading1"/>
        <w:rPr>
          <w:lang w:eastAsia="zh-CN"/>
        </w:rPr>
      </w:pPr>
      <w:r>
        <w:rPr>
          <w:bCs/>
          <w:lang w:val="zh-CN" w:eastAsia="zh-CN"/>
        </w:rPr>
        <w:t>2</w:t>
      </w:r>
      <w:r>
        <w:rPr>
          <w:bCs/>
          <w:lang w:val="zh-CN" w:eastAsia="zh-CN"/>
        </w:rPr>
        <w:tab/>
      </w:r>
      <w:r>
        <w:rPr>
          <w:lang w:val="zh-CN" w:eastAsia="zh-CN"/>
        </w:rPr>
        <w:t>理事会保护上网儿童工作组主席的报告（</w:t>
      </w:r>
      <w:hyperlink r:id="rId20">
        <w:proofErr w:type="spellStart"/>
        <w:r w:rsidRPr="00240B37">
          <w:rPr>
            <w:rFonts w:cs="Calibri"/>
            <w:color w:val="4F81BD" w:themeColor="accent1"/>
            <w:lang w:eastAsia="zh-CN"/>
          </w:rPr>
          <w:t>C26</w:t>
        </w:r>
        <w:proofErr w:type="spellEnd"/>
        <w:r w:rsidRPr="00240B37">
          <w:rPr>
            <w:rFonts w:cs="Calibri"/>
            <w:color w:val="4F81BD" w:themeColor="accent1"/>
            <w:lang w:eastAsia="zh-CN"/>
          </w:rPr>
          <w:t>/15</w:t>
        </w:r>
      </w:hyperlink>
      <w:r>
        <w:rPr>
          <w:lang w:val="zh-CN" w:eastAsia="zh-CN"/>
        </w:rPr>
        <w:t>和</w:t>
      </w:r>
      <w:r>
        <w:fldChar w:fldCharType="begin"/>
      </w:r>
      <w:r>
        <w:instrText>HYPERLINK "https://www.itu.int/md/S26-CL-C-0018/en" \h</w:instrText>
      </w:r>
      <w:r>
        <w:fldChar w:fldCharType="separate"/>
      </w:r>
      <w:proofErr w:type="spellStart"/>
      <w:r w:rsidRPr="00240B37">
        <w:rPr>
          <w:rFonts w:cs="Calibri"/>
          <w:color w:val="4F81BD" w:themeColor="accent1"/>
          <w:lang w:eastAsia="zh-CN"/>
        </w:rPr>
        <w:t>C26</w:t>
      </w:r>
      <w:proofErr w:type="spellEnd"/>
      <w:r w:rsidRPr="00240B37">
        <w:rPr>
          <w:rFonts w:cs="Calibri"/>
          <w:color w:val="4F81BD" w:themeColor="accent1"/>
          <w:lang w:eastAsia="zh-CN"/>
        </w:rPr>
        <w:t>/18</w:t>
      </w:r>
      <w:r>
        <w:fldChar w:fldCharType="end"/>
      </w:r>
      <w:r>
        <w:rPr>
          <w:lang w:val="zh-CN" w:eastAsia="zh-CN"/>
        </w:rPr>
        <w:t>号文件）</w:t>
      </w:r>
      <w:hyperlink r:id="rId21"/>
      <w:hyperlink r:id="rId22"/>
    </w:p>
    <w:p w14:paraId="572B7064" w14:textId="77777777" w:rsidR="001A3C7B" w:rsidRPr="00C77512" w:rsidRDefault="001A3C7B" w:rsidP="00D0603A">
      <w:pPr>
        <w:jc w:val="both"/>
        <w:rPr>
          <w:lang w:eastAsia="zh-CN"/>
        </w:rPr>
      </w:pPr>
      <w:r>
        <w:rPr>
          <w:lang w:val="zh-CN" w:eastAsia="zh-CN"/>
        </w:rPr>
        <w:t>2.1</w:t>
      </w:r>
      <w:r>
        <w:rPr>
          <w:lang w:val="zh-CN" w:eastAsia="zh-CN"/>
        </w:rPr>
        <w:tab/>
      </w:r>
      <w:r>
        <w:rPr>
          <w:lang w:val="zh-CN" w:eastAsia="zh-CN"/>
        </w:rPr>
        <w:t>理事会保护上网儿童工作组（</w:t>
      </w:r>
      <w:r>
        <w:rPr>
          <w:lang w:val="zh-CN" w:eastAsia="zh-CN"/>
        </w:rPr>
        <w:t>CWG-COP</w:t>
      </w:r>
      <w:r>
        <w:rPr>
          <w:lang w:val="zh-CN" w:eastAsia="zh-CN"/>
        </w:rPr>
        <w:t>）副主席介绍了</w:t>
      </w:r>
      <w:r>
        <w:rPr>
          <w:lang w:val="zh-CN" w:eastAsia="zh-CN"/>
        </w:rPr>
        <w:t>C26/15</w:t>
      </w:r>
      <w:r>
        <w:rPr>
          <w:lang w:val="zh-CN" w:eastAsia="zh-CN"/>
        </w:rPr>
        <w:t>号文件，其中列出了工作组在报告期内的五个重点领域，并总结了工作组第</w:t>
      </w:r>
      <w:r>
        <w:rPr>
          <w:lang w:val="zh-CN" w:eastAsia="zh-CN"/>
        </w:rPr>
        <w:t>23</w:t>
      </w:r>
      <w:r>
        <w:rPr>
          <w:lang w:val="zh-CN" w:eastAsia="zh-CN"/>
        </w:rPr>
        <w:t>次和第</w:t>
      </w:r>
      <w:r>
        <w:rPr>
          <w:lang w:val="zh-CN" w:eastAsia="zh-CN"/>
        </w:rPr>
        <w:t>24</w:t>
      </w:r>
      <w:r>
        <w:rPr>
          <w:lang w:val="zh-CN" w:eastAsia="zh-CN"/>
        </w:rPr>
        <w:t>次会议的成果。她还介绍了</w:t>
      </w:r>
      <w:r>
        <w:rPr>
          <w:lang w:val="zh-CN" w:eastAsia="zh-CN"/>
        </w:rPr>
        <w:t>C26/18</w:t>
      </w:r>
      <w:r>
        <w:rPr>
          <w:lang w:val="zh-CN" w:eastAsia="zh-CN"/>
        </w:rPr>
        <w:t>号文件中</w:t>
      </w:r>
      <w:r>
        <w:rPr>
          <w:lang w:val="zh-CN" w:eastAsia="zh-CN"/>
        </w:rPr>
        <w:t>CWG-COP</w:t>
      </w:r>
      <w:r>
        <w:rPr>
          <w:lang w:val="zh-CN" w:eastAsia="zh-CN"/>
        </w:rPr>
        <w:t>的四年期报告，该报告介绍了工作组在</w:t>
      </w:r>
      <w:r>
        <w:rPr>
          <w:lang w:val="zh-CN" w:eastAsia="zh-CN"/>
        </w:rPr>
        <w:t>2022-2026</w:t>
      </w:r>
      <w:r>
        <w:rPr>
          <w:lang w:val="zh-CN" w:eastAsia="zh-CN"/>
        </w:rPr>
        <w:t>年期间的活动和成就，并强调了</w:t>
      </w:r>
      <w:r>
        <w:rPr>
          <w:lang w:val="zh-CN" w:eastAsia="zh-CN"/>
        </w:rPr>
        <w:t>CWG-COP</w:t>
      </w:r>
      <w:r>
        <w:rPr>
          <w:lang w:val="zh-CN" w:eastAsia="zh-CN"/>
        </w:rPr>
        <w:t>在应对儿童和青年不断变化的数字风险方面的持续相关性。请理事会向</w:t>
      </w:r>
      <w:r>
        <w:rPr>
          <w:lang w:val="zh-CN" w:eastAsia="zh-CN"/>
        </w:rPr>
        <w:t>PP-26</w:t>
      </w:r>
      <w:r>
        <w:rPr>
          <w:lang w:val="zh-CN" w:eastAsia="zh-CN"/>
        </w:rPr>
        <w:t>建议，</w:t>
      </w:r>
      <w:r>
        <w:rPr>
          <w:lang w:val="zh-CN" w:eastAsia="zh-CN"/>
        </w:rPr>
        <w:t>CWG-COP</w:t>
      </w:r>
      <w:r>
        <w:rPr>
          <w:lang w:val="zh-CN" w:eastAsia="zh-CN"/>
        </w:rPr>
        <w:t>在今后四年继续开展工作。</w:t>
      </w:r>
    </w:p>
    <w:p w14:paraId="3883950B" w14:textId="77777777" w:rsidR="001A3C7B" w:rsidRPr="00C77512" w:rsidRDefault="001A3C7B" w:rsidP="00D0603A">
      <w:pPr>
        <w:jc w:val="both"/>
        <w:rPr>
          <w:lang w:eastAsia="zh-CN"/>
        </w:rPr>
      </w:pPr>
      <w:r>
        <w:rPr>
          <w:lang w:val="zh-CN" w:eastAsia="zh-CN"/>
        </w:rPr>
        <w:t>2.2</w:t>
      </w:r>
      <w:r>
        <w:rPr>
          <w:lang w:val="zh-CN" w:eastAsia="zh-CN"/>
        </w:rPr>
        <w:tab/>
      </w:r>
      <w:r>
        <w:rPr>
          <w:lang w:val="zh-CN" w:eastAsia="zh-CN"/>
        </w:rPr>
        <w:t>许多理事和两名观察员对报告表示欢迎，并赞扬了工作组的重要活动，指出在数字化转型的背景下，保护上网儿童是一项关键的</w:t>
      </w:r>
      <w:r>
        <w:rPr>
          <w:rFonts w:hint="eastAsia"/>
          <w:lang w:val="zh-CN" w:eastAsia="zh-CN"/>
        </w:rPr>
        <w:t>重点工作</w:t>
      </w:r>
      <w:r>
        <w:rPr>
          <w:lang w:val="zh-CN" w:eastAsia="zh-CN"/>
        </w:rPr>
        <w:t>，并且与国际电联作为信息社会世界峰会（</w:t>
      </w:r>
      <w:r>
        <w:rPr>
          <w:lang w:val="zh-CN" w:eastAsia="zh-CN"/>
        </w:rPr>
        <w:t>WSIS</w:t>
      </w:r>
      <w:r>
        <w:rPr>
          <w:lang w:val="zh-CN" w:eastAsia="zh-CN"/>
        </w:rPr>
        <w:t>）</w:t>
      </w:r>
      <w:r>
        <w:rPr>
          <w:lang w:val="zh-CN" w:eastAsia="zh-CN"/>
        </w:rPr>
        <w:t>C5</w:t>
      </w:r>
      <w:r>
        <w:rPr>
          <w:lang w:val="zh-CN" w:eastAsia="zh-CN"/>
        </w:rPr>
        <w:t>行动方面推进方的工作相一致。与会者表示支持工作组开展的活动，以促进多利益攸关方的参与，包括私营部门、民间</w:t>
      </w:r>
      <w:r>
        <w:rPr>
          <w:rFonts w:hint="eastAsia"/>
          <w:lang w:val="zh-CN" w:eastAsia="zh-CN"/>
        </w:rPr>
        <w:t>团体</w:t>
      </w:r>
      <w:r>
        <w:rPr>
          <w:lang w:val="zh-CN" w:eastAsia="zh-CN"/>
        </w:rPr>
        <w:t>、学术界和国际组织的参与，并支持探索儿童和青年参与保护上网儿童工作的安全和有意义的方式。一些理事呼吁主要利益攸关方更广泛地参与，以确保采取协调和包容的方式。有人建议，其他理事会工作组也可从类似的利益攸关多方方式中受益。理事们还对关注新兴技术，特别是人工智能（</w:t>
      </w:r>
      <w:r>
        <w:rPr>
          <w:lang w:val="zh-CN" w:eastAsia="zh-CN"/>
        </w:rPr>
        <w:t>AI</w:t>
      </w:r>
      <w:r>
        <w:rPr>
          <w:lang w:val="zh-CN" w:eastAsia="zh-CN"/>
        </w:rPr>
        <w:t>）表示欢迎，并强调了加强以儿童为中心的保障措施和通过设计确保安全方法的重要性。需要采取一种平衡的方法，保护儿童免受网络伤害，同时尊重他们的权利。理事们赞赏工作组旨在加强国际电联内部政策、运作和技术标准化工作之间的协调，包括加强与国际电联电信标准化部门（</w:t>
      </w:r>
      <w:r>
        <w:rPr>
          <w:lang w:val="zh-CN" w:eastAsia="zh-CN"/>
        </w:rPr>
        <w:t>ITU-T</w:t>
      </w:r>
      <w:r>
        <w:rPr>
          <w:lang w:val="zh-CN" w:eastAsia="zh-CN"/>
        </w:rPr>
        <w:t>）第</w:t>
      </w:r>
      <w:r>
        <w:rPr>
          <w:lang w:val="zh-CN" w:eastAsia="zh-CN"/>
        </w:rPr>
        <w:t>17</w:t>
      </w:r>
      <w:r>
        <w:rPr>
          <w:lang w:val="zh-CN" w:eastAsia="zh-CN"/>
        </w:rPr>
        <w:t>研究组的协调。一位理事指出，</w:t>
      </w:r>
      <w:r>
        <w:rPr>
          <w:lang w:val="zh-CN" w:eastAsia="zh-CN"/>
        </w:rPr>
        <w:t>ITU-T X.1901</w:t>
      </w:r>
      <w:r>
        <w:rPr>
          <w:lang w:val="zh-CN" w:eastAsia="zh-CN"/>
        </w:rPr>
        <w:t>建议书的批准是</w:t>
      </w:r>
      <w:r>
        <w:rPr>
          <w:lang w:val="zh-CN" w:eastAsia="zh-CN"/>
        </w:rPr>
        <w:t>ITU-T</w:t>
      </w:r>
      <w:r>
        <w:rPr>
          <w:lang w:val="zh-CN" w:eastAsia="zh-CN"/>
        </w:rPr>
        <w:t>首个侧重于保护上网儿童的技术标准，这是一个重要的里程碑，特别是考虑到最初对保护上网儿童是否属于技术标准化范围的担忧。</w:t>
      </w:r>
    </w:p>
    <w:p w14:paraId="2AF98796" w14:textId="77777777" w:rsidR="001A3C7B" w:rsidRPr="00C77512" w:rsidRDefault="001A3C7B" w:rsidP="00D0603A">
      <w:pPr>
        <w:jc w:val="both"/>
        <w:rPr>
          <w:lang w:eastAsia="zh-CN"/>
        </w:rPr>
      </w:pPr>
      <w:r>
        <w:rPr>
          <w:lang w:val="zh-CN" w:eastAsia="zh-CN"/>
        </w:rPr>
        <w:t>2.3</w:t>
      </w:r>
      <w:r>
        <w:rPr>
          <w:lang w:val="zh-CN" w:eastAsia="zh-CN"/>
        </w:rPr>
        <w:tab/>
      </w:r>
      <w:r>
        <w:rPr>
          <w:lang w:val="zh-CN" w:eastAsia="zh-CN"/>
        </w:rPr>
        <w:t>理事们一致认为，保护上网儿童举措必须保持包容性，以儿童为中心，并对不断变化的数字风险做出响应。报告系统、家长赋能工具、提高认识、知识共享和能力建设支持等实用机制，尤其对发展中国家有益，将有助于成员国落实国家框架，并将原则和</w:t>
      </w:r>
      <w:r>
        <w:rPr>
          <w:rFonts w:hint="eastAsia"/>
          <w:lang w:val="zh-CN" w:eastAsia="zh-CN"/>
        </w:rPr>
        <w:t>优秀</w:t>
      </w:r>
      <w:r>
        <w:rPr>
          <w:lang w:val="zh-CN" w:eastAsia="zh-CN"/>
        </w:rPr>
        <w:t>做法转化为有效的政策、程序和保障措施。会议强调了透明度和信息共享的重要性，国际电联区域代表处就保护上网儿童举措加强报告将有助于更好地反映区域</w:t>
      </w:r>
      <w:r>
        <w:rPr>
          <w:rFonts w:hint="eastAsia"/>
          <w:lang w:val="zh-CN" w:eastAsia="zh-CN"/>
        </w:rPr>
        <w:t>重点工作</w:t>
      </w:r>
      <w:r>
        <w:rPr>
          <w:lang w:val="zh-CN" w:eastAsia="zh-CN"/>
        </w:rPr>
        <w:t>、实施现状和国家层面的需求。</w:t>
      </w:r>
    </w:p>
    <w:p w14:paraId="41D34EFF" w14:textId="77777777" w:rsidR="001A3C7B" w:rsidRPr="00C77512" w:rsidRDefault="001A3C7B" w:rsidP="00D0603A">
      <w:pPr>
        <w:jc w:val="both"/>
        <w:rPr>
          <w:lang w:eastAsia="zh-CN"/>
        </w:rPr>
      </w:pPr>
      <w:r>
        <w:rPr>
          <w:lang w:val="zh-CN" w:eastAsia="zh-CN"/>
        </w:rPr>
        <w:t>2.4</w:t>
      </w:r>
      <w:r>
        <w:rPr>
          <w:lang w:val="zh-CN" w:eastAsia="zh-CN"/>
        </w:rPr>
        <w:tab/>
      </w:r>
      <w:r>
        <w:rPr>
          <w:lang w:val="zh-CN" w:eastAsia="zh-CN"/>
        </w:rPr>
        <w:t>一位观察员询问国际电联如何帮助成员国确保儿童上网安全成为标准数字教育的一部分，而不是一个单独的政策问题。</w:t>
      </w:r>
    </w:p>
    <w:p w14:paraId="628A6DBE" w14:textId="77777777" w:rsidR="001A3C7B" w:rsidRPr="00C77512" w:rsidRDefault="001A3C7B" w:rsidP="00D0603A">
      <w:pPr>
        <w:jc w:val="both"/>
        <w:rPr>
          <w:lang w:eastAsia="zh-CN"/>
        </w:rPr>
      </w:pPr>
      <w:r>
        <w:rPr>
          <w:lang w:val="zh-CN" w:eastAsia="zh-CN"/>
        </w:rPr>
        <w:t>2.5</w:t>
      </w:r>
      <w:r>
        <w:rPr>
          <w:lang w:val="zh-CN" w:eastAsia="zh-CN"/>
        </w:rPr>
        <w:tab/>
      </w:r>
      <w:r>
        <w:rPr>
          <w:lang w:val="zh-CN" w:eastAsia="zh-CN"/>
        </w:rPr>
        <w:t>理事们指出，</w:t>
      </w:r>
      <w:r>
        <w:rPr>
          <w:lang w:val="zh-CN" w:eastAsia="zh-CN"/>
        </w:rPr>
        <w:t>CWG-COP</w:t>
      </w:r>
      <w:r>
        <w:rPr>
          <w:lang w:val="zh-CN" w:eastAsia="zh-CN"/>
        </w:rPr>
        <w:t>是国际电联和所有成员国提高认识、交流</w:t>
      </w:r>
      <w:r>
        <w:rPr>
          <w:rFonts w:hint="eastAsia"/>
          <w:lang w:val="zh-CN" w:eastAsia="zh-CN"/>
        </w:rPr>
        <w:t>优秀</w:t>
      </w:r>
      <w:r>
        <w:rPr>
          <w:lang w:val="zh-CN" w:eastAsia="zh-CN"/>
        </w:rPr>
        <w:t>做法并支持成员国在数字环境中保护儿童的独特平台。其工作应在今后四年继续进行，重点是与国际电联职责相关的技术方面。必要时，工作组必须能够在下一个周期每年召开两次会议，利用理事会其他工作组未使用的会议时间。应避免活动的重复，必须有效利</w:t>
      </w:r>
      <w:r>
        <w:rPr>
          <w:lang w:val="zh-CN" w:eastAsia="zh-CN"/>
        </w:rPr>
        <w:lastRenderedPageBreak/>
        <w:t>用资源。工作组应考虑开展实用、创新和高影响力的活动，以加强保护上网儿童、弥合实施差距、促进区域合作并支持成员国在快速发展的数字环境中实施有效的国家政策和程序。两位理事建议，可在国际电联</w:t>
      </w:r>
      <w:r>
        <w:rPr>
          <w:lang w:val="zh-CN" w:eastAsia="zh-CN"/>
        </w:rPr>
        <w:t>2028-2031</w:t>
      </w:r>
      <w:r>
        <w:rPr>
          <w:lang w:val="zh-CN" w:eastAsia="zh-CN"/>
        </w:rPr>
        <w:t>年战略规划草案中提及保护上网儿童。</w:t>
      </w:r>
    </w:p>
    <w:p w14:paraId="73A0FB72" w14:textId="77777777" w:rsidR="001A3C7B" w:rsidRPr="00C77512" w:rsidRDefault="001A3C7B" w:rsidP="00D0603A">
      <w:pPr>
        <w:jc w:val="both"/>
        <w:rPr>
          <w:lang w:eastAsia="zh-CN"/>
        </w:rPr>
      </w:pPr>
      <w:r>
        <w:rPr>
          <w:lang w:val="zh-CN" w:eastAsia="zh-CN"/>
        </w:rPr>
        <w:t>2.6</w:t>
      </w:r>
      <w:r>
        <w:rPr>
          <w:lang w:val="zh-CN" w:eastAsia="zh-CN"/>
        </w:rPr>
        <w:tab/>
      </w:r>
      <w:r>
        <w:rPr>
          <w:lang w:val="zh-CN" w:eastAsia="zh-CN"/>
        </w:rPr>
        <w:t>一些理事和一名观察员介绍了各国为解决保护上网儿童这一重点问题和提高儿童数字素养所做的努力。</w:t>
      </w:r>
    </w:p>
    <w:p w14:paraId="01DB3410" w14:textId="77777777" w:rsidR="001A3C7B" w:rsidRPr="00C77512" w:rsidRDefault="001A3C7B" w:rsidP="00D0603A">
      <w:pPr>
        <w:jc w:val="both"/>
        <w:rPr>
          <w:lang w:eastAsia="zh-CN"/>
        </w:rPr>
      </w:pPr>
      <w:r>
        <w:rPr>
          <w:lang w:val="zh-CN" w:eastAsia="zh-CN"/>
        </w:rPr>
        <w:t>2.7</w:t>
      </w:r>
      <w:r>
        <w:rPr>
          <w:lang w:val="zh-CN" w:eastAsia="zh-CN"/>
        </w:rPr>
        <w:tab/>
      </w:r>
      <w:r>
        <w:rPr>
          <w:lang w:val="zh-CN" w:eastAsia="zh-CN"/>
        </w:rPr>
        <w:t>理事会将</w:t>
      </w:r>
      <w:r>
        <w:rPr>
          <w:lang w:val="zh-CN" w:eastAsia="zh-CN"/>
        </w:rPr>
        <w:t>C26/15</w:t>
      </w:r>
      <w:r>
        <w:rPr>
          <w:lang w:val="zh-CN" w:eastAsia="zh-CN"/>
        </w:rPr>
        <w:t>和</w:t>
      </w:r>
      <w:r>
        <w:rPr>
          <w:lang w:val="zh-CN" w:eastAsia="zh-CN"/>
        </w:rPr>
        <w:t>C26/18</w:t>
      </w:r>
      <w:r>
        <w:rPr>
          <w:lang w:val="zh-CN" w:eastAsia="zh-CN"/>
        </w:rPr>
        <w:t>号文件中的报告</w:t>
      </w:r>
      <w:r w:rsidRPr="00A41D15">
        <w:rPr>
          <w:b/>
          <w:bCs/>
          <w:lang w:val="zh-CN" w:eastAsia="zh-CN"/>
        </w:rPr>
        <w:t>记录在案</w:t>
      </w:r>
      <w:r>
        <w:rPr>
          <w:lang w:val="zh-CN" w:eastAsia="zh-CN"/>
        </w:rPr>
        <w:t>，并</w:t>
      </w:r>
      <w:r w:rsidRPr="00307C45">
        <w:rPr>
          <w:b/>
          <w:bCs/>
          <w:lang w:val="zh-CN" w:eastAsia="zh-CN"/>
        </w:rPr>
        <w:t>同意</w:t>
      </w:r>
      <w:r>
        <w:rPr>
          <w:lang w:val="zh-CN" w:eastAsia="zh-CN"/>
        </w:rPr>
        <w:t>将</w:t>
      </w:r>
      <w:r>
        <w:rPr>
          <w:lang w:val="zh-CN" w:eastAsia="zh-CN"/>
        </w:rPr>
        <w:t>C26/18</w:t>
      </w:r>
      <w:r>
        <w:rPr>
          <w:lang w:val="zh-CN" w:eastAsia="zh-CN"/>
        </w:rPr>
        <w:t>号文件中的报告转呈</w:t>
      </w:r>
      <w:r>
        <w:rPr>
          <w:lang w:val="zh-CN" w:eastAsia="zh-CN"/>
        </w:rPr>
        <w:t>PP-26</w:t>
      </w:r>
      <w:r>
        <w:rPr>
          <w:lang w:val="zh-CN" w:eastAsia="zh-CN"/>
        </w:rPr>
        <w:t>进一步审议。</w:t>
      </w:r>
    </w:p>
    <w:p w14:paraId="5168EFCD" w14:textId="77777777" w:rsidR="001A3C7B" w:rsidRPr="00C77512" w:rsidRDefault="001A3C7B" w:rsidP="001A3C7B">
      <w:pPr>
        <w:pStyle w:val="Heading1"/>
        <w:rPr>
          <w:lang w:eastAsia="zh-CN"/>
        </w:rPr>
      </w:pPr>
      <w:r>
        <w:rPr>
          <w:bCs/>
          <w:lang w:val="zh-CN" w:eastAsia="zh-CN"/>
        </w:rPr>
        <w:t>3</w:t>
      </w:r>
      <w:r>
        <w:rPr>
          <w:bCs/>
          <w:lang w:val="zh-CN" w:eastAsia="zh-CN"/>
        </w:rPr>
        <w:tab/>
      </w:r>
      <w:r>
        <w:rPr>
          <w:lang w:val="zh-CN" w:eastAsia="zh-CN"/>
        </w:rPr>
        <w:t>有关人工智能技术和电信</w:t>
      </w:r>
      <w:r>
        <w:rPr>
          <w:lang w:val="zh-CN" w:eastAsia="zh-CN"/>
        </w:rPr>
        <w:t>/</w:t>
      </w:r>
      <w:r>
        <w:rPr>
          <w:lang w:val="zh-CN" w:eastAsia="zh-CN"/>
        </w:rPr>
        <w:t>信息通信技术的全权代表大会第</w:t>
      </w:r>
      <w:r>
        <w:rPr>
          <w:lang w:val="zh-CN" w:eastAsia="zh-CN"/>
        </w:rPr>
        <w:t>214</w:t>
      </w:r>
      <w:r>
        <w:rPr>
          <w:lang w:val="zh-CN" w:eastAsia="zh-CN"/>
        </w:rPr>
        <w:t>号决议（</w:t>
      </w:r>
      <w:r>
        <w:rPr>
          <w:lang w:val="zh-CN" w:eastAsia="zh-CN"/>
        </w:rPr>
        <w:t>2022</w:t>
      </w:r>
      <w:r>
        <w:rPr>
          <w:lang w:val="zh-CN" w:eastAsia="zh-CN"/>
        </w:rPr>
        <w:t>年，布加勒斯特）的报告（</w:t>
      </w:r>
      <w:hyperlink r:id="rId23">
        <w:r w:rsidRPr="00C77512">
          <w:rPr>
            <w:rStyle w:val="Hyperlink"/>
            <w:rFonts w:eastAsia="SimSun"/>
            <w:lang w:eastAsia="zh-CN"/>
          </w:rPr>
          <w:t>C26/29</w:t>
        </w:r>
      </w:hyperlink>
      <w:r>
        <w:rPr>
          <w:lang w:val="zh-CN" w:eastAsia="zh-CN"/>
        </w:rPr>
        <w:t>和</w:t>
      </w:r>
      <w:hyperlink r:id="rId24">
        <w:r w:rsidRPr="00C77512">
          <w:rPr>
            <w:rStyle w:val="Hyperlink"/>
            <w:rFonts w:eastAsia="SimSun"/>
            <w:lang w:eastAsia="zh-CN"/>
          </w:rPr>
          <w:t>C26/79</w:t>
        </w:r>
      </w:hyperlink>
      <w:r>
        <w:rPr>
          <w:lang w:val="zh-CN" w:eastAsia="zh-CN"/>
        </w:rPr>
        <w:t>号文件）</w:t>
      </w:r>
      <w:hyperlink r:id="rId25"/>
      <w:hyperlink r:id="rId26"/>
    </w:p>
    <w:p w14:paraId="41C468D6" w14:textId="77777777" w:rsidR="001A3C7B" w:rsidRPr="00C77512" w:rsidRDefault="001A3C7B" w:rsidP="00D0603A">
      <w:pPr>
        <w:jc w:val="both"/>
        <w:rPr>
          <w:lang w:eastAsia="zh-CN"/>
        </w:rPr>
      </w:pPr>
      <w:r>
        <w:rPr>
          <w:lang w:val="zh-CN" w:eastAsia="zh-CN"/>
        </w:rPr>
        <w:t>3.1</w:t>
      </w:r>
      <w:r>
        <w:rPr>
          <w:lang w:val="zh-CN" w:eastAsia="zh-CN"/>
        </w:rPr>
        <w:tab/>
      </w:r>
      <w:r>
        <w:rPr>
          <w:lang w:val="zh-CN" w:eastAsia="zh-CN"/>
        </w:rPr>
        <w:t>电信标准化局（</w:t>
      </w:r>
      <w:r>
        <w:rPr>
          <w:lang w:val="zh-CN" w:eastAsia="zh-CN"/>
        </w:rPr>
        <w:t>TSB</w:t>
      </w:r>
      <w:r>
        <w:rPr>
          <w:lang w:val="zh-CN" w:eastAsia="zh-CN"/>
        </w:rPr>
        <w:t>）副主任介绍了</w:t>
      </w:r>
      <w:r>
        <w:rPr>
          <w:lang w:val="zh-CN" w:eastAsia="zh-CN"/>
        </w:rPr>
        <w:t>C26/29</w:t>
      </w:r>
      <w:r>
        <w:rPr>
          <w:lang w:val="zh-CN" w:eastAsia="zh-CN"/>
        </w:rPr>
        <w:t>号文件，其中载有关于全权代表大会第</w:t>
      </w:r>
      <w:r>
        <w:rPr>
          <w:lang w:val="zh-CN" w:eastAsia="zh-CN"/>
        </w:rPr>
        <w:t>214</w:t>
      </w:r>
      <w:r>
        <w:rPr>
          <w:lang w:val="zh-CN" w:eastAsia="zh-CN"/>
        </w:rPr>
        <w:t>号决议（</w:t>
      </w:r>
      <w:r>
        <w:rPr>
          <w:lang w:val="zh-CN" w:eastAsia="zh-CN"/>
        </w:rPr>
        <w:t>2022</w:t>
      </w:r>
      <w:r>
        <w:rPr>
          <w:lang w:val="zh-CN" w:eastAsia="zh-CN"/>
        </w:rPr>
        <w:t>年，布加勒斯特）的报告。该文件全面概述了国际电联在统一的</w:t>
      </w:r>
      <w:r>
        <w:rPr>
          <w:rFonts w:hint="eastAsia"/>
          <w:lang w:val="zh-CN" w:eastAsia="zh-CN"/>
        </w:rPr>
        <w:t>“</w:t>
      </w:r>
      <w:r>
        <w:rPr>
          <w:lang w:val="zh-CN" w:eastAsia="zh-CN"/>
        </w:rPr>
        <w:t>国际电联是一家</w:t>
      </w:r>
      <w:r>
        <w:rPr>
          <w:rFonts w:hint="eastAsia"/>
          <w:lang w:val="zh-CN" w:eastAsia="zh-CN"/>
        </w:rPr>
        <w:t>”</w:t>
      </w:r>
      <w:r>
        <w:rPr>
          <w:lang w:val="zh-CN" w:eastAsia="zh-CN"/>
        </w:rPr>
        <w:t>框架下开展的人工智能相关活动，这些活动围绕三大战略支柱，即解决方案和知识、技能和能力以及标准和政策。他指出，</w:t>
      </w:r>
      <w:r>
        <w:rPr>
          <w:lang w:val="zh-CN" w:eastAsia="zh-CN"/>
        </w:rPr>
        <w:t>C26/42</w:t>
      </w:r>
      <w:r>
        <w:rPr>
          <w:lang w:val="zh-CN" w:eastAsia="zh-CN"/>
        </w:rPr>
        <w:t>号文件包含一项要求从</w:t>
      </w:r>
      <w:r>
        <w:rPr>
          <w:lang w:val="zh-CN" w:eastAsia="zh-CN"/>
        </w:rPr>
        <w:t>2025</w:t>
      </w:r>
      <w:r>
        <w:rPr>
          <w:lang w:val="zh-CN" w:eastAsia="zh-CN"/>
        </w:rPr>
        <w:t>年预算执行节余中额外提供资金的请求，以维持和扩大国际电联的人工智能相关活动。</w:t>
      </w:r>
    </w:p>
    <w:p w14:paraId="26F6B0A9" w14:textId="77777777" w:rsidR="001A3C7B" w:rsidRPr="0083567F" w:rsidRDefault="001A3C7B" w:rsidP="00D0603A">
      <w:pPr>
        <w:jc w:val="both"/>
        <w:rPr>
          <w:spacing w:val="-3"/>
          <w:lang w:eastAsia="zh-CN"/>
        </w:rPr>
      </w:pPr>
      <w:r>
        <w:rPr>
          <w:lang w:val="zh-CN" w:eastAsia="zh-CN"/>
        </w:rPr>
        <w:t>3.2</w:t>
      </w:r>
      <w:r>
        <w:rPr>
          <w:lang w:val="zh-CN" w:eastAsia="zh-CN"/>
        </w:rPr>
        <w:tab/>
      </w:r>
      <w:r>
        <w:rPr>
          <w:lang w:val="zh-CN" w:eastAsia="zh-CN"/>
        </w:rPr>
        <w:t>印度理事介绍了</w:t>
      </w:r>
      <w:r>
        <w:rPr>
          <w:lang w:val="zh-CN" w:eastAsia="zh-CN"/>
        </w:rPr>
        <w:t>C26/79</w:t>
      </w:r>
      <w:r>
        <w:rPr>
          <w:lang w:val="zh-CN" w:eastAsia="zh-CN"/>
        </w:rPr>
        <w:t>号文件所载的关于</w:t>
      </w:r>
      <w:r>
        <w:rPr>
          <w:lang w:val="zh-CN" w:eastAsia="zh-CN"/>
        </w:rPr>
        <w:t>2026</w:t>
      </w:r>
      <w:r>
        <w:rPr>
          <w:lang w:val="zh-CN" w:eastAsia="zh-CN"/>
        </w:rPr>
        <w:t>年</w:t>
      </w:r>
      <w:r>
        <w:rPr>
          <w:lang w:val="zh-CN" w:eastAsia="zh-CN"/>
        </w:rPr>
        <w:t>2</w:t>
      </w:r>
      <w:r>
        <w:rPr>
          <w:lang w:val="zh-CN" w:eastAsia="zh-CN"/>
        </w:rPr>
        <w:t>月在新德里举行的人工智能影响峰会的文稿，这是首次由南方国家主办的全球人工智能峰会。该文件描述了峰会的包容性参与进程、其关键成果及其与全球人工智能治理和国际电联工作的相关性。</w:t>
      </w:r>
    </w:p>
    <w:p w14:paraId="60E411D8" w14:textId="77777777" w:rsidR="001A3C7B" w:rsidRPr="00C77512" w:rsidRDefault="001A3C7B" w:rsidP="00D0603A">
      <w:pPr>
        <w:jc w:val="both"/>
        <w:rPr>
          <w:lang w:eastAsia="zh-CN"/>
        </w:rPr>
      </w:pPr>
      <w:r>
        <w:rPr>
          <w:lang w:val="zh-CN" w:eastAsia="zh-CN"/>
        </w:rPr>
        <w:t>3.3</w:t>
      </w:r>
      <w:r>
        <w:rPr>
          <w:lang w:val="zh-CN" w:eastAsia="zh-CN"/>
        </w:rPr>
        <w:tab/>
      </w:r>
      <w:r>
        <w:rPr>
          <w:lang w:val="zh-CN" w:eastAsia="zh-CN"/>
        </w:rPr>
        <w:t>理事们欢迎</w:t>
      </w:r>
      <w:r>
        <w:rPr>
          <w:lang w:val="zh-CN" w:eastAsia="zh-CN"/>
        </w:rPr>
        <w:t>C26/29</w:t>
      </w:r>
      <w:r>
        <w:rPr>
          <w:lang w:val="zh-CN" w:eastAsia="zh-CN"/>
        </w:rPr>
        <w:t>号文件中</w:t>
      </w:r>
      <w:r>
        <w:rPr>
          <w:rFonts w:hint="eastAsia"/>
          <w:lang w:val="zh-CN" w:eastAsia="zh-CN"/>
        </w:rPr>
        <w:t>全面且</w:t>
      </w:r>
      <w:r>
        <w:rPr>
          <w:lang w:val="zh-CN" w:eastAsia="zh-CN"/>
        </w:rPr>
        <w:t>结构清晰的报告，该报告展示了国际电联对人工智能这一重要问题的连贯和务实的态度，并赞扬了国际电联在整个人工智能价值链中为成员国提供支持所做的努力。作为利用人工智能促进可持续发展和早期预警举措的重要平台，人工智能</w:t>
      </w:r>
      <w:r>
        <w:rPr>
          <w:rFonts w:hint="eastAsia"/>
          <w:lang w:val="zh-CN" w:eastAsia="zh-CN"/>
        </w:rPr>
        <w:t>向善</w:t>
      </w:r>
      <w:r>
        <w:rPr>
          <w:lang w:val="zh-CN" w:eastAsia="zh-CN"/>
        </w:rPr>
        <w:t>的影响日益加大，引起了人们的关注。与会者表示支持电信标准化局的重要工作，并认可了利益攸关多方合作、适合具体情况的人工智能解决方案和发展中国家对人工智能标准化进程的包容性参与的重要性。理事们强调，国际电联的人工智能相关活动应保持实用、可衡量、包容和响应发展中国家的需求，并与区域性举措保持一致。</w:t>
      </w:r>
    </w:p>
    <w:p w14:paraId="288D6C21" w14:textId="77777777" w:rsidR="001A3C7B" w:rsidRPr="00C77512" w:rsidRDefault="001A3C7B" w:rsidP="00D0603A">
      <w:pPr>
        <w:jc w:val="both"/>
        <w:rPr>
          <w:lang w:eastAsia="zh-CN"/>
        </w:rPr>
      </w:pPr>
      <w:r>
        <w:rPr>
          <w:lang w:val="zh-CN" w:eastAsia="zh-CN"/>
        </w:rPr>
        <w:t>3.4</w:t>
      </w:r>
      <w:r>
        <w:rPr>
          <w:lang w:val="zh-CN" w:eastAsia="zh-CN"/>
        </w:rPr>
        <w:tab/>
      </w:r>
      <w:r>
        <w:rPr>
          <w:lang w:val="zh-CN" w:eastAsia="zh-CN"/>
        </w:rPr>
        <w:t>两位理事指出，</w:t>
      </w:r>
      <w:r>
        <w:rPr>
          <w:lang w:val="zh-CN" w:eastAsia="zh-CN"/>
        </w:rPr>
        <w:t>C26/29</w:t>
      </w:r>
      <w:r>
        <w:rPr>
          <w:lang w:val="zh-CN" w:eastAsia="zh-CN"/>
        </w:rPr>
        <w:t>号文件中提出的许多活动，包括人工智能治理实践培训课程，似乎超出了第</w:t>
      </w:r>
      <w:r>
        <w:rPr>
          <w:lang w:val="zh-CN" w:eastAsia="zh-CN"/>
        </w:rPr>
        <w:t>214</w:t>
      </w:r>
      <w:r>
        <w:rPr>
          <w:lang w:val="zh-CN" w:eastAsia="zh-CN"/>
        </w:rPr>
        <w:t>号决议（</w:t>
      </w:r>
      <w:r>
        <w:rPr>
          <w:lang w:val="zh-CN" w:eastAsia="zh-CN"/>
        </w:rPr>
        <w:t>2022</w:t>
      </w:r>
      <w:r>
        <w:rPr>
          <w:lang w:val="zh-CN" w:eastAsia="zh-CN"/>
        </w:rPr>
        <w:t>年，布加勒斯特）规定的范围和授权。国际电联的职责范围由其管理机构而非其他联合国实体确定，因此希望说明开展某些活动的理由。一位理事还要求进一步澄清国际电联在人工智能治理全球对话中的作用，因为该倡议源自联合国大会。会议还强调了避免与联合国其它进程重复的必要性。一位理事还询问，秘书处在</w:t>
      </w:r>
      <w:r>
        <w:rPr>
          <w:lang w:val="zh-CN" w:eastAsia="zh-CN"/>
        </w:rPr>
        <w:t>2025</w:t>
      </w:r>
      <w:r>
        <w:rPr>
          <w:lang w:val="zh-CN" w:eastAsia="zh-CN"/>
        </w:rPr>
        <w:t>年进行的全面人工智能战略审查中使用的评估标准是否包括将活动与第</w:t>
      </w:r>
      <w:r>
        <w:rPr>
          <w:lang w:val="zh-CN" w:eastAsia="zh-CN"/>
        </w:rPr>
        <w:t>214</w:t>
      </w:r>
      <w:r>
        <w:rPr>
          <w:lang w:val="zh-CN" w:eastAsia="zh-CN"/>
        </w:rPr>
        <w:t>号决议（</w:t>
      </w:r>
      <w:r>
        <w:rPr>
          <w:lang w:val="zh-CN" w:eastAsia="zh-CN"/>
        </w:rPr>
        <w:t>2022</w:t>
      </w:r>
      <w:r>
        <w:rPr>
          <w:lang w:val="zh-CN" w:eastAsia="zh-CN"/>
        </w:rPr>
        <w:t>年，布加勒斯特）保持一致。这种优先排序工作需要成员国的</w:t>
      </w:r>
      <w:r>
        <w:rPr>
          <w:rFonts w:hint="eastAsia"/>
          <w:lang w:val="zh-CN" w:eastAsia="zh-CN"/>
        </w:rPr>
        <w:t>输入意见</w:t>
      </w:r>
      <w:r>
        <w:rPr>
          <w:lang w:val="zh-CN" w:eastAsia="zh-CN"/>
        </w:rPr>
        <w:t>和监督，以确保决策（包括关于人工智能相关活动的决定）由成员国主导、</w:t>
      </w:r>
      <w:r>
        <w:rPr>
          <w:rFonts w:hint="eastAsia"/>
          <w:lang w:val="zh-CN" w:eastAsia="zh-CN"/>
        </w:rPr>
        <w:t>由</w:t>
      </w:r>
      <w:r>
        <w:rPr>
          <w:lang w:val="zh-CN" w:eastAsia="zh-CN"/>
        </w:rPr>
        <w:t>文稿驱动和基于共识。一些理事认为，秘书处应提供更多关于如何使用所申请的额外资金以及预期结果的信息。然而，另一位理事认为，额外资金对于确保国际电联日益增加的人工智能相关活动的持续性和可持续性至关重要。还要求进一步了解关于人工智能基金的范围、将扩大、维持或终止的活动，以及国际电联和其他几个组织于</w:t>
      </w:r>
      <w:r>
        <w:rPr>
          <w:lang w:val="zh-CN" w:eastAsia="zh-CN"/>
        </w:rPr>
        <w:t>2026</w:t>
      </w:r>
      <w:r>
        <w:rPr>
          <w:lang w:val="zh-CN" w:eastAsia="zh-CN"/>
        </w:rPr>
        <w:t>年</w:t>
      </w:r>
      <w:r>
        <w:rPr>
          <w:lang w:val="zh-CN" w:eastAsia="zh-CN"/>
        </w:rPr>
        <w:t>1</w:t>
      </w:r>
      <w:r>
        <w:rPr>
          <w:lang w:val="zh-CN" w:eastAsia="zh-CN"/>
        </w:rPr>
        <w:t>月签署的关于人工智能和儿童权利的联合声明。</w:t>
      </w:r>
    </w:p>
    <w:p w14:paraId="5479ED9A" w14:textId="77777777" w:rsidR="001A3C7B" w:rsidRPr="00C77512" w:rsidRDefault="001A3C7B" w:rsidP="001A3C7B">
      <w:pPr>
        <w:rPr>
          <w:lang w:eastAsia="zh-CN"/>
        </w:rPr>
      </w:pPr>
      <w:r>
        <w:rPr>
          <w:lang w:val="zh-CN" w:eastAsia="zh-CN"/>
        </w:rPr>
        <w:lastRenderedPageBreak/>
        <w:t>3.5</w:t>
      </w:r>
      <w:r>
        <w:rPr>
          <w:lang w:val="zh-CN" w:eastAsia="zh-CN"/>
        </w:rPr>
        <w:tab/>
      </w:r>
      <w:r>
        <w:rPr>
          <w:lang w:val="zh-CN" w:eastAsia="zh-CN"/>
        </w:rPr>
        <w:t>理事们欢迎</w:t>
      </w:r>
      <w:r>
        <w:rPr>
          <w:lang w:val="zh-CN" w:eastAsia="zh-CN"/>
        </w:rPr>
        <w:t>C26/79</w:t>
      </w:r>
      <w:r>
        <w:rPr>
          <w:lang w:val="zh-CN" w:eastAsia="zh-CN"/>
        </w:rPr>
        <w:t>号文件，感谢印度举办富有洞察力的人工智能影响力峰会。</w:t>
      </w:r>
    </w:p>
    <w:p w14:paraId="649D0EF3" w14:textId="77777777" w:rsidR="001A3C7B" w:rsidRPr="00C77512" w:rsidRDefault="001A3C7B" w:rsidP="00D0603A">
      <w:pPr>
        <w:jc w:val="both"/>
        <w:rPr>
          <w:lang w:eastAsia="zh-CN"/>
        </w:rPr>
      </w:pPr>
      <w:r>
        <w:rPr>
          <w:lang w:val="zh-CN" w:eastAsia="zh-CN"/>
        </w:rPr>
        <w:t>3.6</w:t>
      </w:r>
      <w:r>
        <w:rPr>
          <w:lang w:val="zh-CN" w:eastAsia="zh-CN"/>
        </w:rPr>
        <w:tab/>
      </w:r>
      <w:r>
        <w:rPr>
          <w:lang w:val="zh-CN" w:eastAsia="zh-CN"/>
        </w:rPr>
        <w:t>理事会将</w:t>
      </w:r>
      <w:r>
        <w:rPr>
          <w:lang w:val="zh-CN" w:eastAsia="zh-CN"/>
        </w:rPr>
        <w:t>C26/29</w:t>
      </w:r>
      <w:r>
        <w:rPr>
          <w:lang w:val="zh-CN" w:eastAsia="zh-CN"/>
        </w:rPr>
        <w:t>号文件中的报告和</w:t>
      </w:r>
      <w:r>
        <w:rPr>
          <w:lang w:val="zh-CN" w:eastAsia="zh-CN"/>
        </w:rPr>
        <w:t>C26/79</w:t>
      </w:r>
      <w:r>
        <w:rPr>
          <w:lang w:val="zh-CN" w:eastAsia="zh-CN"/>
        </w:rPr>
        <w:t>号文件中的文稿</w:t>
      </w:r>
      <w:r w:rsidRPr="005F2AE0">
        <w:rPr>
          <w:b/>
          <w:bCs/>
          <w:lang w:val="zh-CN" w:eastAsia="zh-CN"/>
        </w:rPr>
        <w:t>记录在案</w:t>
      </w:r>
      <w:r>
        <w:rPr>
          <w:lang w:val="zh-CN" w:eastAsia="zh-CN"/>
        </w:rPr>
        <w:t>。</w:t>
      </w:r>
    </w:p>
    <w:p w14:paraId="78537097" w14:textId="77777777" w:rsidR="001A3C7B" w:rsidRPr="00C77512" w:rsidRDefault="001A3C7B" w:rsidP="001A3C7B">
      <w:pPr>
        <w:pStyle w:val="Heading1"/>
        <w:rPr>
          <w:lang w:eastAsia="zh-CN"/>
        </w:rPr>
      </w:pPr>
      <w:r>
        <w:rPr>
          <w:bCs/>
          <w:lang w:val="zh-CN" w:eastAsia="zh-CN"/>
        </w:rPr>
        <w:t>4</w:t>
      </w:r>
      <w:r>
        <w:rPr>
          <w:bCs/>
          <w:lang w:val="zh-CN" w:eastAsia="zh-CN"/>
        </w:rPr>
        <w:tab/>
      </w:r>
      <w:r>
        <w:rPr>
          <w:bCs/>
          <w:lang w:val="zh-CN" w:eastAsia="zh-CN"/>
        </w:rPr>
        <w:t>理事们的发言</w:t>
      </w:r>
    </w:p>
    <w:p w14:paraId="34135BC6" w14:textId="77777777" w:rsidR="001A3C7B" w:rsidRPr="00C77512" w:rsidRDefault="001A3C7B" w:rsidP="00D0603A">
      <w:pPr>
        <w:jc w:val="both"/>
        <w:rPr>
          <w:lang w:eastAsia="zh-CN"/>
        </w:rPr>
      </w:pPr>
      <w:r>
        <w:rPr>
          <w:lang w:val="zh-CN" w:eastAsia="zh-CN"/>
        </w:rPr>
        <w:t>4.1</w:t>
      </w:r>
      <w:r>
        <w:rPr>
          <w:lang w:val="zh-CN" w:eastAsia="zh-CN"/>
        </w:rPr>
        <w:tab/>
      </w:r>
      <w:r>
        <w:rPr>
          <w:lang w:val="zh-CN" w:eastAsia="zh-CN"/>
        </w:rPr>
        <w:t>阿尔及利亚、保加利亚和阿拉伯联合酋长国的理事宣布，他们的国家将在</w:t>
      </w:r>
      <w:r>
        <w:rPr>
          <w:lang w:val="zh-CN" w:eastAsia="zh-CN"/>
        </w:rPr>
        <w:t>PP-26</w:t>
      </w:r>
      <w:r>
        <w:rPr>
          <w:lang w:val="zh-CN" w:eastAsia="zh-CN"/>
        </w:rPr>
        <w:t>上竞选连任理事国。</w:t>
      </w:r>
    </w:p>
    <w:p w14:paraId="65B48BC6" w14:textId="77777777" w:rsidR="001A3C7B" w:rsidRPr="00C77512" w:rsidRDefault="001A3C7B" w:rsidP="001A3C7B">
      <w:pPr>
        <w:pStyle w:val="Heading1"/>
        <w:rPr>
          <w:lang w:eastAsia="zh-CN"/>
        </w:rPr>
      </w:pPr>
      <w:r w:rsidRPr="008753EF">
        <w:rPr>
          <w:bCs/>
          <w:lang w:eastAsia="zh-CN"/>
        </w:rPr>
        <w:t>5</w:t>
      </w:r>
      <w:r w:rsidRPr="008753EF">
        <w:rPr>
          <w:bCs/>
          <w:lang w:eastAsia="zh-CN"/>
        </w:rPr>
        <w:tab/>
      </w:r>
      <w:r>
        <w:rPr>
          <w:bCs/>
          <w:lang w:val="zh-CN" w:eastAsia="zh-CN"/>
        </w:rPr>
        <w:t>哀悼</w:t>
      </w:r>
      <w:r w:rsidRPr="008753EF">
        <w:rPr>
          <w:bCs/>
          <w:lang w:eastAsia="zh-CN"/>
        </w:rPr>
        <w:t>Yury Grin</w:t>
      </w:r>
      <w:r>
        <w:rPr>
          <w:bCs/>
          <w:lang w:val="zh-CN" w:eastAsia="zh-CN"/>
        </w:rPr>
        <w:t>先生的去世</w:t>
      </w:r>
    </w:p>
    <w:p w14:paraId="5A632AC2" w14:textId="77777777" w:rsidR="001A3C7B" w:rsidRPr="00C77512" w:rsidRDefault="001A3C7B" w:rsidP="00D0603A">
      <w:pPr>
        <w:ind w:firstLineChars="200" w:firstLine="480"/>
        <w:jc w:val="both"/>
        <w:rPr>
          <w:spacing w:val="-3"/>
          <w:lang w:eastAsia="zh-CN"/>
        </w:rPr>
      </w:pPr>
      <w:r>
        <w:rPr>
          <w:lang w:val="zh-CN" w:eastAsia="zh-CN"/>
        </w:rPr>
        <w:t>秘书长对</w:t>
      </w:r>
      <w:r>
        <w:rPr>
          <w:lang w:val="zh-CN" w:eastAsia="zh-CN"/>
        </w:rPr>
        <w:t>Yury Grin</w:t>
      </w:r>
      <w:r>
        <w:rPr>
          <w:lang w:val="zh-CN" w:eastAsia="zh-CN"/>
        </w:rPr>
        <w:t>先生的逝世表示哀悼。</w:t>
      </w:r>
      <w:r>
        <w:rPr>
          <w:lang w:val="zh-CN" w:eastAsia="zh-CN"/>
        </w:rPr>
        <w:t>Yury Grin</w:t>
      </w:r>
      <w:r>
        <w:rPr>
          <w:lang w:val="zh-CN" w:eastAsia="zh-CN"/>
        </w:rPr>
        <w:t>先生曾任国际电联电信展览部董事会成员、理事会主席、大会和出版部主任以及电信发展局副主任。她请与会者默哀一分钟。</w:t>
      </w:r>
    </w:p>
    <w:p w14:paraId="296C29AC" w14:textId="77777777" w:rsidR="001A3C7B" w:rsidRPr="00C77512" w:rsidRDefault="001A3C7B" w:rsidP="001A3C7B">
      <w:pPr>
        <w:tabs>
          <w:tab w:val="clear" w:pos="794"/>
          <w:tab w:val="clear" w:pos="1191"/>
          <w:tab w:val="clear" w:pos="1588"/>
          <w:tab w:val="clear" w:pos="1985"/>
          <w:tab w:val="left" w:pos="6237"/>
        </w:tabs>
        <w:spacing w:before="840"/>
        <w:rPr>
          <w:szCs w:val="24"/>
          <w:lang w:eastAsia="zh-CN"/>
        </w:rPr>
      </w:pPr>
      <w:r>
        <w:rPr>
          <w:rFonts w:hint="eastAsia"/>
          <w:lang w:val="zh-CN" w:eastAsia="zh-CN"/>
        </w:rPr>
        <w:t>秘书长：</w:t>
      </w:r>
      <w:r>
        <w:rPr>
          <w:lang w:val="zh-CN" w:eastAsia="zh-CN"/>
        </w:rPr>
        <w:tab/>
      </w:r>
      <w:r>
        <w:rPr>
          <w:lang w:val="zh-CN" w:eastAsia="zh-CN"/>
        </w:rPr>
        <w:t>主席：</w:t>
      </w:r>
    </w:p>
    <w:p w14:paraId="3587731E" w14:textId="0A18F35E" w:rsidR="001A3C7B" w:rsidRPr="00C77512" w:rsidRDefault="001A3C7B" w:rsidP="001A3C7B">
      <w:pPr>
        <w:tabs>
          <w:tab w:val="clear" w:pos="1985"/>
          <w:tab w:val="left" w:pos="6237"/>
        </w:tabs>
        <w:spacing w:before="0"/>
        <w:rPr>
          <w:szCs w:val="24"/>
          <w:lang w:eastAsia="zh-CN"/>
        </w:rPr>
      </w:pPr>
      <w:r w:rsidRPr="002320F4">
        <w:rPr>
          <w:lang w:val="zh-CN" w:eastAsia="zh-CN"/>
        </w:rPr>
        <w:t>多琳</w:t>
      </w:r>
      <w:r w:rsidRPr="002320F4">
        <w:rPr>
          <w:lang w:val="zh-CN" w:eastAsia="zh-CN"/>
        </w:rPr>
        <w:t>·</w:t>
      </w:r>
      <w:r w:rsidRPr="002320F4">
        <w:rPr>
          <w:lang w:val="zh-CN" w:eastAsia="zh-CN"/>
        </w:rPr>
        <w:t>伯格丹</w:t>
      </w:r>
      <w:r w:rsidRPr="002320F4">
        <w:rPr>
          <w:lang w:val="zh-CN" w:eastAsia="zh-CN"/>
        </w:rPr>
        <w:t>-</w:t>
      </w:r>
      <w:r w:rsidRPr="002320F4">
        <w:rPr>
          <w:lang w:val="zh-CN" w:eastAsia="zh-CN"/>
        </w:rPr>
        <w:t>马</w:t>
      </w:r>
      <w:r w:rsidRPr="002320F4">
        <w:rPr>
          <w:rFonts w:hint="eastAsia"/>
          <w:lang w:val="zh-CN" w:eastAsia="zh-CN"/>
        </w:rPr>
        <w:t>丁</w:t>
      </w:r>
      <w:r>
        <w:rPr>
          <w:lang w:val="zh-CN" w:eastAsia="zh-CN"/>
        </w:rPr>
        <w:tab/>
      </w:r>
      <w:r w:rsidR="008645EA" w:rsidRPr="00613188">
        <w:rPr>
          <w:szCs w:val="24"/>
          <w:lang w:eastAsia="zh-CN"/>
        </w:rPr>
        <w:t>B. TIJANI</w:t>
      </w:r>
    </w:p>
    <w:sectPr w:rsidR="001A3C7B" w:rsidRPr="00C77512" w:rsidSect="00E24D59">
      <w:footerReference w:type="default" r:id="rId27"/>
      <w:headerReference w:type="first" r:id="rId28"/>
      <w:footerReference w:type="first" r:id="rId2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7632" w14:textId="77777777" w:rsidR="005F79E8" w:rsidRDefault="005F79E8">
      <w:r>
        <w:separator/>
      </w:r>
    </w:p>
  </w:endnote>
  <w:endnote w:type="continuationSeparator" w:id="0">
    <w:p w14:paraId="727374ED" w14:textId="77777777" w:rsidR="005F79E8" w:rsidRDefault="005F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27A9E35B" w14:textId="77777777" w:rsidTr="00E31DCE">
      <w:trPr>
        <w:jc w:val="center"/>
      </w:trPr>
      <w:tc>
        <w:tcPr>
          <w:tcW w:w="1803" w:type="dxa"/>
          <w:vAlign w:val="center"/>
        </w:tcPr>
        <w:p w14:paraId="3E0DA3F1" w14:textId="2FB6D03B" w:rsidR="00E24D59" w:rsidRPr="00A13406" w:rsidRDefault="00A13406" w:rsidP="00E24D59">
          <w:pPr>
            <w:pStyle w:val="Header"/>
            <w:jc w:val="left"/>
            <w:rPr>
              <w:noProof/>
              <w:color w:val="808080" w:themeColor="background1" w:themeShade="80"/>
            </w:rPr>
          </w:pPr>
          <w:r w:rsidRPr="00A13406">
            <w:rPr>
              <w:noProof/>
              <w:color w:val="808080" w:themeColor="background1" w:themeShade="80"/>
            </w:rPr>
            <w:t>gDoc</w:t>
          </w:r>
          <w:r w:rsidR="001A3C7B">
            <w:rPr>
              <w:noProof/>
              <w:color w:val="808080" w:themeColor="background1" w:themeShade="80"/>
            </w:rPr>
            <w:t xml:space="preserve"> 2601342</w:t>
          </w:r>
        </w:p>
      </w:tc>
      <w:tc>
        <w:tcPr>
          <w:tcW w:w="8261" w:type="dxa"/>
        </w:tcPr>
        <w:p w14:paraId="2C572EC4" w14:textId="53C8CBE2"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1A3C7B">
            <w:rPr>
              <w:bCs/>
              <w:color w:val="808080" w:themeColor="background1" w:themeShade="80"/>
            </w:rPr>
            <w:t>122</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3B83DED8"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1697CE4F" w14:textId="77777777" w:rsidTr="00E31DCE">
      <w:trPr>
        <w:jc w:val="center"/>
      </w:trPr>
      <w:tc>
        <w:tcPr>
          <w:tcW w:w="1803" w:type="dxa"/>
          <w:vAlign w:val="center"/>
        </w:tcPr>
        <w:p w14:paraId="076390CA"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11B6383A" w14:textId="6DED3511"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1A3C7B">
            <w:rPr>
              <w:bCs/>
              <w:color w:val="808080" w:themeColor="background1" w:themeShade="80"/>
            </w:rPr>
            <w:t>122</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58D259E1"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19BE" w14:textId="77777777" w:rsidR="005F79E8" w:rsidRDefault="005F79E8">
      <w:r>
        <w:t>____________________</w:t>
      </w:r>
    </w:p>
  </w:footnote>
  <w:footnote w:type="continuationSeparator" w:id="0">
    <w:p w14:paraId="1E18FC96" w14:textId="77777777" w:rsidR="005F79E8" w:rsidRDefault="005F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9F2E"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7B"/>
    <w:rsid w:val="00001B77"/>
    <w:rsid w:val="0000517A"/>
    <w:rsid w:val="0000538F"/>
    <w:rsid w:val="00031E72"/>
    <w:rsid w:val="000404D2"/>
    <w:rsid w:val="000646BD"/>
    <w:rsid w:val="000853C0"/>
    <w:rsid w:val="00093DD9"/>
    <w:rsid w:val="0009409E"/>
    <w:rsid w:val="000A1C21"/>
    <w:rsid w:val="000A5612"/>
    <w:rsid w:val="000C0BC5"/>
    <w:rsid w:val="000D15EA"/>
    <w:rsid w:val="000D7012"/>
    <w:rsid w:val="000F5A00"/>
    <w:rsid w:val="00100D84"/>
    <w:rsid w:val="00124C9D"/>
    <w:rsid w:val="001305DE"/>
    <w:rsid w:val="0015333E"/>
    <w:rsid w:val="00157773"/>
    <w:rsid w:val="0018251A"/>
    <w:rsid w:val="00190272"/>
    <w:rsid w:val="00193244"/>
    <w:rsid w:val="00195C6C"/>
    <w:rsid w:val="00195FED"/>
    <w:rsid w:val="001A3C7B"/>
    <w:rsid w:val="001A4BD6"/>
    <w:rsid w:val="001B6E2B"/>
    <w:rsid w:val="001D5A18"/>
    <w:rsid w:val="00215132"/>
    <w:rsid w:val="00220C45"/>
    <w:rsid w:val="00224449"/>
    <w:rsid w:val="00240B37"/>
    <w:rsid w:val="002456B6"/>
    <w:rsid w:val="00277DEA"/>
    <w:rsid w:val="00280EB8"/>
    <w:rsid w:val="002916B4"/>
    <w:rsid w:val="002A1D39"/>
    <w:rsid w:val="002A6670"/>
    <w:rsid w:val="002C3F32"/>
    <w:rsid w:val="00303502"/>
    <w:rsid w:val="00307C45"/>
    <w:rsid w:val="00325C25"/>
    <w:rsid w:val="00372C8F"/>
    <w:rsid w:val="00380ECE"/>
    <w:rsid w:val="00393DDF"/>
    <w:rsid w:val="00397F55"/>
    <w:rsid w:val="003B276A"/>
    <w:rsid w:val="003B4454"/>
    <w:rsid w:val="003C2E37"/>
    <w:rsid w:val="003D58EA"/>
    <w:rsid w:val="003F086E"/>
    <w:rsid w:val="003F1415"/>
    <w:rsid w:val="0040144C"/>
    <w:rsid w:val="00403EB7"/>
    <w:rsid w:val="004178E6"/>
    <w:rsid w:val="00430BF0"/>
    <w:rsid w:val="00465C35"/>
    <w:rsid w:val="004672E6"/>
    <w:rsid w:val="00474ED1"/>
    <w:rsid w:val="00477D57"/>
    <w:rsid w:val="00491BA9"/>
    <w:rsid w:val="00493085"/>
    <w:rsid w:val="004A36EC"/>
    <w:rsid w:val="004D163F"/>
    <w:rsid w:val="004E4BFF"/>
    <w:rsid w:val="004F2598"/>
    <w:rsid w:val="005403F7"/>
    <w:rsid w:val="00540632"/>
    <w:rsid w:val="00541CF4"/>
    <w:rsid w:val="005451E8"/>
    <w:rsid w:val="005507F2"/>
    <w:rsid w:val="00555C29"/>
    <w:rsid w:val="005759CC"/>
    <w:rsid w:val="00576C08"/>
    <w:rsid w:val="005A6CCC"/>
    <w:rsid w:val="005A72E1"/>
    <w:rsid w:val="005C6632"/>
    <w:rsid w:val="005D1C9E"/>
    <w:rsid w:val="005D4F5D"/>
    <w:rsid w:val="005F79E8"/>
    <w:rsid w:val="00602842"/>
    <w:rsid w:val="00630DD5"/>
    <w:rsid w:val="00637584"/>
    <w:rsid w:val="00654257"/>
    <w:rsid w:val="0065435A"/>
    <w:rsid w:val="00670D8A"/>
    <w:rsid w:val="006A2DD3"/>
    <w:rsid w:val="006A5113"/>
    <w:rsid w:val="006A5AF8"/>
    <w:rsid w:val="006C36CD"/>
    <w:rsid w:val="00700D1F"/>
    <w:rsid w:val="007205CB"/>
    <w:rsid w:val="0072138B"/>
    <w:rsid w:val="00726073"/>
    <w:rsid w:val="00734FE8"/>
    <w:rsid w:val="007360CE"/>
    <w:rsid w:val="00756AD5"/>
    <w:rsid w:val="0077110E"/>
    <w:rsid w:val="00772315"/>
    <w:rsid w:val="00775157"/>
    <w:rsid w:val="007813AE"/>
    <w:rsid w:val="007A37DB"/>
    <w:rsid w:val="007E189D"/>
    <w:rsid w:val="007F0210"/>
    <w:rsid w:val="00806E3F"/>
    <w:rsid w:val="00811259"/>
    <w:rsid w:val="00813AA2"/>
    <w:rsid w:val="008173A3"/>
    <w:rsid w:val="00827659"/>
    <w:rsid w:val="00836362"/>
    <w:rsid w:val="008418F5"/>
    <w:rsid w:val="0084546D"/>
    <w:rsid w:val="0086059C"/>
    <w:rsid w:val="00864589"/>
    <w:rsid w:val="008645EA"/>
    <w:rsid w:val="00874C82"/>
    <w:rsid w:val="00890AFB"/>
    <w:rsid w:val="00890FC4"/>
    <w:rsid w:val="00895905"/>
    <w:rsid w:val="008F64AD"/>
    <w:rsid w:val="00911230"/>
    <w:rsid w:val="00911867"/>
    <w:rsid w:val="009164A9"/>
    <w:rsid w:val="009258CB"/>
    <w:rsid w:val="0093362E"/>
    <w:rsid w:val="00944563"/>
    <w:rsid w:val="00953160"/>
    <w:rsid w:val="009625D8"/>
    <w:rsid w:val="00983878"/>
    <w:rsid w:val="0098459B"/>
    <w:rsid w:val="00997185"/>
    <w:rsid w:val="009A3456"/>
    <w:rsid w:val="009A76A8"/>
    <w:rsid w:val="009C2458"/>
    <w:rsid w:val="009C4A7B"/>
    <w:rsid w:val="009C6123"/>
    <w:rsid w:val="009F1E3E"/>
    <w:rsid w:val="00A01F4F"/>
    <w:rsid w:val="00A109AF"/>
    <w:rsid w:val="00A1213C"/>
    <w:rsid w:val="00A13406"/>
    <w:rsid w:val="00A272FF"/>
    <w:rsid w:val="00A5354B"/>
    <w:rsid w:val="00A6348A"/>
    <w:rsid w:val="00A71B57"/>
    <w:rsid w:val="00AA2E08"/>
    <w:rsid w:val="00AB42C1"/>
    <w:rsid w:val="00AC516F"/>
    <w:rsid w:val="00AE195F"/>
    <w:rsid w:val="00AE2926"/>
    <w:rsid w:val="00B0184B"/>
    <w:rsid w:val="00B035CD"/>
    <w:rsid w:val="00B0769D"/>
    <w:rsid w:val="00B12557"/>
    <w:rsid w:val="00B217F8"/>
    <w:rsid w:val="00B326AA"/>
    <w:rsid w:val="00B332EA"/>
    <w:rsid w:val="00B40A53"/>
    <w:rsid w:val="00B45365"/>
    <w:rsid w:val="00B46A65"/>
    <w:rsid w:val="00B60184"/>
    <w:rsid w:val="00B62D20"/>
    <w:rsid w:val="00B81E75"/>
    <w:rsid w:val="00B91673"/>
    <w:rsid w:val="00B93453"/>
    <w:rsid w:val="00B9445B"/>
    <w:rsid w:val="00BD0954"/>
    <w:rsid w:val="00BD1A5A"/>
    <w:rsid w:val="00BD7A9B"/>
    <w:rsid w:val="00BD7BE1"/>
    <w:rsid w:val="00BF416B"/>
    <w:rsid w:val="00C24DAC"/>
    <w:rsid w:val="00C410E0"/>
    <w:rsid w:val="00C45EB2"/>
    <w:rsid w:val="00C63BAC"/>
    <w:rsid w:val="00C64E4E"/>
    <w:rsid w:val="00C66E64"/>
    <w:rsid w:val="00C761A0"/>
    <w:rsid w:val="00C85F7E"/>
    <w:rsid w:val="00C90D53"/>
    <w:rsid w:val="00CA0B2E"/>
    <w:rsid w:val="00CA260A"/>
    <w:rsid w:val="00CA6EF7"/>
    <w:rsid w:val="00CD47F0"/>
    <w:rsid w:val="00CD5566"/>
    <w:rsid w:val="00CD64D7"/>
    <w:rsid w:val="00CE6F22"/>
    <w:rsid w:val="00CF41F6"/>
    <w:rsid w:val="00CF7D3E"/>
    <w:rsid w:val="00D02B4E"/>
    <w:rsid w:val="00D0603A"/>
    <w:rsid w:val="00D21F11"/>
    <w:rsid w:val="00D36817"/>
    <w:rsid w:val="00D453EE"/>
    <w:rsid w:val="00D5666C"/>
    <w:rsid w:val="00D666BC"/>
    <w:rsid w:val="00D83542"/>
    <w:rsid w:val="00D87C3A"/>
    <w:rsid w:val="00D92F45"/>
    <w:rsid w:val="00D94637"/>
    <w:rsid w:val="00D9725C"/>
    <w:rsid w:val="00DA0E66"/>
    <w:rsid w:val="00DA2D30"/>
    <w:rsid w:val="00DA7006"/>
    <w:rsid w:val="00DB3621"/>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E5706"/>
    <w:rsid w:val="00EF373D"/>
    <w:rsid w:val="00F11595"/>
    <w:rsid w:val="00F13BC9"/>
    <w:rsid w:val="00F357B2"/>
    <w:rsid w:val="00F36556"/>
    <w:rsid w:val="00F6736A"/>
    <w:rsid w:val="00F705DF"/>
    <w:rsid w:val="00F70622"/>
    <w:rsid w:val="00F85624"/>
    <w:rsid w:val="00F87C05"/>
    <w:rsid w:val="00F93191"/>
    <w:rsid w:val="00F93A17"/>
    <w:rsid w:val="00FA2AF6"/>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04370"/>
  <w15:docId w15:val="{2A56F704-8F75-4245-95F3-F9C295DB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D0603A"/>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mmary-Record">
    <w:name w:val="Summary-Record"/>
    <w:basedOn w:val="Source"/>
    <w:rsid w:val="001A3C7B"/>
    <w:pPr>
      <w:framePr w:wrap="around"/>
      <w:tabs>
        <w:tab w:val="clear" w:pos="794"/>
        <w:tab w:val="clear" w:pos="1191"/>
        <w:tab w:val="clear" w:pos="1588"/>
        <w:tab w:val="clear" w:pos="1985"/>
        <w:tab w:val="left" w:pos="567"/>
        <w:tab w:val="left" w:pos="1134"/>
        <w:tab w:val="left" w:pos="1701"/>
        <w:tab w:val="left" w:pos="2268"/>
        <w:tab w:val="left" w:pos="2835"/>
      </w:tabs>
      <w:spacing w:before="240" w:after="120" w:line="280" w:lineRule="exact"/>
      <w:jc w:val="center"/>
    </w:pPr>
    <w:rPr>
      <w:rFonts w:cs="Times New Roman"/>
      <w:lang w:val="en-GB"/>
    </w:rPr>
  </w:style>
  <w:style w:type="paragraph" w:styleId="Revision">
    <w:name w:val="Revision"/>
    <w:hidden/>
    <w:uiPriority w:val="99"/>
    <w:semiHidden/>
    <w:rsid w:val="001A3C7B"/>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31/en" TargetMode="External"/><Relationship Id="rId13" Type="http://schemas.openxmlformats.org/officeDocument/2006/relationships/hyperlink" Target="https://www.itu.int/md/S26-CL-C-0018/en" TargetMode="External"/><Relationship Id="rId18" Type="http://schemas.openxmlformats.org/officeDocument/2006/relationships/hyperlink" Target="https://www.itu.int/md/S26-CL-C-0083/en" TargetMode="External"/><Relationship Id="rId26" Type="http://schemas.openxmlformats.org/officeDocument/2006/relationships/hyperlink" Target="https://www.itu.int/md/S26-CL-C-0079/en" TargetMode="External"/><Relationship Id="rId3" Type="http://schemas.openxmlformats.org/officeDocument/2006/relationships/styles" Target="styles.xml"/><Relationship Id="rId21" Type="http://schemas.openxmlformats.org/officeDocument/2006/relationships/hyperlink" Target="https://www.itu.int/md/S26-CL-C-0015/en" TargetMode="External"/><Relationship Id="rId7" Type="http://schemas.openxmlformats.org/officeDocument/2006/relationships/endnotes" Target="endnotes.xml"/><Relationship Id="rId12" Type="http://schemas.openxmlformats.org/officeDocument/2006/relationships/hyperlink" Target="https://www.itu.int/md/S26-CL-C-0015/en" TargetMode="External"/><Relationship Id="rId17" Type="http://schemas.openxmlformats.org/officeDocument/2006/relationships/hyperlink" Target="https://www.itu.int/md/S26-CL-C-0083/en" TargetMode="External"/><Relationship Id="rId25" Type="http://schemas.openxmlformats.org/officeDocument/2006/relationships/hyperlink" Target="https://www.itu.int/md/S26-CL-C-0029/en" TargetMode="External"/><Relationship Id="rId2" Type="http://schemas.openxmlformats.org/officeDocument/2006/relationships/numbering" Target="numbering.xml"/><Relationship Id="rId16" Type="http://schemas.openxmlformats.org/officeDocument/2006/relationships/hyperlink" Target="https://www.itu.int/md/S26-CL-C-0079/en" TargetMode="External"/><Relationship Id="rId20" Type="http://schemas.openxmlformats.org/officeDocument/2006/relationships/hyperlink" Target="https://www.itu.int/md/S26-CL-C-0015/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15/en" TargetMode="External"/><Relationship Id="rId24" Type="http://schemas.openxmlformats.org/officeDocument/2006/relationships/hyperlink" Target="https://www.itu.int/md/S26-CL-C-0079/en" TargetMode="External"/><Relationship Id="rId5" Type="http://schemas.openxmlformats.org/officeDocument/2006/relationships/webSettings" Target="webSettings.xml"/><Relationship Id="rId15" Type="http://schemas.openxmlformats.org/officeDocument/2006/relationships/hyperlink" Target="https://www.itu.int/md/S26-CL-C-0029/en" TargetMode="External"/><Relationship Id="rId23" Type="http://schemas.openxmlformats.org/officeDocument/2006/relationships/hyperlink" Target="https://www.itu.int/md/S26-CL-C-0029/en" TargetMode="External"/><Relationship Id="rId28" Type="http://schemas.openxmlformats.org/officeDocument/2006/relationships/header" Target="header1.xml"/><Relationship Id="rId10" Type="http://schemas.openxmlformats.org/officeDocument/2006/relationships/hyperlink" Target="https://www.itu.int/md/S26-CL-C-0083/en" TargetMode="External"/><Relationship Id="rId19" Type="http://schemas.openxmlformats.org/officeDocument/2006/relationships/hyperlink" Target="https://www.itu.int/md/S26-CL-INF-0001/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tu.int/md/S26-CL-C-0031/en" TargetMode="External"/><Relationship Id="rId14" Type="http://schemas.openxmlformats.org/officeDocument/2006/relationships/hyperlink" Target="https://www.itu.int/md/S26-CL-C-0029/en" TargetMode="External"/><Relationship Id="rId22" Type="http://schemas.openxmlformats.org/officeDocument/2006/relationships/hyperlink" Target="https://www.itu.int/md/S26-CL-C-0018/en"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GS\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114</TotalTime>
  <Pages>6</Pages>
  <Words>1108</Words>
  <Characters>6477</Characters>
  <Application>Microsoft Office Word</Application>
  <DocSecurity>0</DocSecurity>
  <Lines>104</Lines>
  <Paragraphs>27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7558</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fifth Plenary meeting</dc:title>
  <dc:subject>ITU Council 2026</dc:subject>
  <cp:keywords>C26; C2026; Council 2026; PP26</cp:keywords>
  <dc:description/>
  <cp:lastPrinted>2015-02-24T13:23:00Z</cp:lastPrinted>
  <dcterms:created xsi:type="dcterms:W3CDTF">2026-08-06T09:45:00Z</dcterms:created>
  <dcterms:modified xsi:type="dcterms:W3CDTF">2026-08-06T12:01:00Z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