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86"/>
        <w:gridCol w:w="2985"/>
      </w:tblGrid>
      <w:tr w:rsidR="007B0AA0" w14:paraId="122AB628" w14:textId="77777777" w:rsidTr="00E2342C">
        <w:tc>
          <w:tcPr>
            <w:tcW w:w="6086" w:type="dxa"/>
          </w:tcPr>
          <w:p w14:paraId="6318B054" w14:textId="49EB88A7" w:rsidR="007B0AA0" w:rsidRPr="007B0AA0" w:rsidRDefault="007B0AA0" w:rsidP="00F363FE">
            <w:pPr>
              <w:spacing w:before="60" w:after="60" w:line="260" w:lineRule="exact"/>
              <w:rPr>
                <w:b/>
                <w:bCs/>
                <w:rtl/>
                <w:lang w:bidi="ar-EG"/>
              </w:rPr>
            </w:pPr>
          </w:p>
        </w:tc>
        <w:tc>
          <w:tcPr>
            <w:tcW w:w="2985" w:type="dxa"/>
          </w:tcPr>
          <w:p w14:paraId="45315F88" w14:textId="08B77BDC" w:rsidR="007B0AA0" w:rsidRPr="007B0AA0" w:rsidRDefault="007B0AA0" w:rsidP="00F363FE">
            <w:pPr>
              <w:spacing w:before="60" w:after="60" w:line="260" w:lineRule="exact"/>
              <w:rPr>
                <w:b/>
                <w:bCs/>
                <w:lang w:bidi="ar-EG"/>
              </w:rPr>
            </w:pPr>
            <w:r w:rsidRPr="007B0AA0">
              <w:rPr>
                <w:rFonts w:hint="cs"/>
                <w:b/>
                <w:bCs/>
                <w:rtl/>
                <w:lang w:bidi="ar-EG"/>
              </w:rPr>
              <w:t xml:space="preserve">الوثيقة </w:t>
            </w:r>
            <w:r w:rsidRPr="007B0AA0">
              <w:rPr>
                <w:b/>
                <w:bCs/>
                <w:lang w:bidi="ar-EG"/>
              </w:rPr>
              <w:t>C2</w:t>
            </w:r>
            <w:r w:rsidR="000116AF">
              <w:rPr>
                <w:b/>
                <w:bCs/>
                <w:lang w:bidi="ar-EG"/>
              </w:rPr>
              <w:t>6</w:t>
            </w:r>
            <w:r w:rsidRPr="007B0AA0">
              <w:rPr>
                <w:b/>
                <w:bCs/>
                <w:lang w:bidi="ar-EG"/>
              </w:rPr>
              <w:t>/</w:t>
            </w:r>
            <w:r w:rsidR="00E2342C">
              <w:rPr>
                <w:b/>
                <w:bCs/>
                <w:lang w:bidi="ar-EG"/>
              </w:rPr>
              <w:t>122</w:t>
            </w:r>
            <w:r w:rsidRPr="007B0AA0">
              <w:rPr>
                <w:b/>
                <w:bCs/>
                <w:lang w:bidi="ar-EG"/>
              </w:rPr>
              <w:t>-A</w:t>
            </w:r>
          </w:p>
        </w:tc>
      </w:tr>
      <w:tr w:rsidR="007B0AA0" w14:paraId="735F54EE" w14:textId="77777777" w:rsidTr="00E2342C">
        <w:tc>
          <w:tcPr>
            <w:tcW w:w="6086" w:type="dxa"/>
          </w:tcPr>
          <w:p w14:paraId="0B9AD687" w14:textId="77777777" w:rsidR="007B0AA0" w:rsidRPr="007B0AA0" w:rsidRDefault="007B0AA0" w:rsidP="00F363FE">
            <w:pPr>
              <w:spacing w:before="60" w:after="60" w:line="260" w:lineRule="exact"/>
              <w:rPr>
                <w:b/>
                <w:bCs/>
                <w:rtl/>
                <w:lang w:bidi="ar-EG"/>
              </w:rPr>
            </w:pPr>
          </w:p>
        </w:tc>
        <w:tc>
          <w:tcPr>
            <w:tcW w:w="2985" w:type="dxa"/>
          </w:tcPr>
          <w:p w14:paraId="4E24C326" w14:textId="2FF71D9A" w:rsidR="007B0AA0" w:rsidRPr="007B0AA0" w:rsidRDefault="00212FB9" w:rsidP="00F363FE">
            <w:pPr>
              <w:spacing w:before="60" w:after="60" w:line="260" w:lineRule="exact"/>
              <w:rPr>
                <w:b/>
                <w:bCs/>
                <w:rtl/>
                <w:lang w:bidi="ar-EG"/>
              </w:rPr>
            </w:pPr>
            <w:r>
              <w:rPr>
                <w:rFonts w:hint="cs"/>
                <w:b/>
                <w:bCs/>
                <w:rtl/>
                <w:lang w:bidi="ar-EG"/>
              </w:rPr>
              <w:t xml:space="preserve">3 أغسطس </w:t>
            </w:r>
            <w:r w:rsidR="00E2342C">
              <w:rPr>
                <w:b/>
                <w:bCs/>
                <w:lang w:bidi="ar-EG"/>
              </w:rPr>
              <w:t>2026</w:t>
            </w:r>
          </w:p>
        </w:tc>
      </w:tr>
      <w:tr w:rsidR="007B0AA0" w14:paraId="4A8F9B96" w14:textId="77777777" w:rsidTr="00E2342C">
        <w:tc>
          <w:tcPr>
            <w:tcW w:w="6086" w:type="dxa"/>
          </w:tcPr>
          <w:p w14:paraId="2B4A1D48" w14:textId="77777777" w:rsidR="007B0AA0" w:rsidRPr="007B0AA0" w:rsidRDefault="007B0AA0" w:rsidP="00F363FE">
            <w:pPr>
              <w:spacing w:before="60" w:after="60" w:line="260" w:lineRule="exact"/>
              <w:rPr>
                <w:b/>
                <w:bCs/>
                <w:rtl/>
                <w:lang w:bidi="ar-EG"/>
              </w:rPr>
            </w:pPr>
          </w:p>
        </w:tc>
        <w:tc>
          <w:tcPr>
            <w:tcW w:w="2985" w:type="dxa"/>
          </w:tcPr>
          <w:p w14:paraId="55521F82" w14:textId="77777777" w:rsidR="007B0AA0" w:rsidRPr="007B0AA0" w:rsidRDefault="001D64C7" w:rsidP="00F363FE">
            <w:pPr>
              <w:spacing w:before="60" w:after="60" w:line="260" w:lineRule="exact"/>
              <w:rPr>
                <w:b/>
                <w:bCs/>
                <w:rtl/>
                <w:lang w:bidi="ar-EG"/>
              </w:rPr>
            </w:pPr>
            <w:r w:rsidRPr="007B0AA0">
              <w:rPr>
                <w:rFonts w:hint="cs"/>
                <w:b/>
                <w:bCs/>
                <w:rtl/>
                <w:lang w:bidi="ar-EG"/>
              </w:rPr>
              <w:t>الأصل: بالإنكليزية</w:t>
            </w:r>
          </w:p>
        </w:tc>
      </w:tr>
      <w:tr w:rsidR="007B0AA0" w14:paraId="36CE3577" w14:textId="77777777" w:rsidTr="00E2342C">
        <w:tc>
          <w:tcPr>
            <w:tcW w:w="6086" w:type="dxa"/>
          </w:tcPr>
          <w:p w14:paraId="0250AFC6" w14:textId="77777777" w:rsidR="007B0AA0" w:rsidRDefault="007B0AA0" w:rsidP="00F363FE">
            <w:pPr>
              <w:spacing w:before="60" w:after="60" w:line="260" w:lineRule="exact"/>
              <w:rPr>
                <w:lang w:bidi="ar-EG"/>
              </w:rPr>
            </w:pPr>
          </w:p>
        </w:tc>
        <w:tc>
          <w:tcPr>
            <w:tcW w:w="2985" w:type="dxa"/>
          </w:tcPr>
          <w:p w14:paraId="6C73F015" w14:textId="77777777" w:rsidR="007B0AA0" w:rsidRDefault="007B0AA0" w:rsidP="00F363FE">
            <w:pPr>
              <w:spacing w:before="60" w:after="60" w:line="260" w:lineRule="exact"/>
              <w:rPr>
                <w:rtl/>
                <w:lang w:bidi="ar-EG"/>
              </w:rPr>
            </w:pPr>
          </w:p>
        </w:tc>
      </w:tr>
      <w:tr w:rsidR="007B0AA0" w14:paraId="52BEF9A4" w14:textId="77777777" w:rsidTr="00E2342C">
        <w:tc>
          <w:tcPr>
            <w:tcW w:w="9071" w:type="dxa"/>
            <w:gridSpan w:val="2"/>
          </w:tcPr>
          <w:p w14:paraId="1FE5ECED" w14:textId="0F1A7DB7" w:rsidR="007B0AA0" w:rsidRDefault="00E2342C" w:rsidP="00E2342C">
            <w:pPr>
              <w:pStyle w:val="Source"/>
              <w:rPr>
                <w:lang w:bidi="ar-EG"/>
              </w:rPr>
            </w:pPr>
            <w:r w:rsidRPr="00E2342C">
              <w:rPr>
                <w:rtl/>
              </w:rPr>
              <w:t>محضر موجز للجلسة العامة الخامسة</w:t>
            </w:r>
          </w:p>
        </w:tc>
      </w:tr>
      <w:tr w:rsidR="007B0AA0" w14:paraId="4589D36F" w14:textId="77777777" w:rsidTr="00E2342C">
        <w:tc>
          <w:tcPr>
            <w:tcW w:w="9071" w:type="dxa"/>
            <w:gridSpan w:val="2"/>
          </w:tcPr>
          <w:p w14:paraId="411D7ADF" w14:textId="77777777" w:rsidR="00E2342C" w:rsidRPr="00E2342C" w:rsidRDefault="00E2342C" w:rsidP="00E2342C">
            <w:pPr>
              <w:jc w:val="center"/>
              <w:rPr>
                <w:lang w:val="ar-SA" w:eastAsia="zh-TW" w:bidi="en-GB"/>
              </w:rPr>
            </w:pPr>
            <w:r w:rsidRPr="00E2342C">
              <w:rPr>
                <w:rtl/>
              </w:rPr>
              <w:t>الإثنين، 4 مايو 2026، من الساعة 09:30 إلى 12:45</w:t>
            </w:r>
          </w:p>
          <w:p w14:paraId="037BF59A" w14:textId="22FF8C10" w:rsidR="007B0AA0" w:rsidRPr="005546CF" w:rsidRDefault="00E2342C" w:rsidP="00E2342C">
            <w:pPr>
              <w:jc w:val="center"/>
              <w:rPr>
                <w:sz w:val="32"/>
                <w:szCs w:val="32"/>
              </w:rPr>
            </w:pPr>
            <w:r w:rsidRPr="00E2342C">
              <w:rPr>
                <w:b/>
                <w:bCs/>
                <w:rtl/>
              </w:rPr>
              <w:t>الرئيس</w:t>
            </w:r>
            <w:r w:rsidRPr="00E2342C">
              <w:rPr>
                <w:b/>
                <w:bCs/>
              </w:rPr>
              <w:t>:</w:t>
            </w:r>
            <w:r w:rsidRPr="00E2342C">
              <w:rPr>
                <w:rtl/>
              </w:rPr>
              <w:t xml:space="preserve"> السيد ب. تيجاني (نيجيريا)</w:t>
            </w:r>
          </w:p>
        </w:tc>
      </w:tr>
      <w:tr w:rsidR="00E2342C" w14:paraId="6F473168" w14:textId="77777777" w:rsidTr="00E2342C">
        <w:tc>
          <w:tcPr>
            <w:tcW w:w="9071" w:type="dxa"/>
            <w:gridSpan w:val="2"/>
          </w:tcPr>
          <w:p w14:paraId="1E424469" w14:textId="77777777" w:rsidR="00E2342C" w:rsidRPr="005546CF" w:rsidRDefault="00E2342C" w:rsidP="007B0AA0">
            <w:pPr>
              <w:pStyle w:val="Subtitle0"/>
              <w:rPr>
                <w:sz w:val="32"/>
                <w:szCs w:val="32"/>
                <w:rtl/>
              </w:rPr>
            </w:pPr>
          </w:p>
        </w:tc>
      </w:tr>
    </w:tbl>
    <w:tbl>
      <w:tblPr>
        <w:bidiVisual/>
        <w:tblW w:w="5000" w:type="pct"/>
        <w:jc w:val="center"/>
        <w:tblLayout w:type="fixed"/>
        <w:tblLook w:val="04A0" w:firstRow="1" w:lastRow="0" w:firstColumn="1" w:lastColumn="0" w:noHBand="0" w:noVBand="1"/>
      </w:tblPr>
      <w:tblGrid>
        <w:gridCol w:w="443"/>
        <w:gridCol w:w="6490"/>
        <w:gridCol w:w="2138"/>
      </w:tblGrid>
      <w:tr w:rsidR="00E2342C" w:rsidRPr="00E2342C" w14:paraId="0EAA0436" w14:textId="77777777" w:rsidTr="00E2342C">
        <w:trPr>
          <w:jc w:val="center"/>
        </w:trPr>
        <w:tc>
          <w:tcPr>
            <w:tcW w:w="443" w:type="dxa"/>
          </w:tcPr>
          <w:p w14:paraId="06463504" w14:textId="77777777" w:rsidR="00E2342C" w:rsidRPr="00E2342C" w:rsidRDefault="00E2342C" w:rsidP="00E2342C">
            <w:pPr>
              <w:spacing w:before="80" w:after="80" w:line="280" w:lineRule="exact"/>
              <w:rPr>
                <w:b/>
                <w:bCs/>
                <w:lang w:val="en-GB"/>
              </w:rPr>
            </w:pPr>
            <w:r w:rsidRPr="00E2342C">
              <w:rPr>
                <w:b/>
                <w:bCs/>
                <w:lang w:val="en-GB"/>
              </w:rPr>
              <w:br w:type="page"/>
            </w:r>
            <w:r w:rsidRPr="00E2342C">
              <w:rPr>
                <w:b/>
                <w:bCs/>
                <w:lang w:val="en-GB"/>
              </w:rPr>
              <w:br w:type="page"/>
            </w:r>
          </w:p>
        </w:tc>
        <w:tc>
          <w:tcPr>
            <w:tcW w:w="6490" w:type="dxa"/>
            <w:hideMark/>
          </w:tcPr>
          <w:p w14:paraId="4E6C8A2F" w14:textId="372C0289" w:rsidR="00E2342C" w:rsidRPr="00E2342C" w:rsidRDefault="00E2342C" w:rsidP="00E2342C">
            <w:pPr>
              <w:spacing w:before="80" w:after="80" w:line="280" w:lineRule="exact"/>
              <w:rPr>
                <w:b/>
                <w:bCs/>
                <w:lang w:val="en-GB"/>
              </w:rPr>
            </w:pPr>
            <w:r w:rsidRPr="00E2342C">
              <w:rPr>
                <w:b/>
                <w:bCs/>
                <w:color w:val="000000"/>
                <w:rtl/>
              </w:rPr>
              <w:t>المواضيع التي نوقشت</w:t>
            </w:r>
          </w:p>
        </w:tc>
        <w:tc>
          <w:tcPr>
            <w:tcW w:w="2138" w:type="dxa"/>
            <w:hideMark/>
          </w:tcPr>
          <w:p w14:paraId="34FDFB9A" w14:textId="36CC0BB1" w:rsidR="00E2342C" w:rsidRPr="00E2342C" w:rsidRDefault="00E2342C" w:rsidP="00E2342C">
            <w:pPr>
              <w:spacing w:before="80" w:after="80" w:line="280" w:lineRule="exact"/>
              <w:jc w:val="center"/>
              <w:rPr>
                <w:b/>
                <w:bCs/>
                <w:lang w:val="en-GB"/>
              </w:rPr>
            </w:pPr>
            <w:r w:rsidRPr="00E2342C">
              <w:rPr>
                <w:b/>
                <w:bCs/>
                <w:color w:val="000000"/>
                <w:rtl/>
              </w:rPr>
              <w:t>الوثائق</w:t>
            </w:r>
          </w:p>
        </w:tc>
      </w:tr>
      <w:tr w:rsidR="00E2342C" w:rsidRPr="00E2342C" w14:paraId="6256BCC3" w14:textId="77777777" w:rsidTr="00E2342C">
        <w:trPr>
          <w:trHeight w:val="20"/>
          <w:jc w:val="center"/>
        </w:trPr>
        <w:tc>
          <w:tcPr>
            <w:tcW w:w="443" w:type="dxa"/>
            <w:hideMark/>
          </w:tcPr>
          <w:p w14:paraId="2B70471D" w14:textId="77777777" w:rsidR="00E2342C" w:rsidRPr="00E2342C" w:rsidRDefault="00E2342C" w:rsidP="00E2342C">
            <w:pPr>
              <w:spacing w:before="80" w:after="80" w:line="280" w:lineRule="exact"/>
              <w:rPr>
                <w:lang w:val="en-GB"/>
              </w:rPr>
            </w:pPr>
            <w:r w:rsidRPr="00E2342C">
              <w:rPr>
                <w:lang w:val="en-GB"/>
              </w:rPr>
              <w:t>1</w:t>
            </w:r>
          </w:p>
        </w:tc>
        <w:tc>
          <w:tcPr>
            <w:tcW w:w="6490" w:type="dxa"/>
          </w:tcPr>
          <w:p w14:paraId="0D64DF8E" w14:textId="0B9A116D" w:rsidR="00E2342C" w:rsidRPr="00E2342C" w:rsidRDefault="00E2342C" w:rsidP="007A0C71">
            <w:pPr>
              <w:spacing w:before="80" w:after="80" w:line="280" w:lineRule="exact"/>
            </w:pPr>
            <w:r w:rsidRPr="00E2342C">
              <w:rPr>
                <w:color w:val="000000"/>
                <w:rtl/>
              </w:rPr>
              <w:t>تقرير رئيس فريق العمل التابع للمجلس والمعني بالخطتين الاستراتيجية والمالية للفترة 2028-2031، متضمناً مشروع الخطة الاستراتيجية للفترة 2028-2031</w:t>
            </w:r>
          </w:p>
        </w:tc>
        <w:tc>
          <w:tcPr>
            <w:tcW w:w="2138" w:type="dxa"/>
          </w:tcPr>
          <w:p w14:paraId="71E11104" w14:textId="788C3257" w:rsidR="00E2342C" w:rsidRPr="00E2342C" w:rsidRDefault="00E2342C" w:rsidP="00E2342C">
            <w:pPr>
              <w:spacing w:before="80" w:after="80" w:line="280" w:lineRule="exact"/>
              <w:jc w:val="center"/>
              <w:rPr>
                <w:lang w:val="en-GB"/>
              </w:rPr>
            </w:pPr>
            <w:hyperlink r:id="rId8" w:history="1">
              <w:r w:rsidRPr="00E2342C">
                <w:rPr>
                  <w:rStyle w:val="Hyperlink"/>
                  <w:rFonts w:eastAsia="Times New Roman"/>
                </w:rPr>
                <w:t>C26/31</w:t>
              </w:r>
            </w:hyperlink>
            <w:r>
              <w:rPr>
                <w:rStyle w:val="Hyperlink"/>
                <w:rFonts w:eastAsia="Times New Roman" w:hint="cs"/>
                <w:rtl/>
              </w:rPr>
              <w:t> + الإضافة 1</w:t>
            </w:r>
            <w:r w:rsidRPr="00E2342C">
              <w:rPr>
                <w:rtl/>
                <w:lang w:val="en-GB"/>
              </w:rPr>
              <w:t xml:space="preserve">، </w:t>
            </w:r>
            <w:hyperlink r:id="rId9" w:history="1">
              <w:r w:rsidRPr="00E2342C">
                <w:rPr>
                  <w:rStyle w:val="Hyperlink"/>
                  <w:rFonts w:eastAsia="Times New Roman"/>
                </w:rPr>
                <w:t>C26/83</w:t>
              </w:r>
            </w:hyperlink>
          </w:p>
        </w:tc>
      </w:tr>
      <w:tr w:rsidR="00E2342C" w:rsidRPr="00E2342C" w14:paraId="54775959" w14:textId="77777777" w:rsidTr="00E2342C">
        <w:trPr>
          <w:trHeight w:val="20"/>
          <w:jc w:val="center"/>
        </w:trPr>
        <w:tc>
          <w:tcPr>
            <w:tcW w:w="443" w:type="dxa"/>
          </w:tcPr>
          <w:p w14:paraId="34947DDA" w14:textId="77777777" w:rsidR="00E2342C" w:rsidRPr="00E2342C" w:rsidRDefault="00E2342C" w:rsidP="00E2342C">
            <w:pPr>
              <w:spacing w:before="80" w:after="80" w:line="280" w:lineRule="exact"/>
              <w:rPr>
                <w:lang w:val="en-GB"/>
              </w:rPr>
            </w:pPr>
            <w:r w:rsidRPr="00E2342C">
              <w:rPr>
                <w:lang w:val="en-GB"/>
              </w:rPr>
              <w:t>2</w:t>
            </w:r>
          </w:p>
        </w:tc>
        <w:tc>
          <w:tcPr>
            <w:tcW w:w="6490" w:type="dxa"/>
          </w:tcPr>
          <w:p w14:paraId="3FACD515" w14:textId="4EEED7A2" w:rsidR="00E2342C" w:rsidRPr="00E2342C" w:rsidRDefault="00E2342C" w:rsidP="007A0C71">
            <w:pPr>
              <w:spacing w:before="80" w:after="80" w:line="280" w:lineRule="exact"/>
              <w:rPr>
                <w:rFonts w:hAnsiTheme="minorHAnsi"/>
                <w:color w:val="2F2F2F"/>
                <w:shd w:val="clear" w:color="auto" w:fill="FFFFFF"/>
                <w:lang w:val="en-GB"/>
              </w:rPr>
            </w:pPr>
            <w:r w:rsidRPr="00E2342C">
              <w:rPr>
                <w:color w:val="000000"/>
                <w:rtl/>
              </w:rPr>
              <w:t>تقارير رئيس فريق العمل التابع للمجلس والمعني بحماية الأطفال على الإنترنت</w:t>
            </w:r>
          </w:p>
        </w:tc>
        <w:tc>
          <w:tcPr>
            <w:tcW w:w="2138" w:type="dxa"/>
            <w:vAlign w:val="center"/>
          </w:tcPr>
          <w:p w14:paraId="64776C01" w14:textId="082339AA" w:rsidR="00E2342C" w:rsidRPr="00E2342C" w:rsidRDefault="00E2342C" w:rsidP="00E2342C">
            <w:pPr>
              <w:spacing w:before="80" w:after="80" w:line="280" w:lineRule="exact"/>
              <w:jc w:val="center"/>
              <w:rPr>
                <w:lang w:val="en-GB"/>
              </w:rPr>
            </w:pPr>
            <w:hyperlink r:id="rId10" w:history="1">
              <w:r w:rsidRPr="00E2342C">
                <w:rPr>
                  <w:rStyle w:val="Hyperlink"/>
                  <w:rFonts w:eastAsia="Times New Roman"/>
                </w:rPr>
                <w:t>C26/15</w:t>
              </w:r>
            </w:hyperlink>
            <w:r w:rsidRPr="00E2342C">
              <w:rPr>
                <w:rtl/>
                <w:lang w:val="en-GB"/>
              </w:rPr>
              <w:t xml:space="preserve">، </w:t>
            </w:r>
            <w:hyperlink r:id="rId11" w:history="1">
              <w:r w:rsidRPr="00E2342C">
                <w:rPr>
                  <w:rStyle w:val="Hyperlink"/>
                  <w:rFonts w:eastAsia="Times New Roman"/>
                </w:rPr>
                <w:t>C26/18</w:t>
              </w:r>
            </w:hyperlink>
          </w:p>
        </w:tc>
      </w:tr>
      <w:tr w:rsidR="00E2342C" w:rsidRPr="00E2342C" w14:paraId="21CCBAB2" w14:textId="77777777" w:rsidTr="00E2342C">
        <w:trPr>
          <w:trHeight w:val="20"/>
          <w:jc w:val="center"/>
        </w:trPr>
        <w:tc>
          <w:tcPr>
            <w:tcW w:w="443" w:type="dxa"/>
          </w:tcPr>
          <w:p w14:paraId="01AB9642" w14:textId="77777777" w:rsidR="00E2342C" w:rsidRPr="00E2342C" w:rsidRDefault="00E2342C" w:rsidP="00E2342C">
            <w:pPr>
              <w:spacing w:before="80" w:after="80" w:line="280" w:lineRule="exact"/>
              <w:rPr>
                <w:lang w:val="en-GB"/>
              </w:rPr>
            </w:pPr>
            <w:r w:rsidRPr="00E2342C">
              <w:rPr>
                <w:lang w:val="en-GB"/>
              </w:rPr>
              <w:t>3</w:t>
            </w:r>
          </w:p>
        </w:tc>
        <w:tc>
          <w:tcPr>
            <w:tcW w:w="6490" w:type="dxa"/>
          </w:tcPr>
          <w:p w14:paraId="2EB01D2C" w14:textId="30C88DA3" w:rsidR="00E2342C" w:rsidRPr="00E2342C" w:rsidRDefault="00E2342C" w:rsidP="007A0C71">
            <w:pPr>
              <w:spacing w:before="80" w:after="80" w:line="280" w:lineRule="exact"/>
              <w:rPr>
                <w:lang w:val="en-GB"/>
              </w:rPr>
            </w:pPr>
            <w:r w:rsidRPr="00E2342C">
              <w:rPr>
                <w:color w:val="000000"/>
                <w:rtl/>
              </w:rPr>
              <w:t>تقرير بشأن القرار رقم 214 (بوخارست، 2022) لمؤتمر المندوبين المفوضين، بشأن تكنولوجيات الذكاء الاصطناعي والاتصالات/تكنولوجيا المعلومات والاتصالات</w:t>
            </w:r>
          </w:p>
        </w:tc>
        <w:tc>
          <w:tcPr>
            <w:tcW w:w="2138" w:type="dxa"/>
          </w:tcPr>
          <w:p w14:paraId="355BE77F" w14:textId="0C901E4B" w:rsidR="00E2342C" w:rsidRPr="00E2342C" w:rsidRDefault="00E2342C" w:rsidP="00E2342C">
            <w:pPr>
              <w:spacing w:before="80" w:after="80" w:line="280" w:lineRule="exact"/>
              <w:jc w:val="center"/>
              <w:rPr>
                <w:lang w:val="en-GB"/>
              </w:rPr>
            </w:pPr>
            <w:hyperlink r:id="rId12" w:history="1">
              <w:r w:rsidRPr="00E2342C">
                <w:rPr>
                  <w:rStyle w:val="Hyperlink"/>
                  <w:rFonts w:eastAsia="Times New Roman"/>
                </w:rPr>
                <w:t>C26/29</w:t>
              </w:r>
            </w:hyperlink>
            <w:r w:rsidRPr="00E2342C">
              <w:rPr>
                <w:rtl/>
                <w:lang w:val="en-GB"/>
              </w:rPr>
              <w:t xml:space="preserve">، </w:t>
            </w:r>
            <w:hyperlink r:id="rId13" w:history="1">
              <w:r w:rsidRPr="00E2342C">
                <w:rPr>
                  <w:rStyle w:val="Hyperlink"/>
                  <w:rFonts w:eastAsia="Times New Roman"/>
                </w:rPr>
                <w:t>C26/79</w:t>
              </w:r>
            </w:hyperlink>
          </w:p>
        </w:tc>
      </w:tr>
      <w:tr w:rsidR="00E2342C" w:rsidRPr="00E2342C" w14:paraId="59F2F6C3" w14:textId="77777777" w:rsidTr="00E2342C">
        <w:trPr>
          <w:trHeight w:val="20"/>
          <w:jc w:val="center"/>
        </w:trPr>
        <w:tc>
          <w:tcPr>
            <w:tcW w:w="443" w:type="dxa"/>
          </w:tcPr>
          <w:p w14:paraId="4623040C" w14:textId="77777777" w:rsidR="00E2342C" w:rsidRPr="00E2342C" w:rsidRDefault="00E2342C" w:rsidP="00E2342C">
            <w:pPr>
              <w:spacing w:before="80" w:after="80" w:line="280" w:lineRule="exact"/>
              <w:rPr>
                <w:lang w:val="en-GB"/>
              </w:rPr>
            </w:pPr>
            <w:r w:rsidRPr="00E2342C">
              <w:rPr>
                <w:lang w:val="en-GB"/>
              </w:rPr>
              <w:t>4</w:t>
            </w:r>
          </w:p>
        </w:tc>
        <w:tc>
          <w:tcPr>
            <w:tcW w:w="6490" w:type="dxa"/>
          </w:tcPr>
          <w:p w14:paraId="485F21D7" w14:textId="79013556" w:rsidR="00E2342C" w:rsidRPr="00E2342C" w:rsidRDefault="00E2342C" w:rsidP="007A0C71">
            <w:pPr>
              <w:spacing w:before="80" w:after="80" w:line="280" w:lineRule="exact"/>
              <w:rPr>
                <w:lang w:val="en-GB" w:eastAsia="en-GB"/>
              </w:rPr>
            </w:pPr>
            <w:r w:rsidRPr="00E2342C">
              <w:rPr>
                <w:color w:val="000000"/>
                <w:rtl/>
              </w:rPr>
              <w:t>بيانات أدلى بها أعضاء المجلس</w:t>
            </w:r>
          </w:p>
        </w:tc>
        <w:tc>
          <w:tcPr>
            <w:tcW w:w="2138" w:type="dxa"/>
          </w:tcPr>
          <w:p w14:paraId="04A21B03" w14:textId="77777777" w:rsidR="00E2342C" w:rsidRPr="00E2342C" w:rsidRDefault="00E2342C" w:rsidP="00E2342C">
            <w:pPr>
              <w:spacing w:before="80" w:after="80" w:line="280" w:lineRule="exact"/>
              <w:jc w:val="center"/>
              <w:rPr>
                <w:lang w:val="en-GB"/>
              </w:rPr>
            </w:pPr>
            <w:r w:rsidRPr="00E2342C">
              <w:rPr>
                <w:lang w:val="en-GB"/>
              </w:rPr>
              <w:t>–</w:t>
            </w:r>
          </w:p>
        </w:tc>
      </w:tr>
      <w:tr w:rsidR="00E2342C" w:rsidRPr="00E2342C" w14:paraId="4D2996FB" w14:textId="77777777" w:rsidTr="00E2342C">
        <w:trPr>
          <w:trHeight w:val="20"/>
          <w:jc w:val="center"/>
        </w:trPr>
        <w:tc>
          <w:tcPr>
            <w:tcW w:w="443" w:type="dxa"/>
          </w:tcPr>
          <w:p w14:paraId="58F18B47" w14:textId="77777777" w:rsidR="00E2342C" w:rsidRPr="00E2342C" w:rsidRDefault="00E2342C" w:rsidP="00E2342C">
            <w:pPr>
              <w:spacing w:before="80" w:after="80" w:line="280" w:lineRule="exact"/>
              <w:rPr>
                <w:lang w:val="en-GB"/>
              </w:rPr>
            </w:pPr>
            <w:r w:rsidRPr="00E2342C">
              <w:rPr>
                <w:lang w:val="en-GB"/>
              </w:rPr>
              <w:t>5</w:t>
            </w:r>
          </w:p>
        </w:tc>
        <w:tc>
          <w:tcPr>
            <w:tcW w:w="6490" w:type="dxa"/>
          </w:tcPr>
          <w:p w14:paraId="457906F9" w14:textId="39E0F6E4" w:rsidR="00E2342C" w:rsidRPr="00E2342C" w:rsidRDefault="00E2342C" w:rsidP="007A0C71">
            <w:pPr>
              <w:spacing w:before="80" w:after="80" w:line="280" w:lineRule="exact"/>
              <w:rPr>
                <w:lang w:val="en-GB"/>
              </w:rPr>
            </w:pPr>
            <w:r w:rsidRPr="00E2342C">
              <w:rPr>
                <w:color w:val="000000"/>
                <w:rtl/>
              </w:rPr>
              <w:t>التعازي بوفاة السيد يوري غرين</w:t>
            </w:r>
          </w:p>
        </w:tc>
        <w:tc>
          <w:tcPr>
            <w:tcW w:w="2138" w:type="dxa"/>
          </w:tcPr>
          <w:p w14:paraId="4F0D52AD" w14:textId="77777777" w:rsidR="00E2342C" w:rsidRPr="00E2342C" w:rsidRDefault="00E2342C" w:rsidP="00E2342C">
            <w:pPr>
              <w:spacing w:before="80" w:after="80" w:line="280" w:lineRule="exact"/>
              <w:jc w:val="center"/>
              <w:rPr>
                <w:lang w:val="en-GB"/>
              </w:rPr>
            </w:pPr>
            <w:r w:rsidRPr="00E2342C">
              <w:rPr>
                <w:lang w:val="en-GB"/>
              </w:rPr>
              <w:t>–</w:t>
            </w:r>
          </w:p>
        </w:tc>
      </w:tr>
    </w:tbl>
    <w:p w14:paraId="14168905" w14:textId="77777777" w:rsidR="00E61BE8" w:rsidRDefault="00E61BE8" w:rsidP="00E61BE8">
      <w:pPr>
        <w:rPr>
          <w:rtl/>
          <w:lang w:bidi="ar-EG"/>
        </w:rPr>
      </w:pPr>
    </w:p>
    <w:p w14:paraId="3F934960" w14:textId="77777777" w:rsidR="00F50E3F" w:rsidRDefault="00F50E3F" w:rsidP="0043260A">
      <w:pPr>
        <w:rPr>
          <w:rtl/>
          <w:lang w:bidi="ar-EG"/>
        </w:rPr>
      </w:pPr>
      <w:r>
        <w:rPr>
          <w:rtl/>
          <w:lang w:bidi="ar-EG"/>
        </w:rPr>
        <w:br w:type="page"/>
      </w:r>
    </w:p>
    <w:p w14:paraId="515AF6F1" w14:textId="103D9010" w:rsidR="00E2342C" w:rsidRPr="00E2342C" w:rsidRDefault="00E2342C" w:rsidP="00E2342C">
      <w:pPr>
        <w:pStyle w:val="Heading1"/>
        <w:rPr>
          <w:lang w:val="en-GB"/>
        </w:rPr>
      </w:pPr>
      <w:r w:rsidRPr="00E2342C">
        <w:rPr>
          <w:lang w:val="en-GB"/>
        </w:rPr>
        <w:lastRenderedPageBreak/>
        <w:t>1</w:t>
      </w:r>
      <w:r w:rsidRPr="00E2342C">
        <w:rPr>
          <w:lang w:val="en-GB"/>
        </w:rPr>
        <w:tab/>
      </w:r>
      <w:r w:rsidRPr="00E2342C">
        <w:rPr>
          <w:rtl/>
        </w:rPr>
        <w:t>تقرير رئيس فريق العمل التابع للمجلس والمعني بالخطتين الاستراتيجية والمالية للفترة</w:t>
      </w:r>
      <w:r w:rsidR="007A0C71">
        <w:rPr>
          <w:rFonts w:hint="eastAsia"/>
          <w:rtl/>
        </w:rPr>
        <w:t> </w:t>
      </w:r>
      <w:r w:rsidRPr="00E2342C">
        <w:rPr>
          <w:rtl/>
        </w:rPr>
        <w:t>2028-2031، متضمناً مشروع الخطة الاستراتيجية للفترة 2028-2031</w:t>
      </w:r>
      <w:r w:rsidRPr="00E2342C">
        <w:rPr>
          <w:rFonts w:hint="cs"/>
          <w:rtl/>
        </w:rPr>
        <w:t xml:space="preserve"> (الوثائق</w:t>
      </w:r>
      <w:r w:rsidRPr="00E2342C">
        <w:rPr>
          <w:rFonts w:hint="eastAsia"/>
          <w:rtl/>
        </w:rPr>
        <w:t> </w:t>
      </w:r>
      <w:hyperlink r:id="rId14" w:history="1">
        <w:r w:rsidRPr="00E2342C">
          <w:rPr>
            <w:rStyle w:val="Hyperlink"/>
            <w:rFonts w:eastAsia="Times New Roman"/>
          </w:rPr>
          <w:t>C26/31</w:t>
        </w:r>
      </w:hyperlink>
      <w:r w:rsidRPr="00E2342C">
        <w:rPr>
          <w:rStyle w:val="Hyperlink"/>
          <w:rFonts w:eastAsia="Times New Roman" w:hint="cs"/>
          <w:rtl/>
        </w:rPr>
        <w:t xml:space="preserve"> + الإضافة </w:t>
      </w:r>
      <w:r w:rsidRPr="00E2342C">
        <w:rPr>
          <w:rStyle w:val="Hyperlink"/>
          <w:rFonts w:eastAsia="Times New Roman"/>
          <w:lang w:val="en-US"/>
        </w:rPr>
        <w:t>1</w:t>
      </w:r>
      <w:r w:rsidRPr="00E2342C">
        <w:rPr>
          <w:rFonts w:hint="cs"/>
          <w:rtl/>
          <w:lang w:val="en-GB"/>
        </w:rPr>
        <w:t xml:space="preserve"> و</w:t>
      </w:r>
      <w:hyperlink r:id="rId15" w:history="1">
        <w:r w:rsidRPr="00E2342C">
          <w:rPr>
            <w:rStyle w:val="Hyperlink"/>
            <w:rFonts w:eastAsia="Times New Roman"/>
          </w:rPr>
          <w:t>C26/83</w:t>
        </w:r>
      </w:hyperlink>
      <w:r w:rsidRPr="00E2342C">
        <w:rPr>
          <w:rStyle w:val="Hyperlink"/>
          <w:rFonts w:eastAsia="Times New Roman" w:hint="cs"/>
          <w:rtl/>
        </w:rPr>
        <w:t>)</w:t>
      </w:r>
    </w:p>
    <w:p w14:paraId="02635164" w14:textId="0F77C6FD" w:rsidR="00E2342C" w:rsidRPr="00E2342C" w:rsidRDefault="00E2342C" w:rsidP="00E2342C">
      <w:pPr>
        <w:rPr>
          <w:lang w:val="ar-SA" w:bidi="ar-EG"/>
        </w:rPr>
      </w:pPr>
      <w:r>
        <w:t>1.1</w:t>
      </w:r>
      <w:r w:rsidRPr="00E2342C">
        <w:rPr>
          <w:rtl/>
        </w:rPr>
        <w:tab/>
        <w:t xml:space="preserve">قدم رئيس فريق العمل التابع للمجلس والمعني بالخطتين الاستراتيجية والمالية </w:t>
      </w:r>
      <w:r w:rsidRPr="00E2342C">
        <w:rPr>
          <w:lang w:bidi="ar-EG"/>
        </w:rPr>
        <w:t>(CWG-SFP)</w:t>
      </w:r>
      <w:r w:rsidRPr="00E2342C">
        <w:rPr>
          <w:rtl/>
        </w:rPr>
        <w:t xml:space="preserve"> للفترة</w:t>
      </w:r>
      <w:r>
        <w:rPr>
          <w:rFonts w:hint="cs"/>
          <w:rtl/>
        </w:rPr>
        <w:t> </w:t>
      </w:r>
      <w:r w:rsidRPr="00E2342C">
        <w:rPr>
          <w:rtl/>
        </w:rPr>
        <w:t>2028-2031 الوثيقة C26/31، إلى جانب الملحقات 1-3 والإضافة 1 لها. وتضمنت الوثيقة تقريراً عن عمل الفريق في الفترة من 2024 إلى 2026. وأشار إلى ضرورة التوصل إلى اتفاق بشأن مشروع الملحق 1 المقترح لمراجعة القرار</w:t>
      </w:r>
      <w:r>
        <w:rPr>
          <w:rFonts w:hint="cs"/>
          <w:rtl/>
        </w:rPr>
        <w:t> </w:t>
      </w:r>
      <w:r w:rsidRPr="00E2342C">
        <w:rPr>
          <w:rtl/>
        </w:rPr>
        <w:t>71</w:t>
      </w:r>
      <w:r>
        <w:rPr>
          <w:rFonts w:hint="cs"/>
          <w:rtl/>
        </w:rPr>
        <w:t> </w:t>
      </w:r>
      <w:r w:rsidRPr="00E2342C">
        <w:rPr>
          <w:rtl/>
        </w:rPr>
        <w:t>(المراجَع في بوخارست، 2022) لمؤتمر المندوبين المفوضين، الذي يتضمن مشروع الخطتين الاستراتيجية والمالية، والملحق 2 الذي يتضمن مشروع تحليل الحالة. وقد طلب الفريق من الأمانة إعداد بدائل لمقاصد ونواتج ومؤشرات معينة، والتنسيق مع الجهات الراعية للمساهمة المقدمة من عدة البلدان في إطار هذا البند من جدول الأعمال.</w:t>
      </w:r>
    </w:p>
    <w:p w14:paraId="37360E7E" w14:textId="7532AC9A" w:rsidR="00E2342C" w:rsidRPr="00E2342C" w:rsidRDefault="00E2342C" w:rsidP="00E2342C">
      <w:pPr>
        <w:rPr>
          <w:lang w:val="ar-SA" w:bidi="ar-EG"/>
        </w:rPr>
      </w:pPr>
      <w:r>
        <w:t>2.1</w:t>
      </w:r>
      <w:r w:rsidRPr="00E2342C">
        <w:rPr>
          <w:rtl/>
        </w:rPr>
        <w:tab/>
        <w:t>وأفصح ممثل للأمانة العامة عن تقديم عدد من المقترحات بشأن مشروع الملحق 1، وذلك بعد التشاور مع خبراء من الاتحاد. وأدرجت المؤشرات الجديدة المقترحة في إطار المقصدين 1.5 و1.7. واقترحت الأمانة أيضاً تغيير عنوان المقصد 7.1 لدعم نهج الإدارة القائمة على النتائج. كما اقترحت إضافة حاشية لتوضيح الإحالات إلى لوائح الراديو بشأن الأولوية في استخدام الطيف للخدمات الفضائية وخدمات الأرض. واقترحت أيضاً حذف الإشارات إلى سد الفجوة التقييسية، التي جرى تناولها بالفعل في مشروع الخطة التشغيلية. وبعد التشاور مع الاتحاد الروسي، اقتُرح إدراج فقرة في التذييل 1 لمشروع الملحق 1 لإيضاح العلاقة بين الخطة الاستراتيجية والخطة التشغيلية. كما اقتُرح حذف المؤشرات الخاصة بالعوامل التمكينية.</w:t>
      </w:r>
    </w:p>
    <w:p w14:paraId="2FD6D536" w14:textId="2342EAC6" w:rsidR="00E2342C" w:rsidRPr="00E2342C" w:rsidRDefault="00E2342C" w:rsidP="007A0C71">
      <w:pPr>
        <w:rPr>
          <w:lang w:val="ar-SA" w:bidi="ar-EG"/>
        </w:rPr>
      </w:pPr>
      <w:r>
        <w:t>3.1</w:t>
      </w:r>
      <w:r w:rsidRPr="00E2342C">
        <w:rPr>
          <w:rtl/>
        </w:rPr>
        <w:tab/>
        <w:t xml:space="preserve">وقال رئيس الفريق </w:t>
      </w:r>
      <w:r w:rsidRPr="00E2342C">
        <w:rPr>
          <w:lang w:bidi="ar-EG"/>
        </w:rPr>
        <w:t>CWG-SFP</w:t>
      </w:r>
      <w:r w:rsidRPr="00E2342C">
        <w:rPr>
          <w:rtl/>
        </w:rPr>
        <w:t xml:space="preserve"> إنه لم يتحقق توافق في الآراء بشأن ما إذا كان ينبغي إرفاق مشروع الملحق</w:t>
      </w:r>
      <w:r w:rsidR="007A0C71">
        <w:rPr>
          <w:rFonts w:hint="cs"/>
          <w:rtl/>
        </w:rPr>
        <w:t> </w:t>
      </w:r>
      <w:r w:rsidRPr="00E2342C">
        <w:rPr>
          <w:rtl/>
        </w:rPr>
        <w:t xml:space="preserve">2 بمراجعة القرار 71 (المراجَع في بوخارست، 2022) أو تقديمه باعتباره وثيقة معلومات منفصلة من أجل توجيه عملية صياغة الخطتين الاستراتيجية والمالية. ولفت الانتباه إلى مشروع الملحق 3 الذي يتضمن مسرداً للمصطلحات يتماشى مع دليل الأمم المتحدة لتنفيذ الإدارة القائمة على النتائج. وبالإضافة إلى ذلك، رغم عدم تقديم أي مقترح بشأن مراجعة أحكام القرار 71 (المراجَع في بوخارست، 2022)، أصدرت الأمانة الوثيقة </w:t>
      </w:r>
      <w:hyperlink r:id="rId16" w:history="1">
        <w:r w:rsidR="007A0C71" w:rsidRPr="007A0C71">
          <w:rPr>
            <w:rStyle w:val="Hyperlink"/>
            <w:noProof w:val="0"/>
            <w:lang w:eastAsia="zh-CN"/>
          </w:rPr>
          <w:t>C26/INF/1</w:t>
        </w:r>
      </w:hyperlink>
      <w:r w:rsidRPr="00E2342C">
        <w:rPr>
          <w:rtl/>
        </w:rPr>
        <w:t xml:space="preserve"> التي تتضمن مبادئ توجيهية لتنسيق قرارات ومقررات مؤتمر المندوبين المفوضين.</w:t>
      </w:r>
    </w:p>
    <w:p w14:paraId="5FBE5680" w14:textId="5B4EE14B" w:rsidR="00E2342C" w:rsidRPr="00E2342C" w:rsidRDefault="00E2342C" w:rsidP="00E2342C">
      <w:pPr>
        <w:rPr>
          <w:rtl/>
          <w:lang w:val="ar-SA" w:bidi="ar-EG"/>
        </w:rPr>
      </w:pPr>
      <w:r>
        <w:t>4.1</w:t>
      </w:r>
      <w:r w:rsidRPr="00E2342C">
        <w:rPr>
          <w:rtl/>
        </w:rPr>
        <w:tab/>
      </w:r>
      <w:r>
        <w:rPr>
          <w:rFonts w:hint="cs"/>
          <w:rtl/>
        </w:rPr>
        <w:t>و</w:t>
      </w:r>
      <w:r w:rsidRPr="00E2342C">
        <w:rPr>
          <w:rtl/>
        </w:rPr>
        <w:t>نظراً لأن الوثائق المقدمة إلى مؤتمر المندوبين المفوضين لا يمكن أن تتضمن تعليقات، دعا رئيس الفريق مقدمي الاقتراحات إلى النظر في تقديم الآراء المذكورة في مشاريع الملحقات السابقة على هيئة مساهمات رسمية إلى مؤتمر المندوبين المفوضين (الدوحة، 2026</w:t>
      </w:r>
      <w:r w:rsidR="007A0C71">
        <w:rPr>
          <w:rFonts w:hint="cs"/>
          <w:rtl/>
          <w:lang w:bidi="ar-EG"/>
        </w:rPr>
        <w:t xml:space="preserve">) </w:t>
      </w:r>
      <w:r w:rsidR="007A0C71">
        <w:rPr>
          <w:lang w:bidi="ar-EG"/>
        </w:rPr>
        <w:t>(PP</w:t>
      </w:r>
      <w:r w:rsidR="007A0C71">
        <w:rPr>
          <w:lang w:bidi="ar-EG"/>
        </w:rPr>
        <w:noBreakHyphen/>
        <w:t>26)</w:t>
      </w:r>
      <w:r w:rsidR="007A0C71">
        <w:rPr>
          <w:rFonts w:hint="cs"/>
          <w:rtl/>
          <w:lang w:bidi="ar-EG"/>
        </w:rPr>
        <w:t>.</w:t>
      </w:r>
    </w:p>
    <w:p w14:paraId="24095D32" w14:textId="762C4AF6" w:rsidR="00E2342C" w:rsidRPr="00E2342C" w:rsidRDefault="00E2342C" w:rsidP="00E2342C">
      <w:pPr>
        <w:rPr>
          <w:lang w:val="ar-SA" w:bidi="ar-EG"/>
        </w:rPr>
      </w:pPr>
      <w:r>
        <w:t>5.1</w:t>
      </w:r>
      <w:r w:rsidRPr="00E2342C">
        <w:rPr>
          <w:rtl/>
        </w:rPr>
        <w:tab/>
      </w:r>
      <w:r>
        <w:rPr>
          <w:rFonts w:hint="cs"/>
          <w:rtl/>
        </w:rPr>
        <w:t>و</w:t>
      </w:r>
      <w:r w:rsidRPr="00E2342C">
        <w:rPr>
          <w:rtl/>
        </w:rPr>
        <w:t>قدم عضو المجلس من بلغاريا، بالنيابة عن 4 بلدان، المساهمة المقدمة من عدة بلدان والواردة في الوثيقة</w:t>
      </w:r>
      <w:r>
        <w:rPr>
          <w:rFonts w:hint="cs"/>
          <w:rtl/>
        </w:rPr>
        <w:t> </w:t>
      </w:r>
      <w:r w:rsidRPr="00E2342C">
        <w:rPr>
          <w:rtl/>
        </w:rPr>
        <w:t>C26/83. تتضمن الوثيقة آراء تلك البلدان بشأن مشروع الخطة الاستراتيجية للاتحاد للفترة 2028-2031. ترى هذه الب</w:t>
      </w:r>
      <w:r w:rsidR="00E01245">
        <w:rPr>
          <w:rFonts w:hint="cs"/>
          <w:rtl/>
          <w:lang w:bidi="ar-EG"/>
        </w:rPr>
        <w:t>ل</w:t>
      </w:r>
      <w:r w:rsidRPr="00E2342C">
        <w:rPr>
          <w:rtl/>
        </w:rPr>
        <w:t>دان أهمية أن تعكس الخطة الاستراتيجية دور الاتحاد بوصفه هيكلاً إدارياً. ينبغي كذلك اعتماد نهج استراتيجي أعمق، يستند إلى مبادئ الإدارة القائمة على النتائج، في صياغة الوثيقة من أجل إيجاد صلة واضحة مع الخطط المالية والتشغيلية. وينبغي استخدام غايات وأولويات مواضيعية محددة وقابلة للقياس، وكذلك مؤشرات واقعية، وينبغي إجراء تقييمات عملية للوقوف على إمكانية تنفيذها في غضون أربع سنوات. وينبغي أن تكون جميع الغايات والأولويات والنواتج متسقة مع الموارد البشرية والمالية والتقنية المتاحة، وألا تستدعي الحاجة توفير موارد إضافية للحصول على البيانات الضرورية لأي مؤشرات. وبالإضافة إلى ذلك، ووفقاً لمسرد المصطلحات المقترح، ينبغي مناقشة العوامل التمكينية في سياق دورها كأصول قائمة متاحة لدعم تنفيذ الخطة الاستراتيجية، وليس كعوامل يُراد تحقيقها.</w:t>
      </w:r>
    </w:p>
    <w:p w14:paraId="164901D6" w14:textId="70B90465" w:rsidR="00E2342C" w:rsidRPr="00E2342C" w:rsidRDefault="00E2342C" w:rsidP="00E2342C">
      <w:pPr>
        <w:rPr>
          <w:lang w:val="ar-SA" w:bidi="ar-EG"/>
        </w:rPr>
      </w:pPr>
      <w:r>
        <w:t>6.1</w:t>
      </w:r>
      <w:r w:rsidRPr="00E2342C">
        <w:rPr>
          <w:rtl/>
        </w:rPr>
        <w:tab/>
      </w:r>
      <w:r>
        <w:rPr>
          <w:rFonts w:hint="cs"/>
          <w:rtl/>
        </w:rPr>
        <w:t>و</w:t>
      </w:r>
      <w:r w:rsidRPr="00E2342C">
        <w:rPr>
          <w:rtl/>
        </w:rPr>
        <w:t>رحب أعضاء المجلس بالتقدم المحرز في المشروع الحالي للخطة الاستراتيجية للفترة 2028-2031، التي ستكون بمثابة بوصلة لتوجيه أعمال الاتحاد نحو تحقيق الأهداف المشتركة.</w:t>
      </w:r>
    </w:p>
    <w:p w14:paraId="09D82AD7" w14:textId="04EA836B" w:rsidR="00E2342C" w:rsidRPr="00E2342C" w:rsidRDefault="00E2342C" w:rsidP="00E2342C">
      <w:pPr>
        <w:rPr>
          <w:lang w:val="ar-SA" w:bidi="ar-EG"/>
        </w:rPr>
      </w:pPr>
      <w:r>
        <w:t>7.1</w:t>
      </w:r>
      <w:r w:rsidRPr="00E2342C">
        <w:rPr>
          <w:rtl/>
        </w:rPr>
        <w:tab/>
      </w:r>
      <w:r>
        <w:rPr>
          <w:rFonts w:hint="cs"/>
          <w:rtl/>
        </w:rPr>
        <w:t>و</w:t>
      </w:r>
      <w:r w:rsidRPr="00E2342C">
        <w:rPr>
          <w:rtl/>
        </w:rPr>
        <w:t>أعرب بعض أعضاء المجلس عن تأييدهم للتوجه العام لمشروع الخطة الاستراتيجية، ولا سيما التركيز على التوصيلية الشاملة والتحول الرقمي المستدام، بالنظر إلى العدد الكبير من السكان - يعيش معظمهم في بلدان نامية - الذين ما زالوا غير موصولين. فيجب أن تراعي الخطة الاستراتيجية واقع البلدان النامية وأولوياتها. وأشاد أحد أعضاء المجلس بإدراج أولوية بشأن قابلية التشغيل البيني والابتكار في مجال الاتصالات/تكنولوجيا المعلومات والاتصالات</w:t>
      </w:r>
      <w:r>
        <w:rPr>
          <w:rFonts w:hint="cs"/>
          <w:rtl/>
        </w:rPr>
        <w:t> </w:t>
      </w:r>
      <w:r w:rsidRPr="00E2342C">
        <w:rPr>
          <w:lang w:bidi="ar-EG"/>
        </w:rPr>
        <w:t>(ICT)</w:t>
      </w:r>
      <w:r w:rsidRPr="00E2342C">
        <w:rPr>
          <w:rtl/>
        </w:rPr>
        <w:t xml:space="preserve"> على الصعيد العالمي، في حين سلط عضو آخر الضوء على أهمية المؤشرات المتعلقة بالتغطية بخدمات النطاق العريض وميسورية التكاليف والأمن السيبراني وقدرة الشبكات على الصمود.</w:t>
      </w:r>
    </w:p>
    <w:p w14:paraId="44F02125" w14:textId="33C04290" w:rsidR="00E2342C" w:rsidRPr="00E2342C" w:rsidRDefault="00E2342C" w:rsidP="00E2342C">
      <w:pPr>
        <w:rPr>
          <w:lang w:val="ar-SA" w:bidi="ar-EG"/>
        </w:rPr>
      </w:pPr>
      <w:r>
        <w:lastRenderedPageBreak/>
        <w:t>8.1</w:t>
      </w:r>
      <w:r w:rsidRPr="00E2342C">
        <w:rPr>
          <w:rtl/>
        </w:rPr>
        <w:tab/>
      </w:r>
      <w:r>
        <w:rPr>
          <w:rFonts w:hint="cs"/>
          <w:rtl/>
        </w:rPr>
        <w:t>و</w:t>
      </w:r>
      <w:r w:rsidRPr="00E2342C">
        <w:rPr>
          <w:rtl/>
        </w:rPr>
        <w:t>أكد عضوان في المجلس على ضرورة تحقيق توازن عملي بين الطموح وميسورية التكاليف، أخذاً في الاعتبار القيود الاقتصادية العالمية. وشدد عضو آخر في المجلس على أهمية توافق الجهود المبذولة لتعزيز الحضور الإقليمي للاتحاد مع مشروع الخطة الاستراتيجية.</w:t>
      </w:r>
    </w:p>
    <w:p w14:paraId="4B345445" w14:textId="71C66BF8" w:rsidR="00E2342C" w:rsidRPr="00E2342C" w:rsidRDefault="00E2342C" w:rsidP="00E2342C">
      <w:pPr>
        <w:rPr>
          <w:lang w:val="ar-SA" w:bidi="ar-EG"/>
        </w:rPr>
      </w:pPr>
      <w:r>
        <w:t>9.1</w:t>
      </w:r>
      <w:r w:rsidRPr="00E2342C">
        <w:rPr>
          <w:rtl/>
        </w:rPr>
        <w:tab/>
      </w:r>
      <w:r>
        <w:rPr>
          <w:rFonts w:hint="cs"/>
          <w:rtl/>
        </w:rPr>
        <w:t>و</w:t>
      </w:r>
      <w:r w:rsidRPr="00E2342C">
        <w:rPr>
          <w:rtl/>
        </w:rPr>
        <w:t>قال أحد أعضاء المجلس إن إجراء تحليل للحالة يعد ممارسة جيدة. أما بشأن مشروع الخطة الاستراتيجية، ينبغي الإقرار بأن موظفي الاتحاد قوة حيوية. وأشار عضو آخر إلى أن القيود على الموارد قد أُدرجت في التحليل باعتبارها نقطة ضعف وتهديداً في آن واحد. ‏اقترح العضو أيضاً أنه ينبغي النظر إلى التعاون بين وكالات الأمم المتحدة الرئيسية باعتباره فرصة سانحة.‎</w:t>
      </w:r>
    </w:p>
    <w:p w14:paraId="3191AE03" w14:textId="64290B3E" w:rsidR="00E2342C" w:rsidRPr="00E2342C" w:rsidRDefault="00E2342C" w:rsidP="00E2342C">
      <w:pPr>
        <w:rPr>
          <w:lang w:val="ar-SA" w:bidi="ar-EG"/>
        </w:rPr>
      </w:pPr>
      <w:r>
        <w:t>10.1</w:t>
      </w:r>
      <w:r w:rsidRPr="00E2342C">
        <w:rPr>
          <w:rtl/>
        </w:rPr>
        <w:tab/>
      </w:r>
      <w:r>
        <w:rPr>
          <w:rFonts w:hint="cs"/>
          <w:rtl/>
        </w:rPr>
        <w:t>و</w:t>
      </w:r>
      <w:r w:rsidRPr="00E2342C">
        <w:rPr>
          <w:rtl/>
        </w:rPr>
        <w:t>أعرب أحد أعضاء المجلس عن تأييده لمسرد المصطلحات الوارد في مشروع الملحق 3 الذي سيساعد على تبسيط عمل الاتحاد.</w:t>
      </w:r>
    </w:p>
    <w:p w14:paraId="3CCD85DA" w14:textId="15A136FF" w:rsidR="00E2342C" w:rsidRPr="00E2342C" w:rsidRDefault="00E2342C" w:rsidP="00E2342C">
      <w:pPr>
        <w:rPr>
          <w:lang w:val="ar-SA" w:bidi="ar-EG"/>
        </w:rPr>
      </w:pPr>
      <w:r>
        <w:t>11.1</w:t>
      </w:r>
      <w:r w:rsidRPr="00E2342C">
        <w:rPr>
          <w:rtl/>
        </w:rPr>
        <w:tab/>
      </w:r>
      <w:r>
        <w:rPr>
          <w:rFonts w:hint="cs"/>
          <w:rtl/>
        </w:rPr>
        <w:t>و</w:t>
      </w:r>
      <w:r w:rsidRPr="00E2342C">
        <w:rPr>
          <w:rtl/>
        </w:rPr>
        <w:t>أكد بعض أعضاء المجلس أن سد الفجوة التقييسية ما يزال يمثل أولوية أساسية للاتحاد في البلدان النامية، وضرورة لتحقيق التنمية الشاملة والمستدامة. لذا ينبغي الإبقاء على الإشارة إليها في مشروع الخطة الاستراتيجية. وأعرب عضو آخر في المجلس عن تأييده للإبقاء على مؤشرات العوامل التمكينية في مشروع الخطة الاستراتيجية، إذ تعد أمراً أساسياً لتنفيذ الخطة بفعالية.</w:t>
      </w:r>
    </w:p>
    <w:p w14:paraId="3394D117" w14:textId="64C79692" w:rsidR="00E2342C" w:rsidRPr="00E2342C" w:rsidRDefault="00E2342C" w:rsidP="00E2342C">
      <w:pPr>
        <w:rPr>
          <w:lang w:val="ar-SA" w:bidi="ar-EG"/>
        </w:rPr>
      </w:pPr>
      <w:r>
        <w:t>12.1</w:t>
      </w:r>
      <w:r w:rsidRPr="00E2342C">
        <w:rPr>
          <w:rtl/>
        </w:rPr>
        <w:tab/>
      </w:r>
      <w:r>
        <w:rPr>
          <w:rFonts w:hint="cs"/>
          <w:rtl/>
        </w:rPr>
        <w:t>و</w:t>
      </w:r>
      <w:r w:rsidRPr="00E2342C">
        <w:rPr>
          <w:rtl/>
        </w:rPr>
        <w:t>دعا عضوان في المجلس إلى إدراج معلومات تفصيلية عن المخاطر، ويشمل ذلك المؤشرات الرئيسية وتدابير التخفيف المرتبطة بها، في مشروع الخطة الاستراتيجية.</w:t>
      </w:r>
    </w:p>
    <w:p w14:paraId="6F263179" w14:textId="57E8593F" w:rsidR="00E2342C" w:rsidRPr="00E2342C" w:rsidRDefault="00E2342C" w:rsidP="00E2342C">
      <w:pPr>
        <w:rPr>
          <w:lang w:val="ar-SA" w:bidi="ar-EG"/>
        </w:rPr>
      </w:pPr>
      <w:r>
        <w:t>13.1</w:t>
      </w:r>
      <w:r w:rsidRPr="00E2342C">
        <w:rPr>
          <w:rtl/>
        </w:rPr>
        <w:tab/>
      </w:r>
      <w:r>
        <w:rPr>
          <w:rFonts w:hint="cs"/>
          <w:rtl/>
        </w:rPr>
        <w:t>و</w:t>
      </w:r>
      <w:r w:rsidRPr="00E2342C">
        <w:rPr>
          <w:rtl/>
        </w:rPr>
        <w:t>أكد أحد أعضاء المجلس أن قياس التأثير ينبغي أن يركز على النتائج المحققة من خلال أنشطة الاتحاد بدلاً من التركيز على أداء الدول الأعضاء.‎ كما ينبغي إعطاء الأولوية للمؤشرات التي يمكن قياسها باستخدام الأدوات القائمة، وينبغي عدم الاعتماد على المؤشرات البديلة.</w:t>
      </w:r>
    </w:p>
    <w:p w14:paraId="2744F229" w14:textId="07B4A98C" w:rsidR="00E2342C" w:rsidRPr="00E2342C" w:rsidRDefault="00E2342C" w:rsidP="00E2342C">
      <w:pPr>
        <w:rPr>
          <w:lang w:val="ar-SA" w:bidi="ar-EG"/>
        </w:rPr>
      </w:pPr>
      <w:r>
        <w:t>14.1</w:t>
      </w:r>
      <w:r w:rsidRPr="00E2342C">
        <w:rPr>
          <w:rtl/>
        </w:rPr>
        <w:tab/>
      </w:r>
      <w:r>
        <w:rPr>
          <w:rFonts w:hint="cs"/>
          <w:rtl/>
        </w:rPr>
        <w:t>و</w:t>
      </w:r>
      <w:r w:rsidRPr="00E2342C">
        <w:rPr>
          <w:rtl/>
        </w:rPr>
        <w:t>دعا أحد أعضاء المجلس إلى بذل جهود لتقليل عدد المؤشرات عن طريق تقييم فائدة البيانات المقترحة في عملية اتخاذ القرار. وأعرب أيضاً عن اهتمامه بمعرفة الآليات المستخدمة لدعم الانتقال من إعداد التقارير القائم على الأنشطة إلى إعداد التقارير القائمة على النتائج، على النحو الذي يشجع عليه مشروع الخطة الاستراتيجية.</w:t>
      </w:r>
    </w:p>
    <w:p w14:paraId="1B0AC479" w14:textId="78607796" w:rsidR="00E2342C" w:rsidRPr="00E2342C" w:rsidRDefault="00E2342C" w:rsidP="00E2342C">
      <w:pPr>
        <w:rPr>
          <w:lang w:val="ar-SA" w:bidi="ar-EG"/>
        </w:rPr>
      </w:pPr>
      <w:r>
        <w:t>15.1</w:t>
      </w:r>
      <w:r w:rsidRPr="00E2342C">
        <w:rPr>
          <w:rtl/>
        </w:rPr>
        <w:tab/>
      </w:r>
      <w:r>
        <w:rPr>
          <w:rFonts w:hint="cs"/>
          <w:rtl/>
        </w:rPr>
        <w:t>و</w:t>
      </w:r>
      <w:r w:rsidRPr="00E2342C">
        <w:rPr>
          <w:rtl/>
        </w:rPr>
        <w:t>دعا أحد أعضاء المجلس إلى مواصلة النظر في المؤشرات المتعلقة بانبعاثات غازات الاحتباس الحراري من قطاع تكنولوجيا المعلومات والاتصالات، ومؤشرات الفضاء من أجل التنمية. واقترح عضو آخر في المجلس الإشارة صراحةً إلى التوافق مع وكالات الأمم المتحدة الأخرى ومواردها - وتحديداً تقرير الاستثمار العالمي الصادر عن مؤتمر الأمم المتحدة للتجارة والتنمية - عند الإشارة إلى الإحصاءات. واقترح عضو ثالث استخدام مؤشر أنسب للمقصد المتعلق بالشبكات القادرة على الصمود، مثل المؤشر المتعلق بقدرة الكبلات البحرية على الصمود. أما فيما يتعلق بالأثر البيئي لتكنولوجيا المعلومات والاتصالات، ينبغي أيضاً إدراج مؤشر يعكس المساهمة الإيجابية لقطاع تكنولوجيا المعلومات والاتصالات في تعزيز التحول الرقمي المراعي للبيئة. وفي مجال الفضاء من أجل التنمية، اقترح العضو دمج المؤشرين، منوهاً إلى وجود تداخل بين اشتراكات النطاق العريض الساتلي واشتراكات النطاق العريض الثابت.</w:t>
      </w:r>
    </w:p>
    <w:p w14:paraId="07200491" w14:textId="38D9034D" w:rsidR="00E2342C" w:rsidRPr="00E2342C" w:rsidRDefault="00E2342C" w:rsidP="00E2342C">
      <w:pPr>
        <w:rPr>
          <w:lang w:val="ar-SA" w:bidi="ar-EG"/>
        </w:rPr>
      </w:pPr>
      <w:r>
        <w:t>16.1</w:t>
      </w:r>
      <w:r w:rsidRPr="00E2342C">
        <w:rPr>
          <w:rtl/>
        </w:rPr>
        <w:tab/>
      </w:r>
      <w:r>
        <w:rPr>
          <w:rFonts w:hint="cs"/>
          <w:rtl/>
        </w:rPr>
        <w:t>و</w:t>
      </w:r>
      <w:r w:rsidRPr="00E2342C">
        <w:rPr>
          <w:rtl/>
        </w:rPr>
        <w:t>أعرب العديد من أعضاء المجلس عن تأييدهم للتوصيات الواردة في الوثيقة C26/83، ولا سيما الحاجة إلى إقامة روابط بين الخطط الاستراتيجية والمالية والتشغيلية بما يكفل أن تعزيز هذه الخطط بعضها بعضاً. وينبغي مواءمة الأهداف الاستراتيجية مع الأولويات والنواتج بصورة واضحة، كما ينبغي تخصيص مؤشرات محددة وقابلة للقياس وقابلة للتحقيق وذات صلة ومحددة زمنياً، للمساعدة في تقييم الأثر الفعلي على أرض الواقع. وعلاوة على ذلك، ينبغي مواءمة الأنشطة مع الموارد المتاحة، وأن تكون مصحوبة بتقييم واقعي لقدرات التنفيذ. وشجع بعض أعضاء المجلس ومراقب واحد على زيادة الاعتماد على الإدارة القائمة على النتائج، ولا سيما عند وضع المؤشرات، لتحسين مستوى الشفافية في استخدام الموارد، وشدد عضوان آخران على دور الاتحاد باعتباره منظمة إدارية مسؤولة عن تقديم الدعم إلى الدول الأعضاء وأعضاء القطاعات في تطوير شبكات تكنولوجيا المعلومات والاتصالات وخدماتها.</w:t>
      </w:r>
    </w:p>
    <w:p w14:paraId="725BE166" w14:textId="051B783F" w:rsidR="00E2342C" w:rsidRPr="00E2342C" w:rsidRDefault="00E2342C" w:rsidP="00E2342C">
      <w:pPr>
        <w:rPr>
          <w:lang w:val="ar-SA" w:bidi="ar-EG"/>
        </w:rPr>
      </w:pPr>
      <w:r>
        <w:t>17.1</w:t>
      </w:r>
      <w:r w:rsidRPr="00E2342C">
        <w:rPr>
          <w:rtl/>
        </w:rPr>
        <w:tab/>
      </w:r>
      <w:r>
        <w:rPr>
          <w:rFonts w:hint="cs"/>
          <w:rtl/>
        </w:rPr>
        <w:t>و</w:t>
      </w:r>
      <w:r w:rsidRPr="00E2342C">
        <w:rPr>
          <w:rtl/>
        </w:rPr>
        <w:t>قال أحد أعضاء المجلس إن الأمر يحتاج إلى مزيد من الدراسة، رغم إدراكه لقيمة المساهمة المقدمة من عدة البلدان. ورغم القيمة العالية للنهج المستخدم الذي يتميز بالتنظيم الشديد، لا بد أن يكون مشروع الخطة الاستراتيجية سهل التناول وأن يتجنب التعقيدات غير الضرورية. ويتعين أيضاً أن يستجيب للتحديات الناشئة، وأن يكون قادر</w:t>
      </w:r>
      <w:r w:rsidR="0033528B">
        <w:rPr>
          <w:rFonts w:hint="cs"/>
          <w:rtl/>
        </w:rPr>
        <w:t>اً</w:t>
      </w:r>
      <w:r w:rsidRPr="00E2342C">
        <w:rPr>
          <w:rtl/>
        </w:rPr>
        <w:t xml:space="preserve"> على تضمين مؤشرات جديدة عند الحاجة. ومن المهم إبراز الدور الإداري للاتحاد؛ لكن يتعين أن تعكس الخطة الاستراتيجية أيضاً المدخلات الجماعية الأوسع نطاقاً على مستوى الاتحاد.</w:t>
      </w:r>
    </w:p>
    <w:p w14:paraId="49E30522" w14:textId="6BD565D6" w:rsidR="00E2342C" w:rsidRPr="00E2342C" w:rsidRDefault="00E2342C" w:rsidP="00CB70D9">
      <w:pPr>
        <w:rPr>
          <w:lang w:val="ar-SA" w:bidi="ar-EG"/>
        </w:rPr>
      </w:pPr>
      <w:r>
        <w:lastRenderedPageBreak/>
        <w:t>18.1</w:t>
      </w:r>
      <w:r w:rsidRPr="00E2342C">
        <w:rPr>
          <w:rtl/>
        </w:rPr>
        <w:tab/>
      </w:r>
      <w:r w:rsidR="00CB70D9">
        <w:rPr>
          <w:rFonts w:hint="cs"/>
          <w:rtl/>
        </w:rPr>
        <w:t>و</w:t>
      </w:r>
      <w:r w:rsidR="00CB70D9" w:rsidRPr="00CB70D9">
        <w:rPr>
          <w:rtl/>
        </w:rPr>
        <w:t xml:space="preserve">قال أحد أعضاء المجلس إنه </w:t>
      </w:r>
      <w:r w:rsidRPr="00E2342C">
        <w:rPr>
          <w:rtl/>
        </w:rPr>
        <w:t xml:space="preserve">ينبغي إدراج آلية منظمة في مشروع الخطة الاستراتيجية بما يكفل استغلال الدروس المستفادة في توجيه عملية صياغة الخطط الاستراتيجية المستقبلية. ونوَّه أيضاً إلى أن وفد بلاده أثار هذه النقطة في آخر اجتماع للفريق </w:t>
      </w:r>
      <w:r w:rsidRPr="00E2342C">
        <w:rPr>
          <w:lang w:bidi="ar-EG"/>
        </w:rPr>
        <w:t>CWG-SFP</w:t>
      </w:r>
      <w:r w:rsidRPr="00E2342C">
        <w:rPr>
          <w:rtl/>
        </w:rPr>
        <w:t>، لكنه لم يتلق رداً من الأمانة. وشجع الأمانة على الرد على التعليقات التي أبدتها الدول الأعضاء كافة، بما يكفل ألا يشعر أحد بتجاهل آرائه.</w:t>
      </w:r>
    </w:p>
    <w:p w14:paraId="2548C597" w14:textId="287EBBAF" w:rsidR="00E2342C" w:rsidRPr="00E2342C" w:rsidRDefault="00E2342C" w:rsidP="00E2342C">
      <w:pPr>
        <w:rPr>
          <w:lang w:val="ar-SA" w:bidi="ar-EG"/>
        </w:rPr>
      </w:pPr>
      <w:r>
        <w:t>19.1</w:t>
      </w:r>
      <w:r w:rsidRPr="00E2342C">
        <w:rPr>
          <w:rtl/>
        </w:rPr>
        <w:tab/>
      </w:r>
      <w:r>
        <w:rPr>
          <w:rFonts w:hint="cs"/>
          <w:rtl/>
        </w:rPr>
        <w:t>و</w:t>
      </w:r>
      <w:r w:rsidRPr="00E2342C">
        <w:rPr>
          <w:rtl/>
        </w:rPr>
        <w:t>دعا عدد من أعضاء المجلس ومراقب واحد إلى مواصلة مناقشة مشروع الخطة الاستراتيجية قبل تقديم الوثيقة إلى مؤتمر المندوبين المفوضين لعام 2026، سيراً على منوال السابقة التي استُنت استعداداً للمؤتمر المنعقد في عام</w:t>
      </w:r>
      <w:r>
        <w:rPr>
          <w:rFonts w:hint="cs"/>
          <w:rtl/>
        </w:rPr>
        <w:t> </w:t>
      </w:r>
      <w:r w:rsidRPr="00E2342C">
        <w:rPr>
          <w:rtl/>
        </w:rPr>
        <w:t xml:space="preserve">2022. وشجع أحد أعضاء المجلس الدول الأعضاء على التوصل إلى اتفاق قبل انعقاد الفعالية بمدة كافية من أجل إتاحة وقتٍ كافٍ للتنسيق الإقليمي. ودعا عضو آخر في المجلس رئيس الفريق </w:t>
      </w:r>
      <w:r w:rsidRPr="00E2342C">
        <w:rPr>
          <w:lang w:bidi="ar-EG"/>
        </w:rPr>
        <w:t>CWG-SFP</w:t>
      </w:r>
      <w:r w:rsidRPr="00E2342C">
        <w:rPr>
          <w:rtl/>
        </w:rPr>
        <w:t xml:space="preserve"> إلى معالجة المسائل التي أثيرت بالتعاون مع رئيس فريق العمل المعني بالموارد المالية والبشرية، وطالب عضو ثالث بوضع جدول زمني لإجراء مزيد من المناقشات بما يكفل قدرة الدول الأعضاء على المشاركة البناءة في هذا الصدد.</w:t>
      </w:r>
    </w:p>
    <w:p w14:paraId="73D0FC55" w14:textId="46A8A46D" w:rsidR="00E2342C" w:rsidRPr="00E2342C" w:rsidRDefault="00E2342C" w:rsidP="00E2342C">
      <w:pPr>
        <w:rPr>
          <w:lang w:val="ar-SA" w:bidi="ar-EG"/>
        </w:rPr>
      </w:pPr>
      <w:r>
        <w:t>20.1</w:t>
      </w:r>
      <w:r w:rsidRPr="00E2342C">
        <w:rPr>
          <w:rtl/>
        </w:rPr>
        <w:tab/>
      </w:r>
      <w:r>
        <w:rPr>
          <w:rFonts w:hint="cs"/>
          <w:rtl/>
        </w:rPr>
        <w:t>و</w:t>
      </w:r>
      <w:r w:rsidRPr="00E2342C">
        <w:rPr>
          <w:rtl/>
        </w:rPr>
        <w:t xml:space="preserve">أدلى عضو المجلس من الولايات المتحدة بالبيان الذي يمكن الاطلاع عليه في الوثيقة التالية: الملحق 1 </w:t>
      </w:r>
      <w:hyperlink r:id="rId17" w:history="1">
        <w:r w:rsidRPr="00D83CA7">
          <w:rPr>
            <w:rStyle w:val="Hyperlink"/>
            <w:noProof w:val="0"/>
            <w:rtl/>
            <w:lang w:val="en-US" w:eastAsia="zh-CN"/>
          </w:rPr>
          <w:t>للإضافة</w:t>
        </w:r>
        <w:r w:rsidRPr="00D83CA7">
          <w:rPr>
            <w:rStyle w:val="Hyperlink"/>
            <w:rFonts w:hint="cs"/>
            <w:noProof w:val="0"/>
            <w:rtl/>
            <w:lang w:val="en-US" w:eastAsia="zh-CN"/>
          </w:rPr>
          <w:t> </w:t>
        </w:r>
        <w:r w:rsidRPr="00D83CA7">
          <w:rPr>
            <w:rStyle w:val="Hyperlink"/>
            <w:noProof w:val="0"/>
            <w:rtl/>
            <w:lang w:val="en-US" w:eastAsia="zh-CN"/>
          </w:rPr>
          <w:t>2</w:t>
        </w:r>
      </w:hyperlink>
      <w:r w:rsidRPr="00E2342C">
        <w:rPr>
          <w:rtl/>
        </w:rPr>
        <w:t xml:space="preserve"> للوثيقة </w:t>
      </w:r>
      <w:hyperlink r:id="rId18" w:history="1">
        <w:r w:rsidRPr="00C77512">
          <w:rPr>
            <w:rStyle w:val="Hyperlink"/>
            <w:rFonts w:eastAsia="Times New Roman" w:cs="Calibri"/>
            <w:szCs w:val="20"/>
          </w:rPr>
          <w:t>C26/31</w:t>
        </w:r>
      </w:hyperlink>
      <w:r w:rsidRPr="00E2342C">
        <w:rPr>
          <w:rtl/>
        </w:rPr>
        <w:t>.</w:t>
      </w:r>
      <w:hyperlink r:id="rId19" w:history="1"/>
    </w:p>
    <w:p w14:paraId="336D37D9" w14:textId="63B8FFBA" w:rsidR="00E2342C" w:rsidRPr="00E2342C" w:rsidRDefault="00E2342C" w:rsidP="00E2342C">
      <w:pPr>
        <w:rPr>
          <w:lang w:val="ar-SA" w:bidi="ar-EG"/>
        </w:rPr>
      </w:pPr>
      <w:r>
        <w:t>21.1</w:t>
      </w:r>
      <w:r w:rsidRPr="00E2342C">
        <w:rPr>
          <w:rtl/>
        </w:rPr>
        <w:tab/>
      </w:r>
      <w:r>
        <w:rPr>
          <w:rFonts w:hint="cs"/>
          <w:rtl/>
        </w:rPr>
        <w:t>و</w:t>
      </w:r>
      <w:r w:rsidRPr="00E2342C">
        <w:rPr>
          <w:rtl/>
        </w:rPr>
        <w:t>اقترح الرئيس إجراء مشاورات غير رسمية بهذا الصدد، وإبلاغ الجلسة العامة القادمة بنتائجها.‎</w:t>
      </w:r>
    </w:p>
    <w:p w14:paraId="00045A20" w14:textId="5DB429EB" w:rsidR="00E2342C" w:rsidRPr="00E2342C" w:rsidRDefault="00E2342C" w:rsidP="00E2342C">
      <w:pPr>
        <w:rPr>
          <w:lang w:val="ar-SA" w:bidi="ar-EG"/>
        </w:rPr>
      </w:pPr>
      <w:r>
        <w:t>22.1</w:t>
      </w:r>
      <w:r w:rsidRPr="00E2342C">
        <w:rPr>
          <w:rtl/>
        </w:rPr>
        <w:tab/>
      </w:r>
      <w:r>
        <w:rPr>
          <w:rFonts w:hint="cs"/>
          <w:rtl/>
        </w:rPr>
        <w:t>و</w:t>
      </w:r>
      <w:r w:rsidRPr="00E2342C">
        <w:rPr>
          <w:b/>
          <w:bCs/>
          <w:rtl/>
        </w:rPr>
        <w:t xml:space="preserve">اتُّفق </w:t>
      </w:r>
      <w:r w:rsidRPr="00E2342C">
        <w:rPr>
          <w:rtl/>
        </w:rPr>
        <w:t>على ذلك.</w:t>
      </w:r>
    </w:p>
    <w:p w14:paraId="02FF8E58" w14:textId="1B2E138F" w:rsidR="00E2342C" w:rsidRPr="007A0C71" w:rsidRDefault="00E2342C" w:rsidP="00E2342C">
      <w:pPr>
        <w:pStyle w:val="Heading1"/>
        <w:rPr>
          <w:lang w:val="en-GB"/>
        </w:rPr>
      </w:pPr>
      <w:r w:rsidRPr="007A0C71">
        <w:rPr>
          <w:lang w:val="en-GB"/>
        </w:rPr>
        <w:t>2</w:t>
      </w:r>
      <w:r w:rsidRPr="007A0C71">
        <w:rPr>
          <w:lang w:val="en-GB"/>
        </w:rPr>
        <w:tab/>
      </w:r>
      <w:r w:rsidRPr="007A0C71">
        <w:rPr>
          <w:color w:val="000000"/>
          <w:rtl/>
        </w:rPr>
        <w:t>تقارير رئيس فريق العمل التابع للمجلس والمعني بحماية الأطفال على الإنترنت</w:t>
      </w:r>
      <w:r w:rsidRPr="007A0C71">
        <w:rPr>
          <w:rFonts w:hint="cs"/>
          <w:color w:val="2F2F2F"/>
          <w:shd w:val="clear" w:color="auto" w:fill="FFFFFF"/>
          <w:rtl/>
          <w:lang w:val="en-GB"/>
        </w:rPr>
        <w:t xml:space="preserve"> (الوثيقتان </w:t>
      </w:r>
      <w:hyperlink r:id="rId20" w:history="1">
        <w:r w:rsidRPr="007A0C71">
          <w:rPr>
            <w:rStyle w:val="Hyperlink"/>
            <w:rFonts w:eastAsia="Times New Roman"/>
          </w:rPr>
          <w:t>C26/15</w:t>
        </w:r>
      </w:hyperlink>
      <w:r w:rsidRPr="007A0C71">
        <w:rPr>
          <w:rFonts w:hint="cs"/>
          <w:rtl/>
          <w:lang w:val="en-GB"/>
        </w:rPr>
        <w:t xml:space="preserve"> و</w:t>
      </w:r>
      <w:hyperlink r:id="rId21" w:history="1">
        <w:r w:rsidRPr="007A0C71">
          <w:rPr>
            <w:rStyle w:val="Hyperlink"/>
            <w:rFonts w:eastAsia="Times New Roman"/>
          </w:rPr>
          <w:t>C26/18</w:t>
        </w:r>
      </w:hyperlink>
      <w:r w:rsidRPr="007A0C71">
        <w:rPr>
          <w:rFonts w:hint="cs"/>
          <w:rtl/>
        </w:rPr>
        <w:t>)</w:t>
      </w:r>
    </w:p>
    <w:p w14:paraId="686D6C44" w14:textId="3CDAF817" w:rsidR="00E2342C" w:rsidRPr="00E2342C" w:rsidRDefault="00E2342C" w:rsidP="00E2342C">
      <w:pPr>
        <w:rPr>
          <w:lang w:val="ar-SA" w:bidi="ar-EG"/>
        </w:rPr>
      </w:pPr>
      <w:r>
        <w:t>1.2</w:t>
      </w:r>
      <w:r w:rsidRPr="00E2342C">
        <w:rPr>
          <w:rtl/>
        </w:rPr>
        <w:tab/>
        <w:t xml:space="preserve">قدمت نائبة رئيس فريق العمل التابع للمجلس والمعني بحماية الأطفال على الإنترنت </w:t>
      </w:r>
      <w:r w:rsidRPr="00E2342C">
        <w:rPr>
          <w:lang w:bidi="ar-EG"/>
        </w:rPr>
        <w:t>(CWG-COP)</w:t>
      </w:r>
      <w:r w:rsidRPr="00E2342C">
        <w:rPr>
          <w:rtl/>
        </w:rPr>
        <w:t xml:space="preserve"> الوثيقة</w:t>
      </w:r>
      <w:r>
        <w:rPr>
          <w:rFonts w:hint="cs"/>
          <w:rtl/>
        </w:rPr>
        <w:t> </w:t>
      </w:r>
      <w:r w:rsidRPr="00E2342C">
        <w:rPr>
          <w:rtl/>
        </w:rPr>
        <w:t>C26/15 التي تحدد مجالات التركيز الخمسة الرئيسية للفريق خلال الفترة المشمولة بالتقرير، وتلخص نواتج الاجتماعين الثالث والعشرين والرابع والعشرين للفريق. وقدمت أيضاً تقرير فريق العمل التابع للمجلس والمعني بحماية الأطفال على الإنترنت لفترة السنوات الأربع ضمن الوثيقة C26/18، لعرض أنشطة وإنجازات فريق العمل خلال الفترة</w:t>
      </w:r>
      <w:r>
        <w:rPr>
          <w:rFonts w:hint="cs"/>
          <w:rtl/>
        </w:rPr>
        <w:t> </w:t>
      </w:r>
      <w:r w:rsidRPr="00E2342C">
        <w:rPr>
          <w:rtl/>
        </w:rPr>
        <w:t xml:space="preserve">2022-2026 وتسليط الضوء على الأهمية المتواصلة لفريق العمل في التصدي للمخاطر الرقمية التي لا تنفك تلاحق الأطفال والشباب. ودُعي المجلس إلى تقديم توصية إلى مؤتمر المندوبين المفوضين لعام 2026 باستمرار فريق العمل </w:t>
      </w:r>
      <w:r w:rsidRPr="00E2342C">
        <w:rPr>
          <w:lang w:bidi="ar-EG"/>
        </w:rPr>
        <w:t>CWG-COP</w:t>
      </w:r>
      <w:r w:rsidRPr="00E2342C">
        <w:rPr>
          <w:rtl/>
        </w:rPr>
        <w:t xml:space="preserve"> لفترة السنوات الأربع القادمة.</w:t>
      </w:r>
    </w:p>
    <w:p w14:paraId="48DF4B0A" w14:textId="0B3D45DF" w:rsidR="00E2342C" w:rsidRPr="00E2342C" w:rsidRDefault="00E2342C" w:rsidP="00E2342C">
      <w:pPr>
        <w:rPr>
          <w:lang w:val="ar-SA" w:bidi="ar-EG"/>
        </w:rPr>
      </w:pPr>
      <w:r>
        <w:t>2.2</w:t>
      </w:r>
      <w:r w:rsidRPr="00E2342C">
        <w:rPr>
          <w:rtl/>
        </w:rPr>
        <w:tab/>
      </w:r>
      <w:r>
        <w:rPr>
          <w:rFonts w:hint="cs"/>
          <w:rtl/>
        </w:rPr>
        <w:t>و</w:t>
      </w:r>
      <w:r w:rsidRPr="00E2342C">
        <w:rPr>
          <w:rtl/>
        </w:rPr>
        <w:t xml:space="preserve">رحب العديد من أعضاء المجلس ومراقبان بالتقارير، وأشادوا بأهمية أنشطة فريق العمل، وأشاروا إلى أن حماية الأطفال على الإنترنت تمثل أولوية رئيسية في سياق التحول الرقمي، وتتسق مع عمل الاتحاد بوصفه الجهة المنسقة لخط العمل جيم5 للقمة العالمية لمجتمع المعلومات </w:t>
      </w:r>
      <w:r w:rsidRPr="00E2342C">
        <w:rPr>
          <w:lang w:bidi="ar-EG"/>
        </w:rPr>
        <w:t>(WSIS)</w:t>
      </w:r>
      <w:r w:rsidRPr="00E2342C">
        <w:rPr>
          <w:rtl/>
        </w:rPr>
        <w:t>. وأُعرب عن دعم أنشطة فريق العمل الرامية إلى تعزيز مشاركة أصحاب المصلحة المتعددين، ويشمل ذلك القطاع الخاص والمجتمع المدني والهيئات الأكاديمية والمنظمات الدولية، ولاستكشاف طرائق آمنة وهادفة لمشاركة الأطفال والشباب في أعمال حماية الأطفال على الإنترنت. بل دعا بعض أعضاء المجلس إلى توسيع نطاق مشاركة أصحاب المصلحة الرئيسيين، بما يكفل اتباع نهج منسق وشامل للجميع. وكان من بين المقترحات أن تستفيد أفرقة العمل الأخرى التابعة للمجلس من اتباع نهج مماثل تجاه أصحاب المصلحة المتعددين. ورحب أعضاء المجلس أيضاً بالتركيز على التكنولوجيات الناشئة، لا سيما الذكاء الاصطناعي</w:t>
      </w:r>
      <w:r w:rsidR="00C726B9">
        <w:rPr>
          <w:rFonts w:hint="cs"/>
          <w:rtl/>
        </w:rPr>
        <w:t> </w:t>
      </w:r>
      <w:r w:rsidR="00C726B9">
        <w:t>(AI)</w:t>
      </w:r>
      <w:r w:rsidRPr="00E2342C">
        <w:rPr>
          <w:rtl/>
        </w:rPr>
        <w:t xml:space="preserve">، وأبرزوا أهمية تعزيز الضمانات التي تركز على الطفل ونُهج السلامة من خلال التصميم. وثمة حاجة إلى اتباع نهج متوازن لحماية الأطفال من الضرر على الإنترنت واحترام حقوقهم. وأعرب أعضاء المجلس عن تقديرهم لأنشطة فريق العمل الرامية إلى تعزيز التنسيق بين جهود التقييس المتعلق بالجوانب السياساتية والتشغيلية والتقنية داخل الاتحاد، ويشمل ذلك تعزيز التنسيق مع لجنة الدراسات 17 لقطاع تقييس الاتصالات بالاتحاد </w:t>
      </w:r>
      <w:r w:rsidRPr="00E2342C">
        <w:rPr>
          <w:lang w:bidi="ar-EG"/>
        </w:rPr>
        <w:t>(ITU-T)</w:t>
      </w:r>
      <w:r w:rsidRPr="00E2342C">
        <w:rPr>
          <w:rtl/>
        </w:rPr>
        <w:t>. وأشار أحد أعضاء المجلس إلى أن الموافقة على التوصية ITU-T X.1901 شكلت إنجازاً بارزاً بوصفها أول معيار تقني لقطاع تقييس الاتصالات يركز على حماية الأطفال على الإنترنت، لا سيما في ضوء الشوا</w:t>
      </w:r>
      <w:r w:rsidR="007217F3">
        <w:rPr>
          <w:rFonts w:hint="cs"/>
          <w:rtl/>
        </w:rPr>
        <w:t>غ</w:t>
      </w:r>
      <w:r w:rsidRPr="00E2342C">
        <w:rPr>
          <w:rtl/>
        </w:rPr>
        <w:t>ل المبدئية بشأن ما إذا كانت حماية الأطفال على الإنترنت تندرج ضمن نطاق التقييس التقني.</w:t>
      </w:r>
    </w:p>
    <w:p w14:paraId="394E8C69" w14:textId="558106A7" w:rsidR="00E2342C" w:rsidRPr="00E2342C" w:rsidRDefault="00E2342C" w:rsidP="00E2342C">
      <w:pPr>
        <w:rPr>
          <w:lang w:val="ar-SA" w:bidi="ar-EG"/>
        </w:rPr>
      </w:pPr>
      <w:r>
        <w:t>3.2</w:t>
      </w:r>
      <w:r w:rsidRPr="00E2342C">
        <w:rPr>
          <w:rtl/>
        </w:rPr>
        <w:tab/>
      </w:r>
      <w:r>
        <w:rPr>
          <w:rFonts w:hint="cs"/>
          <w:rtl/>
        </w:rPr>
        <w:t>و</w:t>
      </w:r>
      <w:r w:rsidRPr="00E2342C">
        <w:rPr>
          <w:rtl/>
        </w:rPr>
        <w:t xml:space="preserve">اتفق أعضاء المجلس على أن مبادرات حماية الأطفال على الإنترنت يجب أن تظل شاملة للجميع، وأن تركز على الطفل وتستجيب للمخاطر الرقمية دائمة التغير. وستفيد الآليات العملية مثل أنظمة الإبلاغ، وأدوات تمكين الوالدين، وزيادة الوعي، وتبادل المعارف، ودعم بناء القدرات، لا سيما في البلدان النامية، في مساعدة الدول الأعضاء على تفعيل الأطر الوطنية وتحويل المبادئ والممارسات الجيدة إلى سياسات وإجراءات وضمانات فعالة. وقد سُلط الضوء على أهمية </w:t>
      </w:r>
      <w:r w:rsidRPr="00E2342C">
        <w:rPr>
          <w:rtl/>
        </w:rPr>
        <w:lastRenderedPageBreak/>
        <w:t>الشفافية ومشاركة المعلومات، ومن شأن تحسين التقارير المقدمة من المكاتب الإقليمية للاتحاد بشأن مبادرات حماية الأطفال على الإنترنت أن يساعد في إبراز الأولويات الإقليمية وعملية التنفيذ على أرض الواقع والاحتياجات على المستوى الوطني بشكل أفضل.</w:t>
      </w:r>
    </w:p>
    <w:p w14:paraId="156D6074" w14:textId="4C6B9006" w:rsidR="00E2342C" w:rsidRPr="00E2342C" w:rsidRDefault="00E2342C" w:rsidP="00E2342C">
      <w:pPr>
        <w:rPr>
          <w:lang w:val="ar-SA" w:bidi="ar-EG"/>
        </w:rPr>
      </w:pPr>
      <w:r>
        <w:t>4.2</w:t>
      </w:r>
      <w:r w:rsidRPr="00E2342C">
        <w:rPr>
          <w:rtl/>
        </w:rPr>
        <w:tab/>
      </w:r>
      <w:r>
        <w:rPr>
          <w:rFonts w:hint="cs"/>
          <w:rtl/>
        </w:rPr>
        <w:t>و</w:t>
      </w:r>
      <w:r w:rsidRPr="00E2342C">
        <w:rPr>
          <w:rtl/>
        </w:rPr>
        <w:t>تساءل أحد المراقبين عن الكيفية التي يمكن للاتحاد بها مساعدة الدول الأعضاء على ضمان أن تكون سلامة الأطفال على الإنترنت جزءاً من التعليم الرقمي المعتاد، لا أن تكون مسألة سياسات منفصلة.</w:t>
      </w:r>
    </w:p>
    <w:p w14:paraId="201A007C" w14:textId="2C9ADF0C" w:rsidR="00E2342C" w:rsidRPr="00E2342C" w:rsidRDefault="00E2342C" w:rsidP="00E2342C">
      <w:pPr>
        <w:rPr>
          <w:lang w:val="ar-SA" w:bidi="ar-EG"/>
        </w:rPr>
      </w:pPr>
      <w:r>
        <w:t>5.2</w:t>
      </w:r>
      <w:r w:rsidRPr="00E2342C">
        <w:rPr>
          <w:rtl/>
        </w:rPr>
        <w:tab/>
      </w:r>
      <w:r>
        <w:rPr>
          <w:rFonts w:hint="cs"/>
          <w:rtl/>
        </w:rPr>
        <w:t>و</w:t>
      </w:r>
      <w:r w:rsidRPr="00E2342C">
        <w:rPr>
          <w:rtl/>
        </w:rPr>
        <w:t xml:space="preserve">أشار أعضاء المجلس إلى أن فريق العمل </w:t>
      </w:r>
      <w:r w:rsidRPr="00E2342C">
        <w:rPr>
          <w:lang w:bidi="ar-EG"/>
        </w:rPr>
        <w:t>CWG-COP</w:t>
      </w:r>
      <w:r w:rsidRPr="00E2342C">
        <w:rPr>
          <w:rtl/>
        </w:rPr>
        <w:t xml:space="preserve"> كان بمثابة منبراً فريداً للاتحاد والدول الأعضاء كافة، إذ أسهم في زيادة الوعي وتبادل الممارسات الجيدة ودعم الدول الأعضاء في حماية الأطفال في البيئة الرقمية. وينبغي أن يستمر عمله لفترة السنوات الأربع القادمة، وأن يركز على الجوانب التقنية ذات الصلة بولاية الاتحاد. ويجب أن يتمكن فريق العمل من عقد اجتماعاته مرتين في العام في الدورة القادمة، إذا لزم الأمر، بالاستفادة من أوقات الاجتماعات التي لا تستغلها أفرقة العمل الأخرى التابعة للمجلس. وينبغي تجنب ازدواجية الأنشطة واستخدام الموارد بفعالية. وينبغي لفريق العمل أن ينظر في الأنشطة العملية والمبتكرة وعالية التأثير التي تعزز حماية الأطفال على الإنترنت، وتسد الثغرات التي تشوب عملية التنفيذ، وتعزز التعاون الإقليمي، وتدعم الدول الأعضاء في تنفيذ سياسات وإجراءات وطنية فعالة في ظل مشهد رقمي سريع التطور. وقد اقترح عضوان في المجلس إدراج إشارة إلى حماية الأطفال على الإنترنت في مشروع الخطة الاستراتيجية للاتحاد للفترة 2028-2031.</w:t>
      </w:r>
    </w:p>
    <w:p w14:paraId="20914D52" w14:textId="25926234" w:rsidR="00E2342C" w:rsidRPr="00E2342C" w:rsidRDefault="00E2342C" w:rsidP="00E2342C">
      <w:pPr>
        <w:rPr>
          <w:lang w:val="ar-SA" w:bidi="ar-EG"/>
        </w:rPr>
      </w:pPr>
      <w:r>
        <w:t>6.2</w:t>
      </w:r>
      <w:r w:rsidRPr="00E2342C">
        <w:rPr>
          <w:rtl/>
        </w:rPr>
        <w:tab/>
      </w:r>
      <w:r>
        <w:rPr>
          <w:rFonts w:hint="cs"/>
          <w:rtl/>
        </w:rPr>
        <w:t>و</w:t>
      </w:r>
      <w:r w:rsidRPr="00E2342C">
        <w:rPr>
          <w:rtl/>
        </w:rPr>
        <w:t>عرض بعض أعضاء المجلس وأحد المراقبين الجهود الوطنية الرامية إلى معالجة قضية حماية الأطفال على الإنترنت لما تحظى به من أولوية، وكذلك تعزيز إلمام الأطفال بالمعارف الرقمية.</w:t>
      </w:r>
    </w:p>
    <w:p w14:paraId="01500614" w14:textId="7BCE18D0" w:rsidR="00E2342C" w:rsidRPr="00E2342C" w:rsidRDefault="00E2342C" w:rsidP="00E2342C">
      <w:pPr>
        <w:rPr>
          <w:lang w:val="ar-SA" w:bidi="ar-EG"/>
        </w:rPr>
      </w:pPr>
      <w:r>
        <w:t>7.2</w:t>
      </w:r>
      <w:r w:rsidRPr="00E2342C">
        <w:rPr>
          <w:rtl/>
        </w:rPr>
        <w:tab/>
      </w:r>
      <w:r>
        <w:rPr>
          <w:rFonts w:hint="cs"/>
          <w:rtl/>
        </w:rPr>
        <w:t>و</w:t>
      </w:r>
      <w:r w:rsidRPr="00E2342C">
        <w:rPr>
          <w:b/>
          <w:bCs/>
          <w:rtl/>
        </w:rPr>
        <w:t xml:space="preserve">أحاط </w:t>
      </w:r>
      <w:r w:rsidRPr="00E2342C">
        <w:rPr>
          <w:rtl/>
        </w:rPr>
        <w:t xml:space="preserve">المجلس </w:t>
      </w:r>
      <w:r w:rsidRPr="00E2342C">
        <w:rPr>
          <w:b/>
          <w:bCs/>
          <w:rtl/>
        </w:rPr>
        <w:t>علماً</w:t>
      </w:r>
      <w:r w:rsidRPr="00E2342C">
        <w:rPr>
          <w:rtl/>
        </w:rPr>
        <w:t xml:space="preserve"> بالتقريرين الواردين في الوثيقتين C26/15 وC26/18، و</w:t>
      </w:r>
      <w:r w:rsidRPr="00E2342C">
        <w:rPr>
          <w:b/>
          <w:bCs/>
          <w:rtl/>
        </w:rPr>
        <w:t>وافق</w:t>
      </w:r>
      <w:r w:rsidRPr="00E2342C">
        <w:rPr>
          <w:rtl/>
        </w:rPr>
        <w:t xml:space="preserve"> على إحالة التقرير الوارد في الوثيقة C26/18 إلى مؤتمر المندوبين المفوضين لعام 2026 لمزيد من الدراسة.</w:t>
      </w:r>
    </w:p>
    <w:p w14:paraId="72ADD4D8" w14:textId="732B1ED1" w:rsidR="00E2342C" w:rsidRPr="00E2342C" w:rsidRDefault="00E2342C" w:rsidP="00E2342C">
      <w:pPr>
        <w:pStyle w:val="Heading1"/>
        <w:rPr>
          <w:lang w:val="en-GB"/>
        </w:rPr>
      </w:pPr>
      <w:r w:rsidRPr="00E2342C">
        <w:rPr>
          <w:sz w:val="22"/>
          <w:lang w:val="en-GB"/>
        </w:rPr>
        <w:t>3</w:t>
      </w:r>
      <w:r>
        <w:rPr>
          <w:rtl/>
          <w:lang w:val="en-GB"/>
        </w:rPr>
        <w:tab/>
      </w:r>
      <w:r w:rsidRPr="00E2342C">
        <w:rPr>
          <w:rtl/>
        </w:rPr>
        <w:t>تقرير بشأن القرار رقم 214 (بوخارست، 2022) لمؤتمر المندوبين المفوضين، بشأن تكنولوجيات الذكاء الاصطناعي والاتصالات/تكنولوجيا المعلومات والاتصالات</w:t>
      </w:r>
      <w:r>
        <w:rPr>
          <w:rFonts w:hint="cs"/>
          <w:rtl/>
        </w:rPr>
        <w:t xml:space="preserve"> (الوثيقتان</w:t>
      </w:r>
      <w:r w:rsidR="007A0C71">
        <w:rPr>
          <w:rFonts w:hint="eastAsia"/>
          <w:rtl/>
        </w:rPr>
        <w:t> </w:t>
      </w:r>
      <w:hyperlink r:id="rId22" w:history="1">
        <w:r w:rsidRPr="00E2342C">
          <w:rPr>
            <w:rStyle w:val="Hyperlink"/>
            <w:rFonts w:eastAsia="Times New Roman"/>
            <w:szCs w:val="22"/>
          </w:rPr>
          <w:t>C26/29</w:t>
        </w:r>
      </w:hyperlink>
      <w:r>
        <w:rPr>
          <w:rFonts w:hint="cs"/>
          <w:rtl/>
          <w:lang w:val="en-GB"/>
        </w:rPr>
        <w:t xml:space="preserve"> و</w:t>
      </w:r>
      <w:hyperlink r:id="rId23" w:history="1">
        <w:r w:rsidRPr="00E2342C">
          <w:rPr>
            <w:rStyle w:val="Hyperlink"/>
            <w:rFonts w:eastAsia="Times New Roman"/>
            <w:szCs w:val="22"/>
          </w:rPr>
          <w:t>C26/79</w:t>
        </w:r>
      </w:hyperlink>
      <w:r w:rsidRPr="00E2342C">
        <w:rPr>
          <w:rFonts w:hint="cs"/>
          <w:rtl/>
        </w:rPr>
        <w:t>)</w:t>
      </w:r>
    </w:p>
    <w:p w14:paraId="5B326332" w14:textId="62677372" w:rsidR="00E2342C" w:rsidRPr="00E2342C" w:rsidRDefault="00E2342C" w:rsidP="00E2342C">
      <w:pPr>
        <w:rPr>
          <w:lang w:val="ar-SA" w:bidi="ar-EG"/>
        </w:rPr>
      </w:pPr>
      <w:r>
        <w:t>1.3</w:t>
      </w:r>
      <w:r w:rsidRPr="00E2342C">
        <w:rPr>
          <w:rtl/>
        </w:rPr>
        <w:tab/>
        <w:t xml:space="preserve">قدم نائب مدير مكتب تقييس الاتصالات </w:t>
      </w:r>
      <w:r w:rsidRPr="00E2342C">
        <w:rPr>
          <w:lang w:bidi="ar-EG"/>
        </w:rPr>
        <w:t>(TSB)</w:t>
      </w:r>
      <w:r w:rsidRPr="00E2342C">
        <w:rPr>
          <w:rtl/>
        </w:rPr>
        <w:t xml:space="preserve"> الوثيقة C26/29، التي تتضمن التقرير المتعلق بالقرار 214 (بوخارست، 2022) لمؤتمر المندوبين المفوضين. وتقدم الوثيقة نظرة عامة شاملة عن أنشطة الاتحاد المتعلقة بالذكاء الاصطناعي مجمعةً في إطار موحد تحت شعار "الاتحاد الواحد"، ومتمحورةً حول ثلاث ركائز استراتيجية، وهي الحلول والمعرفة، والمهارات والقدرات، والمعايير والسياسات. وأشار نائب المدير إلى أن الوثيقة C26/42 تتضمن طلباً للحصول على تمويل إضافي من الوفورات المحققة في تنفيذ ميزانية عام 2025، وذلك من أجل استدامة أنشطة الاتحاد المتعلقة بالذكاء الاصطناعي وتوسيع نطاقها.</w:t>
      </w:r>
    </w:p>
    <w:p w14:paraId="37145140" w14:textId="75571D77" w:rsidR="00E2342C" w:rsidRPr="00E2342C" w:rsidRDefault="00E2342C" w:rsidP="00E2342C">
      <w:pPr>
        <w:rPr>
          <w:lang w:val="ar-SA" w:bidi="ar-EG"/>
        </w:rPr>
      </w:pPr>
      <w:r>
        <w:t>2.3</w:t>
      </w:r>
      <w:r w:rsidRPr="00E2342C">
        <w:rPr>
          <w:rtl/>
        </w:rPr>
        <w:tab/>
      </w:r>
      <w:r>
        <w:rPr>
          <w:rFonts w:hint="cs"/>
          <w:rtl/>
        </w:rPr>
        <w:t>و</w:t>
      </w:r>
      <w:r w:rsidRPr="00E2342C">
        <w:rPr>
          <w:rtl/>
        </w:rPr>
        <w:t>قدم عضو المجلس من الهند المساهمة الواردة في الوثيقة C26/79 بشأن قمة تأثير الذكاء الاصطناعي التي عُقدت في نيودلهي في فبراير 2026، وهي أول قمة عالمية للذكاء الاصطناعي يستضيفها بلد من الجنوب العالمي. وتصف الوثيقة العملية التشاركية والشاملة للجميع التي ارتكزت عليها القمة، ونواتجها الرئيسية وأهميتها بالنسبة إلى الحوكمة العالمية للذكاء الاصطناعي وعمل الاتحاد.</w:t>
      </w:r>
    </w:p>
    <w:p w14:paraId="217DE728" w14:textId="18393F90" w:rsidR="00E2342C" w:rsidRPr="00E2342C" w:rsidRDefault="00E2342C" w:rsidP="00E2342C">
      <w:pPr>
        <w:rPr>
          <w:lang w:val="ar-SA" w:bidi="ar-EG"/>
        </w:rPr>
      </w:pPr>
      <w:r>
        <w:t>3.3</w:t>
      </w:r>
      <w:r w:rsidRPr="00E2342C">
        <w:rPr>
          <w:rtl/>
        </w:rPr>
        <w:tab/>
      </w:r>
      <w:r>
        <w:rPr>
          <w:rFonts w:hint="cs"/>
          <w:rtl/>
        </w:rPr>
        <w:t>و</w:t>
      </w:r>
      <w:r w:rsidRPr="00E2342C">
        <w:rPr>
          <w:rtl/>
        </w:rPr>
        <w:t>رحب أعضاء المجلس بالتقرير الشامل والمنظم بوضوح، الذي يرد في الوثيقة C26/29، ويبين النهج التشغيلي المتماسك للاتحاد إزاء المسألة المهمة المتعلقة بالذكاء الاصطناعي، وأشاد</w:t>
      </w:r>
      <w:r w:rsidR="00A02654">
        <w:rPr>
          <w:rFonts w:hint="cs"/>
          <w:rtl/>
          <w:lang w:bidi="ar-EG"/>
        </w:rPr>
        <w:t>وا</w:t>
      </w:r>
      <w:r w:rsidRPr="00E2342C">
        <w:rPr>
          <w:rtl/>
        </w:rPr>
        <w:t xml:space="preserve"> بجهود الاتحاد لدعم الدول الأعضاء في جميع مراحل سلسلة القيمة الخاصة بالذكاء الاصطناعي. واستُرعي الانتباه إلى التأثير المتزايد لإطار الذكاء الاصطناعي من أجل المصلحة العامة، باعتباره منصة رئيسية للاستفادة من الذكاء الاصطناعي في أغراض التنمية المستدامة ومبادرات الإنذار المبكر. وأُعرب</w:t>
      </w:r>
      <w:r w:rsidR="00A02654">
        <w:rPr>
          <w:rFonts w:hint="cs"/>
          <w:rtl/>
        </w:rPr>
        <w:t>وا</w:t>
      </w:r>
      <w:r w:rsidRPr="00E2342C">
        <w:rPr>
          <w:rtl/>
        </w:rPr>
        <w:t xml:space="preserve"> عن التأييد للعمل الحيوي الذي يضطلع به مكتب تقييس الاتصالات، كما أُقر</w:t>
      </w:r>
      <w:r w:rsidR="00A02654">
        <w:rPr>
          <w:rFonts w:hint="cs"/>
          <w:rtl/>
        </w:rPr>
        <w:t>وا</w:t>
      </w:r>
      <w:r w:rsidRPr="00E2342C">
        <w:rPr>
          <w:rtl/>
        </w:rPr>
        <w:t xml:space="preserve"> بأهمية التعاون بين أصحاب المصلحة المتعددين، وحلول الذكاء الاصطناعي الملائمة للسياق، والمشاركة الشاملة للبلدان النامية في عملية تقييس الذكاء الاصطناعي. وأكد أعضاء المجلس أن أنشطة الاتحاد المتعلقة بالذكاء الاصطناعي ينبغي أن تظل عملية وقابلة للقياس وشاملة للجميع، وتستجيب لاحتياجات البلدان النامية، وتتماشى مع المبادرات الإقليمية.</w:t>
      </w:r>
    </w:p>
    <w:p w14:paraId="7619BA60" w14:textId="10D9670C" w:rsidR="00E2342C" w:rsidRPr="00E2342C" w:rsidRDefault="00E2342C" w:rsidP="00E2342C">
      <w:pPr>
        <w:rPr>
          <w:lang w:val="ar-SA" w:bidi="ar-EG"/>
        </w:rPr>
      </w:pPr>
      <w:r>
        <w:t>4.3</w:t>
      </w:r>
      <w:r w:rsidRPr="00E2342C">
        <w:rPr>
          <w:rtl/>
        </w:rPr>
        <w:tab/>
      </w:r>
      <w:r>
        <w:rPr>
          <w:rFonts w:hint="cs"/>
          <w:rtl/>
        </w:rPr>
        <w:t>و</w:t>
      </w:r>
      <w:r w:rsidRPr="00E2342C">
        <w:rPr>
          <w:rtl/>
        </w:rPr>
        <w:t xml:space="preserve">أشار عضوان في المجلس إلى أن العديد من الأنشطة الواردة في الوثيقة C26/29، وتشمل الدورة التدريبية بشأن حوكمة الذكاء الاصطناعي في الممارسة العملية، تتجاوز على ما يبدو نطاق الاختصاص والولاية المنصوص عليها في </w:t>
      </w:r>
      <w:r w:rsidRPr="00E2342C">
        <w:rPr>
          <w:rtl/>
        </w:rPr>
        <w:lastRenderedPageBreak/>
        <w:t xml:space="preserve">القرار 214 (بوخارست، 2022). وولاية الاتحاد تحددها هيئاته الإدارية، وليس كيانات الأمم المتحدة الأخرى، وسيكون من دواعي التقدير تقديم ما يبرر إجراء بعض من هذه الأنشطة. وطلب أحد أعضاء المجلس أيضاً مزيداً من التوضيح بشأن دور الاتحاد في الحوار العالمي بشأن حوكمة الذكاء الاصطناعي، إذ تعد هذه مبادرة منبثقة عن الجمعية العامة للأمم المتحدة. وسُلط الضوء أيضاً على ضرورة تجنب الازدواجية مع العمليات الأخرى للأمم المتحدة. وتساءل أحد أعضاء المجلس كذلك عما إذا كانت معايير التقييم المستخدمة في الاستعراض الاستراتيجي الشامل للذكاء الاصطناعي، الذي أجرته الأمانة في عام 2025، قد تضمنت مواءمة الأنشطة مع القرار 214 (بوخارست، 2022). وقد تطلبت عمليات تحديد الأولويات هذه مدخلات وإشرافاً من الدول الأعضاء لضمان اتخاذ القرارات، بما في ذلك القرارات المتعلقة بأنشطة الذكاء الاصطناعي، في إطار عملية تقودها الدول الأعضاء وتقوم على المساهمات وتوافق الآراء. ورأى بعض أعضاء المجلس أنه ينبغي للأمانة تقديم مزيد من المعلومات عن كيفية استخدام التمويل الإضافي المطلوب والنتائج المتوقعة. إلا أن عضواً آخر في المجلس رأى أن التمويل الإضافي ضروري لضمان استمرار واستدامة أنشطة الاتحاد المتزايدة في مجال الذكاء الاصطناعي. </w:t>
      </w:r>
      <w:r w:rsidR="00440817">
        <w:rPr>
          <w:rFonts w:hint="cs"/>
          <w:rtl/>
        </w:rPr>
        <w:t>و</w:t>
      </w:r>
      <w:r w:rsidRPr="00E2342C">
        <w:rPr>
          <w:rtl/>
        </w:rPr>
        <w:t>طُلب أيضاً المزيد من المعلومات عن نطاق اختصاص صندوق الذكاء الاصطناعي، وعن الأنشطة المراد توسيع نطاقها أو المحافظة عليها أو إيقافها، ومعلومات عن البيان المشترك بشأن الذكاء الاصطناعي وحقوق الطفل الذي وقَّعه الاتحاد ومنظمات عدة أخرى في يناير 2026.</w:t>
      </w:r>
    </w:p>
    <w:p w14:paraId="540FF4B4" w14:textId="1C15AA34" w:rsidR="00E2342C" w:rsidRPr="00E2342C" w:rsidRDefault="00E2342C" w:rsidP="00E2342C">
      <w:pPr>
        <w:rPr>
          <w:lang w:val="ar-SA" w:bidi="ar-EG"/>
        </w:rPr>
      </w:pPr>
      <w:r>
        <w:t>5.3</w:t>
      </w:r>
      <w:r w:rsidRPr="00E2342C">
        <w:rPr>
          <w:rtl/>
        </w:rPr>
        <w:tab/>
      </w:r>
      <w:r>
        <w:rPr>
          <w:rFonts w:hint="cs"/>
          <w:rtl/>
        </w:rPr>
        <w:t>و</w:t>
      </w:r>
      <w:r w:rsidRPr="00E2342C">
        <w:rPr>
          <w:rtl/>
        </w:rPr>
        <w:t>رحب أعضاء المجلس بالوثيقة C26/79، ووجهوا الشكر إلى الهند على عقد قمة تأثير الذكاء الاصطناعي المثمرة.</w:t>
      </w:r>
    </w:p>
    <w:p w14:paraId="032B72BD" w14:textId="062F3F52" w:rsidR="00E2342C" w:rsidRPr="00E2342C" w:rsidRDefault="00E2342C" w:rsidP="00E2342C">
      <w:pPr>
        <w:rPr>
          <w:lang w:val="ar-SA" w:bidi="ar-EG"/>
        </w:rPr>
      </w:pPr>
      <w:r>
        <w:t>6.3</w:t>
      </w:r>
      <w:r w:rsidRPr="00E2342C">
        <w:rPr>
          <w:rtl/>
        </w:rPr>
        <w:tab/>
      </w:r>
      <w:r>
        <w:rPr>
          <w:rFonts w:hint="cs"/>
          <w:rtl/>
        </w:rPr>
        <w:t>و</w:t>
      </w:r>
      <w:r w:rsidRPr="00E2342C">
        <w:rPr>
          <w:b/>
          <w:bCs/>
          <w:rtl/>
        </w:rPr>
        <w:t>أحاط</w:t>
      </w:r>
      <w:r w:rsidRPr="00E2342C">
        <w:rPr>
          <w:rtl/>
        </w:rPr>
        <w:t xml:space="preserve"> المجلس </w:t>
      </w:r>
      <w:r w:rsidRPr="00E2342C">
        <w:rPr>
          <w:b/>
          <w:bCs/>
          <w:rtl/>
        </w:rPr>
        <w:t>علماً</w:t>
      </w:r>
      <w:r w:rsidRPr="00E2342C">
        <w:rPr>
          <w:rtl/>
        </w:rPr>
        <w:t xml:space="preserve"> بالتقرير الوارد في الوثيقة C26/29 والمساهمة الواردة في الوثيقة C26/79.</w:t>
      </w:r>
    </w:p>
    <w:p w14:paraId="34DD6BDE" w14:textId="1CAF4950" w:rsidR="00E2342C" w:rsidRPr="00E2342C" w:rsidRDefault="00E2342C" w:rsidP="00E2342C">
      <w:pPr>
        <w:pStyle w:val="Heading1"/>
        <w:rPr>
          <w:lang w:val="ar-SA" w:bidi="ar-EG"/>
        </w:rPr>
      </w:pPr>
      <w:r>
        <w:t>4</w:t>
      </w:r>
      <w:r>
        <w:tab/>
      </w:r>
      <w:r w:rsidRPr="00E2342C">
        <w:rPr>
          <w:rtl/>
        </w:rPr>
        <w:t>بيانات أدلى بها أعضاء المجلس</w:t>
      </w:r>
    </w:p>
    <w:p w14:paraId="2D7FE7C3" w14:textId="051C9727" w:rsidR="00E2342C" w:rsidRPr="00E2342C" w:rsidRDefault="00E2342C" w:rsidP="00E2342C">
      <w:pPr>
        <w:rPr>
          <w:lang w:val="ar-SA" w:bidi="ar-EG"/>
        </w:rPr>
      </w:pPr>
      <w:r>
        <w:t>1.4</w:t>
      </w:r>
      <w:r w:rsidRPr="00E2342C">
        <w:rPr>
          <w:rtl/>
        </w:rPr>
        <w:tab/>
        <w:t>أعلن أعضاء المجلس من الجزائر وبلغاريا والإمارات العربية المتحدة أن بلدانهم ستترشح لإعادة انتخابها لعضوية المجلس في مؤتمر المندوبين المفوضين لعام 2026.</w:t>
      </w:r>
    </w:p>
    <w:p w14:paraId="1EEAF298" w14:textId="7BA22064" w:rsidR="00E2342C" w:rsidRPr="00E2342C" w:rsidRDefault="00E2342C" w:rsidP="00E2342C">
      <w:pPr>
        <w:pStyle w:val="Heading1"/>
        <w:rPr>
          <w:lang w:val="ar-SA" w:bidi="ar-EG"/>
        </w:rPr>
      </w:pPr>
      <w:r>
        <w:t>5</w:t>
      </w:r>
      <w:r w:rsidRPr="00E2342C">
        <w:rPr>
          <w:rtl/>
        </w:rPr>
        <w:tab/>
        <w:t>التعازي بوفاة السيد يوري غرين</w:t>
      </w:r>
    </w:p>
    <w:p w14:paraId="36696106" w14:textId="154B2E97" w:rsidR="00E2342C" w:rsidRPr="00E2342C" w:rsidRDefault="00E2342C" w:rsidP="00E2342C">
      <w:pPr>
        <w:rPr>
          <w:lang w:val="ar-SA" w:bidi="ar-EG"/>
        </w:rPr>
      </w:pPr>
      <w:r w:rsidRPr="00E2342C">
        <w:rPr>
          <w:rtl/>
        </w:rPr>
        <w:t>أعرب</w:t>
      </w:r>
      <w:r w:rsidR="00697667">
        <w:rPr>
          <w:rFonts w:hint="cs"/>
          <w:rtl/>
        </w:rPr>
        <w:t>ت</w:t>
      </w:r>
      <w:r w:rsidRPr="00E2342C">
        <w:rPr>
          <w:rtl/>
        </w:rPr>
        <w:t xml:space="preserve"> الأمينة العامة عن تعازيها لوفاة السيد يوري غرين، الذي كان عضواً في مجلس تليكوم الاتحاد وتولى رئاسة مجلس الاتحاد، كما شغل منصبي رئيس دائرة المؤتمرات والمنشورات ونائب مدير مكتب تنمية الاتصالات. ودعت الحاضرين إلى الوقوف دقيقة صمت حداداً على الفقيد.</w:t>
      </w:r>
    </w:p>
    <w:p w14:paraId="614B410F" w14:textId="0542D707" w:rsidR="00F50E3F" w:rsidRPr="0041436C" w:rsidRDefault="00E2342C" w:rsidP="0041436C">
      <w:pPr>
        <w:tabs>
          <w:tab w:val="clear" w:pos="794"/>
          <w:tab w:val="left" w:pos="4818"/>
        </w:tabs>
        <w:spacing w:before="600"/>
        <w:rPr>
          <w:rtl/>
          <w:lang w:val="es-ES" w:bidi="ar-EG"/>
        </w:rPr>
      </w:pPr>
      <w:r w:rsidRPr="001851A8">
        <w:rPr>
          <w:rtl/>
        </w:rPr>
        <w:t>الأمينة العامة:</w:t>
      </w:r>
      <w:r w:rsidRPr="001851A8">
        <w:rPr>
          <w:rtl/>
        </w:rPr>
        <w:tab/>
        <w:t>الرئيس:</w:t>
      </w:r>
      <w:r>
        <w:br/>
      </w:r>
      <w:r w:rsidRPr="001851A8">
        <w:rPr>
          <w:rtl/>
        </w:rPr>
        <w:t>د. بوغدان-مارتن</w:t>
      </w:r>
      <w:r w:rsidRPr="001851A8">
        <w:rPr>
          <w:rtl/>
        </w:rPr>
        <w:tab/>
        <w:t>ب. تيجاني</w:t>
      </w:r>
    </w:p>
    <w:sectPr w:rsidR="00F50E3F" w:rsidRPr="0041436C" w:rsidSect="006F363C">
      <w:footerReference w:type="default" r:id="rId24"/>
      <w:headerReference w:type="first" r:id="rId25"/>
      <w:footerReference w:type="first" r:id="rId26"/>
      <w:type w:val="oddPage"/>
      <w:pgSz w:w="11907" w:h="16840"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418364" w14:textId="77777777" w:rsidR="007D5129" w:rsidRDefault="007D5129" w:rsidP="006C3242">
      <w:pPr>
        <w:spacing w:before="0" w:line="240" w:lineRule="auto"/>
      </w:pPr>
      <w:r>
        <w:separator/>
      </w:r>
    </w:p>
  </w:endnote>
  <w:endnote w:type="continuationSeparator" w:id="0">
    <w:p w14:paraId="6B4EC579" w14:textId="77777777" w:rsidR="007D5129" w:rsidRDefault="007D5129" w:rsidP="006C3242">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Dubai">
    <w:panose1 w:val="020B0503030403030204"/>
    <w:charset w:val="00"/>
    <w:family w:val="swiss"/>
    <w:pitch w:val="variable"/>
    <w:sig w:usb0="80002067" w:usb1="80000000" w:usb2="00000008" w:usb3="00000000" w:csb0="00000041" w:csb1="00000000"/>
  </w:font>
  <w:font w:name="Traditional Arabic">
    <w:charset w:val="B2"/>
    <w:family w:val="roman"/>
    <w:pitch w:val="variable"/>
    <w:sig w:usb0="00002003" w:usb1="80000000" w:usb2="00000008" w:usb3="00000000" w:csb0="00000041" w:csb1="00000000"/>
  </w:font>
  <w:font w:name="CG Times">
    <w:altName w:val="Times New Roman"/>
    <w:panose1 w:val="00000000000000000000"/>
    <w:charset w:val="00"/>
    <w:family w:val="roman"/>
    <w:notTrueType/>
    <w:pitch w:val="variable"/>
    <w:sig w:usb0="00000003" w:usb1="00000000" w:usb2="00000000" w:usb3="00000000" w:csb0="00000001" w:csb1="00000000"/>
  </w:font>
  <w:font w:name="Simplified Arabic">
    <w:charset w:val="B2"/>
    <w:family w:val="roman"/>
    <w:pitch w:val="variable"/>
    <w:sig w:usb0="00002003"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1"/>
      <w:bidiVisual/>
      <w:tblW w:w="100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47"/>
      <w:gridCol w:w="7874"/>
      <w:gridCol w:w="443"/>
    </w:tblGrid>
    <w:tr w:rsidR="00F50E3F" w:rsidRPr="007B0AA0" w14:paraId="7DDE464B" w14:textId="77777777" w:rsidTr="00A67F05">
      <w:trPr>
        <w:jc w:val="center"/>
      </w:trPr>
      <w:tc>
        <w:tcPr>
          <w:tcW w:w="868" w:type="pct"/>
          <w:vAlign w:val="center"/>
        </w:tcPr>
        <w:p w14:paraId="5EE62875" w14:textId="46FC1336" w:rsidR="00F50E3F" w:rsidRPr="007B0AA0" w:rsidRDefault="00E2342C" w:rsidP="0041436C">
          <w:pPr>
            <w:tabs>
              <w:tab w:val="clear" w:pos="794"/>
            </w:tabs>
            <w:overflowPunct w:val="0"/>
            <w:autoSpaceDE w:val="0"/>
            <w:autoSpaceDN w:val="0"/>
            <w:bidi w:val="0"/>
            <w:adjustRightInd w:val="0"/>
            <w:spacing w:before="0" w:after="0" w:line="240" w:lineRule="auto"/>
            <w:jc w:val="right"/>
            <w:textAlignment w:val="baseline"/>
            <w:rPr>
              <w:rFonts w:ascii="Calibri" w:hAnsi="Calibri" w:cs="Arial"/>
              <w:noProof/>
              <w:sz w:val="18"/>
            </w:rPr>
          </w:pPr>
          <w:r>
            <w:rPr>
              <w:rFonts w:ascii="Calibri" w:hAnsi="Calibri" w:cs="Arial"/>
              <w:sz w:val="18"/>
              <w:szCs w:val="14"/>
            </w:rPr>
            <w:t>2601342</w:t>
          </w:r>
        </w:p>
      </w:tc>
      <w:tc>
        <w:tcPr>
          <w:tcW w:w="3912" w:type="pct"/>
        </w:tcPr>
        <w:p w14:paraId="3EAAEA1E" w14:textId="28CF9BBD" w:rsidR="00F50E3F" w:rsidRPr="007B0AA0" w:rsidRDefault="00F50E3F" w:rsidP="0041436C">
          <w:pPr>
            <w:tabs>
              <w:tab w:val="clear" w:pos="794"/>
              <w:tab w:val="left" w:pos="862"/>
              <w:tab w:val="right" w:pos="8505"/>
              <w:tab w:val="right" w:pos="9639"/>
            </w:tabs>
            <w:overflowPunct w:val="0"/>
            <w:autoSpaceDE w:val="0"/>
            <w:autoSpaceDN w:val="0"/>
            <w:adjustRightInd w:val="0"/>
            <w:spacing w:before="0" w:after="0" w:line="240" w:lineRule="auto"/>
            <w:jc w:val="right"/>
            <w:textAlignment w:val="baseline"/>
            <w:rPr>
              <w:rFonts w:ascii="Arial" w:hAnsi="Arial" w:cs="Arial"/>
              <w:b/>
              <w:bCs/>
              <w:color w:val="7F7F7F"/>
              <w:sz w:val="18"/>
              <w:szCs w:val="18"/>
            </w:rPr>
          </w:pPr>
          <w:r w:rsidRPr="007B0AA0">
            <w:rPr>
              <w:rFonts w:ascii="Calibri" w:hAnsi="Calibri" w:cs="Arial"/>
              <w:bCs/>
              <w:color w:val="7F7F7F"/>
              <w:sz w:val="18"/>
            </w:rPr>
            <w:t>C2</w:t>
          </w:r>
          <w:r w:rsidR="000116AF">
            <w:rPr>
              <w:rFonts w:ascii="Calibri" w:hAnsi="Calibri" w:cs="Arial"/>
              <w:bCs/>
              <w:color w:val="7F7F7F"/>
              <w:sz w:val="18"/>
            </w:rPr>
            <w:t>6</w:t>
          </w:r>
          <w:r w:rsidRPr="007B0AA0">
            <w:rPr>
              <w:rFonts w:ascii="Calibri" w:hAnsi="Calibri" w:cs="Arial"/>
              <w:bCs/>
              <w:color w:val="7F7F7F"/>
              <w:sz w:val="18"/>
            </w:rPr>
            <w:t>/</w:t>
          </w:r>
          <w:r w:rsidR="00E2342C">
            <w:rPr>
              <w:rFonts w:ascii="Calibri" w:hAnsi="Calibri" w:cs="Arial"/>
              <w:bCs/>
              <w:color w:val="7F7F7F"/>
              <w:sz w:val="18"/>
            </w:rPr>
            <w:t>122</w:t>
          </w:r>
          <w:r w:rsidRPr="007B0AA0">
            <w:rPr>
              <w:rFonts w:ascii="Calibri" w:hAnsi="Calibri" w:cs="Arial"/>
              <w:bCs/>
              <w:color w:val="7F7F7F"/>
              <w:sz w:val="18"/>
            </w:rPr>
            <w:t>-</w:t>
          </w:r>
          <w:r>
            <w:rPr>
              <w:rFonts w:ascii="Calibri" w:hAnsi="Calibri" w:cs="Arial"/>
              <w:bCs/>
              <w:color w:val="7F7F7F"/>
              <w:sz w:val="18"/>
            </w:rPr>
            <w:t>A</w:t>
          </w:r>
        </w:p>
      </w:tc>
      <w:tc>
        <w:tcPr>
          <w:tcW w:w="220" w:type="pct"/>
        </w:tcPr>
        <w:p w14:paraId="3DE46407" w14:textId="77777777" w:rsidR="00F50E3F" w:rsidRPr="007B0AA0" w:rsidRDefault="00F50E3F" w:rsidP="0041436C">
          <w:pPr>
            <w:tabs>
              <w:tab w:val="clear" w:pos="794"/>
              <w:tab w:val="left" w:pos="862"/>
              <w:tab w:val="right" w:pos="8505"/>
              <w:tab w:val="right" w:pos="9639"/>
            </w:tabs>
            <w:overflowPunct w:val="0"/>
            <w:autoSpaceDE w:val="0"/>
            <w:autoSpaceDN w:val="0"/>
            <w:adjustRightInd w:val="0"/>
            <w:spacing w:before="0" w:after="0" w:line="240" w:lineRule="auto"/>
            <w:jc w:val="right"/>
            <w:textAlignment w:val="baseline"/>
            <w:rPr>
              <w:rFonts w:ascii="Calibri" w:hAnsi="Calibri" w:cs="Arial"/>
              <w:bCs/>
              <w:color w:val="7F7F7F"/>
              <w:sz w:val="18"/>
            </w:rPr>
          </w:pPr>
          <w:r w:rsidRPr="007B0AA0">
            <w:rPr>
              <w:rFonts w:ascii="Calibri" w:hAnsi="Calibri" w:cs="Arial"/>
              <w:color w:val="7F7F7F"/>
              <w:sz w:val="18"/>
            </w:rPr>
            <w:fldChar w:fldCharType="begin"/>
          </w:r>
          <w:r w:rsidRPr="007B0AA0">
            <w:rPr>
              <w:rFonts w:ascii="Calibri" w:hAnsi="Calibri" w:cs="Arial"/>
              <w:color w:val="7F7F7F"/>
              <w:sz w:val="18"/>
            </w:rPr>
            <w:instrText>PAGE</w:instrText>
          </w:r>
          <w:r w:rsidRPr="007B0AA0">
            <w:rPr>
              <w:rFonts w:ascii="Calibri" w:hAnsi="Calibri" w:cs="Arial"/>
              <w:color w:val="7F7F7F"/>
              <w:sz w:val="18"/>
            </w:rPr>
            <w:fldChar w:fldCharType="separate"/>
          </w:r>
          <w:r>
            <w:rPr>
              <w:rFonts w:cs="Arial"/>
              <w:color w:val="7F7F7F"/>
              <w:sz w:val="18"/>
            </w:rPr>
            <w:t>1</w:t>
          </w:r>
          <w:r w:rsidRPr="007B0AA0">
            <w:rPr>
              <w:rFonts w:ascii="Calibri" w:hAnsi="Calibri" w:cs="Arial"/>
              <w:noProof/>
              <w:color w:val="7F7F7F"/>
              <w:sz w:val="18"/>
            </w:rPr>
            <w:fldChar w:fldCharType="end"/>
          </w:r>
        </w:p>
      </w:tc>
    </w:tr>
  </w:tbl>
  <w:p w14:paraId="533B9EB6" w14:textId="77777777" w:rsidR="006C3242" w:rsidRPr="00077A58" w:rsidRDefault="006C3242" w:rsidP="00077A58">
    <w:pPr>
      <w:pStyle w:val="Footer"/>
      <w:tabs>
        <w:tab w:val="clear" w:pos="4153"/>
        <w:tab w:val="clear" w:pos="8306"/>
        <w:tab w:val="center" w:pos="5103"/>
        <w:tab w:val="right" w:pos="9639"/>
      </w:tabs>
      <w:spacing w:after="0"/>
      <w:rPr>
        <w:sz w:val="2"/>
        <w:szCs w:val="2"/>
        <w:lang w:val="fr-F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1"/>
      <w:bidiVisual/>
      <w:tblW w:w="100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39"/>
      <w:gridCol w:w="7584"/>
      <w:gridCol w:w="441"/>
    </w:tblGrid>
    <w:tr w:rsidR="007B0AA0" w:rsidRPr="007B0AA0" w14:paraId="5EE9A611" w14:textId="77777777" w:rsidTr="00A67F05">
      <w:trPr>
        <w:jc w:val="center"/>
      </w:trPr>
      <w:tc>
        <w:tcPr>
          <w:tcW w:w="1013" w:type="pct"/>
          <w:vAlign w:val="center"/>
        </w:tcPr>
        <w:p w14:paraId="2263D80F" w14:textId="77777777" w:rsidR="007B0AA0" w:rsidRPr="000116AF" w:rsidRDefault="000116AF" w:rsidP="0041436C">
          <w:pPr>
            <w:tabs>
              <w:tab w:val="clear" w:pos="794"/>
            </w:tabs>
            <w:overflowPunct w:val="0"/>
            <w:autoSpaceDE w:val="0"/>
            <w:autoSpaceDN w:val="0"/>
            <w:bidi w:val="0"/>
            <w:adjustRightInd w:val="0"/>
            <w:spacing w:before="0" w:after="0" w:line="240" w:lineRule="auto"/>
            <w:jc w:val="right"/>
            <w:textAlignment w:val="baseline"/>
            <w:rPr>
              <w:rFonts w:ascii="Calibri" w:hAnsi="Calibri" w:cs="Arial"/>
              <w:noProof/>
              <w:color w:val="7F7F7F"/>
              <w:sz w:val="18"/>
              <w:szCs w:val="18"/>
            </w:rPr>
          </w:pPr>
          <w:hyperlink r:id="rId1" w:anchor="/ar" w:history="1">
            <w:r w:rsidRPr="000116AF">
              <w:rPr>
                <w:rStyle w:val="Hyperlink"/>
                <w:noProof w:val="0"/>
                <w:sz w:val="18"/>
                <w:szCs w:val="18"/>
                <w:lang w:val="en-US"/>
              </w:rPr>
              <w:t>council.itu.int/2026</w:t>
            </w:r>
          </w:hyperlink>
        </w:p>
      </w:tc>
      <w:tc>
        <w:tcPr>
          <w:tcW w:w="3768" w:type="pct"/>
        </w:tcPr>
        <w:p w14:paraId="6B648BBE" w14:textId="72082F6C" w:rsidR="007B0AA0" w:rsidRPr="007B0AA0" w:rsidRDefault="007B0AA0" w:rsidP="0041436C">
          <w:pPr>
            <w:tabs>
              <w:tab w:val="clear" w:pos="794"/>
              <w:tab w:val="left" w:pos="862"/>
              <w:tab w:val="right" w:pos="8505"/>
              <w:tab w:val="right" w:pos="9639"/>
            </w:tabs>
            <w:overflowPunct w:val="0"/>
            <w:autoSpaceDE w:val="0"/>
            <w:autoSpaceDN w:val="0"/>
            <w:adjustRightInd w:val="0"/>
            <w:spacing w:before="0" w:after="0" w:line="240" w:lineRule="auto"/>
            <w:jc w:val="right"/>
            <w:textAlignment w:val="baseline"/>
            <w:rPr>
              <w:rFonts w:ascii="Arial" w:hAnsi="Arial" w:cs="Arial"/>
              <w:b/>
              <w:bCs/>
              <w:color w:val="7F7F7F"/>
              <w:sz w:val="18"/>
              <w:szCs w:val="18"/>
            </w:rPr>
          </w:pPr>
          <w:r w:rsidRPr="007B0AA0">
            <w:rPr>
              <w:rFonts w:ascii="Calibri" w:hAnsi="Calibri" w:cs="Arial"/>
              <w:bCs/>
              <w:color w:val="7F7F7F"/>
              <w:sz w:val="18"/>
            </w:rPr>
            <w:t>C2</w:t>
          </w:r>
          <w:r w:rsidR="000116AF">
            <w:rPr>
              <w:rFonts w:ascii="Calibri" w:hAnsi="Calibri" w:cs="Arial"/>
              <w:bCs/>
              <w:color w:val="7F7F7F"/>
              <w:sz w:val="18"/>
            </w:rPr>
            <w:t>6</w:t>
          </w:r>
          <w:r w:rsidRPr="007B0AA0">
            <w:rPr>
              <w:rFonts w:ascii="Calibri" w:hAnsi="Calibri" w:cs="Arial"/>
              <w:bCs/>
              <w:color w:val="7F7F7F"/>
              <w:sz w:val="18"/>
            </w:rPr>
            <w:t>/</w:t>
          </w:r>
          <w:r w:rsidR="00E2342C">
            <w:rPr>
              <w:rFonts w:ascii="Calibri" w:hAnsi="Calibri" w:cs="Arial"/>
              <w:bCs/>
              <w:color w:val="7F7F7F"/>
              <w:sz w:val="18"/>
            </w:rPr>
            <w:t>122</w:t>
          </w:r>
          <w:r w:rsidRPr="007B0AA0">
            <w:rPr>
              <w:rFonts w:ascii="Calibri" w:hAnsi="Calibri" w:cs="Arial"/>
              <w:bCs/>
              <w:color w:val="7F7F7F"/>
              <w:sz w:val="18"/>
            </w:rPr>
            <w:t>-</w:t>
          </w:r>
          <w:r>
            <w:rPr>
              <w:rFonts w:ascii="Calibri" w:hAnsi="Calibri" w:cs="Arial"/>
              <w:bCs/>
              <w:color w:val="7F7F7F"/>
              <w:sz w:val="18"/>
            </w:rPr>
            <w:t>A</w:t>
          </w:r>
        </w:p>
      </w:tc>
      <w:tc>
        <w:tcPr>
          <w:tcW w:w="220" w:type="pct"/>
        </w:tcPr>
        <w:p w14:paraId="0B51DF21" w14:textId="77777777" w:rsidR="007B0AA0" w:rsidRPr="007B0AA0" w:rsidRDefault="00F50E3F" w:rsidP="0041436C">
          <w:pPr>
            <w:tabs>
              <w:tab w:val="clear" w:pos="794"/>
              <w:tab w:val="left" w:pos="862"/>
              <w:tab w:val="right" w:pos="8505"/>
              <w:tab w:val="right" w:pos="9639"/>
            </w:tabs>
            <w:overflowPunct w:val="0"/>
            <w:autoSpaceDE w:val="0"/>
            <w:autoSpaceDN w:val="0"/>
            <w:adjustRightInd w:val="0"/>
            <w:spacing w:before="0" w:after="0" w:line="240" w:lineRule="auto"/>
            <w:jc w:val="right"/>
            <w:textAlignment w:val="baseline"/>
            <w:rPr>
              <w:rFonts w:ascii="Calibri" w:hAnsi="Calibri" w:cs="Arial"/>
              <w:bCs/>
              <w:color w:val="7F7F7F"/>
              <w:sz w:val="18"/>
            </w:rPr>
          </w:pPr>
          <w:r w:rsidRPr="007B0AA0">
            <w:rPr>
              <w:rFonts w:ascii="Calibri" w:hAnsi="Calibri" w:cs="Arial"/>
              <w:color w:val="7F7F7F"/>
              <w:sz w:val="18"/>
            </w:rPr>
            <w:fldChar w:fldCharType="begin"/>
          </w:r>
          <w:r w:rsidRPr="007B0AA0">
            <w:rPr>
              <w:rFonts w:ascii="Calibri" w:hAnsi="Calibri" w:cs="Arial"/>
              <w:color w:val="7F7F7F"/>
              <w:sz w:val="18"/>
            </w:rPr>
            <w:instrText>PAGE</w:instrText>
          </w:r>
          <w:r w:rsidRPr="007B0AA0">
            <w:rPr>
              <w:rFonts w:ascii="Calibri" w:hAnsi="Calibri" w:cs="Arial"/>
              <w:color w:val="7F7F7F"/>
              <w:sz w:val="18"/>
            </w:rPr>
            <w:fldChar w:fldCharType="separate"/>
          </w:r>
          <w:r>
            <w:rPr>
              <w:rFonts w:cs="Arial"/>
              <w:color w:val="7F7F7F"/>
              <w:sz w:val="18"/>
            </w:rPr>
            <w:t>1</w:t>
          </w:r>
          <w:r w:rsidRPr="007B0AA0">
            <w:rPr>
              <w:rFonts w:ascii="Calibri" w:hAnsi="Calibri" w:cs="Arial"/>
              <w:noProof/>
              <w:color w:val="7F7F7F"/>
              <w:sz w:val="18"/>
            </w:rPr>
            <w:fldChar w:fldCharType="end"/>
          </w:r>
        </w:p>
      </w:tc>
    </w:tr>
  </w:tbl>
  <w:p w14:paraId="4494B30A" w14:textId="77777777" w:rsidR="0006468A" w:rsidRPr="00077A58" w:rsidRDefault="0006468A" w:rsidP="00077A58">
    <w:pPr>
      <w:pStyle w:val="Footer"/>
      <w:tabs>
        <w:tab w:val="clear" w:pos="4153"/>
        <w:tab w:val="clear" w:pos="8306"/>
        <w:tab w:val="center" w:pos="5103"/>
        <w:tab w:val="right" w:pos="9639"/>
      </w:tabs>
      <w:spacing w:after="0"/>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5FD3F4" w14:textId="77777777" w:rsidR="007D5129" w:rsidRDefault="007D5129" w:rsidP="006C3242">
      <w:pPr>
        <w:spacing w:before="0" w:line="240" w:lineRule="auto"/>
      </w:pPr>
      <w:r>
        <w:separator/>
      </w:r>
    </w:p>
  </w:footnote>
  <w:footnote w:type="continuationSeparator" w:id="0">
    <w:p w14:paraId="2ED49F30" w14:textId="77777777" w:rsidR="007D5129" w:rsidRDefault="007D5129" w:rsidP="006C3242">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F9FA0" w14:textId="77777777" w:rsidR="001A3E13" w:rsidRPr="00057769" w:rsidRDefault="001A3E13" w:rsidP="001A3E13">
    <w:pPr>
      <w:pStyle w:val="Header"/>
    </w:pPr>
    <w:r>
      <w:rPr>
        <w:noProof/>
      </w:rPr>
      <w:drawing>
        <wp:inline distT="0" distB="0" distL="0" distR="0" wp14:anchorId="3E23CD0B" wp14:editId="7E7DF22A">
          <wp:extent cx="5760085" cy="840740"/>
          <wp:effectExtent l="0" t="0" r="0" b="0"/>
          <wp:docPr id="14965375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537511" name="Picture 1496537511"/>
                  <pic:cNvPicPr/>
                </pic:nvPicPr>
                <pic:blipFill>
                  <a:blip r:embed="rId1">
                    <a:extLst>
                      <a:ext uri="{28A0092B-C50C-407E-A947-70E740481C1C}">
                        <a14:useLocalDpi xmlns:a14="http://schemas.microsoft.com/office/drawing/2010/main" val="0"/>
                      </a:ext>
                    </a:extLst>
                  </a:blip>
                  <a:stretch>
                    <a:fillRect/>
                  </a:stretch>
                </pic:blipFill>
                <pic:spPr>
                  <a:xfrm>
                    <a:off x="0" y="0"/>
                    <a:ext cx="5760085" cy="84074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BCC4D5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78CC19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E8648C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8866A6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F52F66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5EA1B6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4E469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548CB7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3C27FB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FCA243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92B3DD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838345589">
    <w:abstractNumId w:val="9"/>
  </w:num>
  <w:num w:numId="2" w16cid:durableId="1774472849">
    <w:abstractNumId w:val="7"/>
  </w:num>
  <w:num w:numId="3" w16cid:durableId="923494626">
    <w:abstractNumId w:val="6"/>
  </w:num>
  <w:num w:numId="4" w16cid:durableId="442574474">
    <w:abstractNumId w:val="5"/>
  </w:num>
  <w:num w:numId="5" w16cid:durableId="1628318554">
    <w:abstractNumId w:val="4"/>
  </w:num>
  <w:num w:numId="6" w16cid:durableId="2075542342">
    <w:abstractNumId w:val="8"/>
  </w:num>
  <w:num w:numId="7" w16cid:durableId="1174762821">
    <w:abstractNumId w:val="3"/>
  </w:num>
  <w:num w:numId="8" w16cid:durableId="201795547">
    <w:abstractNumId w:val="2"/>
  </w:num>
  <w:num w:numId="9" w16cid:durableId="355010693">
    <w:abstractNumId w:val="1"/>
  </w:num>
  <w:num w:numId="10" w16cid:durableId="844200481">
    <w:abstractNumId w:val="0"/>
  </w:num>
  <w:num w:numId="11" w16cid:durableId="11048383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342C"/>
    <w:rsid w:val="000116AF"/>
    <w:rsid w:val="0006468A"/>
    <w:rsid w:val="00077A58"/>
    <w:rsid w:val="00090574"/>
    <w:rsid w:val="000C1C0E"/>
    <w:rsid w:val="000C548A"/>
    <w:rsid w:val="00191059"/>
    <w:rsid w:val="001A3E13"/>
    <w:rsid w:val="001B6E2B"/>
    <w:rsid w:val="001C0169"/>
    <w:rsid w:val="001C0C21"/>
    <w:rsid w:val="001D1D50"/>
    <w:rsid w:val="001D64C7"/>
    <w:rsid w:val="001D6745"/>
    <w:rsid w:val="001E446E"/>
    <w:rsid w:val="00212FB9"/>
    <w:rsid w:val="002154EE"/>
    <w:rsid w:val="002276D2"/>
    <w:rsid w:val="0023283D"/>
    <w:rsid w:val="00254393"/>
    <w:rsid w:val="0026373E"/>
    <w:rsid w:val="00271C43"/>
    <w:rsid w:val="00290728"/>
    <w:rsid w:val="002978F4"/>
    <w:rsid w:val="002B028D"/>
    <w:rsid w:val="002C3F32"/>
    <w:rsid w:val="002E6541"/>
    <w:rsid w:val="00334924"/>
    <w:rsid w:val="003350DB"/>
    <w:rsid w:val="0033528B"/>
    <w:rsid w:val="003409BC"/>
    <w:rsid w:val="00357185"/>
    <w:rsid w:val="00383829"/>
    <w:rsid w:val="003B276A"/>
    <w:rsid w:val="003F4B29"/>
    <w:rsid w:val="00410B26"/>
    <w:rsid w:val="0041436C"/>
    <w:rsid w:val="00420F8A"/>
    <w:rsid w:val="0042686F"/>
    <w:rsid w:val="004317D8"/>
    <w:rsid w:val="0043260A"/>
    <w:rsid w:val="00434183"/>
    <w:rsid w:val="00440817"/>
    <w:rsid w:val="00443869"/>
    <w:rsid w:val="00447F32"/>
    <w:rsid w:val="00491BA9"/>
    <w:rsid w:val="00494119"/>
    <w:rsid w:val="004A4701"/>
    <w:rsid w:val="004B7334"/>
    <w:rsid w:val="004E11DC"/>
    <w:rsid w:val="005130DE"/>
    <w:rsid w:val="00513157"/>
    <w:rsid w:val="00525DDD"/>
    <w:rsid w:val="005409AC"/>
    <w:rsid w:val="005434E0"/>
    <w:rsid w:val="005546CF"/>
    <w:rsid w:val="0055516A"/>
    <w:rsid w:val="0058491B"/>
    <w:rsid w:val="00592EA5"/>
    <w:rsid w:val="005A3170"/>
    <w:rsid w:val="00657019"/>
    <w:rsid w:val="00660DEA"/>
    <w:rsid w:val="00677396"/>
    <w:rsid w:val="00683F16"/>
    <w:rsid w:val="0069200F"/>
    <w:rsid w:val="00697667"/>
    <w:rsid w:val="006A65CB"/>
    <w:rsid w:val="006B12E5"/>
    <w:rsid w:val="006C3242"/>
    <w:rsid w:val="006C7CC0"/>
    <w:rsid w:val="006F363C"/>
    <w:rsid w:val="006F63F7"/>
    <w:rsid w:val="007025C7"/>
    <w:rsid w:val="00706D7A"/>
    <w:rsid w:val="007217F3"/>
    <w:rsid w:val="00722F0D"/>
    <w:rsid w:val="00735081"/>
    <w:rsid w:val="0074420E"/>
    <w:rsid w:val="007648A6"/>
    <w:rsid w:val="0077110E"/>
    <w:rsid w:val="00783E26"/>
    <w:rsid w:val="007A0C71"/>
    <w:rsid w:val="007A6684"/>
    <w:rsid w:val="007B0AA0"/>
    <w:rsid w:val="007C3BC7"/>
    <w:rsid w:val="007C3BCD"/>
    <w:rsid w:val="007D4ACF"/>
    <w:rsid w:val="007D5129"/>
    <w:rsid w:val="007F0787"/>
    <w:rsid w:val="00810B7B"/>
    <w:rsid w:val="0082358A"/>
    <w:rsid w:val="008235CD"/>
    <w:rsid w:val="008247DE"/>
    <w:rsid w:val="008339C0"/>
    <w:rsid w:val="00840B10"/>
    <w:rsid w:val="008513CB"/>
    <w:rsid w:val="00874E9F"/>
    <w:rsid w:val="008A7F84"/>
    <w:rsid w:val="0091702E"/>
    <w:rsid w:val="00923B0C"/>
    <w:rsid w:val="00924F46"/>
    <w:rsid w:val="00935AAC"/>
    <w:rsid w:val="0093725D"/>
    <w:rsid w:val="0094021C"/>
    <w:rsid w:val="00952F86"/>
    <w:rsid w:val="0096716C"/>
    <w:rsid w:val="00982B28"/>
    <w:rsid w:val="009868AC"/>
    <w:rsid w:val="009D313F"/>
    <w:rsid w:val="00A02654"/>
    <w:rsid w:val="00A47A5A"/>
    <w:rsid w:val="00A63AE6"/>
    <w:rsid w:val="00A6683B"/>
    <w:rsid w:val="00A67F05"/>
    <w:rsid w:val="00A97F94"/>
    <w:rsid w:val="00AA7EA2"/>
    <w:rsid w:val="00AB5A56"/>
    <w:rsid w:val="00B03099"/>
    <w:rsid w:val="00B05BC8"/>
    <w:rsid w:val="00B30F5E"/>
    <w:rsid w:val="00B64B47"/>
    <w:rsid w:val="00B95654"/>
    <w:rsid w:val="00B97F32"/>
    <w:rsid w:val="00BA04B2"/>
    <w:rsid w:val="00C002DE"/>
    <w:rsid w:val="00C0602B"/>
    <w:rsid w:val="00C224DA"/>
    <w:rsid w:val="00C53BF8"/>
    <w:rsid w:val="00C66157"/>
    <w:rsid w:val="00C674FE"/>
    <w:rsid w:val="00C67501"/>
    <w:rsid w:val="00C726B9"/>
    <w:rsid w:val="00C75633"/>
    <w:rsid w:val="00C8357C"/>
    <w:rsid w:val="00CB70D9"/>
    <w:rsid w:val="00CE1803"/>
    <w:rsid w:val="00CE2EE1"/>
    <w:rsid w:val="00CE3349"/>
    <w:rsid w:val="00CE36E5"/>
    <w:rsid w:val="00CE4360"/>
    <w:rsid w:val="00CF27F5"/>
    <w:rsid w:val="00CF3FFD"/>
    <w:rsid w:val="00D10CCF"/>
    <w:rsid w:val="00D13941"/>
    <w:rsid w:val="00D23F5F"/>
    <w:rsid w:val="00D43F7D"/>
    <w:rsid w:val="00D63735"/>
    <w:rsid w:val="00D77D0F"/>
    <w:rsid w:val="00D83CA7"/>
    <w:rsid w:val="00DA1CF0"/>
    <w:rsid w:val="00DA6A30"/>
    <w:rsid w:val="00DC1E02"/>
    <w:rsid w:val="00DC24B4"/>
    <w:rsid w:val="00DC5FB0"/>
    <w:rsid w:val="00DF16DC"/>
    <w:rsid w:val="00E01245"/>
    <w:rsid w:val="00E2342C"/>
    <w:rsid w:val="00E45211"/>
    <w:rsid w:val="00E473C5"/>
    <w:rsid w:val="00E61BE8"/>
    <w:rsid w:val="00E83FF1"/>
    <w:rsid w:val="00E92863"/>
    <w:rsid w:val="00E979B2"/>
    <w:rsid w:val="00EB796D"/>
    <w:rsid w:val="00F058DC"/>
    <w:rsid w:val="00F24FC4"/>
    <w:rsid w:val="00F2676C"/>
    <w:rsid w:val="00F363FE"/>
    <w:rsid w:val="00F50E3F"/>
    <w:rsid w:val="00F84366"/>
    <w:rsid w:val="00F85089"/>
    <w:rsid w:val="00F974C5"/>
    <w:rsid w:val="00FA3763"/>
    <w:rsid w:val="00FA6F46"/>
    <w:rsid w:val="00FC0E94"/>
    <w:rsid w:val="00FC4592"/>
    <w:rsid w:val="00FD527F"/>
    <w:rsid w:val="00FE5872"/>
    <w:rsid w:val="00FE7FC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A21AB4"/>
  <w15:chartTrackingRefBased/>
  <w15:docId w15:val="{19310D3A-69E0-444F-86F9-72E795897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5081"/>
    <w:pPr>
      <w:tabs>
        <w:tab w:val="left" w:pos="794"/>
      </w:tabs>
      <w:bidi/>
      <w:spacing w:before="120" w:after="120" w:line="192" w:lineRule="auto"/>
      <w:jc w:val="both"/>
    </w:pPr>
    <w:rPr>
      <w:rFonts w:ascii="Dubai" w:hAnsi="Dubai" w:cs="Dubai"/>
    </w:rPr>
  </w:style>
  <w:style w:type="paragraph" w:styleId="Heading1">
    <w:name w:val="heading 1"/>
    <w:basedOn w:val="Normal"/>
    <w:next w:val="Normal"/>
    <w:link w:val="Heading1Char"/>
    <w:uiPriority w:val="9"/>
    <w:qFormat/>
    <w:rsid w:val="00F974C5"/>
    <w:pPr>
      <w:keepNext/>
      <w:keepLines/>
      <w:spacing w:before="360"/>
      <w:ind w:left="794" w:hanging="794"/>
      <w:outlineLvl w:val="0"/>
    </w:pPr>
    <w:rPr>
      <w:rFonts w:eastAsiaTheme="majorEastAsia"/>
      <w:b/>
      <w:bCs/>
      <w:sz w:val="26"/>
      <w:szCs w:val="26"/>
    </w:rPr>
  </w:style>
  <w:style w:type="paragraph" w:styleId="Heading2">
    <w:name w:val="heading 2"/>
    <w:basedOn w:val="Normal"/>
    <w:next w:val="Normal"/>
    <w:link w:val="Heading2Char"/>
    <w:uiPriority w:val="9"/>
    <w:unhideWhenUsed/>
    <w:qFormat/>
    <w:rsid w:val="00F974C5"/>
    <w:pPr>
      <w:keepNext/>
      <w:keepLines/>
      <w:spacing w:before="300"/>
      <w:ind w:left="794" w:hanging="794"/>
      <w:outlineLvl w:val="1"/>
    </w:pPr>
    <w:rPr>
      <w:rFonts w:eastAsiaTheme="majorEastAsia"/>
      <w:b/>
      <w:bCs/>
      <w:sz w:val="24"/>
      <w:szCs w:val="24"/>
    </w:rPr>
  </w:style>
  <w:style w:type="paragraph" w:styleId="Heading3">
    <w:name w:val="heading 3"/>
    <w:basedOn w:val="Normal"/>
    <w:next w:val="Normal"/>
    <w:link w:val="Heading3Char"/>
    <w:uiPriority w:val="9"/>
    <w:unhideWhenUsed/>
    <w:qFormat/>
    <w:rsid w:val="00F974C5"/>
    <w:pPr>
      <w:keepNext/>
      <w:keepLines/>
      <w:spacing w:before="240"/>
      <w:ind w:left="794" w:hanging="794"/>
      <w:outlineLvl w:val="2"/>
    </w:pPr>
    <w:rPr>
      <w:rFonts w:eastAsiaTheme="majorEastAsia"/>
      <w:b/>
      <w:bCs/>
    </w:rPr>
  </w:style>
  <w:style w:type="paragraph" w:styleId="Heading4">
    <w:name w:val="heading 4"/>
    <w:basedOn w:val="Normal"/>
    <w:next w:val="Normal"/>
    <w:link w:val="Heading4Char"/>
    <w:uiPriority w:val="9"/>
    <w:unhideWhenUsed/>
    <w:qFormat/>
    <w:rsid w:val="00F974C5"/>
    <w:pPr>
      <w:keepNext/>
      <w:keepLines/>
      <w:spacing w:before="160"/>
      <w:ind w:left="794" w:hanging="794"/>
      <w:outlineLvl w:val="3"/>
    </w:pPr>
    <w:rPr>
      <w:rFonts w:eastAsiaTheme="majorEastAsia"/>
      <w:b/>
      <w:bCs/>
    </w:rPr>
  </w:style>
  <w:style w:type="paragraph" w:styleId="Heading5">
    <w:name w:val="heading 5"/>
    <w:basedOn w:val="Normal"/>
    <w:next w:val="Normal"/>
    <w:link w:val="Heading5Char"/>
    <w:uiPriority w:val="9"/>
    <w:unhideWhenUsed/>
    <w:qFormat/>
    <w:rsid w:val="00F974C5"/>
    <w:pPr>
      <w:keepNext/>
      <w:keepLines/>
      <w:ind w:left="1134" w:hanging="1134"/>
      <w:outlineLvl w:val="4"/>
    </w:pPr>
    <w:rPr>
      <w:rFonts w:eastAsiaTheme="majorEastAsia"/>
      <w:b/>
      <w:bCs/>
    </w:rPr>
  </w:style>
  <w:style w:type="paragraph" w:styleId="Heading6">
    <w:name w:val="heading 6"/>
    <w:basedOn w:val="Normal"/>
    <w:next w:val="Normal"/>
    <w:link w:val="Heading6Char"/>
    <w:uiPriority w:val="9"/>
    <w:unhideWhenUsed/>
    <w:qFormat/>
    <w:rsid w:val="00F974C5"/>
    <w:pPr>
      <w:keepNext/>
      <w:keepLines/>
      <w:spacing w:before="160"/>
      <w:ind w:left="1134" w:hanging="1134"/>
      <w:outlineLvl w:val="5"/>
    </w:pPr>
    <w:rPr>
      <w:rFonts w:eastAsiaTheme="majorEastAsia"/>
      <w:b/>
      <w:bCs/>
    </w:rPr>
  </w:style>
  <w:style w:type="paragraph" w:styleId="Heading7">
    <w:name w:val="heading 7"/>
    <w:basedOn w:val="Normal"/>
    <w:next w:val="Normal"/>
    <w:link w:val="Heading7Char"/>
    <w:uiPriority w:val="9"/>
    <w:unhideWhenUsed/>
    <w:qFormat/>
    <w:rsid w:val="00F974C5"/>
    <w:pPr>
      <w:keepNext/>
      <w:keepLines/>
      <w:spacing w:before="160"/>
      <w:ind w:left="1134" w:hanging="1134"/>
      <w:outlineLvl w:val="6"/>
    </w:pPr>
    <w:rPr>
      <w:rFonts w:eastAsiaTheme="majorEastAsia"/>
      <w:b/>
      <w:bCs/>
    </w:rPr>
  </w:style>
  <w:style w:type="paragraph" w:styleId="Heading8">
    <w:name w:val="heading 8"/>
    <w:basedOn w:val="Normal"/>
    <w:next w:val="Normal"/>
    <w:link w:val="Heading8Char"/>
    <w:uiPriority w:val="9"/>
    <w:unhideWhenUsed/>
    <w:qFormat/>
    <w:rsid w:val="00F974C5"/>
    <w:pPr>
      <w:keepNext/>
      <w:keepLines/>
      <w:spacing w:before="160"/>
      <w:ind w:left="1134" w:hanging="1134"/>
      <w:outlineLvl w:val="7"/>
    </w:pPr>
    <w:rPr>
      <w:rFonts w:eastAsiaTheme="majorEastAsia"/>
      <w:b/>
      <w:bCs/>
    </w:rPr>
  </w:style>
  <w:style w:type="paragraph" w:styleId="Heading9">
    <w:name w:val="heading 9"/>
    <w:basedOn w:val="Normal"/>
    <w:next w:val="Normal"/>
    <w:link w:val="Heading9Char"/>
    <w:uiPriority w:val="9"/>
    <w:unhideWhenUsed/>
    <w:qFormat/>
    <w:rsid w:val="00F974C5"/>
    <w:pPr>
      <w:keepNext/>
      <w:keepLines/>
      <w:spacing w:before="160"/>
      <w:ind w:left="1134" w:hanging="1134"/>
      <w:outlineLvl w:val="8"/>
    </w:pPr>
    <w:rPr>
      <w:rFonts w:eastAsiaTheme="majorEastAsia"/>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rsid w:val="007C3BC7"/>
    <w:pPr>
      <w:spacing w:after="0" w:line="240" w:lineRule="auto"/>
    </w:pPr>
    <w:rPr>
      <w:color w:val="FF0000"/>
    </w:rPr>
  </w:style>
  <w:style w:type="character" w:customStyle="1" w:styleId="Heading1Char">
    <w:name w:val="Heading 1 Char"/>
    <w:basedOn w:val="DefaultParagraphFont"/>
    <w:link w:val="Heading1"/>
    <w:uiPriority w:val="9"/>
    <w:rsid w:val="00F974C5"/>
    <w:rPr>
      <w:rFonts w:ascii="Dubai" w:eastAsiaTheme="majorEastAsia" w:hAnsi="Dubai" w:cs="Dubai"/>
      <w:b/>
      <w:bCs/>
      <w:sz w:val="26"/>
      <w:szCs w:val="26"/>
    </w:rPr>
  </w:style>
  <w:style w:type="character" w:customStyle="1" w:styleId="Heading2Char">
    <w:name w:val="Heading 2 Char"/>
    <w:basedOn w:val="DefaultParagraphFont"/>
    <w:link w:val="Heading2"/>
    <w:uiPriority w:val="9"/>
    <w:rsid w:val="00F974C5"/>
    <w:rPr>
      <w:rFonts w:ascii="Dubai" w:eastAsiaTheme="majorEastAsia" w:hAnsi="Dubai" w:cs="Dubai"/>
      <w:b/>
      <w:bCs/>
      <w:sz w:val="24"/>
      <w:szCs w:val="24"/>
    </w:rPr>
  </w:style>
  <w:style w:type="character" w:customStyle="1" w:styleId="Heading3Char">
    <w:name w:val="Heading 3 Char"/>
    <w:basedOn w:val="DefaultParagraphFont"/>
    <w:link w:val="Heading3"/>
    <w:uiPriority w:val="9"/>
    <w:rsid w:val="00F974C5"/>
    <w:rPr>
      <w:rFonts w:ascii="Dubai" w:eastAsiaTheme="majorEastAsia" w:hAnsi="Dubai" w:cs="Dubai"/>
      <w:b/>
      <w:bCs/>
    </w:rPr>
  </w:style>
  <w:style w:type="character" w:customStyle="1" w:styleId="Heading4Char">
    <w:name w:val="Heading 4 Char"/>
    <w:basedOn w:val="DefaultParagraphFont"/>
    <w:link w:val="Heading4"/>
    <w:uiPriority w:val="9"/>
    <w:rsid w:val="00F974C5"/>
    <w:rPr>
      <w:rFonts w:ascii="Dubai" w:eastAsiaTheme="majorEastAsia" w:hAnsi="Dubai" w:cs="Dubai"/>
      <w:b/>
      <w:bCs/>
    </w:rPr>
  </w:style>
  <w:style w:type="character" w:customStyle="1" w:styleId="Heading5Char">
    <w:name w:val="Heading 5 Char"/>
    <w:basedOn w:val="DefaultParagraphFont"/>
    <w:link w:val="Heading5"/>
    <w:uiPriority w:val="9"/>
    <w:rsid w:val="00F974C5"/>
    <w:rPr>
      <w:rFonts w:ascii="Dubai" w:eastAsiaTheme="majorEastAsia" w:hAnsi="Dubai" w:cs="Dubai"/>
      <w:b/>
      <w:bCs/>
    </w:rPr>
  </w:style>
  <w:style w:type="character" w:customStyle="1" w:styleId="Heading6Char">
    <w:name w:val="Heading 6 Char"/>
    <w:basedOn w:val="DefaultParagraphFont"/>
    <w:link w:val="Heading6"/>
    <w:uiPriority w:val="9"/>
    <w:rsid w:val="00F974C5"/>
    <w:rPr>
      <w:rFonts w:ascii="Dubai" w:eastAsiaTheme="majorEastAsia" w:hAnsi="Dubai" w:cs="Dubai"/>
      <w:b/>
      <w:bCs/>
    </w:rPr>
  </w:style>
  <w:style w:type="character" w:customStyle="1" w:styleId="Heading7Char">
    <w:name w:val="Heading 7 Char"/>
    <w:basedOn w:val="DefaultParagraphFont"/>
    <w:link w:val="Heading7"/>
    <w:uiPriority w:val="9"/>
    <w:rsid w:val="00F974C5"/>
    <w:rPr>
      <w:rFonts w:ascii="Dubai" w:eastAsiaTheme="majorEastAsia" w:hAnsi="Dubai" w:cs="Dubai"/>
      <w:b/>
      <w:bCs/>
    </w:rPr>
  </w:style>
  <w:style w:type="character" w:customStyle="1" w:styleId="Heading8Char">
    <w:name w:val="Heading 8 Char"/>
    <w:basedOn w:val="DefaultParagraphFont"/>
    <w:link w:val="Heading8"/>
    <w:uiPriority w:val="9"/>
    <w:rsid w:val="00F974C5"/>
    <w:rPr>
      <w:rFonts w:ascii="Dubai" w:eastAsiaTheme="majorEastAsia" w:hAnsi="Dubai" w:cs="Dubai"/>
      <w:b/>
      <w:bCs/>
    </w:rPr>
  </w:style>
  <w:style w:type="character" w:customStyle="1" w:styleId="Heading9Char">
    <w:name w:val="Heading 9 Char"/>
    <w:basedOn w:val="DefaultParagraphFont"/>
    <w:link w:val="Heading9"/>
    <w:uiPriority w:val="9"/>
    <w:rsid w:val="00F974C5"/>
    <w:rPr>
      <w:rFonts w:ascii="Dubai" w:eastAsiaTheme="majorEastAsia" w:hAnsi="Dubai" w:cs="Dubai"/>
      <w:b/>
      <w:bCs/>
    </w:rPr>
  </w:style>
  <w:style w:type="paragraph" w:customStyle="1" w:styleId="Headingi">
    <w:name w:val="Heading_i"/>
    <w:basedOn w:val="Normal"/>
    <w:qFormat/>
    <w:rsid w:val="00F974C5"/>
    <w:pPr>
      <w:keepNext/>
      <w:keepLines/>
      <w:spacing w:before="160"/>
    </w:pPr>
    <w:rPr>
      <w:i/>
      <w:iCs/>
    </w:rPr>
  </w:style>
  <w:style w:type="paragraph" w:customStyle="1" w:styleId="AgendaItem">
    <w:name w:val="Agenda Item"/>
    <w:basedOn w:val="Normal"/>
    <w:qFormat/>
    <w:rsid w:val="00F974C5"/>
    <w:pPr>
      <w:spacing w:before="360"/>
      <w:jc w:val="center"/>
    </w:pPr>
    <w:rPr>
      <w:sz w:val="26"/>
      <w:szCs w:val="26"/>
      <w:lang w:bidi="ar-SY"/>
    </w:rPr>
  </w:style>
  <w:style w:type="paragraph" w:customStyle="1" w:styleId="AnnexNo">
    <w:name w:val="Annex_No"/>
    <w:basedOn w:val="AgendaItem"/>
    <w:qFormat/>
    <w:rsid w:val="00F974C5"/>
  </w:style>
  <w:style w:type="paragraph" w:customStyle="1" w:styleId="Annextitle">
    <w:name w:val="Annex_title"/>
    <w:basedOn w:val="AnnexNo"/>
    <w:qFormat/>
    <w:rsid w:val="00F974C5"/>
    <w:pPr>
      <w:keepNext/>
      <w:keepLines/>
      <w:spacing w:before="120" w:after="360"/>
    </w:pPr>
    <w:rPr>
      <w:b/>
      <w:bCs/>
      <w:sz w:val="28"/>
      <w:szCs w:val="28"/>
    </w:rPr>
  </w:style>
  <w:style w:type="character" w:styleId="PlaceholderText">
    <w:name w:val="Placeholder Text"/>
    <w:basedOn w:val="DefaultParagraphFont"/>
    <w:uiPriority w:val="99"/>
    <w:semiHidden/>
    <w:rsid w:val="00DC24B4"/>
    <w:rPr>
      <w:color w:val="808080"/>
    </w:rPr>
  </w:style>
  <w:style w:type="paragraph" w:styleId="Footer">
    <w:name w:val="footer"/>
    <w:basedOn w:val="Normal"/>
    <w:link w:val="FooterChar"/>
    <w:rsid w:val="00F974C5"/>
    <w:pPr>
      <w:tabs>
        <w:tab w:val="center" w:pos="4153"/>
        <w:tab w:val="right" w:pos="8306"/>
      </w:tabs>
      <w:bidi w:val="0"/>
      <w:spacing w:before="0" w:line="240" w:lineRule="auto"/>
      <w:jc w:val="left"/>
    </w:pPr>
    <w:rPr>
      <w:rFonts w:eastAsia="Times New Roman"/>
      <w:sz w:val="20"/>
      <w:szCs w:val="20"/>
      <w:lang w:eastAsia="en-US"/>
    </w:rPr>
  </w:style>
  <w:style w:type="character" w:customStyle="1" w:styleId="FooterChar">
    <w:name w:val="Footer Char"/>
    <w:basedOn w:val="DefaultParagraphFont"/>
    <w:link w:val="Footer"/>
    <w:rsid w:val="00F974C5"/>
    <w:rPr>
      <w:rFonts w:ascii="Dubai" w:eastAsia="Times New Roman" w:hAnsi="Dubai" w:cs="Dubai"/>
      <w:sz w:val="20"/>
      <w:szCs w:val="20"/>
      <w:lang w:eastAsia="en-US"/>
    </w:rPr>
  </w:style>
  <w:style w:type="paragraph" w:customStyle="1" w:styleId="Referencetitle">
    <w:name w:val="Reference title"/>
    <w:basedOn w:val="Normal"/>
    <w:qFormat/>
    <w:rsid w:val="00F974C5"/>
    <w:pPr>
      <w:keepNext/>
      <w:spacing w:after="360"/>
      <w:jc w:val="center"/>
    </w:pPr>
    <w:rPr>
      <w:lang w:bidi="ar-SY"/>
    </w:rPr>
  </w:style>
  <w:style w:type="paragraph" w:customStyle="1" w:styleId="AppendixNo">
    <w:name w:val="Appendix_No"/>
    <w:basedOn w:val="Normal"/>
    <w:qFormat/>
    <w:rsid w:val="00F974C5"/>
    <w:pPr>
      <w:keepNext/>
      <w:keepLines/>
      <w:spacing w:before="360"/>
      <w:jc w:val="center"/>
    </w:pPr>
    <w:rPr>
      <w:sz w:val="26"/>
      <w:szCs w:val="26"/>
      <w:lang w:bidi="ar-SY"/>
    </w:rPr>
  </w:style>
  <w:style w:type="paragraph" w:customStyle="1" w:styleId="Appendixtitle">
    <w:name w:val="Appendix_title"/>
    <w:basedOn w:val="Normal"/>
    <w:qFormat/>
    <w:rsid w:val="00F974C5"/>
    <w:pPr>
      <w:keepNext/>
      <w:keepLines/>
      <w:spacing w:after="360"/>
      <w:jc w:val="center"/>
    </w:pPr>
    <w:rPr>
      <w:b/>
      <w:bCs/>
      <w:sz w:val="28"/>
      <w:szCs w:val="28"/>
    </w:rPr>
  </w:style>
  <w:style w:type="paragraph" w:customStyle="1" w:styleId="ArticleNo">
    <w:name w:val="Article_No"/>
    <w:basedOn w:val="Normal"/>
    <w:qFormat/>
    <w:rsid w:val="00F974C5"/>
    <w:pPr>
      <w:keepNext/>
      <w:keepLines/>
      <w:spacing w:after="360"/>
      <w:jc w:val="center"/>
    </w:pPr>
    <w:rPr>
      <w:sz w:val="26"/>
      <w:szCs w:val="26"/>
      <w:lang w:bidi="ar-SY"/>
    </w:rPr>
  </w:style>
  <w:style w:type="paragraph" w:customStyle="1" w:styleId="Articletitle">
    <w:name w:val="Article_title"/>
    <w:basedOn w:val="ArticleNo"/>
    <w:qFormat/>
    <w:rsid w:val="00F974C5"/>
    <w:rPr>
      <w:b/>
      <w:bCs/>
      <w:sz w:val="28"/>
      <w:szCs w:val="28"/>
    </w:rPr>
  </w:style>
  <w:style w:type="paragraph" w:customStyle="1" w:styleId="Call">
    <w:name w:val="Call"/>
    <w:basedOn w:val="Normal"/>
    <w:qFormat/>
    <w:rsid w:val="00F974C5"/>
    <w:pPr>
      <w:keepNext/>
      <w:spacing w:before="160"/>
      <w:ind w:left="1588" w:hanging="794"/>
    </w:pPr>
    <w:rPr>
      <w:i/>
      <w:iCs/>
    </w:rPr>
  </w:style>
  <w:style w:type="paragraph" w:customStyle="1" w:styleId="ChapterNo">
    <w:name w:val="Chapter_No"/>
    <w:basedOn w:val="Normal"/>
    <w:qFormat/>
    <w:rsid w:val="00F974C5"/>
    <w:pPr>
      <w:keepNext/>
      <w:keepLines/>
      <w:spacing w:before="600"/>
      <w:jc w:val="center"/>
    </w:pPr>
    <w:rPr>
      <w:sz w:val="28"/>
      <w:szCs w:val="28"/>
      <w:lang w:bidi="ar-SY"/>
    </w:rPr>
  </w:style>
  <w:style w:type="paragraph" w:customStyle="1" w:styleId="Chaptertitle">
    <w:name w:val="Chapter_title"/>
    <w:basedOn w:val="ChapterNo"/>
    <w:qFormat/>
    <w:rsid w:val="00F974C5"/>
    <w:pPr>
      <w:spacing w:before="120" w:after="600"/>
    </w:pPr>
    <w:rPr>
      <w:b/>
      <w:bCs/>
      <w:sz w:val="32"/>
      <w:szCs w:val="32"/>
    </w:rPr>
  </w:style>
  <w:style w:type="paragraph" w:styleId="Date">
    <w:name w:val="Date"/>
    <w:basedOn w:val="Normal"/>
    <w:next w:val="Normal"/>
    <w:link w:val="DateChar"/>
    <w:uiPriority w:val="99"/>
    <w:unhideWhenUsed/>
    <w:rsid w:val="00F974C5"/>
    <w:pPr>
      <w:keepNext/>
      <w:jc w:val="right"/>
    </w:pPr>
  </w:style>
  <w:style w:type="character" w:customStyle="1" w:styleId="DateChar">
    <w:name w:val="Date Char"/>
    <w:basedOn w:val="DefaultParagraphFont"/>
    <w:link w:val="Date"/>
    <w:uiPriority w:val="99"/>
    <w:rsid w:val="00F974C5"/>
    <w:rPr>
      <w:rFonts w:ascii="Dubai" w:hAnsi="Dubai" w:cs="Dubai"/>
    </w:rPr>
  </w:style>
  <w:style w:type="paragraph" w:customStyle="1" w:styleId="DecNo">
    <w:name w:val="Dec_No"/>
    <w:basedOn w:val="Normal"/>
    <w:qFormat/>
    <w:rsid w:val="00F974C5"/>
    <w:pPr>
      <w:keepNext/>
      <w:keepLines/>
      <w:spacing w:before="360"/>
      <w:jc w:val="center"/>
    </w:pPr>
    <w:rPr>
      <w:sz w:val="26"/>
      <w:szCs w:val="26"/>
    </w:rPr>
  </w:style>
  <w:style w:type="paragraph" w:customStyle="1" w:styleId="Dectitle">
    <w:name w:val="Dec_title"/>
    <w:basedOn w:val="DecNo"/>
    <w:qFormat/>
    <w:rsid w:val="00F974C5"/>
    <w:pPr>
      <w:spacing w:before="120" w:after="360"/>
    </w:pPr>
    <w:rPr>
      <w:b/>
      <w:bCs/>
      <w:sz w:val="28"/>
      <w:szCs w:val="28"/>
    </w:rPr>
  </w:style>
  <w:style w:type="paragraph" w:customStyle="1" w:styleId="enumlev1">
    <w:name w:val="enumlev1"/>
    <w:basedOn w:val="Normal"/>
    <w:qFormat/>
    <w:rsid w:val="00077A58"/>
    <w:pPr>
      <w:spacing w:before="80" w:after="80"/>
      <w:ind w:left="794" w:hanging="794"/>
      <w:outlineLvl w:val="0"/>
    </w:pPr>
    <w:rPr>
      <w:lang w:bidi="ar-SY"/>
    </w:rPr>
  </w:style>
  <w:style w:type="paragraph" w:customStyle="1" w:styleId="enumlev2">
    <w:name w:val="enumlev2"/>
    <w:basedOn w:val="Normal"/>
    <w:next w:val="enumlev1"/>
    <w:qFormat/>
    <w:rsid w:val="00077A58"/>
    <w:pPr>
      <w:spacing w:before="80" w:after="80"/>
      <w:ind w:left="1588" w:hanging="794"/>
      <w:outlineLvl w:val="1"/>
    </w:pPr>
  </w:style>
  <w:style w:type="paragraph" w:customStyle="1" w:styleId="enumlev3">
    <w:name w:val="enumlev3"/>
    <w:basedOn w:val="Normal"/>
    <w:qFormat/>
    <w:rsid w:val="00077A58"/>
    <w:pPr>
      <w:spacing w:before="80" w:after="80"/>
      <w:ind w:left="2382" w:hanging="794"/>
      <w:outlineLvl w:val="2"/>
    </w:pPr>
    <w:rPr>
      <w:lang w:bidi="ar-SY"/>
    </w:rPr>
  </w:style>
  <w:style w:type="paragraph" w:customStyle="1" w:styleId="Figurelegend">
    <w:name w:val="Figure_legend"/>
    <w:basedOn w:val="Normal"/>
    <w:qFormat/>
    <w:rsid w:val="00F974C5"/>
    <w:pPr>
      <w:spacing w:before="60"/>
    </w:pPr>
    <w:rPr>
      <w:lang w:bidi="ar-SY"/>
    </w:rPr>
  </w:style>
  <w:style w:type="paragraph" w:styleId="FootnoteText">
    <w:name w:val="footnote text"/>
    <w:basedOn w:val="Normal"/>
    <w:link w:val="FootnoteTextChar"/>
    <w:uiPriority w:val="99"/>
    <w:semiHidden/>
    <w:unhideWhenUsed/>
    <w:qFormat/>
    <w:rsid w:val="002E6541"/>
    <w:pPr>
      <w:spacing w:before="60" w:line="168" w:lineRule="auto"/>
    </w:pPr>
    <w:rPr>
      <w:sz w:val="20"/>
      <w:szCs w:val="26"/>
    </w:rPr>
  </w:style>
  <w:style w:type="character" w:styleId="FootnoteReference">
    <w:name w:val="footnote reference"/>
    <w:aliases w:val="Footnote_Reference"/>
    <w:basedOn w:val="DefaultParagraphFont"/>
    <w:uiPriority w:val="99"/>
    <w:unhideWhenUsed/>
    <w:qFormat/>
    <w:rsid w:val="00F974C5"/>
    <w:rPr>
      <w:rFonts w:ascii="Dubai" w:hAnsi="Dubai" w:cs="Dubai"/>
      <w:b w:val="0"/>
      <w:bCs w:val="0"/>
      <w:i w:val="0"/>
      <w:iCs w:val="0"/>
      <w:caps w:val="0"/>
      <w:smallCaps w:val="0"/>
      <w:strike w:val="0"/>
      <w:dstrike w:val="0"/>
      <w:vanish w:val="0"/>
      <w:spacing w:val="0"/>
      <w:w w:val="100"/>
      <w:position w:val="6"/>
      <w:sz w:val="18"/>
      <w:szCs w:val="18"/>
      <w:vertAlign w:val="baseline"/>
    </w:rPr>
  </w:style>
  <w:style w:type="character" w:customStyle="1" w:styleId="FootnoteTextChar">
    <w:name w:val="Footnote Text Char"/>
    <w:basedOn w:val="DefaultParagraphFont"/>
    <w:link w:val="FootnoteText"/>
    <w:uiPriority w:val="99"/>
    <w:semiHidden/>
    <w:rsid w:val="002E6541"/>
    <w:rPr>
      <w:rFonts w:ascii="Calibri" w:hAnsi="Calibri" w:cs="Traditional Arabic"/>
      <w:sz w:val="20"/>
      <w:szCs w:val="26"/>
    </w:rPr>
  </w:style>
  <w:style w:type="paragraph" w:customStyle="1" w:styleId="Normalaftertitle">
    <w:name w:val="Normal after title"/>
    <w:basedOn w:val="Normal"/>
    <w:qFormat/>
    <w:rsid w:val="00F974C5"/>
    <w:pPr>
      <w:keepNext/>
      <w:spacing w:before="360"/>
    </w:pPr>
    <w:rPr>
      <w:lang w:bidi="ar-SY"/>
    </w:rPr>
  </w:style>
  <w:style w:type="paragraph" w:customStyle="1" w:styleId="Note">
    <w:name w:val="Note"/>
    <w:basedOn w:val="Normal"/>
    <w:qFormat/>
    <w:rsid w:val="00F974C5"/>
    <w:pPr>
      <w:spacing w:before="80"/>
    </w:pPr>
    <w:rPr>
      <w:sz w:val="20"/>
      <w:szCs w:val="20"/>
    </w:rPr>
  </w:style>
  <w:style w:type="paragraph" w:customStyle="1" w:styleId="Proposal">
    <w:name w:val="Proposal"/>
    <w:basedOn w:val="Note"/>
    <w:qFormat/>
    <w:rsid w:val="00F974C5"/>
    <w:pPr>
      <w:keepNext/>
      <w:spacing w:before="240"/>
    </w:pPr>
    <w:rPr>
      <w:b/>
      <w:bCs/>
      <w:sz w:val="22"/>
      <w:szCs w:val="22"/>
    </w:rPr>
  </w:style>
  <w:style w:type="paragraph" w:customStyle="1" w:styleId="Reasons">
    <w:name w:val="Reasons"/>
    <w:basedOn w:val="Normal"/>
    <w:qFormat/>
    <w:rsid w:val="00F974C5"/>
    <w:rPr>
      <w:b/>
      <w:bCs/>
    </w:rPr>
  </w:style>
  <w:style w:type="paragraph" w:customStyle="1" w:styleId="RecNo">
    <w:name w:val="Rec_No"/>
    <w:basedOn w:val="Normal"/>
    <w:qFormat/>
    <w:rsid w:val="00F974C5"/>
    <w:pPr>
      <w:keepNext/>
      <w:keepLines/>
      <w:spacing w:before="360"/>
      <w:jc w:val="center"/>
    </w:pPr>
    <w:rPr>
      <w:sz w:val="26"/>
      <w:szCs w:val="26"/>
    </w:rPr>
  </w:style>
  <w:style w:type="paragraph" w:customStyle="1" w:styleId="Rectitle">
    <w:name w:val="Rec_title"/>
    <w:basedOn w:val="Normal"/>
    <w:qFormat/>
    <w:rsid w:val="00F974C5"/>
    <w:pPr>
      <w:keepNext/>
      <w:keepLines/>
      <w:spacing w:after="360"/>
      <w:jc w:val="center"/>
    </w:pPr>
    <w:rPr>
      <w:b/>
      <w:bCs/>
      <w:sz w:val="28"/>
      <w:szCs w:val="28"/>
    </w:rPr>
  </w:style>
  <w:style w:type="paragraph" w:customStyle="1" w:styleId="Referencetexte">
    <w:name w:val="Reference texte"/>
    <w:basedOn w:val="Normal"/>
    <w:qFormat/>
    <w:rsid w:val="00F974C5"/>
  </w:style>
  <w:style w:type="paragraph" w:customStyle="1" w:styleId="PartNo">
    <w:name w:val="Part_No"/>
    <w:basedOn w:val="Normal"/>
    <w:qFormat/>
    <w:rsid w:val="00F974C5"/>
    <w:pPr>
      <w:keepNext/>
      <w:keepLines/>
      <w:spacing w:before="360"/>
      <w:jc w:val="center"/>
    </w:pPr>
    <w:rPr>
      <w:sz w:val="26"/>
      <w:szCs w:val="26"/>
    </w:rPr>
  </w:style>
  <w:style w:type="paragraph" w:customStyle="1" w:styleId="Parttitle">
    <w:name w:val="Part_title"/>
    <w:basedOn w:val="PartNo"/>
    <w:qFormat/>
    <w:rsid w:val="00F974C5"/>
    <w:pPr>
      <w:spacing w:before="120" w:after="360"/>
    </w:pPr>
    <w:rPr>
      <w:b/>
      <w:bCs/>
      <w:sz w:val="28"/>
      <w:szCs w:val="28"/>
    </w:rPr>
  </w:style>
  <w:style w:type="paragraph" w:customStyle="1" w:styleId="Reftitle">
    <w:name w:val="Ref_title"/>
    <w:basedOn w:val="Normal"/>
    <w:qFormat/>
    <w:rsid w:val="00F974C5"/>
    <w:pPr>
      <w:keepNext/>
      <w:keepLines/>
      <w:spacing w:before="480" w:after="240"/>
      <w:jc w:val="center"/>
    </w:pPr>
    <w:rPr>
      <w:b/>
      <w:bCs/>
      <w:sz w:val="28"/>
      <w:szCs w:val="28"/>
    </w:rPr>
  </w:style>
  <w:style w:type="paragraph" w:customStyle="1" w:styleId="Section1">
    <w:name w:val="Section_1"/>
    <w:basedOn w:val="Normal"/>
    <w:qFormat/>
    <w:rsid w:val="00F974C5"/>
    <w:pPr>
      <w:keepNext/>
      <w:spacing w:before="360" w:after="240"/>
      <w:jc w:val="center"/>
    </w:pPr>
    <w:rPr>
      <w:b/>
      <w:bCs/>
      <w:sz w:val="26"/>
      <w:szCs w:val="26"/>
      <w:lang w:bidi="ar-SY"/>
    </w:rPr>
  </w:style>
  <w:style w:type="paragraph" w:customStyle="1" w:styleId="Section2">
    <w:name w:val="Section_2"/>
    <w:basedOn w:val="Section1"/>
    <w:qFormat/>
    <w:rsid w:val="00F974C5"/>
    <w:pPr>
      <w:spacing w:before="240"/>
    </w:pPr>
    <w:rPr>
      <w:b w:val="0"/>
      <w:bCs w:val="0"/>
    </w:rPr>
  </w:style>
  <w:style w:type="paragraph" w:customStyle="1" w:styleId="SectionNo">
    <w:name w:val="Section_No"/>
    <w:basedOn w:val="Normal"/>
    <w:qFormat/>
    <w:rsid w:val="00F974C5"/>
    <w:pPr>
      <w:keepNext/>
      <w:keepLines/>
      <w:spacing w:before="360"/>
      <w:jc w:val="center"/>
    </w:pPr>
    <w:rPr>
      <w:sz w:val="26"/>
      <w:szCs w:val="26"/>
    </w:rPr>
  </w:style>
  <w:style w:type="paragraph" w:customStyle="1" w:styleId="Sectiontitle">
    <w:name w:val="Section title"/>
    <w:basedOn w:val="Normal"/>
    <w:qFormat/>
    <w:rsid w:val="00F974C5"/>
    <w:pPr>
      <w:keepNext/>
      <w:keepLines/>
      <w:spacing w:after="360"/>
      <w:jc w:val="center"/>
    </w:pPr>
    <w:rPr>
      <w:b/>
      <w:bCs/>
      <w:sz w:val="28"/>
      <w:szCs w:val="28"/>
      <w:lang w:bidi="ar-SY"/>
    </w:rPr>
  </w:style>
  <w:style w:type="paragraph" w:customStyle="1" w:styleId="Source">
    <w:name w:val="Source"/>
    <w:basedOn w:val="Normal"/>
    <w:qFormat/>
    <w:rsid w:val="007C3BCD"/>
    <w:pPr>
      <w:keepNext/>
      <w:keepLines/>
      <w:spacing w:before="840"/>
      <w:jc w:val="center"/>
    </w:pPr>
    <w:rPr>
      <w:b/>
      <w:bCs/>
      <w:sz w:val="32"/>
      <w:szCs w:val="32"/>
    </w:rPr>
  </w:style>
  <w:style w:type="paragraph" w:customStyle="1" w:styleId="FigureNo">
    <w:name w:val="Figure_No"/>
    <w:basedOn w:val="Normal"/>
    <w:qFormat/>
    <w:rsid w:val="00F974C5"/>
    <w:pPr>
      <w:keepNext/>
      <w:spacing w:before="240"/>
      <w:jc w:val="center"/>
    </w:pPr>
    <w:rPr>
      <w:lang w:bidi="ar-SY"/>
    </w:rPr>
  </w:style>
  <w:style w:type="paragraph" w:customStyle="1" w:styleId="Figuretitle">
    <w:name w:val="Figure_title"/>
    <w:basedOn w:val="Normal"/>
    <w:qFormat/>
    <w:rsid w:val="00F974C5"/>
    <w:pPr>
      <w:keepNext/>
      <w:spacing w:after="240"/>
      <w:jc w:val="center"/>
    </w:pPr>
    <w:rPr>
      <w:b/>
      <w:bCs/>
    </w:rPr>
  </w:style>
  <w:style w:type="paragraph" w:customStyle="1" w:styleId="TableNo">
    <w:name w:val="Table_No"/>
    <w:basedOn w:val="Normal"/>
    <w:qFormat/>
    <w:rsid w:val="00F974C5"/>
    <w:pPr>
      <w:keepNext/>
      <w:spacing w:before="240"/>
      <w:jc w:val="center"/>
    </w:pPr>
    <w:rPr>
      <w:lang w:bidi="ar-SY"/>
    </w:rPr>
  </w:style>
  <w:style w:type="paragraph" w:customStyle="1" w:styleId="Tabletitle">
    <w:name w:val="Table_title"/>
    <w:basedOn w:val="TableNo"/>
    <w:qFormat/>
    <w:rsid w:val="00F974C5"/>
    <w:pPr>
      <w:spacing w:before="120" w:after="240"/>
    </w:pPr>
    <w:rPr>
      <w:b/>
      <w:bCs/>
    </w:rPr>
  </w:style>
  <w:style w:type="paragraph" w:customStyle="1" w:styleId="Tablehead">
    <w:name w:val="Table_head"/>
    <w:basedOn w:val="Normal"/>
    <w:qFormat/>
    <w:rsid w:val="00F974C5"/>
    <w:pPr>
      <w:keepNext/>
      <w:spacing w:before="60" w:after="60" w:line="260" w:lineRule="exact"/>
      <w:jc w:val="center"/>
    </w:pPr>
    <w:rPr>
      <w:b/>
      <w:bCs/>
      <w:sz w:val="20"/>
      <w:szCs w:val="20"/>
    </w:rPr>
  </w:style>
  <w:style w:type="paragraph" w:customStyle="1" w:styleId="Tabletexte">
    <w:name w:val="Table_texte"/>
    <w:basedOn w:val="Normal"/>
    <w:qFormat/>
    <w:rsid w:val="00F974C5"/>
    <w:pPr>
      <w:spacing w:before="60" w:after="60" w:line="260" w:lineRule="exact"/>
    </w:pPr>
    <w:rPr>
      <w:sz w:val="20"/>
      <w:szCs w:val="20"/>
      <w:lang w:bidi="ar-SY"/>
    </w:rPr>
  </w:style>
  <w:style w:type="paragraph" w:customStyle="1" w:styleId="Title1">
    <w:name w:val="Title 1"/>
    <w:basedOn w:val="Normal"/>
    <w:qFormat/>
    <w:rsid w:val="007C3BCD"/>
    <w:pPr>
      <w:keepNext/>
      <w:spacing w:before="360"/>
      <w:jc w:val="center"/>
    </w:pPr>
    <w:rPr>
      <w:w w:val="120"/>
      <w:sz w:val="28"/>
      <w:szCs w:val="28"/>
    </w:rPr>
  </w:style>
  <w:style w:type="paragraph" w:customStyle="1" w:styleId="Title2">
    <w:name w:val="Title 2"/>
    <w:basedOn w:val="Normal"/>
    <w:qFormat/>
    <w:rsid w:val="00F974C5"/>
    <w:pPr>
      <w:keepNext/>
      <w:spacing w:before="240"/>
      <w:jc w:val="center"/>
    </w:pPr>
    <w:rPr>
      <w:w w:val="120"/>
      <w:sz w:val="26"/>
      <w:szCs w:val="26"/>
    </w:rPr>
  </w:style>
  <w:style w:type="paragraph" w:customStyle="1" w:styleId="Title3">
    <w:name w:val="Title 3"/>
    <w:basedOn w:val="Normal"/>
    <w:qFormat/>
    <w:rsid w:val="00F974C5"/>
    <w:pPr>
      <w:keepNext/>
      <w:spacing w:before="240"/>
      <w:jc w:val="center"/>
    </w:pPr>
    <w:rPr>
      <w:sz w:val="26"/>
      <w:szCs w:val="26"/>
    </w:rPr>
  </w:style>
  <w:style w:type="paragraph" w:styleId="TOC1">
    <w:name w:val="toc 1"/>
    <w:basedOn w:val="Normal"/>
    <w:next w:val="Normal"/>
    <w:autoRedefine/>
    <w:uiPriority w:val="39"/>
    <w:unhideWhenUsed/>
    <w:rsid w:val="00F974C5"/>
    <w:pPr>
      <w:ind w:left="720" w:hanging="720"/>
    </w:pPr>
  </w:style>
  <w:style w:type="paragraph" w:styleId="TOC2">
    <w:name w:val="toc 2"/>
    <w:basedOn w:val="Normal"/>
    <w:next w:val="Normal"/>
    <w:autoRedefine/>
    <w:uiPriority w:val="39"/>
    <w:unhideWhenUsed/>
    <w:rsid w:val="002978F4"/>
    <w:pPr>
      <w:ind w:left="1514" w:hanging="720"/>
    </w:pPr>
  </w:style>
  <w:style w:type="paragraph" w:styleId="TOC3">
    <w:name w:val="toc 3"/>
    <w:basedOn w:val="Normal"/>
    <w:next w:val="Normal"/>
    <w:autoRedefine/>
    <w:uiPriority w:val="39"/>
    <w:unhideWhenUsed/>
    <w:rsid w:val="002978F4"/>
    <w:pPr>
      <w:ind w:left="2308" w:hanging="720"/>
    </w:pPr>
  </w:style>
  <w:style w:type="paragraph" w:styleId="TOC4">
    <w:name w:val="toc 4"/>
    <w:basedOn w:val="Normal"/>
    <w:next w:val="Normal"/>
    <w:autoRedefine/>
    <w:uiPriority w:val="39"/>
    <w:unhideWhenUsed/>
    <w:rsid w:val="0023283D"/>
    <w:pPr>
      <w:ind w:left="3045" w:hanging="720"/>
    </w:pPr>
  </w:style>
  <w:style w:type="paragraph" w:styleId="TOC5">
    <w:name w:val="toc 5"/>
    <w:basedOn w:val="Normal"/>
    <w:next w:val="Normal"/>
    <w:autoRedefine/>
    <w:uiPriority w:val="39"/>
    <w:unhideWhenUsed/>
    <w:rsid w:val="0023283D"/>
    <w:pPr>
      <w:ind w:left="3782" w:hanging="720"/>
    </w:pPr>
  </w:style>
  <w:style w:type="paragraph" w:styleId="TOC6">
    <w:name w:val="toc 6"/>
    <w:basedOn w:val="Normal"/>
    <w:next w:val="Normal"/>
    <w:autoRedefine/>
    <w:uiPriority w:val="39"/>
    <w:unhideWhenUsed/>
    <w:rsid w:val="0023283D"/>
    <w:pPr>
      <w:ind w:left="4519" w:hanging="720"/>
    </w:pPr>
  </w:style>
  <w:style w:type="paragraph" w:styleId="TOC7">
    <w:name w:val="toc 7"/>
    <w:basedOn w:val="Normal"/>
    <w:next w:val="Normal"/>
    <w:autoRedefine/>
    <w:uiPriority w:val="39"/>
    <w:unhideWhenUsed/>
    <w:rsid w:val="0023283D"/>
    <w:pPr>
      <w:ind w:left="5256" w:hanging="720"/>
    </w:pPr>
  </w:style>
  <w:style w:type="paragraph" w:styleId="TOC8">
    <w:name w:val="toc 8"/>
    <w:basedOn w:val="Normal"/>
    <w:next w:val="Normal"/>
    <w:autoRedefine/>
    <w:uiPriority w:val="39"/>
    <w:unhideWhenUsed/>
    <w:rsid w:val="0023283D"/>
    <w:pPr>
      <w:ind w:left="6050" w:hanging="720"/>
    </w:pPr>
    <w:rPr>
      <w:lang w:bidi="ar-SY"/>
    </w:rPr>
  </w:style>
  <w:style w:type="paragraph" w:styleId="TOC9">
    <w:name w:val="toc 9"/>
    <w:basedOn w:val="Normal"/>
    <w:next w:val="Normal"/>
    <w:autoRedefine/>
    <w:uiPriority w:val="39"/>
    <w:unhideWhenUsed/>
    <w:rsid w:val="0023283D"/>
    <w:pPr>
      <w:ind w:left="6787" w:hanging="720"/>
    </w:pPr>
  </w:style>
  <w:style w:type="paragraph" w:customStyle="1" w:styleId="VolumeNo">
    <w:name w:val="Volume_No"/>
    <w:basedOn w:val="Normal"/>
    <w:qFormat/>
    <w:rsid w:val="00F974C5"/>
    <w:pPr>
      <w:keepNext/>
      <w:spacing w:before="360"/>
      <w:jc w:val="center"/>
    </w:pPr>
    <w:rPr>
      <w:sz w:val="26"/>
      <w:szCs w:val="26"/>
      <w:lang w:bidi="ar-SY"/>
    </w:rPr>
  </w:style>
  <w:style w:type="paragraph" w:customStyle="1" w:styleId="Volumetitle">
    <w:name w:val="Volume_title"/>
    <w:basedOn w:val="VolumeNo"/>
    <w:qFormat/>
    <w:rsid w:val="00F974C5"/>
    <w:pPr>
      <w:spacing w:before="120" w:after="360"/>
    </w:pPr>
    <w:rPr>
      <w:b/>
      <w:bCs/>
      <w:sz w:val="28"/>
      <w:szCs w:val="28"/>
    </w:rPr>
  </w:style>
  <w:style w:type="paragraph" w:customStyle="1" w:styleId="ResNo">
    <w:name w:val="Res_No"/>
    <w:basedOn w:val="Normal"/>
    <w:qFormat/>
    <w:rsid w:val="00F974C5"/>
    <w:pPr>
      <w:keepNext/>
      <w:keepLines/>
      <w:spacing w:before="360"/>
      <w:jc w:val="center"/>
    </w:pPr>
    <w:rPr>
      <w:sz w:val="26"/>
      <w:szCs w:val="26"/>
    </w:rPr>
  </w:style>
  <w:style w:type="paragraph" w:customStyle="1" w:styleId="Restitle">
    <w:name w:val="Res_title"/>
    <w:basedOn w:val="Normal"/>
    <w:qFormat/>
    <w:rsid w:val="00F974C5"/>
    <w:pPr>
      <w:keepNext/>
      <w:keepLines/>
      <w:spacing w:before="240"/>
      <w:jc w:val="center"/>
    </w:pPr>
    <w:rPr>
      <w:b/>
      <w:bCs/>
      <w:sz w:val="28"/>
      <w:szCs w:val="28"/>
      <w:lang w:bidi="ar-SY"/>
    </w:rPr>
  </w:style>
  <w:style w:type="paragraph" w:customStyle="1" w:styleId="OpinionNo">
    <w:name w:val="Opinion_No"/>
    <w:basedOn w:val="Normal"/>
    <w:qFormat/>
    <w:rsid w:val="00F974C5"/>
    <w:pPr>
      <w:keepNext/>
      <w:keepLines/>
      <w:spacing w:before="360"/>
      <w:jc w:val="center"/>
    </w:pPr>
    <w:rPr>
      <w:sz w:val="26"/>
      <w:szCs w:val="26"/>
    </w:rPr>
  </w:style>
  <w:style w:type="paragraph" w:customStyle="1" w:styleId="Opiniontitle">
    <w:name w:val="Opinion_title"/>
    <w:basedOn w:val="Normal"/>
    <w:qFormat/>
    <w:rsid w:val="00F974C5"/>
    <w:pPr>
      <w:keepNext/>
      <w:keepLines/>
      <w:spacing w:after="360"/>
      <w:jc w:val="center"/>
    </w:pPr>
    <w:rPr>
      <w:b/>
      <w:bCs/>
      <w:sz w:val="28"/>
      <w:szCs w:val="28"/>
    </w:rPr>
  </w:style>
  <w:style w:type="paragraph" w:styleId="Signature">
    <w:name w:val="Signature"/>
    <w:basedOn w:val="Normal"/>
    <w:link w:val="SignatureChar"/>
    <w:uiPriority w:val="99"/>
    <w:semiHidden/>
    <w:unhideWhenUsed/>
    <w:qFormat/>
    <w:rsid w:val="008235CD"/>
    <w:pPr>
      <w:spacing w:before="1440"/>
      <w:jc w:val="left"/>
    </w:pPr>
  </w:style>
  <w:style w:type="character" w:customStyle="1" w:styleId="SignatureChar">
    <w:name w:val="Signature Char"/>
    <w:basedOn w:val="DefaultParagraphFont"/>
    <w:link w:val="Signature"/>
    <w:uiPriority w:val="99"/>
    <w:semiHidden/>
    <w:rsid w:val="008235CD"/>
    <w:rPr>
      <w:rFonts w:ascii="Calibri" w:hAnsi="Calibri" w:cs="Traditional Arabic"/>
      <w:szCs w:val="30"/>
    </w:rPr>
  </w:style>
  <w:style w:type="table" w:styleId="TableGrid">
    <w:name w:val="Table Grid"/>
    <w:basedOn w:val="TableNormal"/>
    <w:uiPriority w:val="39"/>
    <w:rsid w:val="002907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974C5"/>
    <w:pPr>
      <w:tabs>
        <w:tab w:val="center" w:pos="4680"/>
        <w:tab w:val="right" w:pos="9360"/>
      </w:tabs>
      <w:spacing w:before="0" w:line="240" w:lineRule="auto"/>
    </w:pPr>
  </w:style>
  <w:style w:type="character" w:customStyle="1" w:styleId="HeaderChar">
    <w:name w:val="Header Char"/>
    <w:basedOn w:val="DefaultParagraphFont"/>
    <w:link w:val="Header"/>
    <w:uiPriority w:val="99"/>
    <w:rsid w:val="00F974C5"/>
    <w:rPr>
      <w:rFonts w:ascii="Dubai" w:hAnsi="Dubai" w:cs="Dubai"/>
    </w:rPr>
  </w:style>
  <w:style w:type="character" w:styleId="Hyperlink">
    <w:name w:val="Hyperlink"/>
    <w:basedOn w:val="DefaultParagraphFont"/>
    <w:unhideWhenUsed/>
    <w:rsid w:val="0096716C"/>
    <w:rPr>
      <w:rFonts w:ascii="Dubai" w:hAnsi="Dubai" w:cs="Dubai"/>
      <w:noProof/>
      <w:color w:val="5B9BD5"/>
      <w:u w:val="single" w:color="5B9BD5"/>
      <w:lang w:val="en-GB" w:eastAsia="en-US"/>
    </w:rPr>
  </w:style>
  <w:style w:type="character" w:styleId="BookTitle">
    <w:name w:val="Book Title"/>
    <w:basedOn w:val="DefaultParagraphFont"/>
    <w:uiPriority w:val="33"/>
    <w:rsid w:val="007C3BC7"/>
    <w:rPr>
      <w:b/>
      <w:bCs/>
      <w:i/>
      <w:iCs/>
      <w:color w:val="FF0000"/>
      <w:spacing w:val="5"/>
    </w:rPr>
  </w:style>
  <w:style w:type="character" w:styleId="Emphasis">
    <w:name w:val="Emphasis"/>
    <w:basedOn w:val="DefaultParagraphFont"/>
    <w:uiPriority w:val="20"/>
    <w:rsid w:val="007C3BC7"/>
    <w:rPr>
      <w:i/>
      <w:iCs/>
      <w:color w:val="FF0000"/>
    </w:rPr>
  </w:style>
  <w:style w:type="paragraph" w:customStyle="1" w:styleId="Footnotetexte">
    <w:name w:val="Footnote_texte"/>
    <w:basedOn w:val="Normal"/>
    <w:qFormat/>
    <w:rsid w:val="00F974C5"/>
    <w:pPr>
      <w:tabs>
        <w:tab w:val="clear" w:pos="794"/>
        <w:tab w:val="left" w:pos="397"/>
      </w:tabs>
      <w:spacing w:before="60" w:line="168" w:lineRule="auto"/>
      <w:ind w:left="397" w:hanging="397"/>
    </w:pPr>
    <w:rPr>
      <w:sz w:val="20"/>
      <w:szCs w:val="20"/>
    </w:rPr>
  </w:style>
  <w:style w:type="character" w:styleId="IntenseEmphasis">
    <w:name w:val="Intense Emphasis"/>
    <w:basedOn w:val="DefaultParagraphFont"/>
    <w:uiPriority w:val="21"/>
    <w:rsid w:val="007C3BC7"/>
    <w:rPr>
      <w:i/>
      <w:iCs/>
      <w:color w:val="FF0000"/>
    </w:rPr>
  </w:style>
  <w:style w:type="paragraph" w:styleId="IntenseQuote">
    <w:name w:val="Intense Quote"/>
    <w:basedOn w:val="Normal"/>
    <w:next w:val="Normal"/>
    <w:link w:val="IntenseQuoteChar"/>
    <w:uiPriority w:val="30"/>
    <w:rsid w:val="007C3BC7"/>
    <w:pPr>
      <w:pBdr>
        <w:top w:val="single" w:sz="4" w:space="10" w:color="5B9BD5" w:themeColor="accent1"/>
        <w:bottom w:val="single" w:sz="4" w:space="10" w:color="5B9BD5" w:themeColor="accent1"/>
      </w:pBdr>
      <w:spacing w:before="360" w:after="360"/>
      <w:ind w:left="864" w:right="864"/>
      <w:jc w:val="center"/>
    </w:pPr>
    <w:rPr>
      <w:i/>
      <w:iCs/>
      <w:color w:val="FF0000"/>
    </w:rPr>
  </w:style>
  <w:style w:type="character" w:customStyle="1" w:styleId="IntenseQuoteChar">
    <w:name w:val="Intense Quote Char"/>
    <w:basedOn w:val="DefaultParagraphFont"/>
    <w:link w:val="IntenseQuote"/>
    <w:uiPriority w:val="30"/>
    <w:rsid w:val="007C3BC7"/>
    <w:rPr>
      <w:rFonts w:ascii="Calibri" w:hAnsi="Calibri" w:cs="Traditional Arabic"/>
      <w:i/>
      <w:iCs/>
      <w:color w:val="FF0000"/>
      <w:szCs w:val="30"/>
    </w:rPr>
  </w:style>
  <w:style w:type="character" w:styleId="IntenseReference">
    <w:name w:val="Intense Reference"/>
    <w:basedOn w:val="DefaultParagraphFont"/>
    <w:uiPriority w:val="32"/>
    <w:rsid w:val="007C3BC7"/>
    <w:rPr>
      <w:b/>
      <w:bCs/>
      <w:smallCaps/>
      <w:color w:val="FF0000"/>
      <w:spacing w:val="5"/>
    </w:rPr>
  </w:style>
  <w:style w:type="paragraph" w:styleId="ListParagraph">
    <w:name w:val="List Paragraph"/>
    <w:basedOn w:val="Normal"/>
    <w:uiPriority w:val="34"/>
    <w:rsid w:val="00F974C5"/>
    <w:pPr>
      <w:spacing w:before="80"/>
      <w:ind w:left="720"/>
      <w:contextualSpacing/>
    </w:pPr>
  </w:style>
  <w:style w:type="paragraph" w:styleId="Quote">
    <w:name w:val="Quote"/>
    <w:basedOn w:val="Normal"/>
    <w:next w:val="Normal"/>
    <w:link w:val="QuoteChar"/>
    <w:uiPriority w:val="29"/>
    <w:rsid w:val="007C3BC7"/>
    <w:pPr>
      <w:spacing w:before="200" w:after="160"/>
      <w:ind w:left="864" w:right="864"/>
      <w:jc w:val="center"/>
    </w:pPr>
    <w:rPr>
      <w:i/>
      <w:iCs/>
      <w:color w:val="FF0000"/>
    </w:rPr>
  </w:style>
  <w:style w:type="character" w:customStyle="1" w:styleId="QuoteChar">
    <w:name w:val="Quote Char"/>
    <w:basedOn w:val="DefaultParagraphFont"/>
    <w:link w:val="Quote"/>
    <w:uiPriority w:val="29"/>
    <w:rsid w:val="007C3BC7"/>
    <w:rPr>
      <w:rFonts w:ascii="Calibri" w:hAnsi="Calibri" w:cs="Traditional Arabic"/>
      <w:i/>
      <w:iCs/>
      <w:color w:val="FF0000"/>
      <w:szCs w:val="30"/>
    </w:rPr>
  </w:style>
  <w:style w:type="character" w:styleId="Strong">
    <w:name w:val="Strong"/>
    <w:basedOn w:val="DefaultParagraphFont"/>
    <w:uiPriority w:val="22"/>
    <w:rsid w:val="007C3BC7"/>
    <w:rPr>
      <w:b/>
      <w:bCs/>
      <w:color w:val="FF0000"/>
    </w:rPr>
  </w:style>
  <w:style w:type="paragraph" w:styleId="Subtitle">
    <w:name w:val="Subtitle"/>
    <w:basedOn w:val="Normal"/>
    <w:next w:val="Normal"/>
    <w:link w:val="SubtitleChar"/>
    <w:uiPriority w:val="11"/>
    <w:rsid w:val="007C3BC7"/>
    <w:pPr>
      <w:numPr>
        <w:ilvl w:val="1"/>
      </w:numPr>
      <w:spacing w:after="160"/>
    </w:pPr>
    <w:rPr>
      <w:rFonts w:asciiTheme="minorHAnsi" w:hAnsiTheme="minorHAnsi" w:cstheme="minorBidi"/>
      <w:color w:val="FF0000"/>
      <w:spacing w:val="15"/>
    </w:rPr>
  </w:style>
  <w:style w:type="character" w:customStyle="1" w:styleId="SubtitleChar">
    <w:name w:val="Subtitle Char"/>
    <w:basedOn w:val="DefaultParagraphFont"/>
    <w:link w:val="Subtitle"/>
    <w:uiPriority w:val="11"/>
    <w:rsid w:val="007C3BC7"/>
    <w:rPr>
      <w:color w:val="FF0000"/>
      <w:spacing w:val="15"/>
    </w:rPr>
  </w:style>
  <w:style w:type="character" w:styleId="SubtleEmphasis">
    <w:name w:val="Subtle Emphasis"/>
    <w:basedOn w:val="DefaultParagraphFont"/>
    <w:uiPriority w:val="19"/>
    <w:rsid w:val="007C3BC7"/>
    <w:rPr>
      <w:i/>
      <w:iCs/>
      <w:color w:val="FF0000"/>
    </w:rPr>
  </w:style>
  <w:style w:type="character" w:styleId="SubtleReference">
    <w:name w:val="Subtle Reference"/>
    <w:basedOn w:val="DefaultParagraphFont"/>
    <w:uiPriority w:val="31"/>
    <w:rsid w:val="007C3BC7"/>
    <w:rPr>
      <w:smallCaps/>
      <w:color w:val="FF0000"/>
    </w:rPr>
  </w:style>
  <w:style w:type="paragraph" w:customStyle="1" w:styleId="Tablelegend">
    <w:name w:val="Table_legend"/>
    <w:basedOn w:val="Normal"/>
    <w:qFormat/>
    <w:rsid w:val="00F974C5"/>
    <w:pPr>
      <w:spacing w:before="80"/>
    </w:pPr>
    <w:rPr>
      <w:lang w:bidi="ar-SY"/>
    </w:rPr>
  </w:style>
  <w:style w:type="paragraph" w:customStyle="1" w:styleId="Headingb">
    <w:name w:val="Heading_b"/>
    <w:basedOn w:val="Normal"/>
    <w:qFormat/>
    <w:rsid w:val="008339C0"/>
    <w:pPr>
      <w:keepNext/>
      <w:spacing w:before="240"/>
      <w:ind w:left="1134" w:hanging="1134"/>
    </w:pPr>
    <w:rPr>
      <w:b/>
      <w:bCs/>
      <w:sz w:val="24"/>
      <w:szCs w:val="24"/>
    </w:rPr>
  </w:style>
  <w:style w:type="table" w:styleId="GridTable5Dark-Accent1">
    <w:name w:val="Grid Table 5 Dark Accent 1"/>
    <w:basedOn w:val="TableNormal"/>
    <w:uiPriority w:val="50"/>
    <w:rsid w:val="00E61BE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customStyle="1" w:styleId="Subtitle0">
    <w:name w:val="Sub_title"/>
    <w:basedOn w:val="Normal"/>
    <w:qFormat/>
    <w:rsid w:val="007B0AA0"/>
    <w:rPr>
      <w:sz w:val="30"/>
      <w:szCs w:val="30"/>
      <w:lang w:bidi="ar-EG"/>
    </w:rPr>
  </w:style>
  <w:style w:type="table" w:customStyle="1" w:styleId="TableGrid1">
    <w:name w:val="Table Grid1"/>
    <w:basedOn w:val="TableNormal"/>
    <w:next w:val="TableGrid"/>
    <w:uiPriority w:val="39"/>
    <w:rsid w:val="007B0AA0"/>
    <w:pPr>
      <w:spacing w:after="0" w:line="240" w:lineRule="auto"/>
    </w:pPr>
    <w:rPr>
      <w:rFonts w:eastAsia="Calibri"/>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60DEA"/>
    <w:rPr>
      <w:color w:val="605E5C"/>
      <w:shd w:val="clear" w:color="auto" w:fill="E1DFDD"/>
    </w:rPr>
  </w:style>
  <w:style w:type="character" w:styleId="FollowedHyperlink">
    <w:name w:val="FollowedHyperlink"/>
    <w:basedOn w:val="DefaultParagraphFont"/>
    <w:uiPriority w:val="99"/>
    <w:semiHidden/>
    <w:unhideWhenUsed/>
    <w:rsid w:val="000116AF"/>
    <w:rPr>
      <w:color w:val="954F72" w:themeColor="followedHyperlink"/>
      <w:u w:val="single"/>
    </w:rPr>
  </w:style>
  <w:style w:type="paragraph" w:customStyle="1" w:styleId="Equationlegend">
    <w:name w:val="Equation_legend"/>
    <w:basedOn w:val="NormalIndent"/>
    <w:rsid w:val="00E2342C"/>
    <w:pPr>
      <w:tabs>
        <w:tab w:val="clear" w:pos="794"/>
        <w:tab w:val="left" w:pos="567"/>
        <w:tab w:val="left" w:pos="1134"/>
        <w:tab w:val="right" w:pos="1531"/>
        <w:tab w:val="left" w:pos="1701"/>
        <w:tab w:val="left" w:pos="2268"/>
        <w:tab w:val="left" w:pos="2835"/>
      </w:tabs>
      <w:overflowPunct w:val="0"/>
      <w:autoSpaceDE w:val="0"/>
      <w:autoSpaceDN w:val="0"/>
      <w:bidi w:val="0"/>
      <w:adjustRightInd w:val="0"/>
      <w:spacing w:before="80" w:after="0" w:line="240" w:lineRule="auto"/>
      <w:ind w:left="1701" w:hanging="1701"/>
      <w:textAlignment w:val="baseline"/>
    </w:pPr>
    <w:rPr>
      <w:rFonts w:ascii="Times New Roman" w:eastAsia="Times New Roman" w:hAnsi="CG Times" w:cs="Simplified Arabic" w:hint="cs"/>
      <w:sz w:val="24"/>
      <w:szCs w:val="30"/>
    </w:rPr>
  </w:style>
  <w:style w:type="paragraph" w:styleId="NormalIndent">
    <w:name w:val="Normal Indent"/>
    <w:basedOn w:val="Normal"/>
    <w:uiPriority w:val="99"/>
    <w:semiHidden/>
    <w:unhideWhenUsed/>
    <w:rsid w:val="00E2342C"/>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6412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tu.int/md/S26-CL-C-0031/en" TargetMode="External"/><Relationship Id="rId13" Type="http://schemas.openxmlformats.org/officeDocument/2006/relationships/hyperlink" Target="https://www.itu.int/md/S26-CL-C-0079/en" TargetMode="External"/><Relationship Id="rId18" Type="http://schemas.openxmlformats.org/officeDocument/2006/relationships/hyperlink" Target="https://www.itu.int/md/S26-CL-C-0031/en"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s://www.itu.int/md/S26-CL-C-0018/en" TargetMode="External"/><Relationship Id="rId7" Type="http://schemas.openxmlformats.org/officeDocument/2006/relationships/endnotes" Target="endnotes.xml"/><Relationship Id="rId12" Type="http://schemas.openxmlformats.org/officeDocument/2006/relationships/hyperlink" Target="https://www.itu.int/md/S26-CL-C-0029/en" TargetMode="External"/><Relationship Id="rId17" Type="http://schemas.openxmlformats.org/officeDocument/2006/relationships/hyperlink" Target="https://www.itu.int/dms_pub/itu-s/md/26/cl/c/S26-CL-C-0031!A2!MSW-A.docx"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itu.int/md/S26-CL-INF-0001/en" TargetMode="External"/><Relationship Id="rId20" Type="http://schemas.openxmlformats.org/officeDocument/2006/relationships/hyperlink" Target="https://www.itu.int/md/S26-CL-C-0015/e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tu.int/md/S26-CL-C-0018/en"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itu.int/md/S26-CL-C-0083/en" TargetMode="External"/><Relationship Id="rId23" Type="http://schemas.openxmlformats.org/officeDocument/2006/relationships/hyperlink" Target="https://www.itu.int/md/S26-CL-C-0079/en" TargetMode="External"/><Relationship Id="rId28" Type="http://schemas.openxmlformats.org/officeDocument/2006/relationships/theme" Target="theme/theme1.xml"/><Relationship Id="rId10" Type="http://schemas.openxmlformats.org/officeDocument/2006/relationships/hyperlink" Target="https://www.itu.int/md/S26-CL-C-0015/en" TargetMode="External"/><Relationship Id="rId19" Type="http://schemas.openxmlformats.org/officeDocument/2006/relationships/hyperlink" Target="https://www.itu.int/md/S26-CL-C-0031/en" TargetMode="External"/><Relationship Id="rId4" Type="http://schemas.openxmlformats.org/officeDocument/2006/relationships/settings" Target="settings.xml"/><Relationship Id="rId9" Type="http://schemas.openxmlformats.org/officeDocument/2006/relationships/hyperlink" Target="https://www.itu.int/md/S26-CL-C-0083/en" TargetMode="External"/><Relationship Id="rId14" Type="http://schemas.openxmlformats.org/officeDocument/2006/relationships/hyperlink" Target="https://www.itu.int/md/S26-CL-C-0031/en" TargetMode="External"/><Relationship Id="rId22" Type="http://schemas.openxmlformats.org/officeDocument/2006/relationships/hyperlink" Target="https://www.itu.int/md/S26-CL-C-0029/en" TargetMode="Externa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s://council.itu.int/2026/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anatelb\ITU\Riz,%20Imad%20-%20Arabic%20Pool%20Drive\Templates\Arabic%20Templates%202026\SG\PA_Council2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428108-4966-4581-8805-B68FC03556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PA_Council26.dotx</Template>
  <TotalTime>2</TotalTime>
  <Pages>6</Pages>
  <Words>2828</Words>
  <Characters>16518</Characters>
  <Application>Microsoft Office Word</Application>
  <DocSecurity>0</DocSecurity>
  <Lines>266</Lines>
  <Paragraphs>70</Paragraphs>
  <ScaleCrop>false</ScaleCrop>
  <HeadingPairs>
    <vt:vector size="2" baseType="variant">
      <vt:variant>
        <vt:lpstr>Title</vt:lpstr>
      </vt:variant>
      <vt:variant>
        <vt:i4>1</vt:i4>
      </vt:variant>
    </vt:vector>
  </HeadingPairs>
  <TitlesOfParts>
    <vt:vector size="1" baseType="lpstr">
      <vt:lpstr/>
    </vt:vector>
  </TitlesOfParts>
  <Company>International Telecommunication Union</Company>
  <LinksUpToDate>false</LinksUpToDate>
  <CharactersWithSpaces>19276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Summary record of the fifth Plenary meeting</dc:title>
  <dc:subject>ITU Council 2026</dc:subject>
  <cp:keywords>C26; C2026; Council 2026; PP26</cp:keywords>
  <dc:description/>
  <dcterms:created xsi:type="dcterms:W3CDTF">2026-08-06T09:45:00Z</dcterms:created>
  <dcterms:modified xsi:type="dcterms:W3CDTF">2026-08-06T12:02:00Z</dcterms:modified>
  <cp:category>Conference document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4764bc0ed8aab6cc3f228418da0bf4d692034987165b3c327d8e9737cd820415</vt:lpwstr>
  </property>
</Properties>
</file>