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1" w:rightFromText="181" w:vertAnchor="page" w:horzAnchor="page" w:tblpX="1589" w:tblpY="2314"/>
        <w:tblW w:w="9214" w:type="dxa"/>
        <w:tblLayout w:type="fixed"/>
        <w:tblLook w:val="0000" w:firstRow="0" w:lastRow="0" w:firstColumn="0" w:lastColumn="0" w:noHBand="0" w:noVBand="0"/>
      </w:tblPr>
      <w:tblGrid>
        <w:gridCol w:w="3969"/>
        <w:gridCol w:w="5245"/>
      </w:tblGrid>
      <w:tr w:rsidR="00FE57F6" w:rsidRPr="00A04080" w14:paraId="69D81E64" w14:textId="77777777" w:rsidTr="00C4421B">
        <w:trPr>
          <w:cantSplit/>
          <w:trHeight w:val="23"/>
        </w:trPr>
        <w:tc>
          <w:tcPr>
            <w:tcW w:w="3969" w:type="dxa"/>
            <w:vMerge w:val="restart"/>
            <w:tcMar>
              <w:left w:w="0" w:type="dxa"/>
            </w:tcMar>
          </w:tcPr>
          <w:p w14:paraId="7BF34C6B" w14:textId="23371141" w:rsidR="00FE57F6" w:rsidRPr="00A04080" w:rsidRDefault="00FE57F6" w:rsidP="00C4421B">
            <w:pPr>
              <w:tabs>
                <w:tab w:val="left" w:pos="851"/>
              </w:tabs>
              <w:spacing w:before="0" w:line="240" w:lineRule="atLeast"/>
              <w:rPr>
                <w:b/>
                <w:lang w:val="es-ES"/>
              </w:rPr>
            </w:pPr>
            <w:bookmarkStart w:id="0" w:name="_Hlk133421839"/>
          </w:p>
        </w:tc>
        <w:tc>
          <w:tcPr>
            <w:tcW w:w="5245" w:type="dxa"/>
          </w:tcPr>
          <w:p w14:paraId="3FC7AA2C" w14:textId="0B119EA0" w:rsidR="00FE57F6" w:rsidRPr="00A04080" w:rsidRDefault="00FE57F6" w:rsidP="000147ED">
            <w:pPr>
              <w:spacing w:before="0"/>
              <w:jc w:val="right"/>
              <w:rPr>
                <w:b/>
                <w:bCs/>
                <w:lang w:val="es-ES"/>
              </w:rPr>
            </w:pPr>
            <w:r w:rsidRPr="00A04080">
              <w:rPr>
                <w:b/>
                <w:bCs/>
                <w:lang w:val="es-ES"/>
              </w:rPr>
              <w:t>Document</w:t>
            </w:r>
            <w:r w:rsidR="00F24B71" w:rsidRPr="00A04080">
              <w:rPr>
                <w:b/>
                <w:bCs/>
                <w:lang w:val="es-ES"/>
              </w:rPr>
              <w:t>o</w:t>
            </w:r>
            <w:r w:rsidRPr="00A04080">
              <w:rPr>
                <w:b/>
                <w:bCs/>
                <w:lang w:val="es-ES"/>
              </w:rPr>
              <w:t xml:space="preserve"> C2</w:t>
            </w:r>
            <w:r w:rsidR="00F85E5C" w:rsidRPr="00A04080">
              <w:rPr>
                <w:b/>
                <w:bCs/>
                <w:lang w:val="es-ES"/>
              </w:rPr>
              <w:t>6</w:t>
            </w:r>
            <w:r w:rsidRPr="00A04080">
              <w:rPr>
                <w:b/>
                <w:bCs/>
                <w:lang w:val="es-ES"/>
              </w:rPr>
              <w:t>/</w:t>
            </w:r>
            <w:r w:rsidR="000147ED" w:rsidRPr="00A04080">
              <w:rPr>
                <w:b/>
                <w:bCs/>
                <w:lang w:val="es-ES"/>
              </w:rPr>
              <w:t>1</w:t>
            </w:r>
            <w:r w:rsidR="00411A60">
              <w:rPr>
                <w:b/>
                <w:bCs/>
                <w:lang w:val="es-ES"/>
              </w:rPr>
              <w:t>2</w:t>
            </w:r>
            <w:r w:rsidR="009950F9">
              <w:rPr>
                <w:b/>
                <w:bCs/>
                <w:lang w:val="es-ES"/>
              </w:rPr>
              <w:t>1</w:t>
            </w:r>
            <w:r w:rsidRPr="00A04080">
              <w:rPr>
                <w:b/>
                <w:bCs/>
                <w:lang w:val="es-ES"/>
              </w:rPr>
              <w:t>-</w:t>
            </w:r>
            <w:r w:rsidR="00F24B71" w:rsidRPr="00A04080">
              <w:rPr>
                <w:b/>
                <w:bCs/>
                <w:lang w:val="es-ES"/>
              </w:rPr>
              <w:t>S</w:t>
            </w:r>
          </w:p>
        </w:tc>
      </w:tr>
      <w:tr w:rsidR="00FE57F6" w:rsidRPr="00A04080" w14:paraId="3B8A7CBB" w14:textId="77777777" w:rsidTr="00C4421B">
        <w:trPr>
          <w:cantSplit/>
        </w:trPr>
        <w:tc>
          <w:tcPr>
            <w:tcW w:w="3969" w:type="dxa"/>
            <w:vMerge/>
          </w:tcPr>
          <w:p w14:paraId="2312DC50" w14:textId="77777777" w:rsidR="00FE57F6" w:rsidRPr="00A04080" w:rsidRDefault="00FE57F6" w:rsidP="00C4421B">
            <w:pPr>
              <w:tabs>
                <w:tab w:val="left" w:pos="851"/>
              </w:tabs>
              <w:spacing w:line="240" w:lineRule="atLeast"/>
              <w:rPr>
                <w:b/>
                <w:lang w:val="es-ES"/>
              </w:rPr>
            </w:pPr>
          </w:p>
        </w:tc>
        <w:tc>
          <w:tcPr>
            <w:tcW w:w="5245" w:type="dxa"/>
          </w:tcPr>
          <w:p w14:paraId="259AB7D0" w14:textId="2A99526D" w:rsidR="00FE57F6" w:rsidRPr="00A04080" w:rsidRDefault="00377883" w:rsidP="000147ED">
            <w:pPr>
              <w:spacing w:before="0"/>
              <w:jc w:val="right"/>
              <w:rPr>
                <w:b/>
                <w:bCs/>
                <w:lang w:val="es-ES"/>
              </w:rPr>
            </w:pPr>
            <w:r>
              <w:rPr>
                <w:b/>
                <w:bCs/>
                <w:lang w:val="es-ES"/>
              </w:rPr>
              <w:t>3 de agosto</w:t>
            </w:r>
            <w:r w:rsidR="000147ED" w:rsidRPr="00A04080">
              <w:rPr>
                <w:b/>
                <w:bCs/>
                <w:lang w:val="es-ES"/>
              </w:rPr>
              <w:t xml:space="preserve"> de 2026</w:t>
            </w:r>
          </w:p>
        </w:tc>
      </w:tr>
      <w:tr w:rsidR="00FE57F6" w:rsidRPr="00A04080" w14:paraId="3B7BDBAD" w14:textId="77777777" w:rsidTr="00C4421B">
        <w:trPr>
          <w:cantSplit/>
          <w:trHeight w:val="23"/>
        </w:trPr>
        <w:tc>
          <w:tcPr>
            <w:tcW w:w="3969" w:type="dxa"/>
            <w:vMerge/>
          </w:tcPr>
          <w:p w14:paraId="4ADFE76D" w14:textId="77777777" w:rsidR="00FE57F6" w:rsidRPr="00A04080" w:rsidRDefault="00FE57F6" w:rsidP="00C4421B">
            <w:pPr>
              <w:tabs>
                <w:tab w:val="left" w:pos="851"/>
              </w:tabs>
              <w:spacing w:line="240" w:lineRule="atLeast"/>
              <w:rPr>
                <w:b/>
                <w:lang w:val="es-ES"/>
              </w:rPr>
            </w:pPr>
          </w:p>
        </w:tc>
        <w:tc>
          <w:tcPr>
            <w:tcW w:w="5245" w:type="dxa"/>
          </w:tcPr>
          <w:p w14:paraId="0ABE241B" w14:textId="77777777" w:rsidR="00FE57F6" w:rsidRPr="00A04080" w:rsidRDefault="00F24B71" w:rsidP="000147ED">
            <w:pPr>
              <w:spacing w:before="0"/>
              <w:jc w:val="right"/>
              <w:rPr>
                <w:b/>
                <w:bCs/>
                <w:lang w:val="es-ES"/>
              </w:rPr>
            </w:pPr>
            <w:r w:rsidRPr="00A04080">
              <w:rPr>
                <w:b/>
                <w:bCs/>
                <w:lang w:val="es-ES"/>
              </w:rPr>
              <w:t>Original: inglés</w:t>
            </w:r>
          </w:p>
        </w:tc>
      </w:tr>
      <w:tr w:rsidR="00FE57F6" w:rsidRPr="00A04080" w14:paraId="3F377ABC" w14:textId="77777777" w:rsidTr="00C4421B">
        <w:trPr>
          <w:cantSplit/>
          <w:trHeight w:val="23"/>
        </w:trPr>
        <w:tc>
          <w:tcPr>
            <w:tcW w:w="3969" w:type="dxa"/>
          </w:tcPr>
          <w:p w14:paraId="19A75AB6" w14:textId="77777777" w:rsidR="00FE57F6" w:rsidRPr="00A04080" w:rsidRDefault="00FE57F6" w:rsidP="00C4421B">
            <w:pPr>
              <w:tabs>
                <w:tab w:val="left" w:pos="851"/>
              </w:tabs>
              <w:spacing w:line="240" w:lineRule="atLeast"/>
              <w:rPr>
                <w:b/>
                <w:lang w:val="es-ES"/>
              </w:rPr>
            </w:pPr>
          </w:p>
        </w:tc>
        <w:tc>
          <w:tcPr>
            <w:tcW w:w="5245" w:type="dxa"/>
          </w:tcPr>
          <w:p w14:paraId="444FA9F2" w14:textId="77777777" w:rsidR="00FE57F6" w:rsidRPr="00A04080" w:rsidRDefault="00FE57F6" w:rsidP="00C4421B">
            <w:pPr>
              <w:tabs>
                <w:tab w:val="left" w:pos="851"/>
              </w:tabs>
              <w:spacing w:before="0" w:line="240" w:lineRule="atLeast"/>
              <w:jc w:val="right"/>
              <w:rPr>
                <w:b/>
                <w:lang w:val="es-ES"/>
              </w:rPr>
            </w:pPr>
          </w:p>
        </w:tc>
      </w:tr>
      <w:tr w:rsidR="00FE57F6" w:rsidRPr="00FB17E5" w14:paraId="2F83711C" w14:textId="77777777" w:rsidTr="00C4421B">
        <w:trPr>
          <w:cantSplit/>
        </w:trPr>
        <w:tc>
          <w:tcPr>
            <w:tcW w:w="9214" w:type="dxa"/>
            <w:gridSpan w:val="2"/>
            <w:tcMar>
              <w:left w:w="0" w:type="dxa"/>
            </w:tcMar>
          </w:tcPr>
          <w:p w14:paraId="4E6C659F" w14:textId="20B247FE" w:rsidR="00FE57F6" w:rsidRPr="00A04080" w:rsidRDefault="000147ED" w:rsidP="00A04080">
            <w:pPr>
              <w:pStyle w:val="Source"/>
              <w:spacing w:before="360"/>
              <w:rPr>
                <w:sz w:val="34"/>
                <w:szCs w:val="34"/>
                <w:lang w:val="es-ES"/>
              </w:rPr>
            </w:pPr>
            <w:r w:rsidRPr="00A04080">
              <w:rPr>
                <w:sz w:val="34"/>
                <w:szCs w:val="34"/>
                <w:lang w:val="es-ES"/>
              </w:rPr>
              <w:t>RESUMEN DE LOS DEBATES</w:t>
            </w:r>
            <w:r w:rsidRPr="00A04080">
              <w:rPr>
                <w:sz w:val="34"/>
                <w:szCs w:val="34"/>
                <w:lang w:val="es-ES"/>
              </w:rPr>
              <w:br/>
            </w:r>
            <w:r w:rsidRPr="00A04080">
              <w:rPr>
                <w:sz w:val="34"/>
                <w:szCs w:val="34"/>
                <w:lang w:val="es-ES"/>
              </w:rPr>
              <w:br/>
              <w:t>DE LA</w:t>
            </w:r>
            <w:r w:rsidRPr="00A04080">
              <w:rPr>
                <w:sz w:val="34"/>
                <w:szCs w:val="34"/>
                <w:lang w:val="es-ES"/>
              </w:rPr>
              <w:br/>
            </w:r>
            <w:r w:rsidRPr="00A04080">
              <w:rPr>
                <w:sz w:val="34"/>
                <w:szCs w:val="34"/>
                <w:lang w:val="es-ES"/>
              </w:rPr>
              <w:br/>
            </w:r>
            <w:r w:rsidR="009950F9" w:rsidRPr="009950F9">
              <w:rPr>
                <w:sz w:val="34"/>
                <w:szCs w:val="34"/>
                <w:lang w:val="es-ES"/>
              </w:rPr>
              <w:t xml:space="preserve">CUARTA </w:t>
            </w:r>
            <w:r w:rsidRPr="00A04080">
              <w:rPr>
                <w:sz w:val="34"/>
                <w:szCs w:val="34"/>
                <w:lang w:val="es-ES"/>
              </w:rPr>
              <w:t>SESIÓN PLENARIA</w:t>
            </w:r>
          </w:p>
        </w:tc>
      </w:tr>
      <w:tr w:rsidR="00FE57F6" w:rsidRPr="00FB17E5" w14:paraId="1DA7B0C9" w14:textId="77777777" w:rsidTr="00C4421B">
        <w:trPr>
          <w:cantSplit/>
        </w:trPr>
        <w:tc>
          <w:tcPr>
            <w:tcW w:w="9214" w:type="dxa"/>
            <w:gridSpan w:val="2"/>
            <w:tcMar>
              <w:left w:w="0" w:type="dxa"/>
            </w:tcMar>
          </w:tcPr>
          <w:p w14:paraId="4645DA98" w14:textId="121592EC" w:rsidR="000147ED" w:rsidRPr="00A04080" w:rsidRDefault="009950F9" w:rsidP="003C3B9A">
            <w:pPr>
              <w:jc w:val="center"/>
              <w:rPr>
                <w:lang w:val="es-ES"/>
              </w:rPr>
            </w:pPr>
            <w:r w:rsidRPr="009950F9">
              <w:rPr>
                <w:lang w:val="es-ES"/>
              </w:rPr>
              <w:t>Viernes 1 de mayo de 2026, de las 09.05 horas a las 12.10 horas</w:t>
            </w:r>
          </w:p>
          <w:p w14:paraId="60970BAC" w14:textId="668E3979" w:rsidR="00FE57F6" w:rsidRPr="005E3F36" w:rsidRDefault="000147ED" w:rsidP="003C3B9A">
            <w:pPr>
              <w:jc w:val="center"/>
              <w:rPr>
                <w:lang w:val="it-IT"/>
              </w:rPr>
            </w:pPr>
            <w:r w:rsidRPr="005E3F36">
              <w:rPr>
                <w:b/>
                <w:bCs/>
                <w:lang w:val="it-IT"/>
              </w:rPr>
              <w:t>Presidente:</w:t>
            </w:r>
            <w:r w:rsidRPr="005E3F36">
              <w:rPr>
                <w:lang w:val="it-IT"/>
              </w:rPr>
              <w:t xml:space="preserve"> Sr. B</w:t>
            </w:r>
            <w:r w:rsidR="00137BDC">
              <w:rPr>
                <w:lang w:val="it-IT"/>
              </w:rPr>
              <w:t>.</w:t>
            </w:r>
            <w:r w:rsidRPr="005E3F36">
              <w:rPr>
                <w:lang w:val="it-IT"/>
              </w:rPr>
              <w:t xml:space="preserve"> Tijani (Nigeria)</w:t>
            </w:r>
          </w:p>
        </w:tc>
      </w:tr>
      <w:bookmarkEnd w:id="0"/>
    </w:tbl>
    <w:p w14:paraId="552F9EE4" w14:textId="52457D20" w:rsidR="00093EEB" w:rsidRPr="000147ED" w:rsidRDefault="00093EEB">
      <w:pPr>
        <w:rPr>
          <w:lang w:val="it-IT"/>
        </w:rPr>
      </w:pPr>
    </w:p>
    <w:tbl>
      <w:tblPr>
        <w:tblW w:w="9214" w:type="dxa"/>
        <w:tblInd w:w="170" w:type="dxa"/>
        <w:tblLayout w:type="fixed"/>
        <w:tblLook w:val="04A0" w:firstRow="1" w:lastRow="0" w:firstColumn="1" w:lastColumn="0" w:noHBand="0" w:noVBand="1"/>
      </w:tblPr>
      <w:tblGrid>
        <w:gridCol w:w="446"/>
        <w:gridCol w:w="6597"/>
        <w:gridCol w:w="2171"/>
      </w:tblGrid>
      <w:tr w:rsidR="000147ED" w:rsidRPr="00A04080" w14:paraId="6CA3174E" w14:textId="77777777" w:rsidTr="00A04080">
        <w:tc>
          <w:tcPr>
            <w:tcW w:w="446" w:type="dxa"/>
          </w:tcPr>
          <w:p w14:paraId="12C605C9" w14:textId="77777777" w:rsidR="000147ED" w:rsidRPr="005E3F36" w:rsidRDefault="000147ED" w:rsidP="00A04080">
            <w:pPr>
              <w:rPr>
                <w:b/>
                <w:bCs/>
                <w:lang w:val="it-IT"/>
              </w:rPr>
            </w:pPr>
            <w:bookmarkStart w:id="1" w:name="_Hlk141438382"/>
            <w:r w:rsidRPr="005E3F36">
              <w:rPr>
                <w:b/>
                <w:bCs/>
                <w:lang w:val="it-IT"/>
              </w:rPr>
              <w:br w:type="page"/>
            </w:r>
            <w:r w:rsidRPr="005E3F36">
              <w:rPr>
                <w:b/>
                <w:bCs/>
                <w:lang w:val="it-IT"/>
              </w:rPr>
              <w:br w:type="page"/>
            </w:r>
          </w:p>
        </w:tc>
        <w:tc>
          <w:tcPr>
            <w:tcW w:w="6597" w:type="dxa"/>
            <w:hideMark/>
          </w:tcPr>
          <w:p w14:paraId="51D8A5BE" w14:textId="0DC313F2" w:rsidR="000147ED" w:rsidRPr="00A04080" w:rsidRDefault="000147ED" w:rsidP="00A04080">
            <w:pPr>
              <w:rPr>
                <w:b/>
                <w:bCs/>
                <w:lang w:val="es-ES"/>
              </w:rPr>
            </w:pPr>
            <w:r w:rsidRPr="00A04080">
              <w:rPr>
                <w:b/>
                <w:bCs/>
                <w:lang w:val="es-ES"/>
              </w:rPr>
              <w:t>Asuntos tratados</w:t>
            </w:r>
          </w:p>
        </w:tc>
        <w:tc>
          <w:tcPr>
            <w:tcW w:w="2171" w:type="dxa"/>
            <w:hideMark/>
          </w:tcPr>
          <w:p w14:paraId="7F5B4CED" w14:textId="77777777" w:rsidR="000147ED" w:rsidRPr="00A04080" w:rsidRDefault="000147ED" w:rsidP="00A04080">
            <w:pPr>
              <w:jc w:val="center"/>
              <w:rPr>
                <w:b/>
                <w:bCs/>
                <w:lang w:val="es-ES"/>
              </w:rPr>
            </w:pPr>
            <w:r w:rsidRPr="00A04080">
              <w:rPr>
                <w:b/>
                <w:bCs/>
                <w:lang w:val="es-ES"/>
              </w:rPr>
              <w:t>Documentos</w:t>
            </w:r>
          </w:p>
        </w:tc>
      </w:tr>
      <w:tr w:rsidR="000147ED" w:rsidRPr="009950F9" w14:paraId="31CE6E87" w14:textId="77777777" w:rsidTr="009950F9">
        <w:trPr>
          <w:trHeight w:val="20"/>
        </w:trPr>
        <w:tc>
          <w:tcPr>
            <w:tcW w:w="446" w:type="dxa"/>
            <w:hideMark/>
          </w:tcPr>
          <w:p w14:paraId="47C20B3D" w14:textId="77777777" w:rsidR="000147ED" w:rsidRPr="00A04080" w:rsidRDefault="000147ED" w:rsidP="00A04080">
            <w:pPr>
              <w:rPr>
                <w:lang w:val="es-ES"/>
              </w:rPr>
            </w:pPr>
            <w:r w:rsidRPr="00A04080">
              <w:rPr>
                <w:lang w:val="es-ES"/>
              </w:rPr>
              <w:t>1</w:t>
            </w:r>
          </w:p>
        </w:tc>
        <w:tc>
          <w:tcPr>
            <w:tcW w:w="6597" w:type="dxa"/>
          </w:tcPr>
          <w:p w14:paraId="7A35FF65" w14:textId="1B53920B" w:rsidR="000147ED" w:rsidRPr="00A04080" w:rsidRDefault="009950F9" w:rsidP="00411A60">
            <w:pPr>
              <w:rPr>
                <w:lang w:val="es-ES"/>
              </w:rPr>
            </w:pPr>
            <w:r w:rsidRPr="009950F9">
              <w:rPr>
                <w:lang w:val="es-ES"/>
              </w:rPr>
              <w:t>Repercusiones sobre la infraestructura civil de telecomunicaciones/TIC de Bahrein, Kuwait, Emiratos Árabes Unidos y Jordania, y sus repercusiones sobre la conectividad regional y mundial (</w:t>
            </w:r>
            <w:r w:rsidRPr="009950F9">
              <w:rPr>
                <w:i/>
                <w:iCs/>
                <w:lang w:val="es-ES"/>
              </w:rPr>
              <w:t>continuación</w:t>
            </w:r>
            <w:r w:rsidRPr="009950F9">
              <w:rPr>
                <w:lang w:val="es-ES"/>
              </w:rPr>
              <w:t>)</w:t>
            </w:r>
          </w:p>
        </w:tc>
        <w:tc>
          <w:tcPr>
            <w:tcW w:w="2171" w:type="dxa"/>
          </w:tcPr>
          <w:p w14:paraId="0493B68A" w14:textId="4E234856" w:rsidR="000147ED" w:rsidRPr="00411A60" w:rsidRDefault="009950F9" w:rsidP="009950F9">
            <w:pPr>
              <w:jc w:val="center"/>
              <w:rPr>
                <w:szCs w:val="24"/>
                <w:lang w:val="es-ES"/>
              </w:rPr>
            </w:pPr>
            <w:hyperlink r:id="rId7" w:history="1">
              <w:r w:rsidRPr="009950F9">
                <w:rPr>
                  <w:rStyle w:val="Hyperlink"/>
                  <w:rFonts w:eastAsia="Times New Roman" w:cs="Times New Roman"/>
                  <w:szCs w:val="24"/>
                </w:rPr>
                <w:t>C26/95(Rev.2)</w:t>
              </w:r>
            </w:hyperlink>
          </w:p>
        </w:tc>
      </w:tr>
      <w:tr w:rsidR="000147ED" w:rsidRPr="009950F9" w14:paraId="598270ED" w14:textId="77777777" w:rsidTr="009950F9">
        <w:trPr>
          <w:trHeight w:val="20"/>
        </w:trPr>
        <w:tc>
          <w:tcPr>
            <w:tcW w:w="446" w:type="dxa"/>
          </w:tcPr>
          <w:p w14:paraId="5772F2D4" w14:textId="77777777" w:rsidR="000147ED" w:rsidRPr="00A04080" w:rsidRDefault="000147ED" w:rsidP="00A04080">
            <w:pPr>
              <w:rPr>
                <w:lang w:val="es-ES"/>
              </w:rPr>
            </w:pPr>
            <w:r w:rsidRPr="00A04080">
              <w:rPr>
                <w:lang w:val="es-ES"/>
              </w:rPr>
              <w:t>2</w:t>
            </w:r>
          </w:p>
        </w:tc>
        <w:tc>
          <w:tcPr>
            <w:tcW w:w="6597" w:type="dxa"/>
          </w:tcPr>
          <w:p w14:paraId="6FDA9B49" w14:textId="17FCAEFE" w:rsidR="000147ED" w:rsidRPr="00A04080" w:rsidRDefault="009950F9" w:rsidP="00411A60">
            <w:pPr>
              <w:rPr>
                <w:shd w:val="clear" w:color="auto" w:fill="FFFFFF"/>
                <w:lang w:val="es-ES"/>
              </w:rPr>
            </w:pPr>
            <w:r w:rsidRPr="009950F9">
              <w:rPr>
                <w:shd w:val="clear" w:color="auto" w:fill="FFFFFF"/>
                <w:lang w:val="es-ES"/>
              </w:rPr>
              <w:t>Asistencia y apoyo a la República Islámica del Irán para la reconstrucción de sus sectores de radiodifusión y telecomunicaciones/TIC</w:t>
            </w:r>
          </w:p>
        </w:tc>
        <w:tc>
          <w:tcPr>
            <w:tcW w:w="2171" w:type="dxa"/>
          </w:tcPr>
          <w:p w14:paraId="30842B6B" w14:textId="178D1E9B" w:rsidR="000147ED" w:rsidRPr="00411A60" w:rsidRDefault="009950F9" w:rsidP="009950F9">
            <w:pPr>
              <w:jc w:val="center"/>
              <w:rPr>
                <w:szCs w:val="24"/>
                <w:lang w:val="es-ES"/>
              </w:rPr>
            </w:pPr>
            <w:hyperlink r:id="rId8" w:history="1">
              <w:r w:rsidRPr="009950F9">
                <w:rPr>
                  <w:rStyle w:val="Hyperlink"/>
                  <w:rFonts w:eastAsia="Times New Roman" w:cs="Times New Roman"/>
                  <w:szCs w:val="24"/>
                </w:rPr>
                <w:t>C26/86(Rev.1)</w:t>
              </w:r>
            </w:hyperlink>
          </w:p>
        </w:tc>
      </w:tr>
      <w:tr w:rsidR="000147ED" w:rsidRPr="009950F9" w14:paraId="0B16DB81" w14:textId="77777777" w:rsidTr="009950F9">
        <w:trPr>
          <w:trHeight w:val="20"/>
        </w:trPr>
        <w:tc>
          <w:tcPr>
            <w:tcW w:w="446" w:type="dxa"/>
          </w:tcPr>
          <w:p w14:paraId="7C3311C1" w14:textId="77777777" w:rsidR="000147ED" w:rsidRPr="00A04080" w:rsidRDefault="000147ED" w:rsidP="00A04080">
            <w:pPr>
              <w:rPr>
                <w:lang w:val="es-ES"/>
              </w:rPr>
            </w:pPr>
            <w:r w:rsidRPr="00A04080">
              <w:rPr>
                <w:lang w:val="es-ES"/>
              </w:rPr>
              <w:t>3</w:t>
            </w:r>
          </w:p>
        </w:tc>
        <w:tc>
          <w:tcPr>
            <w:tcW w:w="6597" w:type="dxa"/>
          </w:tcPr>
          <w:p w14:paraId="4E3D1B43" w14:textId="41F6E175" w:rsidR="000147ED" w:rsidRPr="00A04080" w:rsidRDefault="009950F9" w:rsidP="00411A60">
            <w:pPr>
              <w:rPr>
                <w:lang w:val="es-ES"/>
              </w:rPr>
            </w:pPr>
            <w:r w:rsidRPr="009950F9">
              <w:rPr>
                <w:lang w:val="es-ES"/>
              </w:rPr>
              <w:t>Fortalecimiento de la resiliencia de los cables submarino</w:t>
            </w:r>
            <w:r w:rsidR="00E459A1">
              <w:rPr>
                <w:lang w:val="es-ES"/>
              </w:rPr>
              <w:t>s</w:t>
            </w:r>
            <w:r w:rsidRPr="009950F9">
              <w:rPr>
                <w:lang w:val="es-ES"/>
              </w:rPr>
              <w:t>: el Organismo Consultivo Internacional sobre Resiliencia de los Cables Submarinos y la Cumbre de Oporto de 2026</w:t>
            </w:r>
          </w:p>
        </w:tc>
        <w:tc>
          <w:tcPr>
            <w:tcW w:w="2171" w:type="dxa"/>
          </w:tcPr>
          <w:p w14:paraId="194BC6D0" w14:textId="03241C81" w:rsidR="000147ED" w:rsidRPr="00411A60" w:rsidRDefault="009950F9" w:rsidP="009950F9">
            <w:pPr>
              <w:jc w:val="center"/>
              <w:rPr>
                <w:szCs w:val="24"/>
                <w:lang w:val="es-ES"/>
              </w:rPr>
            </w:pPr>
            <w:hyperlink r:id="rId9" w:history="1">
              <w:r w:rsidRPr="009950F9">
                <w:rPr>
                  <w:rStyle w:val="Hyperlink"/>
                  <w:rFonts w:eastAsia="Times New Roman" w:cs="Times New Roman"/>
                  <w:szCs w:val="24"/>
                </w:rPr>
                <w:t>C26/76</w:t>
              </w:r>
            </w:hyperlink>
          </w:p>
        </w:tc>
      </w:tr>
      <w:tr w:rsidR="000147ED" w:rsidRPr="009950F9" w14:paraId="6FF31813" w14:textId="77777777" w:rsidTr="009950F9">
        <w:trPr>
          <w:trHeight w:val="20"/>
        </w:trPr>
        <w:tc>
          <w:tcPr>
            <w:tcW w:w="446" w:type="dxa"/>
          </w:tcPr>
          <w:p w14:paraId="06EF9159" w14:textId="77777777" w:rsidR="000147ED" w:rsidRPr="00A04080" w:rsidRDefault="000147ED" w:rsidP="00A04080">
            <w:pPr>
              <w:rPr>
                <w:lang w:val="es-ES"/>
              </w:rPr>
            </w:pPr>
            <w:r w:rsidRPr="00A04080">
              <w:rPr>
                <w:lang w:val="es-ES"/>
              </w:rPr>
              <w:t>4</w:t>
            </w:r>
          </w:p>
        </w:tc>
        <w:tc>
          <w:tcPr>
            <w:tcW w:w="6597" w:type="dxa"/>
          </w:tcPr>
          <w:p w14:paraId="2FA7C0A0" w14:textId="735F6EC4" w:rsidR="000147ED" w:rsidRPr="00A04080" w:rsidRDefault="009950F9" w:rsidP="00411A60">
            <w:pPr>
              <w:rPr>
                <w:lang w:val="es-ES"/>
              </w:rPr>
            </w:pPr>
            <w:r w:rsidRPr="009950F9">
              <w:rPr>
                <w:lang w:val="es-ES"/>
              </w:rPr>
              <w:t>Día Mundial de las Telecomunicaciones y la Sociedad de la Información</w:t>
            </w:r>
          </w:p>
        </w:tc>
        <w:tc>
          <w:tcPr>
            <w:tcW w:w="2171" w:type="dxa"/>
          </w:tcPr>
          <w:p w14:paraId="519583EE" w14:textId="41F5BBD2" w:rsidR="000147ED" w:rsidRPr="00411A60" w:rsidRDefault="009950F9" w:rsidP="009950F9">
            <w:pPr>
              <w:jc w:val="center"/>
              <w:rPr>
                <w:lang w:val="es-ES"/>
              </w:rPr>
            </w:pPr>
            <w:hyperlink r:id="rId10" w:history="1">
              <w:r w:rsidRPr="009950F9">
                <w:rPr>
                  <w:rStyle w:val="Hyperlink"/>
                  <w:rFonts w:eastAsia="Times New Roman" w:cs="Times New Roman"/>
                  <w:szCs w:val="20"/>
                </w:rPr>
                <w:t>C26/17</w:t>
              </w:r>
            </w:hyperlink>
          </w:p>
        </w:tc>
      </w:tr>
      <w:tr w:rsidR="000147ED" w:rsidRPr="009950F9" w14:paraId="6F2BD095" w14:textId="77777777" w:rsidTr="009950F9">
        <w:trPr>
          <w:trHeight w:val="20"/>
        </w:trPr>
        <w:tc>
          <w:tcPr>
            <w:tcW w:w="446" w:type="dxa"/>
          </w:tcPr>
          <w:p w14:paraId="5BEF9034" w14:textId="77777777" w:rsidR="000147ED" w:rsidRPr="00A04080" w:rsidRDefault="000147ED" w:rsidP="00A04080">
            <w:pPr>
              <w:rPr>
                <w:lang w:val="es-ES"/>
              </w:rPr>
            </w:pPr>
            <w:r w:rsidRPr="00A04080">
              <w:rPr>
                <w:lang w:val="es-ES"/>
              </w:rPr>
              <w:t>5</w:t>
            </w:r>
          </w:p>
        </w:tc>
        <w:tc>
          <w:tcPr>
            <w:tcW w:w="6597" w:type="dxa"/>
          </w:tcPr>
          <w:p w14:paraId="107C0C1C" w14:textId="340B837E" w:rsidR="000147ED" w:rsidRPr="00A04080" w:rsidRDefault="009950F9" w:rsidP="00411A60">
            <w:pPr>
              <w:rPr>
                <w:lang w:val="es-ES" w:eastAsia="en-GB"/>
              </w:rPr>
            </w:pPr>
            <w:r w:rsidRPr="009950F9">
              <w:rPr>
                <w:lang w:val="es-ES" w:eastAsia="en-GB"/>
              </w:rPr>
              <w:t>Informe cuatrienal del Presidente del Grupo de Trabajo del Consejo sobre cuestiones de política pública internacional relacionadas con Internet (</w:t>
            </w:r>
            <w:r w:rsidRPr="009950F9">
              <w:rPr>
                <w:i/>
                <w:iCs/>
                <w:lang w:val="es-ES" w:eastAsia="en-GB"/>
              </w:rPr>
              <w:t>continuación</w:t>
            </w:r>
            <w:r w:rsidRPr="009950F9">
              <w:rPr>
                <w:lang w:val="es-ES" w:eastAsia="en-GB"/>
              </w:rPr>
              <w:t>)</w:t>
            </w:r>
          </w:p>
        </w:tc>
        <w:tc>
          <w:tcPr>
            <w:tcW w:w="2171" w:type="dxa"/>
          </w:tcPr>
          <w:p w14:paraId="01E95343" w14:textId="6C9290D8" w:rsidR="000147ED" w:rsidRPr="00411A60" w:rsidRDefault="009950F9" w:rsidP="009950F9">
            <w:pPr>
              <w:jc w:val="center"/>
              <w:rPr>
                <w:lang w:val="es-ES"/>
              </w:rPr>
            </w:pPr>
            <w:hyperlink r:id="rId11" w:history="1">
              <w:r w:rsidRPr="009950F9">
                <w:rPr>
                  <w:rStyle w:val="Hyperlink"/>
                  <w:rFonts w:eastAsia="Times New Roman" w:cs="Times New Roman"/>
                  <w:szCs w:val="20"/>
                  <w:lang w:val="en-GB"/>
                </w:rPr>
                <w:t>C26/52</w:t>
              </w:r>
            </w:hyperlink>
            <w:r w:rsidRPr="009950F9">
              <w:rPr>
                <w:lang w:val="en-GB"/>
              </w:rPr>
              <w:t xml:space="preserve">, </w:t>
            </w:r>
            <w:hyperlink r:id="rId12" w:history="1">
              <w:r w:rsidRPr="009950F9">
                <w:rPr>
                  <w:rStyle w:val="Hyperlink"/>
                  <w:rFonts w:eastAsia="Times New Roman" w:cs="Times New Roman"/>
                  <w:szCs w:val="20"/>
                  <w:lang w:val="en-GB"/>
                </w:rPr>
                <w:t>C26/94</w:t>
              </w:r>
            </w:hyperlink>
            <w:r w:rsidRPr="009950F9">
              <w:rPr>
                <w:lang w:val="en-GB"/>
              </w:rPr>
              <w:t xml:space="preserve">, </w:t>
            </w:r>
            <w:hyperlink r:id="rId13" w:history="1">
              <w:r w:rsidRPr="009950F9">
                <w:rPr>
                  <w:rStyle w:val="Hyperlink"/>
                  <w:rFonts w:eastAsia="Times New Roman" w:cs="Times New Roman"/>
                  <w:szCs w:val="20"/>
                  <w:lang w:val="en-GB"/>
                </w:rPr>
                <w:t>C26/99</w:t>
              </w:r>
            </w:hyperlink>
            <w:r w:rsidRPr="009950F9">
              <w:rPr>
                <w:lang w:val="en-GB"/>
              </w:rPr>
              <w:t xml:space="preserve">, </w:t>
            </w:r>
            <w:hyperlink r:id="rId14" w:history="1">
              <w:r w:rsidRPr="009950F9">
                <w:rPr>
                  <w:rStyle w:val="Hyperlink"/>
                  <w:rFonts w:eastAsia="Times New Roman" w:cs="Times New Roman"/>
                  <w:szCs w:val="20"/>
                  <w:lang w:val="en-GB"/>
                </w:rPr>
                <w:t>C26/101(Rev.1)</w:t>
              </w:r>
            </w:hyperlink>
          </w:p>
        </w:tc>
      </w:tr>
      <w:tr w:rsidR="009950F9" w:rsidRPr="009950F9" w14:paraId="1F2A9A0E" w14:textId="77777777" w:rsidTr="009950F9">
        <w:trPr>
          <w:trHeight w:val="20"/>
        </w:trPr>
        <w:tc>
          <w:tcPr>
            <w:tcW w:w="446" w:type="dxa"/>
          </w:tcPr>
          <w:p w14:paraId="70882A2A" w14:textId="4064C48E" w:rsidR="009950F9" w:rsidRPr="00A04080" w:rsidRDefault="009950F9" w:rsidP="00A04080">
            <w:pPr>
              <w:rPr>
                <w:lang w:val="es-ES"/>
              </w:rPr>
            </w:pPr>
            <w:r>
              <w:rPr>
                <w:lang w:val="es-ES"/>
              </w:rPr>
              <w:t>6</w:t>
            </w:r>
          </w:p>
        </w:tc>
        <w:tc>
          <w:tcPr>
            <w:tcW w:w="6597" w:type="dxa"/>
          </w:tcPr>
          <w:p w14:paraId="32C691CF" w14:textId="07B3798B" w:rsidR="009950F9" w:rsidRPr="00D31931" w:rsidRDefault="009950F9" w:rsidP="00411A60">
            <w:pPr>
              <w:rPr>
                <w:lang w:val="es-ES" w:eastAsia="en-GB"/>
              </w:rPr>
            </w:pPr>
            <w:r w:rsidRPr="009950F9">
              <w:rPr>
                <w:lang w:val="es-ES" w:eastAsia="en-GB"/>
              </w:rPr>
              <w:t>Actividades de la UIT en el ámbito de Internet: Resoluciones 101, 102, 133, 180 y 206 de la Conferencia de Plenipotenciarios</w:t>
            </w:r>
          </w:p>
        </w:tc>
        <w:tc>
          <w:tcPr>
            <w:tcW w:w="2171" w:type="dxa"/>
          </w:tcPr>
          <w:p w14:paraId="06D4721E" w14:textId="23E48CA5" w:rsidR="009950F9" w:rsidRPr="00D31931" w:rsidRDefault="009950F9" w:rsidP="009950F9">
            <w:pPr>
              <w:jc w:val="center"/>
              <w:rPr>
                <w:lang w:val="es-ES"/>
              </w:rPr>
            </w:pPr>
            <w:hyperlink r:id="rId15" w:history="1">
              <w:r w:rsidRPr="009950F9">
                <w:rPr>
                  <w:rStyle w:val="Hyperlink"/>
                  <w:rFonts w:eastAsia="Times New Roman" w:cs="Times New Roman"/>
                  <w:szCs w:val="20"/>
                </w:rPr>
                <w:t>C26/33</w:t>
              </w:r>
            </w:hyperlink>
          </w:p>
        </w:tc>
      </w:tr>
      <w:bookmarkEnd w:id="1"/>
    </w:tbl>
    <w:p w14:paraId="1EEF6FFD" w14:textId="77777777" w:rsidR="001559F5" w:rsidRPr="009950F9" w:rsidRDefault="001559F5" w:rsidP="000147ED">
      <w:pPr>
        <w:rPr>
          <w:lang w:val="es-ES"/>
        </w:rPr>
      </w:pPr>
      <w:r w:rsidRPr="009950F9">
        <w:rPr>
          <w:lang w:val="es-ES"/>
        </w:rPr>
        <w:br w:type="page"/>
      </w:r>
    </w:p>
    <w:p w14:paraId="4EB4C4CF" w14:textId="6AD14847" w:rsidR="009950F9" w:rsidRPr="009950F9" w:rsidRDefault="009950F9" w:rsidP="009950F9">
      <w:pPr>
        <w:pStyle w:val="Heading1"/>
        <w:rPr>
          <w:lang w:val="es-ES"/>
        </w:rPr>
      </w:pPr>
      <w:r w:rsidRPr="009950F9">
        <w:rPr>
          <w:lang w:val="es-ES"/>
        </w:rPr>
        <w:lastRenderedPageBreak/>
        <w:t>1</w:t>
      </w:r>
      <w:r w:rsidRPr="009950F9">
        <w:rPr>
          <w:lang w:val="es-ES"/>
        </w:rPr>
        <w:tab/>
        <w:t>Repercusiones sobre la infraestructura civil de telecomunicaciones/TIC de Bahrein, Kuwait, Emiratos Árabes Unidos y Jordania, y sus repercusiones sobre la conectividad regional y mundial (</w:t>
      </w:r>
      <w:r w:rsidRPr="009950F9">
        <w:rPr>
          <w:i/>
          <w:iCs/>
          <w:lang w:val="es-ES"/>
        </w:rPr>
        <w:t>continuación</w:t>
      </w:r>
      <w:r w:rsidRPr="009950F9">
        <w:rPr>
          <w:lang w:val="es-ES"/>
        </w:rPr>
        <w:t>) (Documento</w:t>
      </w:r>
      <w:r w:rsidR="00E459A1">
        <w:rPr>
          <w:lang w:val="es-ES"/>
        </w:rPr>
        <w:t> </w:t>
      </w:r>
      <w:proofErr w:type="spellStart"/>
      <w:r>
        <w:fldChar w:fldCharType="begin"/>
      </w:r>
      <w:r>
        <w:instrText>HYPERLINK "https://www.itu.int/md/S26-CL-C-0095/es"</w:instrText>
      </w:r>
      <w:r>
        <w:fldChar w:fldCharType="separate"/>
      </w:r>
      <w:r w:rsidRPr="009950F9">
        <w:rPr>
          <w:rStyle w:val="Hyperlink"/>
          <w:rFonts w:eastAsia="Times New Roman" w:cs="Times New Roman"/>
          <w:bCs/>
          <w:szCs w:val="20"/>
          <w:lang w:val="es-ES"/>
        </w:rPr>
        <w:t>C26</w:t>
      </w:r>
      <w:proofErr w:type="spellEnd"/>
      <w:r w:rsidRPr="009950F9">
        <w:rPr>
          <w:rStyle w:val="Hyperlink"/>
          <w:rFonts w:eastAsia="Times New Roman" w:cs="Times New Roman"/>
          <w:bCs/>
          <w:szCs w:val="20"/>
          <w:lang w:val="es-ES"/>
        </w:rPr>
        <w:t>/95(</w:t>
      </w:r>
      <w:proofErr w:type="spellStart"/>
      <w:r w:rsidRPr="009950F9">
        <w:rPr>
          <w:rStyle w:val="Hyperlink"/>
          <w:rFonts w:eastAsia="Times New Roman" w:cs="Times New Roman"/>
          <w:bCs/>
          <w:szCs w:val="20"/>
          <w:lang w:val="es-ES"/>
        </w:rPr>
        <w:t>Rev.2</w:t>
      </w:r>
      <w:proofErr w:type="spellEnd"/>
      <w:r w:rsidRPr="009950F9">
        <w:rPr>
          <w:rStyle w:val="Hyperlink"/>
          <w:rFonts w:eastAsia="Times New Roman" w:cs="Times New Roman"/>
          <w:bCs/>
          <w:szCs w:val="20"/>
          <w:lang w:val="es-ES"/>
        </w:rPr>
        <w:t>)</w:t>
      </w:r>
      <w:r>
        <w:fldChar w:fldCharType="end"/>
      </w:r>
      <w:r w:rsidRPr="009950F9">
        <w:rPr>
          <w:lang w:val="es-ES"/>
        </w:rPr>
        <w:t>)</w:t>
      </w:r>
      <w:hyperlink r:id="rId16" w:history="1"/>
    </w:p>
    <w:p w14:paraId="07EF1ECE" w14:textId="3D6CE410" w:rsidR="009950F9" w:rsidRPr="00663C07" w:rsidRDefault="009950F9" w:rsidP="00663C07">
      <w:pPr>
        <w:jc w:val="both"/>
        <w:rPr>
          <w:spacing w:val="-2"/>
          <w:lang w:val="es-ES"/>
        </w:rPr>
      </w:pPr>
      <w:r w:rsidRPr="00663C07">
        <w:rPr>
          <w:spacing w:val="-2"/>
          <w:lang w:val="es-ES"/>
        </w:rPr>
        <w:t>1.1</w:t>
      </w:r>
      <w:r w:rsidRPr="00663C07">
        <w:rPr>
          <w:spacing w:val="-2"/>
          <w:lang w:val="es-ES"/>
        </w:rPr>
        <w:tab/>
        <w:t>El consejero de Emiratos Árabes Unidos presenta el proyecto de Resolución revisado que figura en el Documento</w:t>
      </w:r>
      <w:r w:rsidR="0053353A" w:rsidRPr="00663C07">
        <w:rPr>
          <w:spacing w:val="-2"/>
          <w:lang w:val="es-ES"/>
        </w:rPr>
        <w:t> </w:t>
      </w:r>
      <w:r w:rsidRPr="00663C07">
        <w:rPr>
          <w:spacing w:val="-2"/>
          <w:lang w:val="es-ES"/>
        </w:rPr>
        <w:t>C26/95(Rev.2), en nombre de los siete países copatrocinadores. Se han celebrado consultas con los Estados Miembros para escuchar opiniones, aportar aclaraciones y reiterar el carácter técnico del proyecto de Resolución. Se alienta a los Estados Miembros a ser conscientes de las repercusiones mundiales y regionales de los ataques y de sus consecuencias para el personal civil que trabaja en el sector. La lucha contra los ataques contra la infraestructura civil de telecomunicaciones y de tecnologías de la información y la comunicación (TIC) figura en el mandato técnico de la</w:t>
      </w:r>
      <w:r w:rsidR="0053353A" w:rsidRPr="00663C07">
        <w:rPr>
          <w:spacing w:val="-2"/>
          <w:lang w:val="es-ES"/>
        </w:rPr>
        <w:t> </w:t>
      </w:r>
      <w:r w:rsidRPr="00663C07">
        <w:rPr>
          <w:spacing w:val="-2"/>
          <w:lang w:val="es-ES"/>
        </w:rPr>
        <w:t>UIT y debe ser examinada por el Consejo.</w:t>
      </w:r>
    </w:p>
    <w:p w14:paraId="7B7D83FF" w14:textId="77777777" w:rsidR="009950F9" w:rsidRPr="009950F9" w:rsidRDefault="009950F9" w:rsidP="00663C07">
      <w:pPr>
        <w:jc w:val="both"/>
        <w:rPr>
          <w:lang w:val="es-ES"/>
        </w:rPr>
      </w:pPr>
      <w:r w:rsidRPr="009950F9">
        <w:rPr>
          <w:lang w:val="es-ES"/>
        </w:rPr>
        <w:t>1.2</w:t>
      </w:r>
      <w:r w:rsidRPr="009950F9">
        <w:rPr>
          <w:lang w:val="es-ES"/>
        </w:rPr>
        <w:tab/>
        <w:t>El observador de Qatar, uno de los copatrocinadores, menciona que el proyecto de Resolución se ha revisado para eliminar el lenguaje que podría considerarse como politizar la contribución.</w:t>
      </w:r>
    </w:p>
    <w:p w14:paraId="193DD290" w14:textId="6F4CAEC9" w:rsidR="009950F9" w:rsidRPr="009950F9" w:rsidRDefault="009950F9" w:rsidP="00663C07">
      <w:pPr>
        <w:jc w:val="both"/>
        <w:rPr>
          <w:lang w:val="es-ES"/>
        </w:rPr>
      </w:pPr>
      <w:r w:rsidRPr="009950F9">
        <w:rPr>
          <w:lang w:val="es-ES"/>
        </w:rPr>
        <w:t>1.3</w:t>
      </w:r>
      <w:r w:rsidRPr="009950F9">
        <w:rPr>
          <w:lang w:val="es-ES"/>
        </w:rPr>
        <w:tab/>
        <w:t>Los consejeros y observadores destacaron la importancia del consenso, expresaron su apoyo al proyecto de Resolución y agradecieron la buena voluntad de los proponentes de incorporar los comentarios de los Estados Miembros. Varios consejeros insisten en que los ataques ilegales e indiscriminados contra la infraestructura de telecomunicaciones/TIC, que han causado una perturbación sin precedentes y han socavado la conectividad internacional, constituyen una grave violación de la Constitución de la</w:t>
      </w:r>
      <w:r w:rsidR="0053353A">
        <w:rPr>
          <w:lang w:val="es-ES"/>
        </w:rPr>
        <w:t> </w:t>
      </w:r>
      <w:r w:rsidRPr="009950F9">
        <w:rPr>
          <w:lang w:val="es-ES"/>
        </w:rPr>
        <w:t>UIT y del derecho internacional. Es fundamental proteger esa infraestructura, habida cuenta de su importancia para la economía y la prestación de servicios básicos. Un consejero señala que el proyecto de Resolución es coherente con las Resoluciones del Consejo de Seguridad de las Naciones Unidas. Se destacó la importancia de la neutralidad y la necesidad de proteger el carácter técnico e integrador de la Unión.</w:t>
      </w:r>
    </w:p>
    <w:p w14:paraId="73C39AC7" w14:textId="0E44A168" w:rsidR="009950F9" w:rsidRPr="009950F9" w:rsidRDefault="009950F9" w:rsidP="00663C07">
      <w:pPr>
        <w:jc w:val="both"/>
        <w:rPr>
          <w:lang w:val="es-ES"/>
        </w:rPr>
      </w:pPr>
      <w:r w:rsidRPr="009950F9">
        <w:rPr>
          <w:lang w:val="es-ES"/>
        </w:rPr>
        <w:t>1</w:t>
      </w:r>
      <w:r w:rsidR="00FA5C37">
        <w:rPr>
          <w:lang w:val="es-ES"/>
        </w:rPr>
        <w:t>.</w:t>
      </w:r>
      <w:r w:rsidRPr="009950F9">
        <w:rPr>
          <w:lang w:val="es-ES"/>
        </w:rPr>
        <w:t>4</w:t>
      </w:r>
      <w:r w:rsidRPr="009950F9">
        <w:rPr>
          <w:lang w:val="es-ES"/>
        </w:rPr>
        <w:tab/>
        <w:t xml:space="preserve">El Consejo </w:t>
      </w:r>
      <w:r w:rsidRPr="009950F9">
        <w:rPr>
          <w:b/>
          <w:bCs/>
          <w:lang w:val="es-ES"/>
        </w:rPr>
        <w:t>aprueba</w:t>
      </w:r>
      <w:r w:rsidRPr="009950F9">
        <w:rPr>
          <w:lang w:val="es-ES"/>
        </w:rPr>
        <w:t xml:space="preserve"> el Documento</w:t>
      </w:r>
      <w:r w:rsidR="0053353A">
        <w:rPr>
          <w:lang w:val="es-ES"/>
        </w:rPr>
        <w:t> </w:t>
      </w:r>
      <w:r w:rsidRPr="009950F9">
        <w:rPr>
          <w:lang w:val="es-ES"/>
        </w:rPr>
        <w:t xml:space="preserve">C26/95(Rev.2) y </w:t>
      </w:r>
      <w:r w:rsidRPr="009950F9">
        <w:rPr>
          <w:b/>
          <w:bCs/>
          <w:lang w:val="es-ES"/>
        </w:rPr>
        <w:t>adopta</w:t>
      </w:r>
      <w:r w:rsidRPr="009950F9">
        <w:rPr>
          <w:lang w:val="es-ES"/>
        </w:rPr>
        <w:t xml:space="preserve"> el proyecto de Resolución que figura en su anexo.</w:t>
      </w:r>
    </w:p>
    <w:p w14:paraId="3215B489" w14:textId="53D214F2" w:rsidR="009950F9" w:rsidRPr="009950F9" w:rsidRDefault="009950F9" w:rsidP="009950F9">
      <w:pPr>
        <w:pStyle w:val="Heading1"/>
        <w:rPr>
          <w:lang w:val="es-ES"/>
        </w:rPr>
      </w:pPr>
      <w:r w:rsidRPr="009950F9">
        <w:rPr>
          <w:bCs/>
          <w:lang w:val="es-ES"/>
        </w:rPr>
        <w:t>2</w:t>
      </w:r>
      <w:r w:rsidRPr="009950F9">
        <w:rPr>
          <w:lang w:val="es-ES"/>
        </w:rPr>
        <w:tab/>
        <w:t>Asistencia y apoyo a la República Islámica del Irán para la reconstrucción de sus sectores de radiodifusión y telecomunicaciones/TIC</w:t>
      </w:r>
      <w:r w:rsidR="00E459A1">
        <w:rPr>
          <w:lang w:val="es-ES"/>
        </w:rPr>
        <w:t xml:space="preserve"> </w:t>
      </w:r>
      <w:r w:rsidRPr="009950F9">
        <w:rPr>
          <w:lang w:val="es-ES"/>
        </w:rPr>
        <w:t>(Documento</w:t>
      </w:r>
      <w:r w:rsidR="00E459A1">
        <w:rPr>
          <w:lang w:val="es-ES"/>
        </w:rPr>
        <w:t> </w:t>
      </w:r>
      <w:proofErr w:type="spellStart"/>
      <w:r>
        <w:fldChar w:fldCharType="begin"/>
      </w:r>
      <w:r>
        <w:instrText>HYPERLINK "https://www.itu.int/md/S26-CL-C-0086/es"</w:instrText>
      </w:r>
      <w:r>
        <w:fldChar w:fldCharType="separate"/>
      </w:r>
      <w:r w:rsidRPr="009950F9">
        <w:rPr>
          <w:rStyle w:val="Hyperlink"/>
          <w:rFonts w:eastAsia="Times New Roman" w:cs="Times New Roman"/>
          <w:szCs w:val="20"/>
          <w:lang w:val="es-ES"/>
        </w:rPr>
        <w:t>C26</w:t>
      </w:r>
      <w:proofErr w:type="spellEnd"/>
      <w:r w:rsidRPr="009950F9">
        <w:rPr>
          <w:rStyle w:val="Hyperlink"/>
          <w:rFonts w:eastAsia="Times New Roman" w:cs="Times New Roman"/>
          <w:szCs w:val="20"/>
          <w:lang w:val="es-ES"/>
        </w:rPr>
        <w:t>/86(</w:t>
      </w:r>
      <w:proofErr w:type="spellStart"/>
      <w:r w:rsidRPr="009950F9">
        <w:rPr>
          <w:rStyle w:val="Hyperlink"/>
          <w:rFonts w:eastAsia="Times New Roman" w:cs="Times New Roman"/>
          <w:szCs w:val="20"/>
          <w:lang w:val="es-ES"/>
        </w:rPr>
        <w:t>Rev.1</w:t>
      </w:r>
      <w:proofErr w:type="spellEnd"/>
      <w:r w:rsidRPr="009950F9">
        <w:rPr>
          <w:rStyle w:val="Hyperlink"/>
          <w:rFonts w:eastAsia="Times New Roman" w:cs="Times New Roman"/>
          <w:szCs w:val="20"/>
          <w:lang w:val="es-ES"/>
        </w:rPr>
        <w:t>)</w:t>
      </w:r>
      <w:r>
        <w:fldChar w:fldCharType="end"/>
      </w:r>
      <w:r w:rsidRPr="009950F9">
        <w:rPr>
          <w:lang w:val="es-ES"/>
        </w:rPr>
        <w:t>)</w:t>
      </w:r>
      <w:hyperlink r:id="rId17" w:history="1"/>
    </w:p>
    <w:p w14:paraId="05BBC982" w14:textId="21E03F01" w:rsidR="009950F9" w:rsidRPr="009950F9" w:rsidRDefault="009950F9" w:rsidP="00663C07">
      <w:pPr>
        <w:jc w:val="both"/>
        <w:rPr>
          <w:lang w:val="es-ES"/>
        </w:rPr>
      </w:pPr>
      <w:r w:rsidRPr="009950F9">
        <w:rPr>
          <w:lang w:val="es-ES"/>
        </w:rPr>
        <w:t>2.1</w:t>
      </w:r>
      <w:r w:rsidRPr="009950F9">
        <w:rPr>
          <w:lang w:val="es-ES"/>
        </w:rPr>
        <w:tab/>
        <w:t>Tras recibir el apoyo de un consejero, el observador de la República Islámica del Irán presenta el Documento</w:t>
      </w:r>
      <w:r w:rsidR="0053353A">
        <w:rPr>
          <w:lang w:val="es-ES"/>
        </w:rPr>
        <w:t> </w:t>
      </w:r>
      <w:r w:rsidRPr="009950F9">
        <w:rPr>
          <w:lang w:val="es-ES"/>
        </w:rPr>
        <w:t xml:space="preserve">C26/86(Rev.1), que contiene un proyecto de </w:t>
      </w:r>
      <w:r w:rsidR="0053353A" w:rsidRPr="009950F9">
        <w:rPr>
          <w:lang w:val="es-ES"/>
        </w:rPr>
        <w:t xml:space="preserve">Resolución </w:t>
      </w:r>
      <w:r w:rsidRPr="009950F9">
        <w:rPr>
          <w:lang w:val="es-ES"/>
        </w:rPr>
        <w:t>en anexo. Su objetivo era movilizar asistencia técnica y financiera voluntaria para apoyar la reconstrucción y recuperación de la infraestructura de radiodifusión, telecomunicaciones y</w:t>
      </w:r>
      <w:r w:rsidR="0053353A">
        <w:rPr>
          <w:lang w:val="es-ES"/>
        </w:rPr>
        <w:t> </w:t>
      </w:r>
      <w:r w:rsidRPr="009950F9">
        <w:rPr>
          <w:lang w:val="es-ES"/>
        </w:rPr>
        <w:t xml:space="preserve">TIC afectada por los ataques de los Estados Unidos e Israel. Se han celebrado consultas oficiosas con los Estados Miembros para recabar información sobre la propuesta, que es de carácter técnico y entra plenamente en el mandato de la Unión. Es importante velar por la coherencia en el enfoque del Consejo ante situaciones comparables en aras de la equidad y la credibilidad institucional; </w:t>
      </w:r>
      <w:r w:rsidR="00325D62">
        <w:rPr>
          <w:lang w:val="es-ES"/>
        </w:rPr>
        <w:t>e</w:t>
      </w:r>
      <w:r w:rsidRPr="009950F9">
        <w:rPr>
          <w:lang w:val="es-ES"/>
        </w:rPr>
        <w:t xml:space="preserve">n el marco del </w:t>
      </w:r>
      <w:r w:rsidR="00576066">
        <w:rPr>
          <w:lang w:val="es-ES"/>
        </w:rPr>
        <w:t>debate del Documento C26/95(Rev.2)</w:t>
      </w:r>
      <w:r w:rsidRPr="009950F9">
        <w:rPr>
          <w:lang w:val="es-ES"/>
        </w:rPr>
        <w:t xml:space="preserve"> ya se había sentado un precedente para la prestación de asistencia técnica y de reconstrucción.</w:t>
      </w:r>
    </w:p>
    <w:p w14:paraId="102E3C9F" w14:textId="726BEADE" w:rsidR="009950F9" w:rsidRPr="009950F9" w:rsidRDefault="009950F9" w:rsidP="00663C07">
      <w:pPr>
        <w:jc w:val="both"/>
        <w:rPr>
          <w:lang w:val="es-ES"/>
        </w:rPr>
      </w:pPr>
      <w:r w:rsidRPr="009950F9">
        <w:rPr>
          <w:lang w:val="es-ES"/>
        </w:rPr>
        <w:lastRenderedPageBreak/>
        <w:t>2.2</w:t>
      </w:r>
      <w:r w:rsidRPr="009950F9">
        <w:rPr>
          <w:lang w:val="es-ES"/>
        </w:rPr>
        <w:tab/>
        <w:t>Además, la República Islámica del Irán expresa reservas sobre los documentos presentados al Consejo que contienen afirmaciones aparentemente no respaldadas por pruebas fácticas, jurídicas o técnicas verificables. Sus operaciones militares se llevaron a cabo en ejercicio de su derecho a la legítima defensa en virtud de la Carta de las Naciones Unidas, en respuesta a actos de agresión anteriores, y se limitaron a los objetivos militares de los agresores; se rechazaron las alegaciones en sentido contrario. Los intentos de abordar estas cuestiones en el seno de la</w:t>
      </w:r>
      <w:r w:rsidR="0053353A">
        <w:rPr>
          <w:lang w:val="es-ES"/>
        </w:rPr>
        <w:t> </w:t>
      </w:r>
      <w:r w:rsidRPr="009950F9">
        <w:rPr>
          <w:lang w:val="es-ES"/>
        </w:rPr>
        <w:t xml:space="preserve">UIT podrían exceder su mandato técnico y socavar su neutralidad. La declaración completa puede consultarse aquí: </w:t>
      </w:r>
      <w:hyperlink r:id="rId18" w:history="1">
        <w:r w:rsidRPr="009950F9">
          <w:rPr>
            <w:rStyle w:val="Hyperlink"/>
            <w:rFonts w:eastAsia="Times New Roman" w:cs="Times New Roman"/>
            <w:szCs w:val="20"/>
            <w:lang w:val="es-ES"/>
          </w:rPr>
          <w:t>council.itu.int/2026/wp-content/uploads/sites/6/2026/02/26.05.01-Iran-HE-Ambassador-Bahreini-C26_86-PL4.pdf</w:t>
        </w:r>
      </w:hyperlink>
      <w:r w:rsidRPr="009950F9">
        <w:rPr>
          <w:lang w:val="es-ES"/>
        </w:rPr>
        <w:t>.</w:t>
      </w:r>
      <w:hyperlink r:id="rId19" w:history="1"/>
    </w:p>
    <w:p w14:paraId="58D862AC" w14:textId="311E2A28" w:rsidR="009950F9" w:rsidRPr="009950F9" w:rsidRDefault="009950F9" w:rsidP="00663C07">
      <w:pPr>
        <w:jc w:val="both"/>
        <w:rPr>
          <w:lang w:val="es-ES"/>
        </w:rPr>
      </w:pPr>
      <w:r w:rsidRPr="009950F9">
        <w:rPr>
          <w:lang w:val="es-ES"/>
        </w:rPr>
        <w:t>2.3</w:t>
      </w:r>
      <w:r w:rsidRPr="009950F9">
        <w:rPr>
          <w:lang w:val="es-ES"/>
        </w:rPr>
        <w:tab/>
        <w:t>Un consejero recuerda que los ataques contra la República Islámica del Irán se lanzaron sin autorización del Consejo de Seguridad de las Naciones Unidas y en violación de la Carta de las Naciones Unidas, y subraya que la crisis en el Oriente Medio afecta a la paz y la estabilidad regionales e internacionales.</w:t>
      </w:r>
    </w:p>
    <w:p w14:paraId="004E4232" w14:textId="6436B3E9" w:rsidR="009950F9" w:rsidRPr="009950F9" w:rsidRDefault="009950F9" w:rsidP="00663C07">
      <w:pPr>
        <w:jc w:val="both"/>
        <w:rPr>
          <w:lang w:val="es-ES"/>
        </w:rPr>
      </w:pPr>
      <w:r w:rsidRPr="009950F9">
        <w:rPr>
          <w:lang w:val="es-ES"/>
        </w:rPr>
        <w:t>2.4</w:t>
      </w:r>
      <w:r w:rsidRPr="009950F9">
        <w:rPr>
          <w:lang w:val="es-ES"/>
        </w:rPr>
        <w:tab/>
        <w:t>Varios consejeros y un observador, tras condenar los ataques contra la infraestructura de telecomunicaciones del país, apoyan la prestación de asistencia técnica y creación de capacidades a la República Islámica del Irán, de conformidad con el mandato de la</w:t>
      </w:r>
      <w:r w:rsidR="0053353A">
        <w:rPr>
          <w:lang w:val="es-ES"/>
        </w:rPr>
        <w:t> </w:t>
      </w:r>
      <w:r w:rsidRPr="009950F9">
        <w:rPr>
          <w:lang w:val="es-ES"/>
        </w:rPr>
        <w:t>UIT. La protección de las redes y servicios públicos de telecomunicaciones en tiempos de conflicto es fundamental. La soberanía nacional, la seguridad y la integridad territorial deben respetarse plenamente, protegiendo los objetivos civiles y no militares y salvaguardando la infraestructura civil de comunicaciones. Es fundamental garantizar el restablecimiento, la resistencia y el funcionamiento de los sistemas de telecomunicaciones, en particular cuando las interrupciones pueden tener consecuencias humanitarias.</w:t>
      </w:r>
    </w:p>
    <w:p w14:paraId="554E263E" w14:textId="36316617" w:rsidR="009950F9" w:rsidRPr="009950F9" w:rsidRDefault="009950F9" w:rsidP="00663C07">
      <w:pPr>
        <w:jc w:val="both"/>
        <w:rPr>
          <w:lang w:val="es-ES"/>
        </w:rPr>
      </w:pPr>
      <w:r w:rsidRPr="009950F9">
        <w:rPr>
          <w:lang w:val="es-ES"/>
        </w:rPr>
        <w:t>2.5</w:t>
      </w:r>
      <w:r w:rsidRPr="009950F9">
        <w:rPr>
          <w:lang w:val="es-ES"/>
        </w:rPr>
        <w:tab/>
        <w:t>Los consejeros de los Emiratos Árabes Unidos, Kuwait y Bahrein declaran que el Documento</w:t>
      </w:r>
      <w:r w:rsidR="0053353A">
        <w:rPr>
          <w:lang w:val="es-ES"/>
        </w:rPr>
        <w:t> </w:t>
      </w:r>
      <w:r w:rsidRPr="009950F9">
        <w:rPr>
          <w:lang w:val="es-ES"/>
        </w:rPr>
        <w:t>C26/86(Rev.1) contiene alegaciones de ataques contra la República Islámica del Irán lanzados desde el territorio de los Estados Árabes; tales afirmaciones contradicen las resoluciones del Consejo de Seguridad de las Naciones Unidas y del Consejo de Derechos Humanos. Piden al Consejo que no apruebe el documento ni adopte el proyecto de Resolución.</w:t>
      </w:r>
    </w:p>
    <w:p w14:paraId="321E0D90" w14:textId="5759BBC4" w:rsidR="009950F9" w:rsidRPr="009950F9" w:rsidRDefault="009950F9" w:rsidP="00663C07">
      <w:pPr>
        <w:jc w:val="both"/>
        <w:rPr>
          <w:lang w:val="es-ES"/>
        </w:rPr>
      </w:pPr>
      <w:r w:rsidRPr="009950F9">
        <w:rPr>
          <w:lang w:val="es-ES"/>
        </w:rPr>
        <w:t>2.6</w:t>
      </w:r>
      <w:r w:rsidRPr="009950F9">
        <w:rPr>
          <w:lang w:val="es-ES"/>
        </w:rPr>
        <w:tab/>
        <w:t>Varios consejeros y un observador insisten en que los resultados del Consejo deben ser equilibrados, objetivos, constructivos y coherentes con el mandato de la</w:t>
      </w:r>
      <w:r w:rsidR="0053353A">
        <w:rPr>
          <w:lang w:val="es-ES"/>
        </w:rPr>
        <w:t> </w:t>
      </w:r>
      <w:r w:rsidRPr="009950F9">
        <w:rPr>
          <w:lang w:val="es-ES"/>
        </w:rPr>
        <w:t>UIT. Debe respetarse el principio de neutralidad. Las medidas que adopte la</w:t>
      </w:r>
      <w:r w:rsidR="004E5DD3">
        <w:rPr>
          <w:lang w:val="es-ES"/>
        </w:rPr>
        <w:t> </w:t>
      </w:r>
      <w:r w:rsidRPr="009950F9">
        <w:rPr>
          <w:lang w:val="es-ES"/>
        </w:rPr>
        <w:t>UIT deben reflejar sus principios objetivos, especializados y profesionales, y los Estados Miembros deben trabajar para mitigar la situación en Oriente Medio.</w:t>
      </w:r>
    </w:p>
    <w:p w14:paraId="45FB2AE6" w14:textId="0377FCD9" w:rsidR="009950F9" w:rsidRPr="009950F9" w:rsidRDefault="009950F9" w:rsidP="00663C07">
      <w:pPr>
        <w:jc w:val="both"/>
        <w:rPr>
          <w:lang w:val="es-ES"/>
        </w:rPr>
      </w:pPr>
      <w:r w:rsidRPr="009950F9">
        <w:rPr>
          <w:lang w:val="es-ES"/>
        </w:rPr>
        <w:t>2.7</w:t>
      </w:r>
      <w:r w:rsidRPr="009950F9">
        <w:rPr>
          <w:lang w:val="es-ES"/>
        </w:rPr>
        <w:tab/>
        <w:t>El Presidente entiende que, al no haber consenso sobre el Documento</w:t>
      </w:r>
      <w:r w:rsidR="0053353A">
        <w:rPr>
          <w:lang w:val="es-ES"/>
        </w:rPr>
        <w:t> </w:t>
      </w:r>
      <w:r w:rsidRPr="009950F9">
        <w:rPr>
          <w:lang w:val="es-ES"/>
        </w:rPr>
        <w:t>C26/86(Rev.1), el Consejo desea pasar al debate del siguiente punto del orden del día.</w:t>
      </w:r>
    </w:p>
    <w:p w14:paraId="4FA98E5F" w14:textId="77777777" w:rsidR="009950F9" w:rsidRPr="009950F9" w:rsidRDefault="009950F9" w:rsidP="00663C07">
      <w:pPr>
        <w:jc w:val="both"/>
        <w:rPr>
          <w:lang w:val="es-ES"/>
        </w:rPr>
      </w:pPr>
      <w:r w:rsidRPr="009950F9">
        <w:rPr>
          <w:lang w:val="es-ES"/>
        </w:rPr>
        <w:t>2.8</w:t>
      </w:r>
      <w:r w:rsidRPr="009950F9">
        <w:rPr>
          <w:lang w:val="es-ES"/>
        </w:rPr>
        <w:tab/>
        <w:t>Así se</w:t>
      </w:r>
      <w:r w:rsidRPr="009950F9">
        <w:rPr>
          <w:b/>
          <w:bCs/>
          <w:lang w:val="es-ES"/>
        </w:rPr>
        <w:t xml:space="preserve"> acuerda</w:t>
      </w:r>
      <w:r w:rsidRPr="009950F9">
        <w:rPr>
          <w:lang w:val="es-ES"/>
        </w:rPr>
        <w:t>.</w:t>
      </w:r>
    </w:p>
    <w:p w14:paraId="36C7C407" w14:textId="5CADBC01" w:rsidR="009950F9" w:rsidRPr="009950F9" w:rsidRDefault="009950F9" w:rsidP="009950F9">
      <w:pPr>
        <w:pStyle w:val="Heading1"/>
        <w:rPr>
          <w:lang w:val="es-ES"/>
        </w:rPr>
      </w:pPr>
      <w:r w:rsidRPr="009950F9">
        <w:rPr>
          <w:lang w:val="es-ES"/>
        </w:rPr>
        <w:t>3</w:t>
      </w:r>
      <w:r w:rsidRPr="009950F9">
        <w:rPr>
          <w:lang w:val="es-ES"/>
        </w:rPr>
        <w:tab/>
        <w:t>Fortalecimiento de la resiliencia de los cables submarinos: el Organismo Consultivo Internacional sobre Resiliencia de los Cables Submarinos y la Cumbre de Oporto de 2026 (Documento</w:t>
      </w:r>
      <w:r w:rsidR="00E459A1">
        <w:rPr>
          <w:lang w:val="es-ES"/>
        </w:rPr>
        <w:t> </w:t>
      </w:r>
      <w:proofErr w:type="spellStart"/>
      <w:r>
        <w:fldChar w:fldCharType="begin"/>
      </w:r>
      <w:r>
        <w:instrText>HYPERLINK "https://www.itu.int/md/S26-CL-C-0076/es"</w:instrText>
      </w:r>
      <w:r>
        <w:fldChar w:fldCharType="separate"/>
      </w:r>
      <w:r w:rsidRPr="009950F9">
        <w:rPr>
          <w:rStyle w:val="Hyperlink"/>
          <w:rFonts w:eastAsia="Times New Roman" w:cs="Times New Roman"/>
          <w:bCs/>
          <w:szCs w:val="20"/>
          <w:lang w:val="es-ES"/>
        </w:rPr>
        <w:t>C26</w:t>
      </w:r>
      <w:proofErr w:type="spellEnd"/>
      <w:r w:rsidRPr="009950F9">
        <w:rPr>
          <w:rStyle w:val="Hyperlink"/>
          <w:rFonts w:eastAsia="Times New Roman" w:cs="Times New Roman"/>
          <w:bCs/>
          <w:szCs w:val="20"/>
          <w:lang w:val="es-ES"/>
        </w:rPr>
        <w:t>/76</w:t>
      </w:r>
      <w:r>
        <w:fldChar w:fldCharType="end"/>
      </w:r>
      <w:r w:rsidRPr="009950F9">
        <w:rPr>
          <w:lang w:val="es-ES"/>
        </w:rPr>
        <w:t>)</w:t>
      </w:r>
      <w:hyperlink r:id="rId20" w:history="1"/>
    </w:p>
    <w:p w14:paraId="28B82180" w14:textId="173AB8AD" w:rsidR="009950F9" w:rsidRPr="009950F9" w:rsidRDefault="009950F9" w:rsidP="00663C07">
      <w:pPr>
        <w:jc w:val="both"/>
        <w:rPr>
          <w:lang w:val="es-ES"/>
        </w:rPr>
      </w:pPr>
      <w:r w:rsidRPr="009950F9">
        <w:rPr>
          <w:lang w:val="es-ES"/>
        </w:rPr>
        <w:t>3.1</w:t>
      </w:r>
      <w:r w:rsidRPr="009950F9">
        <w:rPr>
          <w:lang w:val="es-ES"/>
        </w:rPr>
        <w:tab/>
        <w:t>El observador de Portugal, hablando en calidad de copresidente del Organismo Consultivo Internacional sobre Resiliencia de los Cables Submarinos, presenta el Documento</w:t>
      </w:r>
      <w:r w:rsidR="0053353A">
        <w:rPr>
          <w:lang w:val="es-ES"/>
        </w:rPr>
        <w:t> </w:t>
      </w:r>
      <w:r w:rsidRPr="009950F9">
        <w:rPr>
          <w:lang w:val="es-ES"/>
        </w:rPr>
        <w:t xml:space="preserve">C26/76, en el que se facilita información actualizada sobre los esfuerzos internacionales para mejorar la resiliencia de los cables submarinos, incluida información </w:t>
      </w:r>
      <w:r w:rsidRPr="009950F9">
        <w:rPr>
          <w:lang w:val="es-ES"/>
        </w:rPr>
        <w:lastRenderedPageBreak/>
        <w:t>sobre las ediciones de 2025 y 2026 de la Cumbre Internacional sobre Resiliencia de los Cables Submarinos, celebrada en Abuja (Nigeria) y Oporto (Portugal), respectivamente. La adopción de la Declaración de Oporto sobre la resiliencia de los cables submarinos ha destacado la importancia de la cooperación entre las partes interesadas para garantizar una conectividad mundial segura y fiable. En la Cumbre de Oporto también se aprobaron recomendaciones que proporcionan orientaciones prácticas para acelerar el despliegue y la reparación de cables mediante marcos jurídicos y reglamentarios reforzados, mitigar los riesgos para la infraestructura de cables, apoyar la innovación y la creación de capacidades y promover la inversión y la diversidad de rutas en todo el mundo.</w:t>
      </w:r>
    </w:p>
    <w:p w14:paraId="3AEA06FD" w14:textId="77777777" w:rsidR="009950F9" w:rsidRPr="009950F9" w:rsidRDefault="009950F9" w:rsidP="00663C07">
      <w:pPr>
        <w:jc w:val="both"/>
        <w:rPr>
          <w:lang w:val="es-ES"/>
        </w:rPr>
      </w:pPr>
      <w:r w:rsidRPr="009950F9">
        <w:rPr>
          <w:lang w:val="es-ES"/>
        </w:rPr>
        <w:t>3.2</w:t>
      </w:r>
      <w:r w:rsidRPr="009950F9">
        <w:rPr>
          <w:lang w:val="es-ES"/>
        </w:rPr>
        <w:tab/>
        <w:t>Numerosos consejeros y un observador elogian la labor del Organismo Consultivo Internacional sobre Resiliencia de los Cables Submarinos y se congratulan de las dos cumbres celebradas. Esta cuestión reviste una importancia fundamental, incluso para los países sin litoral, y podría merecer un examen continuo incluso después de que el Consejo Asesor haya concluido su labor. Se expresa apoyo a la Declaración de Oporto y a las recomendaciones prácticas y viables adoptadas, que deberían ser adoptadas por todas las partes interesadas. Debería acelerarse la aplicación de los resultados de la Cumbre de Oporto, en particular mediante la racionalización de los procesos de obtención de permisos y la reducción de los plazos de reparación. También es fundamental apoyar a las regiones vulnerables y desatendidas, incluida África, mediante una mayor inversión, asociaciones y políticas que promuevan la diversidad de rutas y la redundancia; y reforzar la capacitación y la innovación para garantizar que los países en desarrollo puedan participar efectivamente en sistemas de cables submarinos resilientes y beneficiarse de ellos.</w:t>
      </w:r>
    </w:p>
    <w:p w14:paraId="3F1AE96F" w14:textId="4E48DD21" w:rsidR="009950F9" w:rsidRPr="009950F9" w:rsidRDefault="009950F9" w:rsidP="00663C07">
      <w:pPr>
        <w:jc w:val="both"/>
        <w:rPr>
          <w:lang w:val="es-ES"/>
        </w:rPr>
      </w:pPr>
      <w:r w:rsidRPr="009950F9">
        <w:rPr>
          <w:lang w:val="es-ES"/>
        </w:rPr>
        <w:t>3.3</w:t>
      </w:r>
      <w:r w:rsidRPr="009950F9">
        <w:rPr>
          <w:lang w:val="es-ES"/>
        </w:rPr>
        <w:tab/>
        <w:t>Un consejero pide que se elaboren estrategias nacionales de resiliencia y acoge con satisfacción las próximas medidas propuestas para implicar a las principales partes interesadas y traducir las recomendaciones formuladas en medidas concretas. Se sugiere que el informe sirviera de aportación al próximo Simposio Mundial para Organismos Reguladores (GSR-26) y que los resultados de la labor de la Junta Asesora se compartieran con las organizaciones regionales de telecomunicaciones. Los consejeros se congratulan de que se siga haciendo hincapié en la cooperación para reforzar la resiliencia de los cables submarinos, señalando en particular la importancia de mejorar la cooperación entre los gobiernos, la industria y las organizaciones regionales. Otro consejero subraya la importancia de la labor de la Comisión de Estudio</w:t>
      </w:r>
      <w:r w:rsidR="00AD21F4">
        <w:rPr>
          <w:lang w:val="es-ES"/>
        </w:rPr>
        <w:t> </w:t>
      </w:r>
      <w:r w:rsidRPr="009950F9">
        <w:rPr>
          <w:lang w:val="es-ES"/>
        </w:rPr>
        <w:t>15 del Sector de Normalización de las Telecomunicaciones de la</w:t>
      </w:r>
      <w:r w:rsidR="004E5DD3">
        <w:rPr>
          <w:lang w:val="es-ES"/>
        </w:rPr>
        <w:t> </w:t>
      </w:r>
      <w:r w:rsidRPr="009950F9">
        <w:rPr>
          <w:lang w:val="es-ES"/>
        </w:rPr>
        <w:t>UIT (UIT</w:t>
      </w:r>
      <w:r w:rsidR="00AD21F4">
        <w:rPr>
          <w:lang w:val="es-ES"/>
        </w:rPr>
        <w:noBreakHyphen/>
      </w:r>
      <w:r w:rsidRPr="009950F9">
        <w:rPr>
          <w:lang w:val="es-ES"/>
        </w:rPr>
        <w:t>T) y sugiere que el</w:t>
      </w:r>
      <w:r w:rsidR="00F36B84">
        <w:rPr>
          <w:lang w:val="es-ES"/>
        </w:rPr>
        <w:t> </w:t>
      </w:r>
      <w:r w:rsidRPr="009950F9">
        <w:rPr>
          <w:lang w:val="es-ES"/>
        </w:rPr>
        <w:t>UIT</w:t>
      </w:r>
      <w:r w:rsidR="00F36B84">
        <w:rPr>
          <w:lang w:val="es-ES"/>
        </w:rPr>
        <w:noBreakHyphen/>
      </w:r>
      <w:r w:rsidRPr="009950F9">
        <w:rPr>
          <w:lang w:val="es-ES"/>
        </w:rPr>
        <w:t>T podría desempeñar un papel más importante en la aplicación de los resultados de la Cumbre.</w:t>
      </w:r>
    </w:p>
    <w:p w14:paraId="067A12C8" w14:textId="77777777" w:rsidR="009950F9" w:rsidRPr="00663C07" w:rsidRDefault="009950F9" w:rsidP="00663C07">
      <w:pPr>
        <w:jc w:val="both"/>
        <w:rPr>
          <w:spacing w:val="-2"/>
          <w:lang w:val="es-ES"/>
        </w:rPr>
      </w:pPr>
      <w:r w:rsidRPr="00663C07">
        <w:rPr>
          <w:spacing w:val="-2"/>
          <w:lang w:val="es-ES"/>
        </w:rPr>
        <w:t>3.4</w:t>
      </w:r>
      <w:r w:rsidRPr="00663C07">
        <w:rPr>
          <w:spacing w:val="-2"/>
          <w:lang w:val="es-ES"/>
        </w:rPr>
        <w:tab/>
        <w:t>Otro consejero sugiere que, en la sección del documento dedicada a los principales resultados de la Cumbre de Oporto, sería preferible reproducir el lenguaje de la Declaración de Oporto y utilizar el término "recomendaciones no vinculantes" en lugar de "orientaciones". El informe también podría actualizarse para reflejar la situación actual de los trabajos y los plazos.</w:t>
      </w:r>
    </w:p>
    <w:p w14:paraId="142F32C3" w14:textId="03374C87" w:rsidR="009950F9" w:rsidRPr="009950F9" w:rsidRDefault="009950F9" w:rsidP="00663C07">
      <w:pPr>
        <w:jc w:val="both"/>
        <w:rPr>
          <w:lang w:val="es-ES"/>
        </w:rPr>
      </w:pPr>
      <w:r w:rsidRPr="009950F9">
        <w:rPr>
          <w:lang w:val="es-ES"/>
        </w:rPr>
        <w:t>3.5</w:t>
      </w:r>
      <w:r w:rsidRPr="009950F9">
        <w:rPr>
          <w:lang w:val="es-ES"/>
        </w:rPr>
        <w:tab/>
        <w:t>El Vicesecretario General, en respuesta a una pregunta del observador de la Federación de Rusia, dice que corresponde a los Estados Miembros, y no a la Secretaría, determinar la función de la</w:t>
      </w:r>
      <w:r w:rsidR="00AD21F4">
        <w:rPr>
          <w:lang w:val="es-ES"/>
        </w:rPr>
        <w:t> </w:t>
      </w:r>
      <w:r w:rsidRPr="009950F9">
        <w:rPr>
          <w:lang w:val="es-ES"/>
        </w:rPr>
        <w:t xml:space="preserve">UIT en la resiliencia de los cables submarinos. La Secretaría espera recibir nuevas orientaciones de los Estados Miembros a este respecto. Da las gracias a los copresidentes del Grupo Asesor Internacional por su liderazgo y compromiso, que se han traducido en dos cumbres muy exitosas y en conclusiones claras. También agradece a los presidentes de los grupos de trabajo y a los participantes y se congratula de la participación del Comité Internacional para la Protección de los Cables. La adopción por consenso de todas las </w:t>
      </w:r>
      <w:r w:rsidRPr="009950F9">
        <w:rPr>
          <w:lang w:val="es-ES"/>
        </w:rPr>
        <w:lastRenderedPageBreak/>
        <w:t xml:space="preserve">recomendaciones ha demostrado cómo la comunidad mundial puede unirse en torno a tan importantes desafíos. Concluye señalando que los informes de los grupos de trabajo se </w:t>
      </w:r>
      <w:r w:rsidR="00EC38C1">
        <w:rPr>
          <w:lang w:val="es-ES"/>
        </w:rPr>
        <w:t>completaron</w:t>
      </w:r>
      <w:r w:rsidRPr="009950F9">
        <w:rPr>
          <w:lang w:val="es-ES"/>
        </w:rPr>
        <w:t xml:space="preserve"> y se espera que se aprueben en la reunión final del Organismo Consultivo Internacional en virtud de su mandato para 2024-2026.</w:t>
      </w:r>
    </w:p>
    <w:p w14:paraId="71BB2DD7" w14:textId="784B7790" w:rsidR="009950F9" w:rsidRPr="009950F9" w:rsidRDefault="009950F9" w:rsidP="009950F9">
      <w:pPr>
        <w:rPr>
          <w:lang w:val="es-ES"/>
        </w:rPr>
      </w:pPr>
      <w:r w:rsidRPr="009950F9">
        <w:rPr>
          <w:lang w:val="es-ES"/>
        </w:rPr>
        <w:t>3.6</w:t>
      </w:r>
      <w:r w:rsidRPr="009950F9">
        <w:rPr>
          <w:lang w:val="es-ES"/>
        </w:rPr>
        <w:tab/>
        <w:t xml:space="preserve">El Consejo </w:t>
      </w:r>
      <w:r w:rsidRPr="009950F9">
        <w:rPr>
          <w:b/>
          <w:bCs/>
          <w:lang w:val="es-ES"/>
        </w:rPr>
        <w:t>toma nota</w:t>
      </w:r>
      <w:r w:rsidRPr="009950F9">
        <w:rPr>
          <w:lang w:val="es-ES"/>
        </w:rPr>
        <w:t xml:space="preserve"> del informe contenido en el Documento</w:t>
      </w:r>
      <w:r w:rsidR="00AD21F4">
        <w:rPr>
          <w:lang w:val="es-ES"/>
        </w:rPr>
        <w:t> </w:t>
      </w:r>
      <w:r w:rsidRPr="009950F9">
        <w:rPr>
          <w:lang w:val="es-ES"/>
        </w:rPr>
        <w:t>C26/76.</w:t>
      </w:r>
    </w:p>
    <w:p w14:paraId="34DA8A7E" w14:textId="72BDC3AE" w:rsidR="009950F9" w:rsidRPr="009950F9" w:rsidRDefault="009950F9" w:rsidP="009950F9">
      <w:pPr>
        <w:pStyle w:val="Heading1"/>
        <w:rPr>
          <w:lang w:val="es-ES"/>
        </w:rPr>
      </w:pPr>
      <w:r w:rsidRPr="009950F9">
        <w:rPr>
          <w:bCs/>
          <w:lang w:val="es-ES"/>
        </w:rPr>
        <w:t>4</w:t>
      </w:r>
      <w:r w:rsidRPr="009950F9">
        <w:rPr>
          <w:lang w:val="es-ES"/>
        </w:rPr>
        <w:tab/>
      </w:r>
      <w:r w:rsidRPr="009950F9">
        <w:rPr>
          <w:bCs/>
          <w:lang w:val="es-ES"/>
        </w:rPr>
        <w:t>Día Mundial de las Telecomunicaciones y la Sociedad de la Información (Documento</w:t>
      </w:r>
      <w:r w:rsidR="00E459A1">
        <w:rPr>
          <w:bCs/>
          <w:lang w:val="es-ES"/>
        </w:rPr>
        <w:t> </w:t>
      </w:r>
      <w:proofErr w:type="spellStart"/>
      <w:r>
        <w:fldChar w:fldCharType="begin"/>
      </w:r>
      <w:r>
        <w:instrText>HYPERLINK "https://www.itu.int/md/S26-CL-C-0017/es"</w:instrText>
      </w:r>
      <w:r>
        <w:fldChar w:fldCharType="separate"/>
      </w:r>
      <w:r w:rsidRPr="009950F9">
        <w:rPr>
          <w:rStyle w:val="Hyperlink"/>
          <w:rFonts w:eastAsia="Times New Roman" w:cs="Times New Roman"/>
          <w:bCs/>
          <w:szCs w:val="20"/>
          <w:lang w:val="es-ES"/>
        </w:rPr>
        <w:t>C26</w:t>
      </w:r>
      <w:proofErr w:type="spellEnd"/>
      <w:r w:rsidRPr="009950F9">
        <w:rPr>
          <w:rStyle w:val="Hyperlink"/>
          <w:rFonts w:eastAsia="Times New Roman" w:cs="Times New Roman"/>
          <w:bCs/>
          <w:szCs w:val="20"/>
          <w:lang w:val="es-ES"/>
        </w:rPr>
        <w:t>/17</w:t>
      </w:r>
      <w:r>
        <w:fldChar w:fldCharType="end"/>
      </w:r>
      <w:r w:rsidRPr="009950F9">
        <w:rPr>
          <w:bCs/>
          <w:lang w:val="es-ES"/>
        </w:rPr>
        <w:t>)</w:t>
      </w:r>
      <w:hyperlink r:id="rId21" w:history="1"/>
    </w:p>
    <w:p w14:paraId="3EFFC124" w14:textId="083D3550" w:rsidR="009950F9" w:rsidRPr="009950F9" w:rsidRDefault="009950F9" w:rsidP="00FF2034">
      <w:pPr>
        <w:jc w:val="both"/>
        <w:rPr>
          <w:lang w:val="es-ES"/>
        </w:rPr>
      </w:pPr>
      <w:r w:rsidRPr="009950F9">
        <w:rPr>
          <w:lang w:val="es-ES"/>
        </w:rPr>
        <w:t>4.1</w:t>
      </w:r>
      <w:r w:rsidRPr="009950F9">
        <w:rPr>
          <w:lang w:val="es-ES"/>
        </w:rPr>
        <w:tab/>
        <w:t>Un representante de la Secretaría General presenta el informe de la Secretaria General sobre el Día Mundial de las Telecomunicaciones y la Sociedad de la Información (DMTSI), contenido en el Documento</w:t>
      </w:r>
      <w:r w:rsidR="00AD21F4">
        <w:rPr>
          <w:lang w:val="es-ES"/>
        </w:rPr>
        <w:t> </w:t>
      </w:r>
      <w:r w:rsidRPr="009950F9">
        <w:rPr>
          <w:lang w:val="es-ES"/>
        </w:rPr>
        <w:t>C26/17.</w:t>
      </w:r>
    </w:p>
    <w:p w14:paraId="74A152D9" w14:textId="4FD68A65" w:rsidR="009950F9" w:rsidRPr="009950F9" w:rsidRDefault="009950F9" w:rsidP="00FF2034">
      <w:pPr>
        <w:jc w:val="both"/>
        <w:rPr>
          <w:lang w:val="es-ES"/>
        </w:rPr>
      </w:pPr>
      <w:r w:rsidRPr="009950F9">
        <w:rPr>
          <w:lang w:val="es-ES"/>
        </w:rPr>
        <w:t>4.2</w:t>
      </w:r>
      <w:r w:rsidRPr="009950F9">
        <w:rPr>
          <w:lang w:val="es-ES"/>
        </w:rPr>
        <w:tab/>
        <w:t>Varios consejeros y un observador acogen con beneplácito el tema del DMTSI-26, que es particularmente oportuno, e insisten en la importancia de una infraestructura digital resiliente para el crecimiento económico y el desarrollo sostenible. Se expresa apoyo a la implicación de los Estados Miembros y a las actividades de sensibilización de la</w:t>
      </w:r>
      <w:r w:rsidR="00AD21F4">
        <w:rPr>
          <w:lang w:val="es-ES"/>
        </w:rPr>
        <w:t> </w:t>
      </w:r>
      <w:r w:rsidRPr="009950F9">
        <w:rPr>
          <w:lang w:val="es-ES"/>
        </w:rPr>
        <w:t>UIT, incluido el informe sobre los riesgos digitales esenciales, que es especialmente pertinente para los países en desarrollo y los Estados insulares. Un consejero destaca los eventos celebrados en su país para conmemorar el DMTSI-26, y otro subraya la importancia de la conectividad espacial y las comunicaciones por satélite para llegar a las comunidades vulnerables. Un consejero expresa su apoyo al tema propuesto para el DMTSI-27, a saber, "Espacio para todos: ampliar la conectividad más allá de las fronteras".</w:t>
      </w:r>
    </w:p>
    <w:p w14:paraId="6BF447B0" w14:textId="77777777" w:rsidR="009950F9" w:rsidRPr="009950F9" w:rsidRDefault="009950F9" w:rsidP="00FF2034">
      <w:pPr>
        <w:jc w:val="both"/>
        <w:rPr>
          <w:lang w:val="es-ES"/>
        </w:rPr>
      </w:pPr>
      <w:r w:rsidRPr="009950F9">
        <w:rPr>
          <w:lang w:val="es-ES"/>
        </w:rPr>
        <w:t>4.3</w:t>
      </w:r>
      <w:r w:rsidRPr="009950F9">
        <w:rPr>
          <w:lang w:val="es-ES"/>
        </w:rPr>
        <w:tab/>
        <w:t xml:space="preserve">El Consejo </w:t>
      </w:r>
      <w:r w:rsidRPr="009950F9">
        <w:rPr>
          <w:b/>
          <w:bCs/>
          <w:lang w:val="es-ES"/>
        </w:rPr>
        <w:t>toma nota</w:t>
      </w:r>
      <w:r w:rsidRPr="009950F9">
        <w:rPr>
          <w:lang w:val="es-ES"/>
        </w:rPr>
        <w:t xml:space="preserve"> de la celebración del DMTSI-26 sobre el tema "Salvavidas digitales: construyendo un futuro más resiliente en un mundo conectado".</w:t>
      </w:r>
    </w:p>
    <w:p w14:paraId="156F2AB1" w14:textId="31B77CC6" w:rsidR="009950F9" w:rsidRPr="009950F9" w:rsidRDefault="009950F9" w:rsidP="009950F9">
      <w:pPr>
        <w:pStyle w:val="Heading1"/>
        <w:rPr>
          <w:lang w:val="es-ES"/>
        </w:rPr>
      </w:pPr>
      <w:r w:rsidRPr="009950F9">
        <w:rPr>
          <w:lang w:val="es-ES"/>
        </w:rPr>
        <w:t>5</w:t>
      </w:r>
      <w:r w:rsidRPr="009950F9">
        <w:rPr>
          <w:lang w:val="es-ES"/>
        </w:rPr>
        <w:tab/>
        <w:t>Informe cuatrienal del Presidente del Grupo de Trabajo del Consejo sobre cuestiones de política pública internacional relacionadas con Internet (</w:t>
      </w:r>
      <w:r w:rsidRPr="00FF2034">
        <w:rPr>
          <w:i/>
          <w:iCs/>
          <w:lang w:val="es-ES"/>
        </w:rPr>
        <w:t>continuación</w:t>
      </w:r>
      <w:r w:rsidRPr="009950F9">
        <w:rPr>
          <w:lang w:val="es-ES"/>
        </w:rPr>
        <w:t xml:space="preserve">) </w:t>
      </w:r>
      <w:r w:rsidR="00FF2034">
        <w:rPr>
          <w:lang w:val="es-ES"/>
        </w:rPr>
        <w:br/>
      </w:r>
      <w:r w:rsidRPr="009950F9">
        <w:rPr>
          <w:lang w:val="es-ES"/>
        </w:rPr>
        <w:t>(Documentos</w:t>
      </w:r>
      <w:r w:rsidR="00E459A1">
        <w:rPr>
          <w:lang w:val="es-ES"/>
        </w:rPr>
        <w:t> </w:t>
      </w:r>
      <w:proofErr w:type="spellStart"/>
      <w:r>
        <w:fldChar w:fldCharType="begin"/>
      </w:r>
      <w:r>
        <w:instrText>HYPERLINK "https://www.itu.int/md/S26-CL-C-0052/es" \h</w:instrText>
      </w:r>
      <w:r>
        <w:fldChar w:fldCharType="separate"/>
      </w:r>
      <w:r w:rsidRPr="009950F9">
        <w:rPr>
          <w:rStyle w:val="Hyperlink"/>
          <w:rFonts w:eastAsia="Times New Roman" w:cs="Times New Roman"/>
          <w:szCs w:val="20"/>
          <w:lang w:val="es-ES"/>
        </w:rPr>
        <w:t>C26</w:t>
      </w:r>
      <w:proofErr w:type="spellEnd"/>
      <w:r w:rsidRPr="009950F9">
        <w:rPr>
          <w:rStyle w:val="Hyperlink"/>
          <w:rFonts w:eastAsia="Times New Roman" w:cs="Times New Roman"/>
          <w:szCs w:val="20"/>
          <w:lang w:val="es-ES"/>
        </w:rPr>
        <w:t>/52</w:t>
      </w:r>
      <w:r>
        <w:fldChar w:fldCharType="end"/>
      </w:r>
      <w:r w:rsidRPr="009950F9">
        <w:rPr>
          <w:lang w:val="es-ES"/>
        </w:rPr>
        <w:t xml:space="preserve">, </w:t>
      </w:r>
      <w:hyperlink r:id="rId22">
        <w:proofErr w:type="spellStart"/>
        <w:r w:rsidRPr="009950F9">
          <w:rPr>
            <w:rStyle w:val="Hyperlink"/>
            <w:rFonts w:eastAsia="Times New Roman" w:cs="Times New Roman"/>
            <w:szCs w:val="20"/>
            <w:lang w:val="es-ES"/>
          </w:rPr>
          <w:t>C26</w:t>
        </w:r>
        <w:proofErr w:type="spellEnd"/>
        <w:r w:rsidRPr="009950F9">
          <w:rPr>
            <w:rStyle w:val="Hyperlink"/>
            <w:rFonts w:eastAsia="Times New Roman" w:cs="Times New Roman"/>
            <w:szCs w:val="20"/>
            <w:lang w:val="es-ES"/>
          </w:rPr>
          <w:t>/94</w:t>
        </w:r>
      </w:hyperlink>
      <w:r w:rsidRPr="009950F9">
        <w:rPr>
          <w:lang w:val="es-ES"/>
        </w:rPr>
        <w:t xml:space="preserve">, </w:t>
      </w:r>
      <w:hyperlink r:id="rId23">
        <w:proofErr w:type="spellStart"/>
        <w:r w:rsidRPr="009950F9">
          <w:rPr>
            <w:rStyle w:val="Hyperlink"/>
            <w:rFonts w:eastAsia="Times New Roman" w:cs="Times New Roman"/>
            <w:szCs w:val="20"/>
            <w:lang w:val="es-ES"/>
          </w:rPr>
          <w:t>C26</w:t>
        </w:r>
        <w:proofErr w:type="spellEnd"/>
        <w:r w:rsidRPr="009950F9">
          <w:rPr>
            <w:rStyle w:val="Hyperlink"/>
            <w:rFonts w:eastAsia="Times New Roman" w:cs="Times New Roman"/>
            <w:szCs w:val="20"/>
            <w:lang w:val="es-ES"/>
          </w:rPr>
          <w:t>/99</w:t>
        </w:r>
      </w:hyperlink>
      <w:r w:rsidRPr="009950F9">
        <w:rPr>
          <w:lang w:val="es-ES"/>
        </w:rPr>
        <w:t xml:space="preserve"> y </w:t>
      </w:r>
      <w:hyperlink r:id="rId24">
        <w:proofErr w:type="spellStart"/>
        <w:r w:rsidRPr="009950F9">
          <w:rPr>
            <w:rStyle w:val="Hyperlink"/>
            <w:rFonts w:eastAsia="Times New Roman" w:cs="Times New Roman"/>
            <w:szCs w:val="20"/>
            <w:lang w:val="es-ES"/>
          </w:rPr>
          <w:t>C26</w:t>
        </w:r>
        <w:proofErr w:type="spellEnd"/>
        <w:r w:rsidRPr="009950F9">
          <w:rPr>
            <w:rStyle w:val="Hyperlink"/>
            <w:rFonts w:eastAsia="Times New Roman" w:cs="Times New Roman"/>
            <w:szCs w:val="20"/>
            <w:lang w:val="es-ES"/>
          </w:rPr>
          <w:t>/101(</w:t>
        </w:r>
        <w:proofErr w:type="spellStart"/>
        <w:r w:rsidRPr="009950F9">
          <w:rPr>
            <w:rStyle w:val="Hyperlink"/>
            <w:rFonts w:eastAsia="Times New Roman" w:cs="Times New Roman"/>
            <w:szCs w:val="20"/>
            <w:lang w:val="es-ES"/>
          </w:rPr>
          <w:t>Rev.1</w:t>
        </w:r>
        <w:proofErr w:type="spellEnd"/>
        <w:r w:rsidRPr="009950F9">
          <w:rPr>
            <w:rStyle w:val="Hyperlink"/>
            <w:rFonts w:eastAsia="Times New Roman" w:cs="Times New Roman"/>
            <w:szCs w:val="20"/>
            <w:lang w:val="es-ES"/>
          </w:rPr>
          <w:t>)</w:t>
        </w:r>
      </w:hyperlink>
      <w:r w:rsidRPr="009950F9">
        <w:rPr>
          <w:lang w:val="es-ES"/>
        </w:rPr>
        <w:t>)</w:t>
      </w:r>
      <w:hyperlink r:id="rId25"/>
      <w:hyperlink r:id="rId26"/>
      <w:hyperlink r:id="rId27"/>
      <w:hyperlink r:id="rId28"/>
    </w:p>
    <w:p w14:paraId="64C59699" w14:textId="6E312037" w:rsidR="009950F9" w:rsidRPr="009950F9" w:rsidRDefault="009950F9" w:rsidP="00FF2034">
      <w:pPr>
        <w:jc w:val="both"/>
        <w:rPr>
          <w:lang w:val="es-ES"/>
        </w:rPr>
      </w:pPr>
      <w:r w:rsidRPr="009950F9">
        <w:rPr>
          <w:lang w:val="es-ES"/>
        </w:rPr>
        <w:t>5.1</w:t>
      </w:r>
      <w:r w:rsidRPr="009950F9">
        <w:rPr>
          <w:lang w:val="es-ES"/>
        </w:rPr>
        <w:tab/>
        <w:t>Tras recordar el Presidente que el Documento</w:t>
      </w:r>
      <w:r w:rsidR="00AD21F4">
        <w:rPr>
          <w:lang w:val="es-ES"/>
        </w:rPr>
        <w:t> </w:t>
      </w:r>
      <w:r w:rsidRPr="009950F9">
        <w:rPr>
          <w:lang w:val="es-ES"/>
        </w:rPr>
        <w:t>C26/94 había sido presentado por un Estado Miembro observador, dos consejeros manifiestan su apoyo al debate de la contribución.</w:t>
      </w:r>
    </w:p>
    <w:p w14:paraId="0B2F64AB" w14:textId="24D9A108" w:rsidR="009950F9" w:rsidRPr="009950F9" w:rsidRDefault="009950F9" w:rsidP="00FF2034">
      <w:pPr>
        <w:jc w:val="both"/>
        <w:rPr>
          <w:lang w:val="es-ES"/>
        </w:rPr>
      </w:pPr>
      <w:r w:rsidRPr="009950F9">
        <w:rPr>
          <w:lang w:val="es-ES"/>
        </w:rPr>
        <w:t>5.2</w:t>
      </w:r>
      <w:r w:rsidRPr="009950F9">
        <w:rPr>
          <w:lang w:val="es-ES"/>
        </w:rPr>
        <w:tab/>
        <w:t>Los consejeros declaran que el Grupo de Trabajo del Consejo sobre cuestiones de política pública internacional relacionadas con Internet (GTC-Internet) constituye una valiosa plataforma de diálogo y expresaron su apoyo a su continuación en el próximo ciclo. Sin embargo, actualmente es el único Grupo de Trabajo del Consejo limitado a los Estados Miembros. Los progresos logrados se deben en gran medida a las aportaciones de las partes interesadas; por consiguiente, todas las partes interesadas, en particular la comunidad técnica, deben poder participar plenamente en la labor del GTC-Internet para garantizar que el Grupo siga siendo pertinente, capaz de cumplir su importante mandato y obtener resultados significativos para los Estados Miembros, los Miembros de Sector y la comunidad de la</w:t>
      </w:r>
      <w:r w:rsidR="00AD21F4">
        <w:rPr>
          <w:lang w:val="es-ES"/>
        </w:rPr>
        <w:t> </w:t>
      </w:r>
      <w:r w:rsidRPr="009950F9">
        <w:rPr>
          <w:lang w:val="es-ES"/>
        </w:rPr>
        <w:t>UIT en general. Varios consejeros insisten en que el modelo multipartito es la base esencial de una Internet segura e innovadora. Algunos consejeros recuerdan el documento de resultados del examen de los 20</w:t>
      </w:r>
      <w:r w:rsidR="00AD21F4">
        <w:rPr>
          <w:lang w:val="es-ES"/>
        </w:rPr>
        <w:t> </w:t>
      </w:r>
      <w:r w:rsidRPr="009950F9">
        <w:rPr>
          <w:lang w:val="es-ES"/>
        </w:rPr>
        <w:t xml:space="preserve">años de la Cumbre Mundial sobre la Sociedad de la </w:t>
      </w:r>
      <w:r w:rsidRPr="009950F9">
        <w:rPr>
          <w:lang w:val="es-ES"/>
        </w:rPr>
        <w:lastRenderedPageBreak/>
        <w:t>Información (CMSI+20), en el que, entre otras cosas, se reconoce que la gobernanza de Internet debe seguir siendo de carácter multipartito y se pide a todas las entidades pertinentes que también tengan en cuenta los resultados del Foro para la Gobernanza de Internet, que ya es permanente. Confían en que la Conferencia de Plenipotenciarios (Doha,</w:t>
      </w:r>
      <w:r w:rsidR="00AD21F4">
        <w:rPr>
          <w:lang w:val="es-ES"/>
        </w:rPr>
        <w:t> </w:t>
      </w:r>
      <w:r w:rsidRPr="009950F9">
        <w:rPr>
          <w:lang w:val="es-ES"/>
        </w:rPr>
        <w:t>2026) (PP-26) modernice y fortalezca el GTC-Internet para reflejar los enfoques reconocidos en otros foros del sistema de las Naciones Unidas y permitir la plena participación de las partes interesadas. Otro consejero menciona que los aspectos multipartitos ya se han abordado adecuadamente mediante el proceso de consultas abiertas. La atención debe centrarse en la consolidación de los trabajos existentes y garantizar la continuidad, más que en cuestiones estructurales.</w:t>
      </w:r>
    </w:p>
    <w:p w14:paraId="3435BBFA" w14:textId="45F8F06C" w:rsidR="009950F9" w:rsidRPr="009950F9" w:rsidRDefault="009950F9" w:rsidP="00FF2034">
      <w:pPr>
        <w:jc w:val="both"/>
        <w:rPr>
          <w:lang w:val="es-ES"/>
        </w:rPr>
      </w:pPr>
      <w:r w:rsidRPr="009950F9">
        <w:rPr>
          <w:lang w:val="es-ES"/>
        </w:rPr>
        <w:t>5.3</w:t>
      </w:r>
      <w:r w:rsidRPr="009950F9">
        <w:rPr>
          <w:lang w:val="es-ES"/>
        </w:rPr>
        <w:tab/>
        <w:t>Un consejero dice que el punto del orden del día aborda la importante cuestión de la función de la</w:t>
      </w:r>
      <w:r w:rsidR="00AD21F4">
        <w:rPr>
          <w:lang w:val="es-ES"/>
        </w:rPr>
        <w:t> </w:t>
      </w:r>
      <w:r w:rsidRPr="009950F9">
        <w:rPr>
          <w:lang w:val="es-ES"/>
        </w:rPr>
        <w:t>UIT en la gobernanza internacional de Internet y cómo el GTC-Internet podría, en el próximo ciclo, atender mejor los intereses de todos los Estados Miembros, en particular de los países en desarrollo. Otro consejero dice que los debates en el Grupo de Trabajo deben mantenerse firmemente dentro del ámbito del mandato de la</w:t>
      </w:r>
      <w:r w:rsidR="00AD21F4">
        <w:rPr>
          <w:lang w:val="es-ES"/>
        </w:rPr>
        <w:t> </w:t>
      </w:r>
      <w:r w:rsidRPr="009950F9">
        <w:rPr>
          <w:lang w:val="es-ES"/>
        </w:rPr>
        <w:t>UIT, inclusivo y orientado al consenso. Sin embargo, como señalan numerosos consejeros, quedan dificultades por resolver, como la falta de continuidad en los trabajos del Grupo y las dificultades para alcanzar un consenso. Se requiere un enfoque más pragmático y orientado a la acción para traducir los progresos realizados en el ciclo 2022-2026 en resultados de desarrollo tangibles y orientados a los resultados. Algunos consejeros destacan la necesidad de preservar el carácter intergubernamental y centrado en las políticas del GTC-Internet. Un consejero sugiere que se refuercen las consultas abiertas y otros dos consejeros convienen en que debería mejorarse el vínculo entre las consultas abiertas y los resultados sustantivos para contribuir más eficazmente a las cuestiones de política pública relacionadas con Internet. Otro consejero sugiere que el GTC-Internet utilice eficazmente las contribuciones de las consultas abiertas para producir resultados sustantivos y demuestre flexibilidad en sus métodos de trabajo.</w:t>
      </w:r>
    </w:p>
    <w:p w14:paraId="0C794715" w14:textId="0E59D6C9" w:rsidR="009950F9" w:rsidRPr="00FF2034" w:rsidRDefault="009950F9" w:rsidP="00FF2034">
      <w:pPr>
        <w:jc w:val="both"/>
        <w:rPr>
          <w:spacing w:val="-2"/>
          <w:lang w:val="es-ES"/>
        </w:rPr>
      </w:pPr>
      <w:r w:rsidRPr="00FF2034">
        <w:rPr>
          <w:spacing w:val="-2"/>
          <w:lang w:val="es-ES"/>
        </w:rPr>
        <w:t>5.4</w:t>
      </w:r>
      <w:r w:rsidRPr="00FF2034">
        <w:rPr>
          <w:spacing w:val="-2"/>
          <w:lang w:val="es-ES"/>
        </w:rPr>
        <w:tab/>
        <w:t>Un consejero señala que los resultados de la CMSI+20 están estrechamente relacionados con la labor del GTC-Internet. Por consiguiente, es posible que el Grupo de Trabajo desee tener en cuenta las principales cuestiones destacadas en el documento de resultados de la CMSI+20, a saber, las tecnologías emergentes y la inclusión digital. También se sugiere que se abordaran cuestiones como la participación de los jóvenes, la confianza digital y la conectividad inclusiva. Algunos consejeros también se muestran partidarios de que se presente un marco temático no vinculante a la reunión de</w:t>
      </w:r>
      <w:r w:rsidR="00AD21F4" w:rsidRPr="00FF2034">
        <w:rPr>
          <w:spacing w:val="-2"/>
          <w:lang w:val="es-ES"/>
        </w:rPr>
        <w:t> </w:t>
      </w:r>
      <w:r w:rsidRPr="00FF2034">
        <w:rPr>
          <w:spacing w:val="-2"/>
          <w:lang w:val="es-ES"/>
        </w:rPr>
        <w:t>2027 del Consejo. Otros consejeros apoyan la atención en las necesidades de los países menos adelantados, los países en desarrollo sin litoral y los pequeños Estados insulares en desarrollo para promover una conectividad efectiva, la participación inclusiva de los países en desarrollo y abordar los nuevos retos de la gobernanza de Internet. Sin embargo, el Consejo no debe adelantarse a las decisiones de la PP-26 sobre el GTC-Internet, ni siquiera en lo que respecta a los trabajos del próximo ciclo.</w:t>
      </w:r>
    </w:p>
    <w:p w14:paraId="23A89B44" w14:textId="14953E81" w:rsidR="009950F9" w:rsidRPr="009950F9" w:rsidRDefault="009950F9" w:rsidP="00FF2034">
      <w:pPr>
        <w:jc w:val="both"/>
        <w:rPr>
          <w:lang w:val="es-ES"/>
        </w:rPr>
      </w:pPr>
      <w:r w:rsidRPr="009950F9">
        <w:rPr>
          <w:lang w:val="es-ES"/>
        </w:rPr>
        <w:t>5.5</w:t>
      </w:r>
      <w:r w:rsidRPr="009950F9">
        <w:rPr>
          <w:lang w:val="es-ES"/>
        </w:rPr>
        <w:tab/>
        <w:t>Un consejero dice que su país no está convencido del valor del GTC-Internet, y señala que muchos de los temas debatidos en las consultas abiertas se abordan en otros foros. Espera con interés que en la PP-26 se siga examinando la labor y el mandato del GTC</w:t>
      </w:r>
      <w:r w:rsidR="00AD21F4">
        <w:rPr>
          <w:lang w:val="es-ES"/>
        </w:rPr>
        <w:noBreakHyphen/>
      </w:r>
      <w:r w:rsidRPr="009950F9">
        <w:rPr>
          <w:lang w:val="es-ES"/>
        </w:rPr>
        <w:t>Internet. Otro consejero, sin embargo, opina que el GTC-Internet, en su forma actual, sigue siendo un mecanismo práctico y viable, en particular para los países en desarrollo.</w:t>
      </w:r>
    </w:p>
    <w:p w14:paraId="165940BE" w14:textId="1AA42D8D" w:rsidR="009950F9" w:rsidRPr="009950F9" w:rsidRDefault="009950F9" w:rsidP="00FF2034">
      <w:pPr>
        <w:jc w:val="both"/>
        <w:rPr>
          <w:lang w:val="es-ES"/>
        </w:rPr>
      </w:pPr>
      <w:r w:rsidRPr="009950F9">
        <w:rPr>
          <w:lang w:val="es-ES"/>
        </w:rPr>
        <w:t>5.6</w:t>
      </w:r>
      <w:r w:rsidRPr="009950F9">
        <w:rPr>
          <w:lang w:val="es-ES"/>
        </w:rPr>
        <w:tab/>
        <w:t>Varios consejeros agradecen a los Estados Miembros la presentación de los Documentos</w:t>
      </w:r>
      <w:r w:rsidR="00AD21F4">
        <w:rPr>
          <w:lang w:val="es-ES"/>
        </w:rPr>
        <w:t> </w:t>
      </w:r>
      <w:r w:rsidRPr="009950F9">
        <w:rPr>
          <w:lang w:val="es-ES"/>
        </w:rPr>
        <w:t xml:space="preserve">C26/94, C26/99 y C26/101(Rev.1), en los que se abordan las preocupaciones de muchos Estados Miembros, en particular de países en desarrollo, y se formulan varias </w:t>
      </w:r>
      <w:r w:rsidRPr="009950F9">
        <w:rPr>
          <w:lang w:val="es-ES"/>
        </w:rPr>
        <w:lastRenderedPageBreak/>
        <w:t>propuestas interesantes que podrían mejorar la eficiencia y los resultados del GTC-Internet. No obstante, un consejero insiste en que el mandato del GTC-Internet debe ser determinado por la PP-26, y que el Consejo no debe dar por sentado su continuidad. El Consejo debería tomar nota de las contribuciones de los Estados Miembros, que deberían presentarse a la PP-26 para su ulterior examen. Otro consejero conviene en que el debate sustantivo sobre el futuro mandato del Grupo de Trabajo debe aplazarse hasta después de la</w:t>
      </w:r>
      <w:r w:rsidR="00AD21F4">
        <w:rPr>
          <w:lang w:val="es-ES"/>
        </w:rPr>
        <w:t> </w:t>
      </w:r>
      <w:r w:rsidRPr="009950F9">
        <w:rPr>
          <w:lang w:val="es-ES"/>
        </w:rPr>
        <w:t>PP-26.</w:t>
      </w:r>
    </w:p>
    <w:p w14:paraId="791585F9" w14:textId="5920659D" w:rsidR="009950F9" w:rsidRPr="00FF2034" w:rsidRDefault="009950F9" w:rsidP="00FF2034">
      <w:pPr>
        <w:jc w:val="both"/>
        <w:rPr>
          <w:spacing w:val="-2"/>
          <w:lang w:val="es-ES"/>
        </w:rPr>
      </w:pPr>
      <w:r w:rsidRPr="00FF2034">
        <w:rPr>
          <w:spacing w:val="-2"/>
          <w:lang w:val="es-ES"/>
        </w:rPr>
        <w:t>5</w:t>
      </w:r>
      <w:r w:rsidR="00AD21F4" w:rsidRPr="00FF2034">
        <w:rPr>
          <w:spacing w:val="-2"/>
          <w:lang w:val="es-ES"/>
        </w:rPr>
        <w:t>.</w:t>
      </w:r>
      <w:r w:rsidRPr="00FF2034">
        <w:rPr>
          <w:spacing w:val="-2"/>
          <w:lang w:val="es-ES"/>
        </w:rPr>
        <w:t>7</w:t>
      </w:r>
      <w:r w:rsidRPr="00FF2034">
        <w:rPr>
          <w:spacing w:val="-2"/>
          <w:lang w:val="es-ES"/>
        </w:rPr>
        <w:tab/>
        <w:t>Un consejero dice que no apoya la propuesta de adjuntar el Documento</w:t>
      </w:r>
      <w:r w:rsidR="00CF7408" w:rsidRPr="00FF2034">
        <w:rPr>
          <w:spacing w:val="-2"/>
          <w:lang w:val="es-ES"/>
        </w:rPr>
        <w:t> </w:t>
      </w:r>
      <w:r w:rsidRPr="00FF2034">
        <w:rPr>
          <w:spacing w:val="-2"/>
          <w:lang w:val="es-ES"/>
        </w:rPr>
        <w:t>C26/99 al Documento</w:t>
      </w:r>
      <w:r w:rsidR="00CF7408" w:rsidRPr="00FF2034">
        <w:rPr>
          <w:spacing w:val="-2"/>
          <w:lang w:val="es-ES"/>
        </w:rPr>
        <w:t> </w:t>
      </w:r>
      <w:r w:rsidRPr="00FF2034">
        <w:rPr>
          <w:spacing w:val="-2"/>
          <w:lang w:val="es-ES"/>
        </w:rPr>
        <w:t>C26/52 para su presentación a la PP-26. Las recomendaciones que contiene no han sido tenidas en cuenta por el GTC-Internet y no reflejan las opiniones de todos los Estados Miembros. Además, dado que el Documento</w:t>
      </w:r>
      <w:r w:rsidR="00CF7408" w:rsidRPr="00FF2034">
        <w:rPr>
          <w:spacing w:val="-2"/>
          <w:lang w:val="es-ES"/>
        </w:rPr>
        <w:t> </w:t>
      </w:r>
      <w:r w:rsidRPr="00FF2034">
        <w:rPr>
          <w:spacing w:val="-2"/>
          <w:lang w:val="es-ES"/>
        </w:rPr>
        <w:t>C26/99 se presentó después de que el GTC-Internet hubiera concluido su labor para el ciclo, queda fuera del alcance del informe. Sólo hay que tomar nota del Documento</w:t>
      </w:r>
      <w:r w:rsidR="00CF7408" w:rsidRPr="00FF2034">
        <w:rPr>
          <w:spacing w:val="-2"/>
          <w:lang w:val="es-ES"/>
        </w:rPr>
        <w:t> </w:t>
      </w:r>
      <w:r w:rsidRPr="00FF2034">
        <w:rPr>
          <w:spacing w:val="-2"/>
          <w:lang w:val="es-ES"/>
        </w:rPr>
        <w:t>C26/99. Varios consejeros están de acuerdo en que el informe contenido en el Documento</w:t>
      </w:r>
      <w:r w:rsidR="00CF7408" w:rsidRPr="00FF2034">
        <w:rPr>
          <w:spacing w:val="-2"/>
          <w:lang w:val="es-ES"/>
        </w:rPr>
        <w:t> </w:t>
      </w:r>
      <w:r w:rsidRPr="00FF2034">
        <w:rPr>
          <w:spacing w:val="-2"/>
          <w:lang w:val="es-ES"/>
        </w:rPr>
        <w:t>C26/52 se presente a la</w:t>
      </w:r>
      <w:r w:rsidR="00CF7408" w:rsidRPr="00FF2034">
        <w:rPr>
          <w:spacing w:val="-2"/>
          <w:lang w:val="es-ES"/>
        </w:rPr>
        <w:t> </w:t>
      </w:r>
      <w:r w:rsidRPr="00FF2034">
        <w:rPr>
          <w:spacing w:val="-2"/>
          <w:lang w:val="es-ES"/>
        </w:rPr>
        <w:t>PP-26 sin añadir ningún nuevo anexo.</w:t>
      </w:r>
    </w:p>
    <w:p w14:paraId="49C19033" w14:textId="439F6B2F" w:rsidR="009950F9" w:rsidRPr="009950F9" w:rsidRDefault="009950F9" w:rsidP="00FF2034">
      <w:pPr>
        <w:jc w:val="both"/>
        <w:rPr>
          <w:lang w:val="es-ES"/>
        </w:rPr>
      </w:pPr>
      <w:r w:rsidRPr="009950F9">
        <w:rPr>
          <w:lang w:val="es-ES"/>
        </w:rPr>
        <w:t>5.8</w:t>
      </w:r>
      <w:r w:rsidRPr="009950F9">
        <w:rPr>
          <w:lang w:val="es-ES"/>
        </w:rPr>
        <w:tab/>
        <w:t>Algunos consejeros dicen que no apoyan el Documento</w:t>
      </w:r>
      <w:r w:rsidR="00194207">
        <w:rPr>
          <w:lang w:val="es-ES"/>
        </w:rPr>
        <w:t> </w:t>
      </w:r>
      <w:r w:rsidRPr="009950F9">
        <w:rPr>
          <w:lang w:val="es-ES"/>
        </w:rPr>
        <w:t>C26/94 que, en su opinión, va en contra del modelo multipartito de gobernanza de Internet que es el medio más eficaz y legítimo de supervisar la estabilidad y evolución de Internet. No sería conveniente que un grupo de trabajo, integrado en su totalidad por partes interesadas del gobierno, elaborase recomendaciones sobre la gestión operacional de Internet, ya que estas cuestiones caen directamente dentro de la competencia de la comunidad mundial de múltiples partes interesadas. Estas acciones podrían dar lugar a duplicaciones y fragmentaciones, y socavar los procesos multipartitos existentes y la estabilidad, resistencia e interoperabilidad de Internet. Además, las cuestiones relativas a las denominadas interrupciones deliberadas de la conectividad podrían examinarse en el marco del flujo de trabajo sobre resiliencia de los cables submarinos.</w:t>
      </w:r>
    </w:p>
    <w:p w14:paraId="21C5E05A" w14:textId="635C406C" w:rsidR="009950F9" w:rsidRPr="009950F9" w:rsidRDefault="009950F9" w:rsidP="00FF2034">
      <w:pPr>
        <w:jc w:val="both"/>
        <w:rPr>
          <w:lang w:val="es-ES"/>
        </w:rPr>
      </w:pPr>
      <w:r w:rsidRPr="009950F9">
        <w:rPr>
          <w:lang w:val="es-ES"/>
        </w:rPr>
        <w:t>5.9</w:t>
      </w:r>
      <w:r w:rsidRPr="009950F9">
        <w:rPr>
          <w:lang w:val="es-ES"/>
        </w:rPr>
        <w:tab/>
        <w:t>Otro consejero señala, no obstante, que la reglamentación de las cuestiones de política pública relacionadas con Internet es un derecho soberano de los Estados, como se estipula en el §</w:t>
      </w:r>
      <w:r w:rsidR="00194207">
        <w:rPr>
          <w:lang w:val="es-ES"/>
        </w:rPr>
        <w:t> </w:t>
      </w:r>
      <w:r w:rsidRPr="009950F9">
        <w:rPr>
          <w:lang w:val="es-ES"/>
        </w:rPr>
        <w:t>35 de la Agenda de Túnez para la Sociedad de la Información de la</w:t>
      </w:r>
      <w:r w:rsidR="00194207">
        <w:rPr>
          <w:lang w:val="es-ES"/>
        </w:rPr>
        <w:t> </w:t>
      </w:r>
      <w:r w:rsidRPr="009950F9">
        <w:rPr>
          <w:lang w:val="es-ES"/>
        </w:rPr>
        <w:t>CMSI. La gobernanza de Internet debe ser democrática y basarse en la Carta de las Naciones Unidas y el derecho internacional. Debe evitarse la politización de las cuestiones técnicas, crear un entorno inclusivo para los países en desarrollo y reconocer el derecho al desarrollo, la transferencia de tecnología y la integración digital. Se necesita un plan de trabajo claro y orientado a los resultados para el GTC-Internet.</w:t>
      </w:r>
    </w:p>
    <w:p w14:paraId="3F3C9EC8" w14:textId="6610EBF9" w:rsidR="009950F9" w:rsidRPr="009950F9" w:rsidRDefault="009950F9" w:rsidP="00FF2034">
      <w:pPr>
        <w:jc w:val="both"/>
        <w:rPr>
          <w:lang w:val="es-ES"/>
        </w:rPr>
      </w:pPr>
      <w:r w:rsidRPr="009950F9">
        <w:rPr>
          <w:lang w:val="es-ES"/>
        </w:rPr>
        <w:t>5.10</w:t>
      </w:r>
      <w:r w:rsidRPr="009950F9">
        <w:rPr>
          <w:lang w:val="es-ES"/>
        </w:rPr>
        <w:tab/>
        <w:t>El Consejo</w:t>
      </w:r>
      <w:r w:rsidRPr="009950F9">
        <w:rPr>
          <w:b/>
          <w:bCs/>
          <w:lang w:val="es-ES"/>
        </w:rPr>
        <w:t xml:space="preserve"> toma nota</w:t>
      </w:r>
      <w:r w:rsidRPr="009950F9">
        <w:rPr>
          <w:lang w:val="es-ES"/>
        </w:rPr>
        <w:t xml:space="preserve"> del informe cuatrienal del GTC-Internet contenido en el Documento</w:t>
      </w:r>
      <w:r w:rsidR="00194207">
        <w:rPr>
          <w:lang w:val="es-ES"/>
        </w:rPr>
        <w:t> </w:t>
      </w:r>
      <w:r w:rsidRPr="009950F9">
        <w:rPr>
          <w:lang w:val="es-ES"/>
        </w:rPr>
        <w:t xml:space="preserve">C26/52 y </w:t>
      </w:r>
      <w:r w:rsidRPr="009950F9">
        <w:rPr>
          <w:b/>
          <w:bCs/>
          <w:lang w:val="es-ES"/>
        </w:rPr>
        <w:t xml:space="preserve">acuerda </w:t>
      </w:r>
      <w:r w:rsidRPr="009950F9">
        <w:rPr>
          <w:lang w:val="es-ES"/>
        </w:rPr>
        <w:t>transmitir las opiniones expresadas al respecto a la</w:t>
      </w:r>
      <w:r w:rsidR="00194207">
        <w:rPr>
          <w:lang w:val="es-ES"/>
        </w:rPr>
        <w:t> </w:t>
      </w:r>
      <w:r w:rsidRPr="009950F9">
        <w:rPr>
          <w:lang w:val="es-ES"/>
        </w:rPr>
        <w:t xml:space="preserve">PP-26; y </w:t>
      </w:r>
      <w:r w:rsidRPr="009950F9">
        <w:rPr>
          <w:b/>
          <w:bCs/>
          <w:lang w:val="es-ES"/>
        </w:rPr>
        <w:t>toma nota</w:t>
      </w:r>
      <w:r w:rsidRPr="009950F9">
        <w:rPr>
          <w:lang w:val="es-ES"/>
        </w:rPr>
        <w:t xml:space="preserve"> además de las contribuciones contenidas en los Documentos</w:t>
      </w:r>
      <w:r w:rsidR="00194207">
        <w:rPr>
          <w:lang w:val="es-ES"/>
        </w:rPr>
        <w:t> </w:t>
      </w:r>
      <w:r w:rsidRPr="009950F9">
        <w:rPr>
          <w:lang w:val="es-ES"/>
        </w:rPr>
        <w:t>C26/94, C26/99 y C26/101(Rev.1).</w:t>
      </w:r>
    </w:p>
    <w:p w14:paraId="13A44071" w14:textId="070C4138" w:rsidR="009950F9" w:rsidRPr="009950F9" w:rsidRDefault="009950F9" w:rsidP="009950F9">
      <w:pPr>
        <w:pStyle w:val="Heading1"/>
        <w:rPr>
          <w:lang w:val="es-ES"/>
        </w:rPr>
      </w:pPr>
      <w:bookmarkStart w:id="2" w:name="_Hlk201249041"/>
      <w:r w:rsidRPr="009950F9">
        <w:rPr>
          <w:lang w:val="es-ES"/>
        </w:rPr>
        <w:t>6</w:t>
      </w:r>
      <w:r w:rsidRPr="009950F9">
        <w:rPr>
          <w:lang w:val="es-ES"/>
        </w:rPr>
        <w:tab/>
        <w:t>Actividades de la UIT en el ámbito de Internet: Resoluciones 101, 102, 133, 180 y 206 de la Conferencia de Plenipotenciarios (Documento</w:t>
      </w:r>
      <w:r w:rsidR="00E459A1">
        <w:rPr>
          <w:lang w:val="es-ES"/>
        </w:rPr>
        <w:t> </w:t>
      </w:r>
      <w:proofErr w:type="spellStart"/>
      <w:r>
        <w:fldChar w:fldCharType="begin"/>
      </w:r>
      <w:r>
        <w:instrText>HYPERLINK "https://www.itu.int/md/S26-CL-C-0033/es"</w:instrText>
      </w:r>
      <w:r>
        <w:fldChar w:fldCharType="separate"/>
      </w:r>
      <w:r w:rsidRPr="009950F9">
        <w:rPr>
          <w:rStyle w:val="Hyperlink"/>
          <w:rFonts w:eastAsia="Times New Roman" w:cs="Times New Roman"/>
          <w:bCs/>
          <w:szCs w:val="20"/>
          <w:lang w:val="es-ES"/>
        </w:rPr>
        <w:t>C26</w:t>
      </w:r>
      <w:proofErr w:type="spellEnd"/>
      <w:r w:rsidRPr="009950F9">
        <w:rPr>
          <w:rStyle w:val="Hyperlink"/>
          <w:rFonts w:eastAsia="Times New Roman" w:cs="Times New Roman"/>
          <w:bCs/>
          <w:szCs w:val="20"/>
          <w:lang w:val="es-ES"/>
        </w:rPr>
        <w:t>/33</w:t>
      </w:r>
      <w:r>
        <w:fldChar w:fldCharType="end"/>
      </w:r>
      <w:r w:rsidRPr="009950F9">
        <w:rPr>
          <w:lang w:val="es-ES"/>
        </w:rPr>
        <w:t>)</w:t>
      </w:r>
      <w:hyperlink r:id="rId29"/>
    </w:p>
    <w:p w14:paraId="1F48E41A" w14:textId="0E6C213A" w:rsidR="009950F9" w:rsidRPr="009950F9" w:rsidRDefault="009950F9" w:rsidP="00FF2034">
      <w:pPr>
        <w:jc w:val="both"/>
        <w:rPr>
          <w:lang w:val="es-ES"/>
        </w:rPr>
      </w:pPr>
      <w:r w:rsidRPr="009950F9">
        <w:rPr>
          <w:lang w:val="es-ES"/>
        </w:rPr>
        <w:t>6.1</w:t>
      </w:r>
      <w:r w:rsidRPr="009950F9">
        <w:rPr>
          <w:lang w:val="es-ES"/>
        </w:rPr>
        <w:tab/>
        <w:t>Un representante de la Secretaría General presenta el Documento</w:t>
      </w:r>
      <w:r w:rsidR="00194207">
        <w:rPr>
          <w:lang w:val="es-ES"/>
        </w:rPr>
        <w:t> </w:t>
      </w:r>
      <w:r w:rsidRPr="009950F9">
        <w:rPr>
          <w:lang w:val="es-ES"/>
        </w:rPr>
        <w:t>C25/33, que contiene un informe en el que se resumen las actividades de la</w:t>
      </w:r>
      <w:r w:rsidR="00194207">
        <w:rPr>
          <w:lang w:val="es-ES"/>
        </w:rPr>
        <w:t> </w:t>
      </w:r>
      <w:r w:rsidRPr="009950F9">
        <w:rPr>
          <w:lang w:val="es-ES"/>
        </w:rPr>
        <w:t>UIT relacionadas con la Resolución</w:t>
      </w:r>
      <w:r w:rsidR="00194207">
        <w:rPr>
          <w:lang w:val="es-ES"/>
        </w:rPr>
        <w:t> </w:t>
      </w:r>
      <w:r w:rsidRPr="009950F9">
        <w:rPr>
          <w:lang w:val="es-ES"/>
        </w:rPr>
        <w:t>101 (Rev.</w:t>
      </w:r>
      <w:r w:rsidR="00194207">
        <w:rPr>
          <w:lang w:val="es-ES"/>
        </w:rPr>
        <w:t> </w:t>
      </w:r>
      <w:r w:rsidRPr="009950F9">
        <w:rPr>
          <w:lang w:val="es-ES"/>
        </w:rPr>
        <w:t>Bucarest, 2022), Redes basadas en el protocolo Internet, la Resolución</w:t>
      </w:r>
      <w:r w:rsidR="00194207">
        <w:rPr>
          <w:lang w:val="es-ES"/>
        </w:rPr>
        <w:t> </w:t>
      </w:r>
      <w:r w:rsidRPr="009950F9">
        <w:rPr>
          <w:lang w:val="es-ES"/>
        </w:rPr>
        <w:t>102 (Rev.</w:t>
      </w:r>
      <w:r w:rsidR="00194207">
        <w:rPr>
          <w:lang w:val="es-ES"/>
        </w:rPr>
        <w:t> </w:t>
      </w:r>
      <w:r w:rsidRPr="009950F9">
        <w:rPr>
          <w:lang w:val="es-ES"/>
        </w:rPr>
        <w:t>Bucarest, 2022), Función de la</w:t>
      </w:r>
      <w:r w:rsidR="00194207">
        <w:rPr>
          <w:lang w:val="es-ES"/>
        </w:rPr>
        <w:t> </w:t>
      </w:r>
      <w:r w:rsidRPr="009950F9">
        <w:rPr>
          <w:lang w:val="es-ES"/>
        </w:rPr>
        <w:t xml:space="preserve">UIT con respecto a las cuestiones de política pública internacional relacionadas con Internet y la gestión de los recursos de Internet, incluidos los </w:t>
      </w:r>
      <w:r w:rsidRPr="009950F9">
        <w:rPr>
          <w:lang w:val="es-ES"/>
        </w:rPr>
        <w:lastRenderedPageBreak/>
        <w:t>nombres de dominio y las direcciones, la Resolución</w:t>
      </w:r>
      <w:r w:rsidR="00194207">
        <w:rPr>
          <w:lang w:val="es-ES"/>
        </w:rPr>
        <w:t> </w:t>
      </w:r>
      <w:r w:rsidRPr="009950F9">
        <w:rPr>
          <w:lang w:val="es-ES"/>
        </w:rPr>
        <w:t>133 (Rev.</w:t>
      </w:r>
      <w:r w:rsidR="00194207">
        <w:rPr>
          <w:lang w:val="es-ES"/>
        </w:rPr>
        <w:t> </w:t>
      </w:r>
      <w:r w:rsidRPr="009950F9">
        <w:rPr>
          <w:lang w:val="es-ES"/>
        </w:rPr>
        <w:t xml:space="preserve">Bucarest, 2022), </w:t>
      </w:r>
      <w:r w:rsidR="00194207" w:rsidRPr="009950F9">
        <w:rPr>
          <w:lang w:val="es-ES"/>
        </w:rPr>
        <w:t xml:space="preserve">Función </w:t>
      </w:r>
      <w:r w:rsidRPr="009950F9">
        <w:rPr>
          <w:lang w:val="es-ES"/>
        </w:rPr>
        <w:t>de las administraciones de los Estados Miembros en la gestión de los nombres de dominio internacionalizados (multilingües), la Resolución</w:t>
      </w:r>
      <w:r w:rsidR="00194207">
        <w:rPr>
          <w:lang w:val="es-ES"/>
        </w:rPr>
        <w:t> </w:t>
      </w:r>
      <w:r w:rsidRPr="009950F9">
        <w:rPr>
          <w:lang w:val="es-ES"/>
        </w:rPr>
        <w:t>180 (Rev.</w:t>
      </w:r>
      <w:r w:rsidR="00194207">
        <w:rPr>
          <w:lang w:val="es-ES"/>
        </w:rPr>
        <w:t> </w:t>
      </w:r>
      <w:r w:rsidRPr="009950F9">
        <w:rPr>
          <w:lang w:val="es-ES"/>
        </w:rPr>
        <w:t>Bucarest, 2022), Promoción del despliegue del protocolo Internet versión</w:t>
      </w:r>
      <w:r w:rsidR="00194207">
        <w:rPr>
          <w:lang w:val="es-ES"/>
        </w:rPr>
        <w:t> </w:t>
      </w:r>
      <w:r w:rsidRPr="009950F9">
        <w:rPr>
          <w:lang w:val="es-ES"/>
        </w:rPr>
        <w:t>6, y la Resolución</w:t>
      </w:r>
      <w:r w:rsidR="00194207">
        <w:rPr>
          <w:lang w:val="es-ES"/>
        </w:rPr>
        <w:t> </w:t>
      </w:r>
      <w:r w:rsidRPr="009950F9">
        <w:rPr>
          <w:lang w:val="es-ES"/>
        </w:rPr>
        <w:t>206 (Dubái, 2018), OTT, de la Conferencia de Plenipotenciarios.</w:t>
      </w:r>
    </w:p>
    <w:p w14:paraId="4A638400" w14:textId="77777777" w:rsidR="009950F9" w:rsidRPr="009950F9" w:rsidRDefault="009950F9" w:rsidP="00FF2034">
      <w:pPr>
        <w:jc w:val="both"/>
        <w:rPr>
          <w:lang w:val="es-ES"/>
        </w:rPr>
      </w:pPr>
      <w:r w:rsidRPr="009950F9">
        <w:rPr>
          <w:lang w:val="es-ES"/>
        </w:rPr>
        <w:t>6.2</w:t>
      </w:r>
      <w:r w:rsidRPr="009950F9">
        <w:rPr>
          <w:lang w:val="es-ES"/>
        </w:rPr>
        <w:tab/>
        <w:t>Los consejeros acogieron con beneplácito el Informe, que refleja la amplitud de las actividades relacionadas con Internet que lleva a cabo la Unión. Varios consejeros destacaron la importancia de facilitar la adopción del IPv6, esencial para ampliar tanto la digitalización como la conectividad significativa.</w:t>
      </w:r>
    </w:p>
    <w:p w14:paraId="66CBC392" w14:textId="29960409" w:rsidR="009950F9" w:rsidRPr="00FF2034" w:rsidRDefault="009950F9" w:rsidP="00FF2034">
      <w:pPr>
        <w:jc w:val="both"/>
        <w:rPr>
          <w:spacing w:val="-2"/>
          <w:lang w:val="es-ES"/>
        </w:rPr>
      </w:pPr>
      <w:r w:rsidRPr="00FF2034">
        <w:rPr>
          <w:spacing w:val="-2"/>
          <w:lang w:val="es-ES"/>
        </w:rPr>
        <w:t>6.3</w:t>
      </w:r>
      <w:r w:rsidRPr="00FF2034">
        <w:rPr>
          <w:spacing w:val="-2"/>
          <w:lang w:val="es-ES"/>
        </w:rPr>
        <w:tab/>
        <w:t>Un consejero sugiere la inclusión de otras actividades realizadas en el Sector de Radiocomunicaciones y el Sector de Normalización de las Telecomunicaciones de la</w:t>
      </w:r>
      <w:r w:rsidR="00194207" w:rsidRPr="00FF2034">
        <w:rPr>
          <w:spacing w:val="-2"/>
          <w:lang w:val="es-ES"/>
        </w:rPr>
        <w:t> </w:t>
      </w:r>
      <w:r w:rsidRPr="00FF2034">
        <w:rPr>
          <w:spacing w:val="-2"/>
          <w:lang w:val="es-ES"/>
        </w:rPr>
        <w:t>UIT, por ejemplo, en relación con las IMT-2030, las tecnologías ópticas de transporte nuevas e incipientes, las redes ópticas internacionales de cara a 2030 y después de esa fecha (ION</w:t>
      </w:r>
      <w:r w:rsidR="00194207" w:rsidRPr="00FF2034">
        <w:rPr>
          <w:spacing w:val="-2"/>
          <w:lang w:val="es-ES"/>
        </w:rPr>
        <w:noBreakHyphen/>
      </w:r>
      <w:r w:rsidRPr="00FF2034">
        <w:rPr>
          <w:spacing w:val="-2"/>
          <w:lang w:val="es-ES"/>
        </w:rPr>
        <w:t>2030), la infraestructura de cables submarinos y las comunicaciones por satélite. De ese modo se promocionaría el valioso trabajo que toda la</w:t>
      </w:r>
      <w:r w:rsidR="00194207" w:rsidRPr="00FF2034">
        <w:rPr>
          <w:spacing w:val="-2"/>
          <w:lang w:val="es-ES"/>
        </w:rPr>
        <w:t> </w:t>
      </w:r>
      <w:r w:rsidRPr="00FF2034">
        <w:rPr>
          <w:spacing w:val="-2"/>
          <w:lang w:val="es-ES"/>
        </w:rPr>
        <w:t>UIT realiza a nivel de las Naciones Unidas.</w:t>
      </w:r>
    </w:p>
    <w:p w14:paraId="321AB47F" w14:textId="77777777" w:rsidR="009950F9" w:rsidRPr="009950F9" w:rsidRDefault="009950F9" w:rsidP="00FF2034">
      <w:pPr>
        <w:jc w:val="both"/>
        <w:rPr>
          <w:lang w:val="es-ES"/>
        </w:rPr>
      </w:pPr>
      <w:r w:rsidRPr="009950F9">
        <w:rPr>
          <w:lang w:val="es-ES"/>
        </w:rPr>
        <w:t>6.4</w:t>
      </w:r>
      <w:r w:rsidRPr="009950F9">
        <w:rPr>
          <w:lang w:val="es-ES"/>
        </w:rPr>
        <w:tab/>
        <w:t>Algunos consejeros sugieren que en futuros informes se haga referencia explícitamente a las instrucciones que dan en las Resoluciones contempladas en el documento y se dé cuenta de los progresos realizados o no en la aplicación de esas instrucciones a fin de dar a los Estados Miembros una visión más clara del trabajo que se realiza en el marco de cada Resolución y facilitar sus preparativos para futuras conferencias y asambleas.</w:t>
      </w:r>
    </w:p>
    <w:p w14:paraId="458B3AA9" w14:textId="33C945AE" w:rsidR="009950F9" w:rsidRPr="009950F9" w:rsidRDefault="009950F9" w:rsidP="00FF2034">
      <w:pPr>
        <w:jc w:val="both"/>
        <w:rPr>
          <w:lang w:val="es-ES"/>
        </w:rPr>
      </w:pPr>
      <w:r w:rsidRPr="009950F9">
        <w:rPr>
          <w:lang w:val="es-ES"/>
        </w:rPr>
        <w:t>6.5</w:t>
      </w:r>
      <w:r w:rsidRPr="009950F9">
        <w:rPr>
          <w:lang w:val="es-ES"/>
        </w:rPr>
        <w:tab/>
        <w:t>La consejera de Cuba dice que el §</w:t>
      </w:r>
      <w:r w:rsidR="00194207">
        <w:rPr>
          <w:lang w:val="es-ES"/>
        </w:rPr>
        <w:t> </w:t>
      </w:r>
      <w:r w:rsidRPr="009950F9">
        <w:rPr>
          <w:lang w:val="es-ES"/>
        </w:rPr>
        <w:t>2.8 del Documento</w:t>
      </w:r>
      <w:r w:rsidR="00194207">
        <w:rPr>
          <w:lang w:val="es-ES"/>
        </w:rPr>
        <w:t> </w:t>
      </w:r>
      <w:r w:rsidRPr="009950F9">
        <w:rPr>
          <w:lang w:val="es-ES"/>
        </w:rPr>
        <w:t>C26/33 no contiene una lista exhaustiva de los incidentes contemplados por la Resolución</w:t>
      </w:r>
      <w:r w:rsidR="00194207">
        <w:rPr>
          <w:lang w:val="es-ES"/>
        </w:rPr>
        <w:t> </w:t>
      </w:r>
      <w:r w:rsidRPr="009950F9">
        <w:rPr>
          <w:lang w:val="es-ES"/>
        </w:rPr>
        <w:t>69 (Rev.</w:t>
      </w:r>
      <w:r w:rsidR="00194207">
        <w:rPr>
          <w:lang w:val="es-ES"/>
        </w:rPr>
        <w:t> </w:t>
      </w:r>
      <w:r w:rsidRPr="009950F9">
        <w:rPr>
          <w:lang w:val="es-ES"/>
        </w:rPr>
        <w:t>Hammamet, 2016) de la Asamblea Mundial de Normalización de las Telecomunicaciones, sobre el acceso y utilización no discriminatorios de los recursos de Internet. Desde Cuba no se puede acceder a numerosos recursos de Internet y sitios web debido a medidas adoptadas unilateralmente. Su delegación presentará una lista de los incidentes que afectan a su país a fin de anexarlos al Informe. Dice que la falta de acceso a esos recursos impide, en consecuencia, acceder a los conocimientos teóricos y prácticos necesarios para la transformación digital. Además, limita el desarrollo de la infraestructura de red y de las nuevas tecnologías que podrían satisfacer la demanda de la población cubana en términos de servicios Internet, tráfico y calidad de servicio, y tener repercusiones para el desarrollo socioeconómico en general.</w:t>
      </w:r>
    </w:p>
    <w:p w14:paraId="09564D06" w14:textId="77777777" w:rsidR="009950F9" w:rsidRPr="009950F9" w:rsidRDefault="009950F9" w:rsidP="00FF2034">
      <w:pPr>
        <w:jc w:val="both"/>
        <w:rPr>
          <w:lang w:val="es-ES"/>
        </w:rPr>
      </w:pPr>
      <w:r w:rsidRPr="009950F9">
        <w:rPr>
          <w:lang w:val="es-ES"/>
        </w:rPr>
        <w:t>6.6</w:t>
      </w:r>
      <w:r w:rsidRPr="009950F9">
        <w:rPr>
          <w:lang w:val="es-ES"/>
        </w:rPr>
        <w:tab/>
        <w:t>El representante de la Secretaría General da las gracias a los consejeros por sus observaciones, acusa recibo de todos los comentarios recibidos e indica que se tendrán en cuenta a la hora de preparar los próximos informes.</w:t>
      </w:r>
    </w:p>
    <w:p w14:paraId="04130DC6" w14:textId="14FEA992" w:rsidR="009950F9" w:rsidRDefault="009950F9" w:rsidP="00FF2034">
      <w:pPr>
        <w:jc w:val="both"/>
        <w:rPr>
          <w:lang w:val="es-ES"/>
        </w:rPr>
      </w:pPr>
      <w:r w:rsidRPr="009950F9">
        <w:rPr>
          <w:lang w:val="es-ES"/>
        </w:rPr>
        <w:t>6.7</w:t>
      </w:r>
      <w:r w:rsidRPr="009950F9">
        <w:rPr>
          <w:lang w:val="es-ES"/>
        </w:rPr>
        <w:tab/>
        <w:t xml:space="preserve">El Consejo </w:t>
      </w:r>
      <w:r w:rsidRPr="009950F9">
        <w:rPr>
          <w:b/>
          <w:bCs/>
          <w:lang w:val="es-ES"/>
        </w:rPr>
        <w:t>toma nota</w:t>
      </w:r>
      <w:r w:rsidRPr="009950F9">
        <w:rPr>
          <w:lang w:val="es-ES"/>
        </w:rPr>
        <w:t xml:space="preserve"> del Informe presentado en el Documento</w:t>
      </w:r>
      <w:r w:rsidR="00194207">
        <w:rPr>
          <w:lang w:val="es-ES"/>
        </w:rPr>
        <w:t> </w:t>
      </w:r>
      <w:r w:rsidRPr="009950F9">
        <w:rPr>
          <w:lang w:val="es-ES"/>
        </w:rPr>
        <w:t>C26/33 e</w:t>
      </w:r>
      <w:r w:rsidRPr="009950F9">
        <w:rPr>
          <w:b/>
          <w:bCs/>
          <w:lang w:val="es-ES"/>
        </w:rPr>
        <w:t xml:space="preserve"> invita</w:t>
      </w:r>
      <w:r w:rsidRPr="009950F9">
        <w:rPr>
          <w:lang w:val="es-ES"/>
        </w:rPr>
        <w:t xml:space="preserve"> a los Estados Miembros del Consejo a presentar sus observaciones por escrito antes de la 12.00</w:t>
      </w:r>
      <w:r w:rsidR="00194207">
        <w:rPr>
          <w:lang w:val="es-ES"/>
        </w:rPr>
        <w:t> </w:t>
      </w:r>
      <w:r w:rsidRPr="009950F9">
        <w:rPr>
          <w:lang w:val="es-ES"/>
        </w:rPr>
        <w:t>horas, hora de Ginebra, del 4 de mayo de</w:t>
      </w:r>
      <w:r w:rsidR="00194207">
        <w:rPr>
          <w:lang w:val="es-ES"/>
        </w:rPr>
        <w:t> </w:t>
      </w:r>
      <w:r w:rsidRPr="009950F9">
        <w:rPr>
          <w:lang w:val="es-ES"/>
        </w:rPr>
        <w:t>2026, a fin de transmitir el Informe al Secretario General de las Naciones Unidas junto con una recopilación de las opiniones de los Estados Miembros del Consejo y los correspondientes resúmenes de los debates, además de una nota introductoria.</w:t>
      </w:r>
      <w:bookmarkEnd w:id="2"/>
    </w:p>
    <w:p w14:paraId="64C9E3E3" w14:textId="62A23689" w:rsidR="000147ED" w:rsidRPr="00FB17E5" w:rsidRDefault="000147ED" w:rsidP="00832703">
      <w:pPr>
        <w:tabs>
          <w:tab w:val="clear" w:pos="2268"/>
          <w:tab w:val="clear" w:pos="2835"/>
          <w:tab w:val="left" w:pos="6237"/>
        </w:tabs>
        <w:spacing w:before="840"/>
        <w:rPr>
          <w:lang w:val="es-ES"/>
        </w:rPr>
      </w:pPr>
      <w:r w:rsidRPr="000147ED">
        <w:rPr>
          <w:lang w:val="es-ES"/>
        </w:rPr>
        <w:t>La Secretaria General:</w:t>
      </w:r>
      <w:r w:rsidRPr="000147ED">
        <w:rPr>
          <w:lang w:val="es-ES"/>
        </w:rPr>
        <w:tab/>
        <w:t>El Presidente:</w:t>
      </w:r>
      <w:r w:rsidR="00832703">
        <w:rPr>
          <w:lang w:val="es-ES"/>
        </w:rPr>
        <w:br/>
      </w:r>
      <w:r w:rsidRPr="00FB17E5">
        <w:rPr>
          <w:lang w:val="es-ES"/>
        </w:rPr>
        <w:t>D. BOGDAN-MARTIN</w:t>
      </w:r>
      <w:r w:rsidRPr="00FB17E5">
        <w:rPr>
          <w:lang w:val="es-ES"/>
        </w:rPr>
        <w:tab/>
        <w:t>B. TIJANI</w:t>
      </w:r>
    </w:p>
    <w:sectPr w:rsidR="000147ED" w:rsidRPr="00FB17E5" w:rsidSect="00C538FC">
      <w:footerReference w:type="default" r:id="rId30"/>
      <w:headerReference w:type="first" r:id="rId31"/>
      <w:footerReference w:type="first" r:id="rId32"/>
      <w:pgSz w:w="11907" w:h="16834"/>
      <w:pgMar w:top="1418" w:right="1418" w:bottom="1418" w:left="1418" w:header="720" w:footer="720" w:gutter="0"/>
      <w:paperSrc w:first="286" w:other="286"/>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C36749" w14:textId="77777777" w:rsidR="009D2E55" w:rsidRDefault="009D2E55">
      <w:r>
        <w:separator/>
      </w:r>
    </w:p>
  </w:endnote>
  <w:endnote w:type="continuationSeparator" w:id="0">
    <w:p w14:paraId="5D0EDB1D" w14:textId="77777777" w:rsidR="009D2E55" w:rsidRDefault="009D2E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G Times">
    <w:altName w:val="Times New Roman"/>
    <w:panose1 w:val="00000000000000000000"/>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5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06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3"/>
      <w:gridCol w:w="8261"/>
    </w:tblGrid>
    <w:tr w:rsidR="003273A4" w:rsidRPr="00784011" w14:paraId="20555E03" w14:textId="77777777" w:rsidTr="00E31DCE">
      <w:trPr>
        <w:jc w:val="center"/>
      </w:trPr>
      <w:tc>
        <w:tcPr>
          <w:tcW w:w="1803" w:type="dxa"/>
          <w:vAlign w:val="center"/>
        </w:tcPr>
        <w:p w14:paraId="0F678F2F" w14:textId="4AC10D00" w:rsidR="003273A4" w:rsidRDefault="00832703" w:rsidP="003273A4">
          <w:pPr>
            <w:pStyle w:val="Header"/>
            <w:jc w:val="left"/>
            <w:rPr>
              <w:noProof/>
            </w:rPr>
          </w:pPr>
          <w:r>
            <w:rPr>
              <w:noProof/>
            </w:rPr>
            <w:t>26013</w:t>
          </w:r>
          <w:r w:rsidR="007777C1">
            <w:rPr>
              <w:noProof/>
            </w:rPr>
            <w:t>4</w:t>
          </w:r>
          <w:r w:rsidR="009950F9">
            <w:rPr>
              <w:noProof/>
            </w:rPr>
            <w:t>1</w:t>
          </w:r>
        </w:p>
      </w:tc>
      <w:tc>
        <w:tcPr>
          <w:tcW w:w="8261" w:type="dxa"/>
        </w:tcPr>
        <w:p w14:paraId="12ECC52F" w14:textId="69775548" w:rsidR="003273A4" w:rsidRPr="00E06FD5" w:rsidRDefault="003273A4" w:rsidP="00B060DF">
          <w:pPr>
            <w:pStyle w:val="Header"/>
            <w:tabs>
              <w:tab w:val="left" w:pos="6731"/>
              <w:tab w:val="right" w:pos="8505"/>
              <w:tab w:val="right" w:pos="9639"/>
            </w:tabs>
            <w:jc w:val="left"/>
            <w:rPr>
              <w:rFonts w:ascii="Arial" w:hAnsi="Arial" w:cs="Arial"/>
              <w:b/>
              <w:bCs/>
              <w:szCs w:val="18"/>
            </w:rPr>
          </w:pPr>
          <w:r>
            <w:rPr>
              <w:bCs/>
            </w:rPr>
            <w:tab/>
          </w:r>
          <w:r w:rsidRPr="00623AE3">
            <w:rPr>
              <w:bCs/>
            </w:rPr>
            <w:t>C</w:t>
          </w:r>
          <w:r>
            <w:rPr>
              <w:bCs/>
            </w:rPr>
            <w:t>2</w:t>
          </w:r>
          <w:r w:rsidR="00F85E5C">
            <w:rPr>
              <w:bCs/>
            </w:rPr>
            <w:t>6</w:t>
          </w:r>
          <w:r w:rsidRPr="00623AE3">
            <w:rPr>
              <w:bCs/>
            </w:rPr>
            <w:t>/</w:t>
          </w:r>
          <w:r w:rsidR="00832703">
            <w:rPr>
              <w:bCs/>
            </w:rPr>
            <w:t>1</w:t>
          </w:r>
          <w:r w:rsidR="00016F53">
            <w:rPr>
              <w:bCs/>
            </w:rPr>
            <w:t>2</w:t>
          </w:r>
          <w:r w:rsidR="009950F9">
            <w:rPr>
              <w:bCs/>
            </w:rPr>
            <w:t>1</w:t>
          </w:r>
          <w:r w:rsidRPr="00623AE3">
            <w:rPr>
              <w:bCs/>
            </w:rPr>
            <w:t>-</w:t>
          </w:r>
          <w:r>
            <w:rPr>
              <w:bCs/>
            </w:rPr>
            <w:t>S</w:t>
          </w:r>
          <w:r>
            <w:rPr>
              <w:bCs/>
            </w:rPr>
            <w:tab/>
          </w:r>
          <w:r>
            <w:fldChar w:fldCharType="begin"/>
          </w:r>
          <w:r>
            <w:instrText>PAGE</w:instrText>
          </w:r>
          <w:r>
            <w:fldChar w:fldCharType="separate"/>
          </w:r>
          <w:r>
            <w:t>1</w:t>
          </w:r>
          <w:r>
            <w:rPr>
              <w:noProof/>
            </w:rPr>
            <w:fldChar w:fldCharType="end"/>
          </w:r>
        </w:p>
      </w:tc>
    </w:tr>
  </w:tbl>
  <w:p w14:paraId="06046CF0" w14:textId="77777777" w:rsidR="00760F1C" w:rsidRPr="003273A4" w:rsidRDefault="00760F1C" w:rsidP="003273A4">
    <w:pPr>
      <w:pStyle w:val="Footer"/>
      <w:rPr>
        <w:b/>
        <w:b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06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3"/>
      <w:gridCol w:w="8261"/>
    </w:tblGrid>
    <w:tr w:rsidR="00F24B71" w:rsidRPr="00784011" w14:paraId="4A19E555" w14:textId="77777777" w:rsidTr="00E31DCE">
      <w:trPr>
        <w:jc w:val="center"/>
      </w:trPr>
      <w:tc>
        <w:tcPr>
          <w:tcW w:w="1803" w:type="dxa"/>
          <w:vAlign w:val="center"/>
        </w:tcPr>
        <w:p w14:paraId="66B3775A" w14:textId="63063E21" w:rsidR="00F24B71" w:rsidRPr="002946E2" w:rsidRDefault="00F85E5C" w:rsidP="00F24B71">
          <w:pPr>
            <w:pStyle w:val="Header"/>
            <w:jc w:val="left"/>
            <w:rPr>
              <w:noProof/>
            </w:rPr>
          </w:pPr>
          <w:hyperlink r:id="rId1" w:anchor="/es" w:history="1">
            <w:r>
              <w:rPr>
                <w:rStyle w:val="Hyperlink"/>
                <w:noProof/>
              </w:rPr>
              <w:t>council.itu.int/2026</w:t>
            </w:r>
          </w:hyperlink>
        </w:p>
      </w:tc>
      <w:tc>
        <w:tcPr>
          <w:tcW w:w="8261" w:type="dxa"/>
        </w:tcPr>
        <w:p w14:paraId="0DF6A4B8" w14:textId="0806A25A" w:rsidR="00F24B71" w:rsidRPr="00E06FD5" w:rsidRDefault="00F24B71" w:rsidP="00B060DF">
          <w:pPr>
            <w:pStyle w:val="Header"/>
            <w:tabs>
              <w:tab w:val="left" w:pos="6731"/>
              <w:tab w:val="right" w:pos="8505"/>
              <w:tab w:val="right" w:pos="9639"/>
            </w:tabs>
            <w:jc w:val="left"/>
            <w:rPr>
              <w:rFonts w:ascii="Arial" w:hAnsi="Arial" w:cs="Arial"/>
              <w:b/>
              <w:bCs/>
              <w:szCs w:val="18"/>
            </w:rPr>
          </w:pPr>
          <w:r>
            <w:rPr>
              <w:bCs/>
            </w:rPr>
            <w:tab/>
          </w:r>
          <w:r w:rsidRPr="00623AE3">
            <w:rPr>
              <w:bCs/>
            </w:rPr>
            <w:t>C</w:t>
          </w:r>
          <w:r>
            <w:rPr>
              <w:bCs/>
            </w:rPr>
            <w:t>2</w:t>
          </w:r>
          <w:r w:rsidR="00F85E5C">
            <w:rPr>
              <w:bCs/>
            </w:rPr>
            <w:t>6</w:t>
          </w:r>
          <w:r w:rsidRPr="00623AE3">
            <w:rPr>
              <w:bCs/>
            </w:rPr>
            <w:t>/</w:t>
          </w:r>
          <w:r w:rsidR="00016F53">
            <w:rPr>
              <w:bCs/>
            </w:rPr>
            <w:t>12</w:t>
          </w:r>
          <w:r w:rsidR="009950F9">
            <w:rPr>
              <w:bCs/>
            </w:rPr>
            <w:t>1</w:t>
          </w:r>
          <w:r w:rsidRPr="00623AE3">
            <w:rPr>
              <w:bCs/>
            </w:rPr>
            <w:t>-</w:t>
          </w:r>
          <w:r w:rsidR="003273A4">
            <w:rPr>
              <w:bCs/>
            </w:rPr>
            <w:t>S</w:t>
          </w:r>
          <w:r>
            <w:rPr>
              <w:bCs/>
            </w:rPr>
            <w:tab/>
          </w:r>
          <w:r>
            <w:fldChar w:fldCharType="begin"/>
          </w:r>
          <w:r>
            <w:instrText>PAGE</w:instrText>
          </w:r>
          <w:r>
            <w:fldChar w:fldCharType="separate"/>
          </w:r>
          <w:r>
            <w:t>1</w:t>
          </w:r>
          <w:r>
            <w:rPr>
              <w:noProof/>
            </w:rPr>
            <w:fldChar w:fldCharType="end"/>
          </w:r>
        </w:p>
      </w:tc>
    </w:tr>
  </w:tbl>
  <w:p w14:paraId="5E7FDA73" w14:textId="77777777" w:rsidR="00760F1C" w:rsidRPr="00F24B71" w:rsidRDefault="00760F1C" w:rsidP="00F24B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AC047C" w14:textId="77777777" w:rsidR="009D2E55" w:rsidRDefault="009D2E55">
      <w:r>
        <w:t>____________________</w:t>
      </w:r>
    </w:p>
  </w:footnote>
  <w:footnote w:type="continuationSeparator" w:id="0">
    <w:p w14:paraId="635896FD" w14:textId="77777777" w:rsidR="009D2E55" w:rsidRDefault="009D2E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D687D" w14:textId="77777777" w:rsidR="001559F5" w:rsidRPr="00B1560D" w:rsidRDefault="00B1560D" w:rsidP="00B1560D">
    <w:pPr>
      <w:pStyle w:val="Header"/>
    </w:pPr>
    <w:r>
      <w:rPr>
        <w:noProof/>
      </w:rPr>
      <w:drawing>
        <wp:inline distT="0" distB="0" distL="0" distR="0" wp14:anchorId="77E234E2" wp14:editId="3C13B62B">
          <wp:extent cx="5760085" cy="840740"/>
          <wp:effectExtent l="0" t="0" r="0" b="0"/>
          <wp:docPr id="3978753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7875340" name="Picture 397875340"/>
                  <pic:cNvPicPr/>
                </pic:nvPicPr>
                <pic:blipFill>
                  <a:blip r:embed="rId1">
                    <a:extLst>
                      <a:ext uri="{28A0092B-C50C-407E-A947-70E740481C1C}">
                        <a14:useLocalDpi xmlns:a14="http://schemas.microsoft.com/office/drawing/2010/main" val="0"/>
                      </a:ext>
                    </a:extLst>
                  </a:blip>
                  <a:stretch>
                    <a:fillRect/>
                  </a:stretch>
                </pic:blipFill>
                <pic:spPr>
                  <a:xfrm>
                    <a:off x="0" y="0"/>
                    <a:ext cx="5760085" cy="84074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770"/>
    <w:rsid w:val="000007D1"/>
    <w:rsid w:val="000147ED"/>
    <w:rsid w:val="00016F53"/>
    <w:rsid w:val="0006007D"/>
    <w:rsid w:val="00091B52"/>
    <w:rsid w:val="00093EEB"/>
    <w:rsid w:val="000B0D00"/>
    <w:rsid w:val="000B7C15"/>
    <w:rsid w:val="000D1D0F"/>
    <w:rsid w:val="000E3F07"/>
    <w:rsid w:val="000F5290"/>
    <w:rsid w:val="000F5A95"/>
    <w:rsid w:val="0010165C"/>
    <w:rsid w:val="00137BDC"/>
    <w:rsid w:val="00146BFB"/>
    <w:rsid w:val="00155333"/>
    <w:rsid w:val="001559F5"/>
    <w:rsid w:val="00157AC4"/>
    <w:rsid w:val="0016169C"/>
    <w:rsid w:val="00194207"/>
    <w:rsid w:val="001958F5"/>
    <w:rsid w:val="001B6E2B"/>
    <w:rsid w:val="001F14A2"/>
    <w:rsid w:val="001F4406"/>
    <w:rsid w:val="0020641D"/>
    <w:rsid w:val="00277DEA"/>
    <w:rsid w:val="002801AA"/>
    <w:rsid w:val="002946E2"/>
    <w:rsid w:val="002C3F32"/>
    <w:rsid w:val="002C4676"/>
    <w:rsid w:val="002C70B0"/>
    <w:rsid w:val="002F3CC4"/>
    <w:rsid w:val="003032E2"/>
    <w:rsid w:val="0031300A"/>
    <w:rsid w:val="00325D62"/>
    <w:rsid w:val="003273A4"/>
    <w:rsid w:val="0034796E"/>
    <w:rsid w:val="00377883"/>
    <w:rsid w:val="003C3B9A"/>
    <w:rsid w:val="00411A60"/>
    <w:rsid w:val="004571B0"/>
    <w:rsid w:val="00465C35"/>
    <w:rsid w:val="00473962"/>
    <w:rsid w:val="004B5D49"/>
    <w:rsid w:val="004D3A3C"/>
    <w:rsid w:val="004E5DD3"/>
    <w:rsid w:val="00513630"/>
    <w:rsid w:val="0053353A"/>
    <w:rsid w:val="00542882"/>
    <w:rsid w:val="00544175"/>
    <w:rsid w:val="00560125"/>
    <w:rsid w:val="00576066"/>
    <w:rsid w:val="00585553"/>
    <w:rsid w:val="005B34D9"/>
    <w:rsid w:val="005D0CCF"/>
    <w:rsid w:val="005E3F36"/>
    <w:rsid w:val="005F0915"/>
    <w:rsid w:val="005F3BCB"/>
    <w:rsid w:val="005F410F"/>
    <w:rsid w:val="0060149A"/>
    <w:rsid w:val="00601924"/>
    <w:rsid w:val="006447EA"/>
    <w:rsid w:val="0064481D"/>
    <w:rsid w:val="0064731F"/>
    <w:rsid w:val="00657056"/>
    <w:rsid w:val="00660814"/>
    <w:rsid w:val="00663C07"/>
    <w:rsid w:val="00664572"/>
    <w:rsid w:val="00666D09"/>
    <w:rsid w:val="00670579"/>
    <w:rsid w:val="006710F6"/>
    <w:rsid w:val="00677A97"/>
    <w:rsid w:val="006909BA"/>
    <w:rsid w:val="006C1B56"/>
    <w:rsid w:val="006D4761"/>
    <w:rsid w:val="00726872"/>
    <w:rsid w:val="00746E82"/>
    <w:rsid w:val="00760F1C"/>
    <w:rsid w:val="007657F0"/>
    <w:rsid w:val="00770770"/>
    <w:rsid w:val="0077110E"/>
    <w:rsid w:val="0077252D"/>
    <w:rsid w:val="007777C1"/>
    <w:rsid w:val="007955DA"/>
    <w:rsid w:val="007A476A"/>
    <w:rsid w:val="007C35C4"/>
    <w:rsid w:val="007E5DD3"/>
    <w:rsid w:val="007F350B"/>
    <w:rsid w:val="00820BE4"/>
    <w:rsid w:val="00825E63"/>
    <w:rsid w:val="00832703"/>
    <w:rsid w:val="008451E8"/>
    <w:rsid w:val="0084546D"/>
    <w:rsid w:val="008A5340"/>
    <w:rsid w:val="008F616C"/>
    <w:rsid w:val="008F6ABC"/>
    <w:rsid w:val="00913B9C"/>
    <w:rsid w:val="00927F93"/>
    <w:rsid w:val="009526ED"/>
    <w:rsid w:val="00956E77"/>
    <w:rsid w:val="009950F9"/>
    <w:rsid w:val="009A338E"/>
    <w:rsid w:val="009A57D1"/>
    <w:rsid w:val="009A76A8"/>
    <w:rsid w:val="009D2E55"/>
    <w:rsid w:val="009F4811"/>
    <w:rsid w:val="00A01F4F"/>
    <w:rsid w:val="00A04080"/>
    <w:rsid w:val="00A109AF"/>
    <w:rsid w:val="00A94438"/>
    <w:rsid w:val="00AA390C"/>
    <w:rsid w:val="00AD21F4"/>
    <w:rsid w:val="00AD25EC"/>
    <w:rsid w:val="00AD5A4D"/>
    <w:rsid w:val="00AF0EAC"/>
    <w:rsid w:val="00B0200A"/>
    <w:rsid w:val="00B060DF"/>
    <w:rsid w:val="00B1560D"/>
    <w:rsid w:val="00B325C4"/>
    <w:rsid w:val="00B5058D"/>
    <w:rsid w:val="00B574DB"/>
    <w:rsid w:val="00B826C2"/>
    <w:rsid w:val="00B8298E"/>
    <w:rsid w:val="00BB6FD8"/>
    <w:rsid w:val="00BD0723"/>
    <w:rsid w:val="00BD2518"/>
    <w:rsid w:val="00BD4654"/>
    <w:rsid w:val="00BF1D1C"/>
    <w:rsid w:val="00C20C59"/>
    <w:rsid w:val="00C2727F"/>
    <w:rsid w:val="00C4421B"/>
    <w:rsid w:val="00C538FC"/>
    <w:rsid w:val="00C55B1F"/>
    <w:rsid w:val="00C74BEC"/>
    <w:rsid w:val="00CC1FAF"/>
    <w:rsid w:val="00CF1913"/>
    <w:rsid w:val="00CF1A67"/>
    <w:rsid w:val="00CF5005"/>
    <w:rsid w:val="00CF7408"/>
    <w:rsid w:val="00D2750E"/>
    <w:rsid w:val="00D31931"/>
    <w:rsid w:val="00D375E0"/>
    <w:rsid w:val="00D50A36"/>
    <w:rsid w:val="00D62446"/>
    <w:rsid w:val="00DA4EA2"/>
    <w:rsid w:val="00DC3D3E"/>
    <w:rsid w:val="00DE2C90"/>
    <w:rsid w:val="00DE3B24"/>
    <w:rsid w:val="00DE7376"/>
    <w:rsid w:val="00E06947"/>
    <w:rsid w:val="00E11319"/>
    <w:rsid w:val="00E21444"/>
    <w:rsid w:val="00E34072"/>
    <w:rsid w:val="00E3592D"/>
    <w:rsid w:val="00E459A1"/>
    <w:rsid w:val="00E50D76"/>
    <w:rsid w:val="00E74DB8"/>
    <w:rsid w:val="00E8018B"/>
    <w:rsid w:val="00E92DE8"/>
    <w:rsid w:val="00EB1212"/>
    <w:rsid w:val="00EC38C1"/>
    <w:rsid w:val="00ED2BCD"/>
    <w:rsid w:val="00ED65AB"/>
    <w:rsid w:val="00F10C4B"/>
    <w:rsid w:val="00F12850"/>
    <w:rsid w:val="00F24B71"/>
    <w:rsid w:val="00F33BF4"/>
    <w:rsid w:val="00F36B84"/>
    <w:rsid w:val="00F7105E"/>
    <w:rsid w:val="00F75F57"/>
    <w:rsid w:val="00F82FEE"/>
    <w:rsid w:val="00F85E5C"/>
    <w:rsid w:val="00F92BED"/>
    <w:rsid w:val="00FA5C37"/>
    <w:rsid w:val="00FB17E5"/>
    <w:rsid w:val="00FD57D3"/>
    <w:rsid w:val="00FE57F6"/>
    <w:rsid w:val="00FF11BD"/>
    <w:rsid w:val="00FF203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718FB3"/>
  <w15:docId w15:val="{1F5B70C9-BADA-4E08-A3C6-F8237D4459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F5A95"/>
    <w:pPr>
      <w:tabs>
        <w:tab w:val="left" w:pos="567"/>
        <w:tab w:val="left" w:pos="1134"/>
        <w:tab w:val="left" w:pos="1701"/>
        <w:tab w:val="left" w:pos="2268"/>
        <w:tab w:val="left" w:pos="2835"/>
      </w:tabs>
      <w:overflowPunct w:val="0"/>
      <w:autoSpaceDE w:val="0"/>
      <w:autoSpaceDN w:val="0"/>
      <w:adjustRightInd w:val="0"/>
      <w:spacing w:before="120"/>
      <w:textAlignment w:val="baseline"/>
    </w:pPr>
    <w:rPr>
      <w:rFonts w:ascii="Calibri" w:hAnsi="Calibri"/>
      <w:sz w:val="24"/>
      <w:lang w:val="fr-FR" w:eastAsia="en-US"/>
    </w:rPr>
  </w:style>
  <w:style w:type="paragraph" w:styleId="Heading1">
    <w:name w:val="heading 1"/>
    <w:basedOn w:val="Normal"/>
    <w:next w:val="Normal"/>
    <w:qFormat/>
    <w:rsid w:val="000F5A95"/>
    <w:pPr>
      <w:keepNext/>
      <w:keepLines/>
      <w:spacing w:before="360"/>
      <w:ind w:left="567" w:hanging="567"/>
      <w:outlineLvl w:val="0"/>
    </w:pPr>
    <w:rPr>
      <w:b/>
      <w:sz w:val="28"/>
    </w:rPr>
  </w:style>
  <w:style w:type="paragraph" w:styleId="Heading2">
    <w:name w:val="heading 2"/>
    <w:basedOn w:val="Heading1"/>
    <w:next w:val="Normal"/>
    <w:qFormat/>
    <w:rsid w:val="000F5A95"/>
    <w:pPr>
      <w:spacing w:before="200"/>
      <w:outlineLvl w:val="1"/>
    </w:pPr>
    <w:rPr>
      <w:sz w:val="24"/>
    </w:rPr>
  </w:style>
  <w:style w:type="paragraph" w:styleId="Heading3">
    <w:name w:val="heading 3"/>
    <w:basedOn w:val="Heading1"/>
    <w:next w:val="Normal"/>
    <w:qFormat/>
    <w:rsid w:val="000F5A95"/>
    <w:pPr>
      <w:spacing w:before="200"/>
      <w:outlineLvl w:val="2"/>
    </w:pPr>
    <w:rPr>
      <w:sz w:val="24"/>
    </w:rPr>
  </w:style>
  <w:style w:type="paragraph" w:styleId="Heading4">
    <w:name w:val="heading 4"/>
    <w:basedOn w:val="Heading3"/>
    <w:next w:val="Normal"/>
    <w:qFormat/>
    <w:rsid w:val="000F5A95"/>
    <w:pPr>
      <w:ind w:left="1134" w:hanging="1134"/>
      <w:outlineLvl w:val="3"/>
    </w:pPr>
  </w:style>
  <w:style w:type="paragraph" w:styleId="Heading5">
    <w:name w:val="heading 5"/>
    <w:basedOn w:val="Heading4"/>
    <w:next w:val="Normal"/>
    <w:qFormat/>
    <w:rsid w:val="000F5A95"/>
    <w:pPr>
      <w:outlineLvl w:val="4"/>
    </w:pPr>
  </w:style>
  <w:style w:type="paragraph" w:styleId="Heading6">
    <w:name w:val="heading 6"/>
    <w:basedOn w:val="Heading4"/>
    <w:next w:val="Normal"/>
    <w:qFormat/>
    <w:rsid w:val="000F5A95"/>
    <w:pPr>
      <w:outlineLvl w:val="5"/>
    </w:pPr>
  </w:style>
  <w:style w:type="paragraph" w:styleId="Heading7">
    <w:name w:val="heading 7"/>
    <w:basedOn w:val="Heading4"/>
    <w:next w:val="Normal"/>
    <w:qFormat/>
    <w:rsid w:val="000F5A95"/>
    <w:pPr>
      <w:ind w:left="1701" w:hanging="1701"/>
      <w:outlineLvl w:val="6"/>
    </w:pPr>
  </w:style>
  <w:style w:type="paragraph" w:styleId="Heading8">
    <w:name w:val="heading 8"/>
    <w:basedOn w:val="Heading4"/>
    <w:next w:val="Normal"/>
    <w:qFormat/>
    <w:rsid w:val="000F5A95"/>
    <w:pPr>
      <w:ind w:left="1701" w:hanging="1701"/>
      <w:outlineLvl w:val="7"/>
    </w:pPr>
  </w:style>
  <w:style w:type="paragraph" w:styleId="Heading9">
    <w:name w:val="heading 9"/>
    <w:basedOn w:val="Heading4"/>
    <w:next w:val="Normal"/>
    <w:qFormat/>
    <w:rsid w:val="000F5A95"/>
    <w:pPr>
      <w:ind w:left="1701" w:hanging="1701"/>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8">
    <w:name w:val="toc 8"/>
    <w:basedOn w:val="TOC7"/>
    <w:next w:val="Normal"/>
    <w:rsid w:val="000F5A95"/>
  </w:style>
  <w:style w:type="paragraph" w:styleId="TOC4">
    <w:name w:val="toc 4"/>
    <w:basedOn w:val="TOC1"/>
    <w:next w:val="Normal"/>
    <w:rsid w:val="000F5A95"/>
  </w:style>
  <w:style w:type="paragraph" w:styleId="TOC3">
    <w:name w:val="toc 3"/>
    <w:basedOn w:val="TOC1"/>
    <w:next w:val="Normal"/>
    <w:rsid w:val="000F5A95"/>
  </w:style>
  <w:style w:type="paragraph" w:styleId="TOC2">
    <w:name w:val="toc 2"/>
    <w:basedOn w:val="TOC1"/>
    <w:next w:val="Normal"/>
    <w:rsid w:val="000F5A95"/>
    <w:pPr>
      <w:spacing w:before="160"/>
    </w:pPr>
  </w:style>
  <w:style w:type="paragraph" w:styleId="TOC1">
    <w:name w:val="toc 1"/>
    <w:basedOn w:val="Normal"/>
    <w:rsid w:val="000F5A95"/>
    <w:pPr>
      <w:tabs>
        <w:tab w:val="clear" w:pos="567"/>
        <w:tab w:val="clear" w:pos="1134"/>
        <w:tab w:val="clear" w:pos="1701"/>
        <w:tab w:val="clear" w:pos="2268"/>
        <w:tab w:val="clear" w:pos="2835"/>
        <w:tab w:val="left" w:pos="964"/>
        <w:tab w:val="left" w:leader="dot" w:pos="7938"/>
        <w:tab w:val="right" w:pos="9072"/>
      </w:tabs>
      <w:spacing w:before="200"/>
      <w:ind w:left="964" w:hanging="964"/>
    </w:pPr>
  </w:style>
  <w:style w:type="paragraph" w:styleId="TOC7">
    <w:name w:val="toc 7"/>
    <w:basedOn w:val="TOC6"/>
    <w:next w:val="Normal"/>
    <w:rsid w:val="000F5A95"/>
  </w:style>
  <w:style w:type="paragraph" w:styleId="TOC6">
    <w:name w:val="toc 6"/>
    <w:basedOn w:val="TOC5"/>
    <w:next w:val="Normal"/>
    <w:rsid w:val="000F5A95"/>
  </w:style>
  <w:style w:type="paragraph" w:styleId="TOC5">
    <w:name w:val="toc 5"/>
    <w:basedOn w:val="TOC4"/>
    <w:next w:val="Normal"/>
    <w:rsid w:val="000F5A95"/>
    <w:rPr>
      <w:lang w:val="fr-CH"/>
    </w:rPr>
  </w:style>
  <w:style w:type="paragraph" w:styleId="Index7">
    <w:name w:val="index 7"/>
    <w:basedOn w:val="Normal"/>
    <w:next w:val="Normal"/>
    <w:rsid w:val="000F5A95"/>
    <w:pPr>
      <w:ind w:left="1698"/>
    </w:pPr>
  </w:style>
  <w:style w:type="paragraph" w:styleId="Index6">
    <w:name w:val="index 6"/>
    <w:basedOn w:val="Normal"/>
    <w:next w:val="Normal"/>
    <w:rsid w:val="000F5A95"/>
    <w:pPr>
      <w:ind w:left="1415"/>
    </w:pPr>
  </w:style>
  <w:style w:type="paragraph" w:styleId="Index5">
    <w:name w:val="index 5"/>
    <w:basedOn w:val="Normal"/>
    <w:next w:val="Normal"/>
    <w:rsid w:val="000F5A95"/>
    <w:pPr>
      <w:ind w:left="1132"/>
    </w:pPr>
  </w:style>
  <w:style w:type="paragraph" w:styleId="Index4">
    <w:name w:val="index 4"/>
    <w:basedOn w:val="Normal"/>
    <w:next w:val="Normal"/>
    <w:rsid w:val="000F5A95"/>
    <w:pPr>
      <w:ind w:left="849"/>
    </w:pPr>
  </w:style>
  <w:style w:type="paragraph" w:styleId="Index3">
    <w:name w:val="index 3"/>
    <w:basedOn w:val="Normal"/>
    <w:next w:val="Normal"/>
    <w:rsid w:val="000F5A95"/>
    <w:pPr>
      <w:ind w:left="566"/>
    </w:pPr>
  </w:style>
  <w:style w:type="paragraph" w:styleId="Index2">
    <w:name w:val="index 2"/>
    <w:basedOn w:val="Normal"/>
    <w:next w:val="Normal"/>
    <w:rsid w:val="000F5A95"/>
    <w:pPr>
      <w:ind w:left="283"/>
    </w:pPr>
  </w:style>
  <w:style w:type="paragraph" w:styleId="Index1">
    <w:name w:val="index 1"/>
    <w:basedOn w:val="Normal"/>
    <w:next w:val="Normal"/>
    <w:rsid w:val="000F5A95"/>
  </w:style>
  <w:style w:type="character" w:styleId="LineNumber">
    <w:name w:val="line number"/>
    <w:basedOn w:val="DefaultParagraphFont"/>
    <w:rsid w:val="000F5A95"/>
  </w:style>
  <w:style w:type="paragraph" w:styleId="IndexHeading">
    <w:name w:val="index heading"/>
    <w:basedOn w:val="Normal"/>
    <w:next w:val="Index1"/>
    <w:rsid w:val="000F5A95"/>
  </w:style>
  <w:style w:type="paragraph" w:styleId="Footer">
    <w:name w:val="footer"/>
    <w:basedOn w:val="Normal"/>
    <w:rsid w:val="000F5A95"/>
    <w:pPr>
      <w:tabs>
        <w:tab w:val="clear" w:pos="567"/>
        <w:tab w:val="clear" w:pos="1134"/>
        <w:tab w:val="clear" w:pos="1701"/>
        <w:tab w:val="clear" w:pos="2268"/>
        <w:tab w:val="clear" w:pos="2835"/>
        <w:tab w:val="left" w:pos="5954"/>
        <w:tab w:val="right" w:pos="9639"/>
      </w:tabs>
      <w:spacing w:before="0"/>
    </w:pPr>
    <w:rPr>
      <w:caps/>
      <w:noProof/>
      <w:sz w:val="16"/>
    </w:rPr>
  </w:style>
  <w:style w:type="paragraph" w:styleId="Header">
    <w:name w:val="header"/>
    <w:basedOn w:val="Normal"/>
    <w:link w:val="HeaderChar"/>
    <w:uiPriority w:val="99"/>
    <w:rsid w:val="000F5A95"/>
    <w:pPr>
      <w:tabs>
        <w:tab w:val="clear" w:pos="567"/>
        <w:tab w:val="clear" w:pos="1134"/>
        <w:tab w:val="clear" w:pos="1701"/>
        <w:tab w:val="clear" w:pos="2268"/>
        <w:tab w:val="clear" w:pos="2835"/>
      </w:tabs>
      <w:spacing w:before="0"/>
      <w:jc w:val="center"/>
    </w:pPr>
    <w:rPr>
      <w:sz w:val="18"/>
    </w:rPr>
  </w:style>
  <w:style w:type="character" w:styleId="FootnoteReference">
    <w:name w:val="footnote reference"/>
    <w:basedOn w:val="DefaultParagraphFont"/>
    <w:rsid w:val="000F5A95"/>
    <w:rPr>
      <w:rFonts w:ascii="Calibri" w:hAnsi="Calibri"/>
      <w:position w:val="6"/>
      <w:sz w:val="16"/>
    </w:rPr>
  </w:style>
  <w:style w:type="paragraph" w:styleId="FootnoteText">
    <w:name w:val="footnote text"/>
    <w:basedOn w:val="Normal"/>
    <w:rsid w:val="000F5A95"/>
    <w:pPr>
      <w:keepLines/>
      <w:tabs>
        <w:tab w:val="left" w:pos="256"/>
      </w:tabs>
      <w:ind w:left="256" w:hanging="256"/>
    </w:pPr>
    <w:rPr>
      <w:sz w:val="22"/>
    </w:rPr>
  </w:style>
  <w:style w:type="paragraph" w:styleId="NormalIndent">
    <w:name w:val="Normal Indent"/>
    <w:basedOn w:val="Normal"/>
    <w:rsid w:val="000F5A95"/>
    <w:pPr>
      <w:ind w:left="567"/>
    </w:pPr>
  </w:style>
  <w:style w:type="paragraph" w:customStyle="1" w:styleId="AnnexNo">
    <w:name w:val="Annex_No"/>
    <w:basedOn w:val="Normal"/>
    <w:next w:val="Annexref"/>
    <w:rsid w:val="000F5A95"/>
    <w:pPr>
      <w:keepNext/>
      <w:keepLines/>
      <w:spacing w:before="720"/>
      <w:jc w:val="center"/>
    </w:pPr>
    <w:rPr>
      <w:caps/>
      <w:sz w:val="28"/>
    </w:rPr>
  </w:style>
  <w:style w:type="paragraph" w:customStyle="1" w:styleId="Annextitle">
    <w:name w:val="Annex_title"/>
    <w:basedOn w:val="Normal"/>
    <w:next w:val="Normalaftertitle"/>
    <w:rsid w:val="000F5A95"/>
    <w:pPr>
      <w:keepNext/>
      <w:keepLines/>
      <w:spacing w:before="240" w:after="240"/>
      <w:jc w:val="center"/>
    </w:pPr>
    <w:rPr>
      <w:b/>
      <w:sz w:val="28"/>
    </w:rPr>
  </w:style>
  <w:style w:type="paragraph" w:customStyle="1" w:styleId="Annexref">
    <w:name w:val="Annex_ref"/>
    <w:basedOn w:val="Normal"/>
    <w:next w:val="Annextitle"/>
    <w:rsid w:val="000F5A95"/>
    <w:pPr>
      <w:keepNext/>
      <w:keepLines/>
      <w:jc w:val="center"/>
    </w:pPr>
    <w:rPr>
      <w:sz w:val="28"/>
    </w:rPr>
  </w:style>
  <w:style w:type="paragraph" w:customStyle="1" w:styleId="Normalaftertitle">
    <w:name w:val="Normal after title"/>
    <w:basedOn w:val="Normal"/>
    <w:next w:val="Normal"/>
    <w:rsid w:val="000F5A95"/>
    <w:pPr>
      <w:spacing w:before="240"/>
    </w:pPr>
  </w:style>
  <w:style w:type="paragraph" w:customStyle="1" w:styleId="AppendixNo">
    <w:name w:val="Appendix_No"/>
    <w:basedOn w:val="AnnexNo"/>
    <w:next w:val="Appendixref"/>
    <w:rsid w:val="000F5A95"/>
  </w:style>
  <w:style w:type="paragraph" w:customStyle="1" w:styleId="Appendixtitle">
    <w:name w:val="Appendix_title"/>
    <w:basedOn w:val="Annextitle"/>
    <w:next w:val="Normalaftertitle"/>
    <w:rsid w:val="000F5A95"/>
  </w:style>
  <w:style w:type="paragraph" w:customStyle="1" w:styleId="Appendixref">
    <w:name w:val="Appendix_ref"/>
    <w:basedOn w:val="Annexref"/>
    <w:next w:val="Appendixtitle"/>
    <w:rsid w:val="000F5A95"/>
  </w:style>
  <w:style w:type="paragraph" w:customStyle="1" w:styleId="enumlev1">
    <w:name w:val="enumlev1"/>
    <w:basedOn w:val="Normal"/>
    <w:rsid w:val="000F5A95"/>
    <w:pPr>
      <w:spacing w:before="80"/>
      <w:ind w:left="567" w:hanging="567"/>
    </w:pPr>
  </w:style>
  <w:style w:type="paragraph" w:customStyle="1" w:styleId="enumlev2">
    <w:name w:val="enumlev2"/>
    <w:basedOn w:val="enumlev1"/>
    <w:rsid w:val="000F5A95"/>
    <w:pPr>
      <w:ind w:left="1134"/>
    </w:pPr>
  </w:style>
  <w:style w:type="paragraph" w:customStyle="1" w:styleId="enumlev3">
    <w:name w:val="enumlev3"/>
    <w:basedOn w:val="enumlev2"/>
    <w:rsid w:val="000F5A95"/>
    <w:pPr>
      <w:ind w:left="1701"/>
    </w:pPr>
  </w:style>
  <w:style w:type="paragraph" w:customStyle="1" w:styleId="Artheading">
    <w:name w:val="Art_heading"/>
    <w:basedOn w:val="Normal"/>
    <w:next w:val="Normalaftertitle"/>
    <w:rsid w:val="000F5A95"/>
    <w:pPr>
      <w:tabs>
        <w:tab w:val="clear" w:pos="567"/>
        <w:tab w:val="clear" w:pos="1134"/>
        <w:tab w:val="clear" w:pos="1701"/>
        <w:tab w:val="clear" w:pos="2268"/>
        <w:tab w:val="clear" w:pos="2835"/>
      </w:tabs>
      <w:spacing w:before="480"/>
      <w:jc w:val="center"/>
    </w:pPr>
    <w:rPr>
      <w:b/>
    </w:rPr>
  </w:style>
  <w:style w:type="paragraph" w:customStyle="1" w:styleId="ArtNo">
    <w:name w:val="Art_No"/>
    <w:basedOn w:val="Normal"/>
    <w:next w:val="Arttitle"/>
    <w:rsid w:val="000F5A95"/>
    <w:pPr>
      <w:keepNext/>
      <w:keepLines/>
      <w:tabs>
        <w:tab w:val="clear" w:pos="567"/>
        <w:tab w:val="clear" w:pos="1134"/>
        <w:tab w:val="clear" w:pos="1701"/>
        <w:tab w:val="clear" w:pos="2268"/>
        <w:tab w:val="clear" w:pos="2835"/>
      </w:tabs>
      <w:spacing w:before="600"/>
      <w:jc w:val="center"/>
    </w:pPr>
    <w:rPr>
      <w:caps/>
      <w:sz w:val="28"/>
    </w:rPr>
  </w:style>
  <w:style w:type="paragraph" w:customStyle="1" w:styleId="Arttitle">
    <w:name w:val="Art_title"/>
    <w:basedOn w:val="Normal"/>
    <w:next w:val="Normal"/>
    <w:rsid w:val="000F5A95"/>
    <w:pPr>
      <w:keepNext/>
      <w:keepLines/>
      <w:tabs>
        <w:tab w:val="clear" w:pos="567"/>
        <w:tab w:val="clear" w:pos="1134"/>
        <w:tab w:val="clear" w:pos="1701"/>
        <w:tab w:val="clear" w:pos="2268"/>
        <w:tab w:val="clear" w:pos="2835"/>
      </w:tabs>
      <w:spacing w:before="240" w:after="240"/>
      <w:jc w:val="center"/>
    </w:pPr>
    <w:rPr>
      <w:b/>
      <w:sz w:val="28"/>
    </w:rPr>
  </w:style>
  <w:style w:type="paragraph" w:customStyle="1" w:styleId="Call">
    <w:name w:val="Call"/>
    <w:basedOn w:val="Normal"/>
    <w:next w:val="Normal"/>
    <w:rsid w:val="000F5A95"/>
    <w:pPr>
      <w:keepNext/>
      <w:keepLines/>
      <w:tabs>
        <w:tab w:val="clear" w:pos="1134"/>
        <w:tab w:val="clear" w:pos="1701"/>
        <w:tab w:val="clear" w:pos="2268"/>
        <w:tab w:val="clear" w:pos="2835"/>
      </w:tabs>
      <w:spacing w:before="160"/>
      <w:ind w:left="567"/>
    </w:pPr>
    <w:rPr>
      <w:i/>
    </w:rPr>
  </w:style>
  <w:style w:type="paragraph" w:customStyle="1" w:styleId="ChapNo">
    <w:name w:val="Chap_No"/>
    <w:basedOn w:val="ArtNo"/>
    <w:next w:val="Chaptitle"/>
    <w:rsid w:val="000F5A95"/>
  </w:style>
  <w:style w:type="paragraph" w:customStyle="1" w:styleId="Chaptitle">
    <w:name w:val="Chap_title"/>
    <w:basedOn w:val="Arttitle"/>
    <w:next w:val="Normalaftertitle"/>
    <w:rsid w:val="000F5A95"/>
  </w:style>
  <w:style w:type="paragraph" w:customStyle="1" w:styleId="Equationlegend">
    <w:name w:val="Equation_legend"/>
    <w:basedOn w:val="NormalIndent"/>
    <w:rsid w:val="000F5A95"/>
    <w:pPr>
      <w:tabs>
        <w:tab w:val="right" w:pos="1531"/>
      </w:tabs>
      <w:spacing w:before="80"/>
      <w:ind w:left="1701" w:hanging="1701"/>
    </w:pPr>
  </w:style>
  <w:style w:type="paragraph" w:customStyle="1" w:styleId="Figure">
    <w:name w:val="Figure"/>
    <w:basedOn w:val="Normal"/>
    <w:next w:val="Normal"/>
    <w:rsid w:val="000F5A95"/>
    <w:pPr>
      <w:spacing w:after="240"/>
      <w:jc w:val="center"/>
    </w:pPr>
  </w:style>
  <w:style w:type="paragraph" w:customStyle="1" w:styleId="Figuretitle">
    <w:name w:val="Figure_title"/>
    <w:basedOn w:val="Tabletitle"/>
    <w:next w:val="Normalaftertitle"/>
    <w:rsid w:val="000F5A95"/>
    <w:pPr>
      <w:spacing w:before="120" w:after="0"/>
    </w:pPr>
  </w:style>
  <w:style w:type="paragraph" w:customStyle="1" w:styleId="Tabletitle">
    <w:name w:val="Table_title"/>
    <w:basedOn w:val="TableNo"/>
    <w:next w:val="Tabletext"/>
    <w:rsid w:val="000F5A95"/>
    <w:pPr>
      <w:tabs>
        <w:tab w:val="clear" w:pos="567"/>
        <w:tab w:val="clear" w:pos="1134"/>
        <w:tab w:val="clear" w:pos="1701"/>
        <w:tab w:val="clear" w:pos="2268"/>
        <w:tab w:val="clear" w:pos="2835"/>
        <w:tab w:val="left" w:pos="2948"/>
        <w:tab w:val="left" w:pos="4082"/>
      </w:tabs>
      <w:spacing w:before="0"/>
    </w:pPr>
    <w:rPr>
      <w:b/>
      <w:caps w:val="0"/>
    </w:rPr>
  </w:style>
  <w:style w:type="paragraph" w:customStyle="1" w:styleId="TableNo">
    <w:name w:val="Table_No"/>
    <w:basedOn w:val="Normal"/>
    <w:next w:val="Tabletitle"/>
    <w:rsid w:val="000F5A95"/>
    <w:pPr>
      <w:keepNext/>
      <w:keepLines/>
      <w:spacing w:before="480" w:after="120"/>
      <w:jc w:val="center"/>
    </w:pPr>
    <w:rPr>
      <w:caps/>
    </w:rPr>
  </w:style>
  <w:style w:type="paragraph" w:customStyle="1" w:styleId="Tabletext">
    <w:name w:val="Table_text"/>
    <w:basedOn w:val="Normal"/>
    <w:rsid w:val="000F5A95"/>
    <w:pPr>
      <w:tabs>
        <w:tab w:val="clear" w:pos="1134"/>
        <w:tab w:val="clear" w:pos="1701"/>
        <w:tab w:val="clear" w:pos="2268"/>
        <w:tab w:val="clear" w:pos="2835"/>
        <w:tab w:val="left" w:pos="284"/>
        <w:tab w:val="left" w:pos="851"/>
      </w:tabs>
      <w:spacing w:before="40" w:after="40"/>
    </w:pPr>
    <w:rPr>
      <w:sz w:val="22"/>
    </w:rPr>
  </w:style>
  <w:style w:type="paragraph" w:customStyle="1" w:styleId="Figurelegend">
    <w:name w:val="Figure_legend"/>
    <w:basedOn w:val="Normal"/>
    <w:next w:val="Normal"/>
    <w:rsid w:val="000F5A95"/>
    <w:pPr>
      <w:spacing w:before="20" w:after="240"/>
    </w:pPr>
    <w:rPr>
      <w:sz w:val="18"/>
    </w:rPr>
  </w:style>
  <w:style w:type="paragraph" w:customStyle="1" w:styleId="Equation">
    <w:name w:val="Equation"/>
    <w:basedOn w:val="Normal"/>
    <w:rsid w:val="000F5A95"/>
    <w:pPr>
      <w:tabs>
        <w:tab w:val="center" w:pos="4820"/>
        <w:tab w:val="right" w:pos="9639"/>
      </w:tabs>
    </w:pPr>
  </w:style>
  <w:style w:type="paragraph" w:customStyle="1" w:styleId="Head">
    <w:name w:val="Head"/>
    <w:basedOn w:val="Normal"/>
    <w:rsid w:val="000F5A95"/>
    <w:pPr>
      <w:tabs>
        <w:tab w:val="left" w:pos="6663"/>
      </w:tabs>
      <w:overflowPunct/>
      <w:autoSpaceDE/>
      <w:autoSpaceDN/>
      <w:adjustRightInd/>
      <w:spacing w:before="0"/>
      <w:textAlignment w:val="auto"/>
    </w:pPr>
  </w:style>
  <w:style w:type="paragraph" w:customStyle="1" w:styleId="toc0">
    <w:name w:val="toc 0"/>
    <w:basedOn w:val="Normal"/>
    <w:next w:val="TOC1"/>
    <w:rsid w:val="000F5A95"/>
    <w:pPr>
      <w:tabs>
        <w:tab w:val="clear" w:pos="567"/>
        <w:tab w:val="clear" w:pos="1134"/>
        <w:tab w:val="clear" w:pos="1701"/>
        <w:tab w:val="clear" w:pos="2268"/>
        <w:tab w:val="clear" w:pos="2835"/>
        <w:tab w:val="right" w:pos="9781"/>
      </w:tabs>
    </w:pPr>
    <w:rPr>
      <w:b/>
    </w:rPr>
  </w:style>
  <w:style w:type="paragraph" w:styleId="List">
    <w:name w:val="List"/>
    <w:basedOn w:val="Normal"/>
    <w:rsid w:val="000F5A95"/>
    <w:pPr>
      <w:tabs>
        <w:tab w:val="left" w:pos="2127"/>
      </w:tabs>
      <w:ind w:left="2127" w:hanging="2127"/>
    </w:pPr>
  </w:style>
  <w:style w:type="paragraph" w:customStyle="1" w:styleId="Part">
    <w:name w:val="Part"/>
    <w:basedOn w:val="Normal"/>
    <w:rsid w:val="000F5A95"/>
    <w:pPr>
      <w:tabs>
        <w:tab w:val="left" w:pos="1276"/>
      </w:tabs>
      <w:spacing w:before="199"/>
      <w:ind w:left="1701" w:hanging="1701"/>
    </w:pPr>
    <w:rPr>
      <w:caps/>
    </w:rPr>
  </w:style>
  <w:style w:type="paragraph" w:customStyle="1" w:styleId="Figurewithouttitle">
    <w:name w:val="Figure_without_title"/>
    <w:basedOn w:val="Figure"/>
    <w:next w:val="Normal"/>
    <w:rsid w:val="000F5A95"/>
  </w:style>
  <w:style w:type="character" w:styleId="PageNumber">
    <w:name w:val="page number"/>
    <w:basedOn w:val="DefaultParagraphFont"/>
    <w:rsid w:val="000F5A95"/>
    <w:rPr>
      <w:rFonts w:ascii="Calibri" w:hAnsi="Calibri"/>
    </w:rPr>
  </w:style>
  <w:style w:type="paragraph" w:customStyle="1" w:styleId="meeting">
    <w:name w:val="meeting"/>
    <w:basedOn w:val="Head"/>
    <w:next w:val="Head"/>
    <w:rsid w:val="000F5A95"/>
    <w:pPr>
      <w:tabs>
        <w:tab w:val="left" w:pos="7371"/>
      </w:tabs>
      <w:spacing w:after="567"/>
    </w:pPr>
  </w:style>
  <w:style w:type="paragraph" w:customStyle="1" w:styleId="PartNo">
    <w:name w:val="Part_No"/>
    <w:basedOn w:val="AnnexNo"/>
    <w:next w:val="Parttitle"/>
    <w:rsid w:val="000F5A95"/>
  </w:style>
  <w:style w:type="paragraph" w:customStyle="1" w:styleId="Parttitle">
    <w:name w:val="Part_title"/>
    <w:basedOn w:val="Annextitle"/>
    <w:next w:val="Partref"/>
    <w:rsid w:val="000F5A95"/>
  </w:style>
  <w:style w:type="paragraph" w:customStyle="1" w:styleId="Partref">
    <w:name w:val="Part_ref"/>
    <w:basedOn w:val="Annexref"/>
    <w:next w:val="Normalaftertitle"/>
    <w:rsid w:val="000F5A95"/>
  </w:style>
  <w:style w:type="paragraph" w:customStyle="1" w:styleId="Headingb">
    <w:name w:val="Heading_b"/>
    <w:basedOn w:val="Heading3"/>
    <w:next w:val="Normal"/>
    <w:rsid w:val="000F5A95"/>
    <w:pPr>
      <w:spacing w:before="160"/>
      <w:ind w:left="0" w:firstLine="0"/>
      <w:outlineLvl w:val="0"/>
    </w:pPr>
  </w:style>
  <w:style w:type="paragraph" w:customStyle="1" w:styleId="Subject">
    <w:name w:val="Subject"/>
    <w:basedOn w:val="Normal"/>
    <w:next w:val="Source"/>
    <w:rsid w:val="000F5A95"/>
    <w:pPr>
      <w:tabs>
        <w:tab w:val="left" w:pos="709"/>
      </w:tabs>
      <w:spacing w:before="0"/>
      <w:ind w:left="709" w:hanging="709"/>
    </w:pPr>
  </w:style>
  <w:style w:type="paragraph" w:customStyle="1" w:styleId="Source">
    <w:name w:val="Source"/>
    <w:basedOn w:val="Normal"/>
    <w:next w:val="Title1"/>
    <w:rsid w:val="000F5A95"/>
    <w:pPr>
      <w:spacing w:before="840"/>
      <w:jc w:val="center"/>
    </w:pPr>
    <w:rPr>
      <w:b/>
      <w:sz w:val="28"/>
    </w:rPr>
  </w:style>
  <w:style w:type="paragraph" w:customStyle="1" w:styleId="Data">
    <w:name w:val="Data"/>
    <w:basedOn w:val="Subject"/>
    <w:next w:val="Subject"/>
    <w:rsid w:val="000F5A95"/>
  </w:style>
  <w:style w:type="character" w:styleId="Hyperlink">
    <w:name w:val="Hyperlink"/>
    <w:basedOn w:val="DefaultParagraphFont"/>
    <w:rsid w:val="00663C07"/>
    <w:rPr>
      <w:rFonts w:eastAsiaTheme="minorHAnsi" w:cstheme="minorBidi"/>
      <w:color w:val="4F81BD" w:themeColor="accent1"/>
      <w:szCs w:val="22"/>
      <w:u w:val="single"/>
    </w:rPr>
  </w:style>
  <w:style w:type="character" w:styleId="FollowedHyperlink">
    <w:name w:val="FollowedHyperlink"/>
    <w:basedOn w:val="DefaultParagraphFont"/>
    <w:rsid w:val="000F5A95"/>
    <w:rPr>
      <w:color w:val="800080"/>
      <w:u w:val="single"/>
    </w:rPr>
  </w:style>
  <w:style w:type="paragraph" w:customStyle="1" w:styleId="FirstFooter">
    <w:name w:val="FirstFooter"/>
    <w:basedOn w:val="Footer"/>
    <w:rsid w:val="000F5A95"/>
    <w:rPr>
      <w:caps w:val="0"/>
    </w:rPr>
  </w:style>
  <w:style w:type="paragraph" w:customStyle="1" w:styleId="Note">
    <w:name w:val="Note"/>
    <w:basedOn w:val="Normal"/>
    <w:rsid w:val="000F5A95"/>
    <w:pPr>
      <w:spacing w:before="80"/>
    </w:pPr>
    <w:rPr>
      <w:sz w:val="22"/>
    </w:rPr>
  </w:style>
  <w:style w:type="paragraph" w:styleId="TOC9">
    <w:name w:val="toc 9"/>
    <w:basedOn w:val="Normal"/>
    <w:next w:val="Normal"/>
    <w:rsid w:val="000F5A95"/>
    <w:pPr>
      <w:tabs>
        <w:tab w:val="clear" w:pos="567"/>
        <w:tab w:val="clear" w:pos="1134"/>
        <w:tab w:val="clear" w:pos="1701"/>
        <w:tab w:val="clear" w:pos="2268"/>
        <w:tab w:val="clear" w:pos="2835"/>
        <w:tab w:val="right" w:leader="dot" w:pos="9645"/>
      </w:tabs>
      <w:ind w:left="1920"/>
    </w:pPr>
  </w:style>
  <w:style w:type="paragraph" w:customStyle="1" w:styleId="Headingi">
    <w:name w:val="Heading_i"/>
    <w:basedOn w:val="Heading3"/>
    <w:next w:val="Normal"/>
    <w:rsid w:val="000F5A95"/>
    <w:pPr>
      <w:spacing w:before="160"/>
      <w:ind w:left="0" w:firstLine="0"/>
      <w:outlineLvl w:val="0"/>
    </w:pPr>
    <w:rPr>
      <w:b w:val="0"/>
      <w:i/>
    </w:rPr>
  </w:style>
  <w:style w:type="paragraph" w:customStyle="1" w:styleId="Title1">
    <w:name w:val="Title 1"/>
    <w:basedOn w:val="Normal"/>
    <w:next w:val="Normalaftertitle"/>
    <w:rsid w:val="000F5A95"/>
    <w:pPr>
      <w:spacing w:before="360"/>
      <w:jc w:val="center"/>
    </w:pPr>
    <w:rPr>
      <w:caps/>
    </w:rPr>
  </w:style>
  <w:style w:type="paragraph" w:customStyle="1" w:styleId="Title2">
    <w:name w:val="Title 2"/>
    <w:basedOn w:val="Title1"/>
    <w:next w:val="Normalaftertitle"/>
    <w:rsid w:val="000F5A95"/>
    <w:pPr>
      <w:keepNext/>
      <w:keepLines/>
      <w:spacing w:before="240"/>
    </w:pPr>
    <w:rPr>
      <w:b/>
      <w:caps w:val="0"/>
    </w:rPr>
  </w:style>
  <w:style w:type="paragraph" w:customStyle="1" w:styleId="Title3">
    <w:name w:val="Title 3"/>
    <w:basedOn w:val="Title2"/>
    <w:next w:val="Normalaftertitle"/>
    <w:rsid w:val="000F5A95"/>
    <w:rPr>
      <w:b w:val="0"/>
      <w:caps/>
    </w:rPr>
  </w:style>
  <w:style w:type="paragraph" w:customStyle="1" w:styleId="Title4">
    <w:name w:val="Title 4"/>
    <w:basedOn w:val="Annextitle"/>
    <w:next w:val="Normal"/>
    <w:rsid w:val="000F5A95"/>
    <w:pPr>
      <w:spacing w:after="120"/>
    </w:pPr>
    <w:rPr>
      <w:b w:val="0"/>
    </w:rPr>
  </w:style>
  <w:style w:type="paragraph" w:customStyle="1" w:styleId="dnum">
    <w:name w:val="dnum"/>
    <w:basedOn w:val="Normal"/>
    <w:rsid w:val="000F5A95"/>
    <w:pPr>
      <w:framePr w:hSpace="181" w:wrap="notBeside" w:vAnchor="page" w:hAnchor="margin" w:x="1" w:y="852"/>
      <w:shd w:val="solid" w:color="FFFFFF" w:fill="FFFFFF"/>
      <w:tabs>
        <w:tab w:val="left" w:pos="1871"/>
      </w:tabs>
    </w:pPr>
    <w:rPr>
      <w:b/>
      <w:bCs/>
    </w:rPr>
  </w:style>
  <w:style w:type="paragraph" w:customStyle="1" w:styleId="ddate">
    <w:name w:val="ddate"/>
    <w:basedOn w:val="Normal"/>
    <w:rsid w:val="000F5A95"/>
    <w:pPr>
      <w:framePr w:hSpace="181" w:wrap="notBeside" w:vAnchor="page" w:hAnchor="margin" w:x="1" w:y="852"/>
      <w:shd w:val="solid" w:color="FFFFFF" w:fill="FFFFFF"/>
      <w:tabs>
        <w:tab w:val="left" w:pos="1871"/>
      </w:tabs>
      <w:spacing w:before="0"/>
    </w:pPr>
    <w:rPr>
      <w:b/>
      <w:bCs/>
    </w:rPr>
  </w:style>
  <w:style w:type="paragraph" w:customStyle="1" w:styleId="dorlang">
    <w:name w:val="dorlang"/>
    <w:basedOn w:val="Normal"/>
    <w:rsid w:val="000F5A95"/>
    <w:pPr>
      <w:framePr w:hSpace="181" w:wrap="notBeside" w:vAnchor="page" w:hAnchor="margin" w:x="1" w:y="852"/>
      <w:shd w:val="solid" w:color="FFFFFF" w:fill="FFFFFF"/>
      <w:tabs>
        <w:tab w:val="left" w:pos="1871"/>
      </w:tabs>
      <w:spacing w:before="0"/>
    </w:pPr>
    <w:rPr>
      <w:b/>
      <w:bCs/>
    </w:rPr>
  </w:style>
  <w:style w:type="paragraph" w:customStyle="1" w:styleId="RecNo">
    <w:name w:val="Rec_No"/>
    <w:basedOn w:val="Normal"/>
    <w:next w:val="Rectitle"/>
    <w:rsid w:val="000F5A95"/>
    <w:pPr>
      <w:keepNext/>
      <w:keepLines/>
      <w:spacing w:before="720"/>
      <w:jc w:val="center"/>
    </w:pPr>
    <w:rPr>
      <w:caps/>
      <w:sz w:val="28"/>
    </w:rPr>
  </w:style>
  <w:style w:type="paragraph" w:customStyle="1" w:styleId="Rectitle">
    <w:name w:val="Rec_title"/>
    <w:basedOn w:val="Normal"/>
    <w:next w:val="Heading1"/>
    <w:rsid w:val="000F5A95"/>
    <w:pPr>
      <w:keepNext/>
      <w:keepLines/>
      <w:jc w:val="center"/>
    </w:pPr>
    <w:rPr>
      <w:b/>
      <w:sz w:val="28"/>
    </w:rPr>
  </w:style>
  <w:style w:type="paragraph" w:customStyle="1" w:styleId="Recref">
    <w:name w:val="Rec_ref"/>
    <w:basedOn w:val="Rectitle"/>
    <w:next w:val="Recdate"/>
    <w:rsid w:val="000F5A95"/>
    <w:rPr>
      <w:rFonts w:ascii="Times New Roman" w:hAnsi="Times New Roman"/>
      <w:b w:val="0"/>
      <w:sz w:val="24"/>
    </w:rPr>
  </w:style>
  <w:style w:type="paragraph" w:customStyle="1" w:styleId="Recdate">
    <w:name w:val="Rec_date"/>
    <w:basedOn w:val="Recref"/>
    <w:next w:val="Normalaftertitle"/>
    <w:rsid w:val="000F5A95"/>
    <w:pPr>
      <w:jc w:val="right"/>
    </w:pPr>
    <w:rPr>
      <w:sz w:val="22"/>
    </w:rPr>
  </w:style>
  <w:style w:type="paragraph" w:customStyle="1" w:styleId="Questiondate">
    <w:name w:val="Question_date"/>
    <w:basedOn w:val="Recdate"/>
    <w:next w:val="Normalaftertitle"/>
    <w:rsid w:val="000F5A95"/>
  </w:style>
  <w:style w:type="paragraph" w:customStyle="1" w:styleId="QuestionNo">
    <w:name w:val="Question_No"/>
    <w:basedOn w:val="RecNo"/>
    <w:next w:val="Questiontitle"/>
    <w:rsid w:val="000F5A95"/>
  </w:style>
  <w:style w:type="paragraph" w:customStyle="1" w:styleId="Questiontitle">
    <w:name w:val="Question_title"/>
    <w:basedOn w:val="Rectitle"/>
    <w:next w:val="Questionref"/>
    <w:rsid w:val="000F5A95"/>
  </w:style>
  <w:style w:type="paragraph" w:customStyle="1" w:styleId="Questionref">
    <w:name w:val="Question_ref"/>
    <w:basedOn w:val="Recref"/>
    <w:next w:val="Questiondate"/>
    <w:rsid w:val="000F5A95"/>
  </w:style>
  <w:style w:type="paragraph" w:customStyle="1" w:styleId="Reftext">
    <w:name w:val="Ref_text"/>
    <w:basedOn w:val="Normal"/>
    <w:rsid w:val="000F5A95"/>
    <w:pPr>
      <w:ind w:left="567" w:hanging="567"/>
    </w:pPr>
  </w:style>
  <w:style w:type="paragraph" w:customStyle="1" w:styleId="Reftitle">
    <w:name w:val="Ref_title"/>
    <w:basedOn w:val="Normal"/>
    <w:next w:val="Reftext"/>
    <w:rsid w:val="000F5A95"/>
    <w:pPr>
      <w:spacing w:before="480"/>
      <w:jc w:val="center"/>
    </w:pPr>
    <w:rPr>
      <w:caps/>
      <w:sz w:val="28"/>
    </w:rPr>
  </w:style>
  <w:style w:type="paragraph" w:customStyle="1" w:styleId="Repdate">
    <w:name w:val="Rep_date"/>
    <w:basedOn w:val="Recdate"/>
    <w:next w:val="Normalaftertitle"/>
    <w:rsid w:val="000F5A95"/>
  </w:style>
  <w:style w:type="paragraph" w:customStyle="1" w:styleId="RepNo">
    <w:name w:val="Rep_No"/>
    <w:basedOn w:val="RecNo"/>
    <w:next w:val="Reptitle"/>
    <w:rsid w:val="000F5A95"/>
  </w:style>
  <w:style w:type="paragraph" w:customStyle="1" w:styleId="Reptitle">
    <w:name w:val="Rep_title"/>
    <w:basedOn w:val="Rectitle"/>
    <w:next w:val="Repref"/>
    <w:rsid w:val="000F5A95"/>
  </w:style>
  <w:style w:type="paragraph" w:customStyle="1" w:styleId="Repref">
    <w:name w:val="Rep_ref"/>
    <w:basedOn w:val="Recref"/>
    <w:next w:val="Repdate"/>
    <w:rsid w:val="000F5A95"/>
  </w:style>
  <w:style w:type="paragraph" w:customStyle="1" w:styleId="Resdate">
    <w:name w:val="Res_date"/>
    <w:basedOn w:val="Recdate"/>
    <w:next w:val="Normalaftertitle"/>
    <w:rsid w:val="000F5A95"/>
  </w:style>
  <w:style w:type="paragraph" w:customStyle="1" w:styleId="ResNo">
    <w:name w:val="Res_No"/>
    <w:basedOn w:val="AnnexNo"/>
    <w:next w:val="Restitle"/>
    <w:rsid w:val="000F5A95"/>
  </w:style>
  <w:style w:type="paragraph" w:customStyle="1" w:styleId="Restitle">
    <w:name w:val="Res_title"/>
    <w:basedOn w:val="Annextitle"/>
    <w:next w:val="Normal"/>
    <w:rsid w:val="000F5A95"/>
  </w:style>
  <w:style w:type="paragraph" w:customStyle="1" w:styleId="Resref">
    <w:name w:val="Res_ref"/>
    <w:basedOn w:val="Recref"/>
    <w:next w:val="Resdate"/>
    <w:rsid w:val="000F5A95"/>
  </w:style>
  <w:style w:type="paragraph" w:customStyle="1" w:styleId="SectionNo">
    <w:name w:val="Section_No"/>
    <w:basedOn w:val="AnnexNo"/>
    <w:next w:val="Sectiontitle"/>
    <w:rsid w:val="000F5A95"/>
  </w:style>
  <w:style w:type="paragraph" w:customStyle="1" w:styleId="Sectiontitle">
    <w:name w:val="Section_title"/>
    <w:basedOn w:val="Normal"/>
    <w:next w:val="Normalaftertitle"/>
    <w:rsid w:val="000F5A95"/>
    <w:rPr>
      <w:sz w:val="28"/>
    </w:rPr>
  </w:style>
  <w:style w:type="paragraph" w:customStyle="1" w:styleId="SpecialFooter">
    <w:name w:val="Special Footer"/>
    <w:basedOn w:val="Footer"/>
    <w:rsid w:val="000F5A95"/>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Tabletext"/>
    <w:rsid w:val="000F5A95"/>
    <w:pPr>
      <w:keepNext/>
      <w:keepLines/>
      <w:spacing w:before="80" w:after="80"/>
      <w:jc w:val="center"/>
    </w:pPr>
    <w:rPr>
      <w:b/>
    </w:rPr>
  </w:style>
  <w:style w:type="paragraph" w:customStyle="1" w:styleId="Tablelegend">
    <w:name w:val="Table_legend"/>
    <w:basedOn w:val="Tabletext"/>
    <w:rsid w:val="000F5A95"/>
    <w:pPr>
      <w:ind w:left="284" w:hanging="284"/>
    </w:pPr>
    <w:rPr>
      <w:sz w:val="20"/>
    </w:rPr>
  </w:style>
  <w:style w:type="paragraph" w:customStyle="1" w:styleId="Tableref">
    <w:name w:val="Table_ref"/>
    <w:basedOn w:val="Normal"/>
    <w:next w:val="Tabletitle"/>
    <w:rsid w:val="000F5A95"/>
    <w:pPr>
      <w:keepNext/>
      <w:keepLines/>
      <w:jc w:val="center"/>
    </w:pPr>
    <w:rPr>
      <w:sz w:val="20"/>
    </w:rPr>
  </w:style>
  <w:style w:type="paragraph" w:customStyle="1" w:styleId="Reasons">
    <w:name w:val="Reasons"/>
    <w:basedOn w:val="Normal"/>
    <w:qFormat/>
    <w:rsid w:val="000F5A95"/>
  </w:style>
  <w:style w:type="paragraph" w:customStyle="1" w:styleId="FigureNo">
    <w:name w:val="Figure_No"/>
    <w:basedOn w:val="Normal"/>
    <w:next w:val="Figuretitle"/>
    <w:rsid w:val="000F5A95"/>
    <w:pPr>
      <w:keepNext/>
      <w:keepLines/>
      <w:spacing w:before="480" w:after="120"/>
      <w:jc w:val="center"/>
    </w:pPr>
    <w:rPr>
      <w:caps/>
    </w:rPr>
  </w:style>
  <w:style w:type="paragraph" w:customStyle="1" w:styleId="Table">
    <w:name w:val="Table_#"/>
    <w:basedOn w:val="Normal"/>
    <w:next w:val="Normal"/>
    <w:rsid w:val="00093EEB"/>
    <w:pPr>
      <w:keepNext/>
      <w:overflowPunct/>
      <w:autoSpaceDE/>
      <w:autoSpaceDN/>
      <w:adjustRightInd/>
      <w:spacing w:before="560" w:after="120"/>
      <w:jc w:val="center"/>
      <w:textAlignment w:val="auto"/>
    </w:pPr>
    <w:rPr>
      <w:caps/>
      <w:lang w:val="en-GB"/>
    </w:rPr>
  </w:style>
  <w:style w:type="paragraph" w:customStyle="1" w:styleId="Subtitle">
    <w:name w:val="Sub_title"/>
    <w:basedOn w:val="Normal"/>
    <w:qFormat/>
    <w:rsid w:val="000F5A95"/>
    <w:pPr>
      <w:framePr w:hSpace="180" w:wrap="around" w:hAnchor="page" w:x="1821" w:y="2317"/>
      <w:spacing w:after="160"/>
    </w:pPr>
    <w:rPr>
      <w:sz w:val="34"/>
      <w:lang w:val="en-GB"/>
    </w:rPr>
  </w:style>
  <w:style w:type="character" w:customStyle="1" w:styleId="HeaderChar">
    <w:name w:val="Header Char"/>
    <w:basedOn w:val="DefaultParagraphFont"/>
    <w:link w:val="Header"/>
    <w:uiPriority w:val="99"/>
    <w:rsid w:val="000F5A95"/>
    <w:rPr>
      <w:rFonts w:ascii="Calibri" w:hAnsi="Calibri"/>
      <w:sz w:val="18"/>
      <w:lang w:val="fr-FR" w:eastAsia="en-US"/>
    </w:rPr>
  </w:style>
  <w:style w:type="table" w:styleId="TableGrid">
    <w:name w:val="Table Grid"/>
    <w:basedOn w:val="TableNormal"/>
    <w:uiPriority w:val="39"/>
    <w:rsid w:val="000F5A95"/>
    <w:rPr>
      <w:rFonts w:asciiTheme="minorHAnsi" w:eastAsiaTheme="minorHAnsi" w:hAnsiTheme="minorHAnsi" w:cstheme="minorBid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0F5A95"/>
    <w:rPr>
      <w:color w:val="666666"/>
    </w:rPr>
  </w:style>
  <w:style w:type="character" w:styleId="UnresolvedMention">
    <w:name w:val="Unresolved Mention"/>
    <w:basedOn w:val="DefaultParagraphFont"/>
    <w:uiPriority w:val="99"/>
    <w:semiHidden/>
    <w:unhideWhenUsed/>
    <w:rsid w:val="002946E2"/>
    <w:rPr>
      <w:color w:val="605E5C"/>
      <w:shd w:val="clear" w:color="auto" w:fill="E1DFDD"/>
    </w:rPr>
  </w:style>
  <w:style w:type="paragraph" w:customStyle="1" w:styleId="firstfooter0">
    <w:name w:val="firstfooter"/>
    <w:basedOn w:val="Normal"/>
    <w:rsid w:val="000F5A95"/>
    <w:pPr>
      <w:tabs>
        <w:tab w:val="clear" w:pos="567"/>
        <w:tab w:val="clear" w:pos="1134"/>
        <w:tab w:val="clear" w:pos="1701"/>
        <w:tab w:val="clear" w:pos="2268"/>
        <w:tab w:val="clear" w:pos="2835"/>
      </w:tabs>
      <w:overflowPunct/>
      <w:autoSpaceDE/>
      <w:autoSpaceDN/>
      <w:adjustRightInd/>
      <w:spacing w:before="100" w:beforeAutospacing="1" w:after="100" w:afterAutospacing="1"/>
      <w:textAlignment w:val="auto"/>
    </w:pPr>
    <w:rPr>
      <w:rFonts w:eastAsia="SimSun"/>
      <w:szCs w:val="24"/>
      <w:lang w:val="en-US" w:eastAsia="zh-CN"/>
    </w:rPr>
  </w:style>
  <w:style w:type="paragraph" w:customStyle="1" w:styleId="Object">
    <w:name w:val="Object"/>
    <w:basedOn w:val="Subject"/>
    <w:next w:val="Subject"/>
    <w:rsid w:val="000F5A95"/>
  </w:style>
  <w:style w:type="paragraph" w:customStyle="1" w:styleId="Referencetext">
    <w:name w:val="Reference_text"/>
    <w:basedOn w:val="Normal"/>
    <w:rsid w:val="000F5A95"/>
    <w:pPr>
      <w:framePr w:hSpace="181" w:wrap="around" w:vAnchor="page" w:hAnchor="page" w:x="1589" w:y="2314"/>
      <w:spacing w:after="160"/>
    </w:pPr>
    <w:rPr>
      <w:i/>
      <w:iCs/>
      <w:sz w:val="22"/>
      <w:szCs w:val="22"/>
    </w:rPr>
  </w:style>
  <w:style w:type="paragraph" w:styleId="Revision">
    <w:name w:val="Revision"/>
    <w:hidden/>
    <w:uiPriority w:val="99"/>
    <w:semiHidden/>
    <w:rsid w:val="005E3F36"/>
    <w:rPr>
      <w:rFonts w:ascii="Calibri" w:hAnsi="Calibri"/>
      <w:sz w:val="24"/>
      <w:lang w:val="fr-F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itu.int/md/S26-CL-C-0099/es" TargetMode="External"/><Relationship Id="rId18" Type="http://schemas.openxmlformats.org/officeDocument/2006/relationships/hyperlink" Target="http://council.itu.int/2026/wp-content/uploads/sites/6/2026/02/26.05.01-Iran-HE-Ambassador-Bahreini-C26_86-PL4.pdf" TargetMode="External"/><Relationship Id="rId26" Type="http://schemas.openxmlformats.org/officeDocument/2006/relationships/hyperlink" Target="https://www.itu.int/md/S26-CL-C-0094/en" TargetMode="External"/><Relationship Id="rId3" Type="http://schemas.openxmlformats.org/officeDocument/2006/relationships/settings" Target="settings.xml"/><Relationship Id="rId21" Type="http://schemas.openxmlformats.org/officeDocument/2006/relationships/hyperlink" Target="https://www.itu.int/md/S26-CL-C-0017/en" TargetMode="External"/><Relationship Id="rId34" Type="http://schemas.openxmlformats.org/officeDocument/2006/relationships/theme" Target="theme/theme1.xml"/><Relationship Id="rId7" Type="http://schemas.openxmlformats.org/officeDocument/2006/relationships/hyperlink" Target="https://www.itu.int/md/S26-CL-C-0095/es" TargetMode="External"/><Relationship Id="rId12" Type="http://schemas.openxmlformats.org/officeDocument/2006/relationships/hyperlink" Target="https://www.itu.int/md/S26-CL-C-0094/es" TargetMode="External"/><Relationship Id="rId17" Type="http://schemas.openxmlformats.org/officeDocument/2006/relationships/hyperlink" Target="https://www.itu.int/md/S26-CL-C-0086/en" TargetMode="External"/><Relationship Id="rId25" Type="http://schemas.openxmlformats.org/officeDocument/2006/relationships/hyperlink" Target="https://www.itu.int/md/S26-CL-C-0052/en"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itu.int/md/S26-CL-C-0095/en" TargetMode="External"/><Relationship Id="rId20" Type="http://schemas.openxmlformats.org/officeDocument/2006/relationships/hyperlink" Target="https://www.itu.int/md/S26-CL-C-0076/en" TargetMode="External"/><Relationship Id="rId29" Type="http://schemas.openxmlformats.org/officeDocument/2006/relationships/hyperlink" Target="https://www.itu.int/md/S26-CL-C-0033/en"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itu.int/md/S26-CL-C-0052/es" TargetMode="External"/><Relationship Id="rId24" Type="http://schemas.openxmlformats.org/officeDocument/2006/relationships/hyperlink" Target="https://www.itu.int/md/S26-CL-C-0101/es" TargetMode="External"/><Relationship Id="rId32"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www.itu.int/md/S26-CL-C-0101/es" TargetMode="External"/><Relationship Id="rId23" Type="http://schemas.openxmlformats.org/officeDocument/2006/relationships/hyperlink" Target="https://www.itu.int/md/S26-CL-C-0099/es" TargetMode="External"/><Relationship Id="rId28" Type="http://schemas.openxmlformats.org/officeDocument/2006/relationships/hyperlink" Target="https://www.itu.int/md/S26-CL-C-0101/en" TargetMode="External"/><Relationship Id="rId10" Type="http://schemas.openxmlformats.org/officeDocument/2006/relationships/hyperlink" Target="https://www.itu.int/md/S26-CL-C-0017/es" TargetMode="External"/><Relationship Id="rId19" Type="http://schemas.openxmlformats.org/officeDocument/2006/relationships/hyperlink" Target="http://council.itu.int/2026/wp-content/uploads/sites/6/2026/02/26.05.01-Iran-HE-Ambassador-Bahreini-C26_86-PL4.pdf" TargetMode="External"/><Relationship Id="rId3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itu.int/md/S26-CL-C-0076/es" TargetMode="External"/><Relationship Id="rId14" Type="http://schemas.openxmlformats.org/officeDocument/2006/relationships/hyperlink" Target="https://www.itu.int/md/S26-CL-C-0101/es" TargetMode="External"/><Relationship Id="rId22" Type="http://schemas.openxmlformats.org/officeDocument/2006/relationships/hyperlink" Target="https://www.itu.int/md/S26-CL-C-0094/es" TargetMode="External"/><Relationship Id="rId27" Type="http://schemas.openxmlformats.org/officeDocument/2006/relationships/hyperlink" Target="https://www.itu.int/md/S26-CL-C-0099/en" TargetMode="External"/><Relationship Id="rId30" Type="http://schemas.openxmlformats.org/officeDocument/2006/relationships/footer" Target="footer1.xml"/><Relationship Id="rId8" Type="http://schemas.openxmlformats.org/officeDocument/2006/relationships/hyperlink" Target="https://www.itu.int/md/S26-CL-C-0086/es"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council.itu.int/2026/e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Q:\TEMPLATE\ITUOffice2007\POOL\POOL%20S%20-%20ITU\GS\PS_Council2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33B289-2409-48B1-88FF-B82D6C16FE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PS_Council26.dotx</Template>
  <TotalTime>5</TotalTime>
  <Pages>8</Pages>
  <Words>3951</Words>
  <Characters>23984</Characters>
  <Application>Microsoft Office Word</Application>
  <DocSecurity>0</DocSecurity>
  <Lines>380</Lines>
  <Paragraphs>98</Paragraphs>
  <ScaleCrop>false</ScaleCrop>
  <HeadingPairs>
    <vt:vector size="4" baseType="variant">
      <vt:variant>
        <vt:lpstr>Title</vt:lpstr>
      </vt:variant>
      <vt:variant>
        <vt:i4>1</vt:i4>
      </vt:variant>
      <vt:variant>
        <vt:lpstr>UNIÓN INTERNACIONAL DE TELECOMUNICACIONES	</vt:lpstr>
      </vt:variant>
      <vt:variant>
        <vt:i4>0</vt:i4>
      </vt:variant>
    </vt:vector>
  </HeadingPairs>
  <TitlesOfParts>
    <vt:vector size="1" baseType="lpstr">
      <vt:lpstr>Resumen de los debates de la cuarta Sesión Plenaria</vt:lpstr>
    </vt:vector>
  </TitlesOfParts>
  <Manager>Secretaría General - Pool</Manager>
  <Company>International Telecommunication Union</Company>
  <LinksUpToDate>false</LinksUpToDate>
  <CharactersWithSpaces>27837</CharactersWithSpaces>
  <SharedDoc>false</SharedDoc>
  <HLinks>
    <vt:vector size="6" baseType="variant">
      <vt:variant>
        <vt:i4>3342371</vt:i4>
      </vt:variant>
      <vt:variant>
        <vt:i4>12</vt:i4>
      </vt:variant>
      <vt:variant>
        <vt:i4>0</vt:i4>
      </vt:variant>
      <vt:variant>
        <vt:i4>5</vt:i4>
      </vt:variant>
      <vt:variant>
        <vt:lpwstr>http://www.itu.int/council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Resumen de los debates de la cuarta Sesión Plenaria</dc:title>
  <dc:subject>Consejo 2026 de la UIT</dc:subject>
  <cp:keywords>C26; C2026; Council 2026; PP26</cp:keywords>
  <dc:description/>
  <cp:lastPrinted>2006-03-24T09:51:00Z</cp:lastPrinted>
  <dcterms:created xsi:type="dcterms:W3CDTF">2026-08-05T12:25:00Z</dcterms:created>
  <dcterms:modified xsi:type="dcterms:W3CDTF">2026-08-05T12:29:00Z</dcterms:modified>
  <cp:category>Conference document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Documento C17/-S</vt:lpwstr>
  </property>
  <property fmtid="{D5CDD505-2E9C-101B-9397-08002B2CF9AE}" pid="3" name="Docdate">
    <vt:lpwstr>enero de 2017</vt:lpwstr>
  </property>
  <property fmtid="{D5CDD505-2E9C-101B-9397-08002B2CF9AE}" pid="4" name="Docorlang">
    <vt:lpwstr>Original: inglés</vt:lpwstr>
  </property>
  <property fmtid="{D5CDD505-2E9C-101B-9397-08002B2CF9AE}" pid="5" name="Docbluepink">
    <vt:lpwstr>Consejo 2017 Ginebra, 15-25 de mayo de 2017</vt:lpwstr>
  </property>
  <property fmtid="{D5CDD505-2E9C-101B-9397-08002B2CF9AE}" pid="6" name="Docdest">
    <vt:lpwstr/>
  </property>
  <property fmtid="{D5CDD505-2E9C-101B-9397-08002B2CF9AE}" pid="7" name="Docauthor">
    <vt:lpwstr/>
  </property>
  <property fmtid="{D5CDD505-2E9C-101B-9397-08002B2CF9AE}" pid="8" name="GrammarlyDocumentId">
    <vt:lpwstr>5c03a5c9b91678b956e25536f0296632c716f66cf9a10e87f22af88ff3e788b1</vt:lpwstr>
  </property>
</Properties>
</file>