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Overlap w:val="never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796BD3" w:rsidRPr="001204BE" w14:paraId="273D1B17" w14:textId="77777777" w:rsidTr="00D17718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6438D2DE" w14:textId="52B17018" w:rsidR="00796BD3" w:rsidRPr="001204BE" w:rsidRDefault="00796BD3" w:rsidP="00D17718">
            <w:pPr>
              <w:tabs>
                <w:tab w:val="clear" w:pos="1588"/>
                <w:tab w:val="clear" w:pos="1985"/>
                <w:tab w:val="left" w:pos="851"/>
                <w:tab w:val="center" w:pos="1930"/>
              </w:tabs>
              <w:spacing w:before="0" w:line="240" w:lineRule="atLeast"/>
              <w:rPr>
                <w:b/>
                <w:lang w:val="ru-RU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</w:p>
        </w:tc>
        <w:tc>
          <w:tcPr>
            <w:tcW w:w="5245" w:type="dxa"/>
          </w:tcPr>
          <w:p w14:paraId="72FE778C" w14:textId="42B3931B" w:rsidR="00796BD3" w:rsidRPr="001204BE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1204BE">
              <w:rPr>
                <w:b/>
                <w:lang w:val="ru-RU"/>
              </w:rPr>
              <w:t xml:space="preserve">Документ </w:t>
            </w:r>
            <w:r w:rsidR="00796BD3" w:rsidRPr="001204BE">
              <w:rPr>
                <w:b/>
                <w:lang w:val="ru-RU"/>
              </w:rPr>
              <w:t>C2</w:t>
            </w:r>
            <w:r w:rsidR="00BE00DD" w:rsidRPr="001204BE">
              <w:rPr>
                <w:b/>
                <w:lang w:val="ru-RU"/>
              </w:rPr>
              <w:t>6</w:t>
            </w:r>
            <w:r w:rsidR="00796BD3" w:rsidRPr="001204BE">
              <w:rPr>
                <w:b/>
                <w:lang w:val="ru-RU"/>
              </w:rPr>
              <w:t>/</w:t>
            </w:r>
            <w:r w:rsidR="00AE69DD" w:rsidRPr="001204BE">
              <w:rPr>
                <w:b/>
                <w:lang w:val="ru-RU"/>
              </w:rPr>
              <w:t>1</w:t>
            </w:r>
            <w:r w:rsidR="007F69E3" w:rsidRPr="001204BE">
              <w:rPr>
                <w:b/>
                <w:lang w:val="ru-RU"/>
              </w:rPr>
              <w:t>2</w:t>
            </w:r>
            <w:r w:rsidR="00D042C1" w:rsidRPr="001204BE">
              <w:rPr>
                <w:b/>
                <w:lang w:val="ru-RU"/>
              </w:rPr>
              <w:t>1</w:t>
            </w:r>
            <w:r w:rsidR="00796BD3" w:rsidRPr="001204BE">
              <w:rPr>
                <w:b/>
                <w:lang w:val="ru-RU"/>
              </w:rPr>
              <w:t>-R</w:t>
            </w:r>
          </w:p>
        </w:tc>
      </w:tr>
      <w:tr w:rsidR="00796BD3" w:rsidRPr="001204BE" w14:paraId="06C16AF6" w14:textId="77777777" w:rsidTr="00D17718">
        <w:trPr>
          <w:cantSplit/>
        </w:trPr>
        <w:tc>
          <w:tcPr>
            <w:tcW w:w="3969" w:type="dxa"/>
            <w:vMerge/>
          </w:tcPr>
          <w:p w14:paraId="6E45041D" w14:textId="77777777" w:rsidR="00796BD3" w:rsidRPr="001204BE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68BBC6AB" w14:textId="78B0F204" w:rsidR="00796BD3" w:rsidRPr="001204BE" w:rsidRDefault="00AA1D8E" w:rsidP="00D17718">
            <w:pPr>
              <w:tabs>
                <w:tab w:val="left" w:pos="851"/>
              </w:tabs>
              <w:spacing w:before="0"/>
              <w:jc w:val="right"/>
              <w:rPr>
                <w:b/>
                <w:lang w:val="ru-RU"/>
              </w:rPr>
            </w:pPr>
            <w:r w:rsidRPr="001204BE">
              <w:rPr>
                <w:b/>
                <w:lang w:val="ru-RU"/>
              </w:rPr>
              <w:t>3</w:t>
            </w:r>
            <w:r w:rsidR="00AE69DD" w:rsidRPr="001204BE">
              <w:rPr>
                <w:b/>
                <w:lang w:val="ru-RU"/>
              </w:rPr>
              <w:t xml:space="preserve"> </w:t>
            </w:r>
            <w:r w:rsidRPr="001204BE">
              <w:rPr>
                <w:b/>
                <w:lang w:val="ru-RU"/>
              </w:rPr>
              <w:t xml:space="preserve">августа </w:t>
            </w:r>
            <w:r w:rsidR="00AE69DD" w:rsidRPr="001204BE">
              <w:rPr>
                <w:b/>
                <w:lang w:val="ru-RU"/>
              </w:rPr>
              <w:t>2026 года</w:t>
            </w:r>
          </w:p>
        </w:tc>
      </w:tr>
      <w:tr w:rsidR="00796BD3" w:rsidRPr="001204BE" w14:paraId="4CDAFB84" w14:textId="77777777" w:rsidTr="00D17718">
        <w:trPr>
          <w:cantSplit/>
          <w:trHeight w:val="23"/>
        </w:trPr>
        <w:tc>
          <w:tcPr>
            <w:tcW w:w="3969" w:type="dxa"/>
            <w:vMerge/>
          </w:tcPr>
          <w:p w14:paraId="453114DE" w14:textId="77777777" w:rsidR="00796BD3" w:rsidRPr="001204BE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06FA56A7" w14:textId="77777777" w:rsidR="00796BD3" w:rsidRPr="001204BE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1204BE">
              <w:rPr>
                <w:b/>
                <w:lang w:val="ru-RU"/>
              </w:rPr>
              <w:t>Оригинал: английский</w:t>
            </w:r>
          </w:p>
        </w:tc>
      </w:tr>
      <w:tr w:rsidR="00796BD3" w:rsidRPr="001204BE" w14:paraId="3F3A1573" w14:textId="77777777" w:rsidTr="00D17718">
        <w:trPr>
          <w:cantSplit/>
          <w:trHeight w:val="23"/>
        </w:trPr>
        <w:tc>
          <w:tcPr>
            <w:tcW w:w="3969" w:type="dxa"/>
          </w:tcPr>
          <w:p w14:paraId="07EFCF4C" w14:textId="77777777" w:rsidR="00796BD3" w:rsidRPr="001204BE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</w:p>
        </w:tc>
        <w:tc>
          <w:tcPr>
            <w:tcW w:w="5245" w:type="dxa"/>
          </w:tcPr>
          <w:p w14:paraId="15F05002" w14:textId="77777777" w:rsidR="00796BD3" w:rsidRPr="001204BE" w:rsidRDefault="00796BD3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</w:p>
        </w:tc>
      </w:tr>
      <w:tr w:rsidR="00796BD3" w:rsidRPr="001204BE" w14:paraId="1A6E9E0D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3255A383" w14:textId="45DD3003" w:rsidR="00796BD3" w:rsidRPr="001204BE" w:rsidRDefault="00AE69DD" w:rsidP="0025006E">
            <w:pPr>
              <w:pStyle w:val="Source"/>
              <w:framePr w:hSpace="0" w:wrap="auto" w:vAnchor="margin" w:hAnchor="text" w:xAlign="left" w:yAlign="inline"/>
              <w:suppressOverlap w:val="0"/>
              <w:jc w:val="center"/>
            </w:pPr>
            <w:bookmarkStart w:id="5" w:name="dsource" w:colFirst="0" w:colLast="0"/>
            <w:bookmarkEnd w:id="4"/>
            <w:r w:rsidRPr="001204BE">
              <w:rPr>
                <w:caps/>
              </w:rPr>
              <w:t xml:space="preserve">Краткий отчет </w:t>
            </w:r>
            <w:r w:rsidRPr="001204BE">
              <w:rPr>
                <w:caps/>
              </w:rPr>
              <w:br/>
            </w:r>
            <w:r w:rsidRPr="001204BE">
              <w:rPr>
                <w:caps/>
              </w:rPr>
              <w:br/>
            </w:r>
            <w:r w:rsidR="0025006E" w:rsidRPr="001204BE">
              <w:rPr>
                <w:caps/>
              </w:rPr>
              <w:t xml:space="preserve">О </w:t>
            </w:r>
            <w:r w:rsidR="00D042C1" w:rsidRPr="001204BE">
              <w:rPr>
                <w:caps/>
              </w:rPr>
              <w:t xml:space="preserve">ЧЕТВЕРТОМ </w:t>
            </w:r>
            <w:r w:rsidR="0025006E" w:rsidRPr="001204BE">
              <w:rPr>
                <w:caps/>
              </w:rPr>
              <w:t>ПЛЕНАРНОМ ЗАСЕДАНИИ</w:t>
            </w:r>
          </w:p>
        </w:tc>
      </w:tr>
      <w:tr w:rsidR="00796BD3" w:rsidRPr="001204BE" w14:paraId="6BBB58FA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7D479AB4" w14:textId="2545CBDA" w:rsidR="00AE69DD" w:rsidRPr="001204BE" w:rsidRDefault="00D042C1" w:rsidP="00AE69DD">
            <w:pPr>
              <w:overflowPunct/>
              <w:autoSpaceDE/>
              <w:autoSpaceDN/>
              <w:adjustRightInd/>
              <w:spacing w:after="240"/>
              <w:jc w:val="center"/>
              <w:textAlignment w:val="auto"/>
              <w:rPr>
                <w:szCs w:val="18"/>
                <w:lang w:val="ru-RU"/>
              </w:rPr>
            </w:pPr>
            <w:bookmarkStart w:id="6" w:name="dtitle1" w:colFirst="0" w:colLast="0"/>
            <w:bookmarkEnd w:id="5"/>
            <w:r w:rsidRPr="001204BE">
              <w:rPr>
                <w:rFonts w:cs="Calibri"/>
                <w:szCs w:val="22"/>
                <w:lang w:val="ru-RU" w:eastAsia="en-GB"/>
              </w:rPr>
              <w:t>Пятница, 1 мая 2026 года, 09 час. 05 мин. − 12 час. 10 мин.</w:t>
            </w:r>
          </w:p>
          <w:p w14:paraId="20B21AD0" w14:textId="2F758252" w:rsidR="00796BD3" w:rsidRPr="001204BE" w:rsidRDefault="0025006E" w:rsidP="00AE69DD">
            <w:pPr>
              <w:pStyle w:val="Subtitle"/>
              <w:framePr w:hSpace="0" w:wrap="auto" w:xAlign="left" w:yAlign="inline"/>
              <w:suppressOverlap w:val="0"/>
              <w:jc w:val="center"/>
            </w:pPr>
            <w:r w:rsidRPr="001204BE">
              <w:rPr>
                <w:b/>
                <w:bCs/>
                <w:sz w:val="22"/>
                <w:szCs w:val="18"/>
              </w:rPr>
              <w:t>Председатель</w:t>
            </w:r>
            <w:r w:rsidRPr="001204BE">
              <w:rPr>
                <w:sz w:val="22"/>
                <w:szCs w:val="18"/>
              </w:rPr>
              <w:t>: г-н Б. Тиджани (Нигерия)</w:t>
            </w:r>
          </w:p>
        </w:tc>
      </w:tr>
      <w:bookmarkEnd w:id="2"/>
      <w:bookmarkEnd w:id="6"/>
    </w:tbl>
    <w:p w14:paraId="6224130C" w14:textId="77777777" w:rsidR="00796BD3" w:rsidRPr="001204BE" w:rsidRDefault="00796BD3" w:rsidP="00796BD3">
      <w:pPr>
        <w:rPr>
          <w:lang w:val="ru-RU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985"/>
      </w:tblGrid>
      <w:tr w:rsidR="00AE69DD" w:rsidRPr="001204BE" w14:paraId="19209AA1" w14:textId="77777777" w:rsidTr="00AE69DD">
        <w:trPr>
          <w:jc w:val="center"/>
        </w:trPr>
        <w:tc>
          <w:tcPr>
            <w:tcW w:w="709" w:type="dxa"/>
          </w:tcPr>
          <w:p w14:paraId="1343D1E2" w14:textId="77777777" w:rsidR="00AE69DD" w:rsidRPr="001204BE" w:rsidRDefault="00AE69DD" w:rsidP="00F835C9">
            <w:pPr>
              <w:spacing w:before="480"/>
              <w:rPr>
                <w:b/>
                <w:bCs/>
                <w:szCs w:val="22"/>
                <w:lang w:val="ru-RU"/>
              </w:rPr>
            </w:pPr>
            <w:bookmarkStart w:id="7" w:name="_Hlk141438382"/>
            <w:r w:rsidRPr="001204BE">
              <w:rPr>
                <w:b/>
                <w:bCs/>
                <w:szCs w:val="22"/>
                <w:lang w:val="ru-RU"/>
              </w:rPr>
              <w:br w:type="page"/>
            </w:r>
            <w:r w:rsidRPr="001204BE">
              <w:rPr>
                <w:b/>
                <w:bCs/>
                <w:szCs w:val="22"/>
                <w:lang w:val="ru-RU"/>
              </w:rPr>
              <w:br w:type="page"/>
            </w:r>
          </w:p>
        </w:tc>
        <w:tc>
          <w:tcPr>
            <w:tcW w:w="6662" w:type="dxa"/>
            <w:hideMark/>
          </w:tcPr>
          <w:p w14:paraId="2BD78300" w14:textId="77777777" w:rsidR="00AE69DD" w:rsidRPr="001204BE" w:rsidRDefault="00AE69DD" w:rsidP="00F835C9">
            <w:pPr>
              <w:spacing w:before="480" w:after="120"/>
              <w:rPr>
                <w:b/>
                <w:bCs/>
                <w:szCs w:val="22"/>
                <w:lang w:val="ru-RU"/>
              </w:rPr>
            </w:pPr>
            <w:r w:rsidRPr="001204BE">
              <w:rPr>
                <w:b/>
                <w:bCs/>
                <w:szCs w:val="22"/>
                <w:lang w:val="ru-RU"/>
              </w:rPr>
              <w:t>Обсуждаемые вопросы</w:t>
            </w:r>
          </w:p>
        </w:tc>
        <w:tc>
          <w:tcPr>
            <w:tcW w:w="1985" w:type="dxa"/>
            <w:hideMark/>
          </w:tcPr>
          <w:p w14:paraId="05C95DD0" w14:textId="77777777" w:rsidR="00AE69DD" w:rsidRPr="001204BE" w:rsidRDefault="00AE69DD" w:rsidP="00F835C9">
            <w:pPr>
              <w:spacing w:before="480"/>
              <w:jc w:val="center"/>
              <w:rPr>
                <w:b/>
                <w:bCs/>
                <w:szCs w:val="22"/>
                <w:lang w:val="ru-RU"/>
              </w:rPr>
            </w:pPr>
            <w:r w:rsidRPr="001204BE">
              <w:rPr>
                <w:b/>
                <w:bCs/>
                <w:szCs w:val="22"/>
                <w:lang w:val="ru-RU"/>
              </w:rPr>
              <w:t>Документы</w:t>
            </w:r>
          </w:p>
        </w:tc>
      </w:tr>
      <w:tr w:rsidR="00D042C1" w:rsidRPr="001204BE" w14:paraId="1B62EDD0" w14:textId="77777777" w:rsidTr="00AE69DD">
        <w:trPr>
          <w:trHeight w:val="20"/>
          <w:jc w:val="center"/>
        </w:trPr>
        <w:tc>
          <w:tcPr>
            <w:tcW w:w="709" w:type="dxa"/>
            <w:hideMark/>
          </w:tcPr>
          <w:p w14:paraId="12D8D075" w14:textId="77777777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 w:val="20"/>
                <w:lang w:val="ru-RU"/>
              </w:rPr>
              <w:t>1</w:t>
            </w:r>
          </w:p>
        </w:tc>
        <w:tc>
          <w:tcPr>
            <w:tcW w:w="6662" w:type="dxa"/>
          </w:tcPr>
          <w:p w14:paraId="22C1D44C" w14:textId="4583F531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Cs w:val="22"/>
                <w:lang w:val="ru-RU" w:eastAsia="en-GB"/>
              </w:rPr>
              <w:t>Воздействие на гражданскую инфраструктуру электросвязи/ИКТ в Бахрейне, Кувейте, Объединенных Арабских Эмиратах и Иордании, а также его последствия для возможности установления региональных и глобальных соединений (</w:t>
            </w:r>
            <w:r w:rsidRPr="001204BE">
              <w:rPr>
                <w:i/>
                <w:iCs/>
                <w:szCs w:val="22"/>
                <w:lang w:val="ru-RU" w:eastAsia="en-GB"/>
              </w:rPr>
              <w:t>продолжение</w:t>
            </w:r>
            <w:r w:rsidRPr="001204BE">
              <w:rPr>
                <w:szCs w:val="22"/>
                <w:lang w:val="ru-RU" w:eastAsia="en-GB"/>
              </w:rPr>
              <w:t>)</w:t>
            </w:r>
          </w:p>
        </w:tc>
        <w:tc>
          <w:tcPr>
            <w:tcW w:w="1985" w:type="dxa"/>
          </w:tcPr>
          <w:p w14:paraId="00FA3F81" w14:textId="10F16DA0" w:rsidR="00D042C1" w:rsidRPr="001204BE" w:rsidRDefault="00D042C1" w:rsidP="00D042C1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7" w:history="1">
              <w:r w:rsidRPr="001204BE">
                <w:rPr>
                  <w:rStyle w:val="Hyperlink"/>
                  <w:lang w:val="ru-RU"/>
                </w:rPr>
                <w:t>C26/95(Rev.2)</w:t>
              </w:r>
            </w:hyperlink>
          </w:p>
        </w:tc>
      </w:tr>
      <w:tr w:rsidR="00D042C1" w:rsidRPr="001204BE" w14:paraId="01194330" w14:textId="77777777" w:rsidTr="00D93910">
        <w:trPr>
          <w:trHeight w:val="20"/>
          <w:jc w:val="center"/>
        </w:trPr>
        <w:tc>
          <w:tcPr>
            <w:tcW w:w="709" w:type="dxa"/>
          </w:tcPr>
          <w:p w14:paraId="3D4A1603" w14:textId="77777777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 w:val="20"/>
                <w:lang w:val="ru-RU"/>
              </w:rPr>
              <w:t>2</w:t>
            </w:r>
          </w:p>
        </w:tc>
        <w:tc>
          <w:tcPr>
            <w:tcW w:w="6662" w:type="dxa"/>
          </w:tcPr>
          <w:p w14:paraId="5E3B4113" w14:textId="72623590" w:rsidR="00D042C1" w:rsidRPr="001204BE" w:rsidRDefault="00D042C1" w:rsidP="00D042C1">
            <w:pPr>
              <w:spacing w:before="80" w:after="80"/>
              <w:rPr>
                <w:rFonts w:asciiTheme="minorHAnsi" w:hAnsiTheme="minorHAnsi" w:cstheme="minorHAnsi"/>
                <w:color w:val="2F2F2F"/>
                <w:sz w:val="20"/>
                <w:shd w:val="clear" w:color="auto" w:fill="FFFFFF"/>
                <w:lang w:val="ru-RU"/>
              </w:rPr>
            </w:pPr>
            <w:r w:rsidRPr="001204BE">
              <w:rPr>
                <w:szCs w:val="22"/>
                <w:lang w:val="ru-RU" w:eastAsia="en-GB"/>
              </w:rPr>
              <w:t>Оказание помощи и поддержки Исламской Республике Иран в восстановлении ее отраслей радиовещания и электросвязи/ИКТ</w:t>
            </w:r>
          </w:p>
        </w:tc>
        <w:tc>
          <w:tcPr>
            <w:tcW w:w="1985" w:type="dxa"/>
          </w:tcPr>
          <w:p w14:paraId="223C5F1B" w14:textId="476B90C6" w:rsidR="00D042C1" w:rsidRPr="001204BE" w:rsidRDefault="00D042C1" w:rsidP="00D042C1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8" w:history="1">
              <w:r w:rsidRPr="001204BE">
                <w:rPr>
                  <w:rStyle w:val="Hyperlink"/>
                  <w:lang w:val="ru-RU"/>
                </w:rPr>
                <w:t>C26/86(Rev.1)</w:t>
              </w:r>
            </w:hyperlink>
          </w:p>
        </w:tc>
      </w:tr>
      <w:tr w:rsidR="00D042C1" w:rsidRPr="001204BE" w14:paraId="4680AFF0" w14:textId="77777777" w:rsidTr="00AE69DD">
        <w:trPr>
          <w:trHeight w:val="20"/>
          <w:jc w:val="center"/>
        </w:trPr>
        <w:tc>
          <w:tcPr>
            <w:tcW w:w="709" w:type="dxa"/>
          </w:tcPr>
          <w:p w14:paraId="41333AA4" w14:textId="77777777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 w:val="20"/>
                <w:lang w:val="ru-RU"/>
              </w:rPr>
              <w:t>3</w:t>
            </w:r>
          </w:p>
        </w:tc>
        <w:tc>
          <w:tcPr>
            <w:tcW w:w="6662" w:type="dxa"/>
          </w:tcPr>
          <w:p w14:paraId="655D73E1" w14:textId="3CADC136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Cs w:val="22"/>
                <w:lang w:val="ru-RU" w:eastAsia="en-GB"/>
              </w:rPr>
              <w:t>Укрепление устойчивости подводных кабелей – Международный консультативный орган по устойчивости подводных кабелей и Саммит 2026 года в Порту</w:t>
            </w:r>
          </w:p>
        </w:tc>
        <w:tc>
          <w:tcPr>
            <w:tcW w:w="1985" w:type="dxa"/>
          </w:tcPr>
          <w:p w14:paraId="4D335CEC" w14:textId="33F6D112" w:rsidR="00D042C1" w:rsidRPr="001204BE" w:rsidRDefault="00D042C1" w:rsidP="00D042C1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9" w:history="1">
              <w:r w:rsidRPr="001204BE">
                <w:rPr>
                  <w:rStyle w:val="Hyperlink"/>
                  <w:lang w:val="ru-RU"/>
                </w:rPr>
                <w:t>C26/76</w:t>
              </w:r>
            </w:hyperlink>
          </w:p>
        </w:tc>
      </w:tr>
      <w:tr w:rsidR="00D042C1" w:rsidRPr="001204BE" w14:paraId="3AB4CE98" w14:textId="77777777" w:rsidTr="00AE69DD">
        <w:trPr>
          <w:trHeight w:val="20"/>
          <w:jc w:val="center"/>
        </w:trPr>
        <w:tc>
          <w:tcPr>
            <w:tcW w:w="709" w:type="dxa"/>
          </w:tcPr>
          <w:p w14:paraId="51EA5ABC" w14:textId="77777777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 w:val="20"/>
                <w:lang w:val="ru-RU"/>
              </w:rPr>
              <w:t>4</w:t>
            </w:r>
          </w:p>
        </w:tc>
        <w:tc>
          <w:tcPr>
            <w:tcW w:w="6662" w:type="dxa"/>
          </w:tcPr>
          <w:p w14:paraId="26A7C241" w14:textId="70D9FDAB" w:rsidR="00D042C1" w:rsidRPr="001204BE" w:rsidRDefault="00D042C1" w:rsidP="00D042C1">
            <w:pPr>
              <w:spacing w:before="80" w:after="80"/>
              <w:rPr>
                <w:szCs w:val="18"/>
                <w:lang w:val="ru-RU" w:eastAsia="en-GB"/>
              </w:rPr>
            </w:pPr>
            <w:r w:rsidRPr="001204BE">
              <w:rPr>
                <w:szCs w:val="22"/>
                <w:lang w:val="ru-RU" w:eastAsia="en-GB"/>
              </w:rPr>
              <w:t>Всемирный день электросвязи и информационного общества</w:t>
            </w:r>
          </w:p>
        </w:tc>
        <w:tc>
          <w:tcPr>
            <w:tcW w:w="1985" w:type="dxa"/>
          </w:tcPr>
          <w:p w14:paraId="0CD3F6EE" w14:textId="30672985" w:rsidR="00D042C1" w:rsidRPr="001204BE" w:rsidRDefault="00D042C1" w:rsidP="00D042C1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10" w:history="1">
              <w:r w:rsidRPr="001204BE">
                <w:rPr>
                  <w:rStyle w:val="Hyperlink"/>
                  <w:lang w:val="ru-RU"/>
                </w:rPr>
                <w:t>C26/17</w:t>
              </w:r>
            </w:hyperlink>
          </w:p>
        </w:tc>
      </w:tr>
      <w:tr w:rsidR="00D042C1" w:rsidRPr="001204BE" w14:paraId="2DF0C884" w14:textId="77777777" w:rsidTr="00AE69DD">
        <w:trPr>
          <w:trHeight w:val="20"/>
          <w:jc w:val="center"/>
        </w:trPr>
        <w:tc>
          <w:tcPr>
            <w:tcW w:w="709" w:type="dxa"/>
          </w:tcPr>
          <w:p w14:paraId="456677A8" w14:textId="77777777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 w:val="20"/>
                <w:lang w:val="ru-RU"/>
              </w:rPr>
              <w:t>5</w:t>
            </w:r>
          </w:p>
        </w:tc>
        <w:tc>
          <w:tcPr>
            <w:tcW w:w="6662" w:type="dxa"/>
          </w:tcPr>
          <w:p w14:paraId="07094B17" w14:textId="75E58D24" w:rsidR="00D042C1" w:rsidRPr="001204BE" w:rsidRDefault="00D042C1" w:rsidP="00D042C1">
            <w:pPr>
              <w:spacing w:before="80" w:after="80"/>
              <w:rPr>
                <w:szCs w:val="18"/>
                <w:lang w:val="ru-RU" w:eastAsia="en-GB"/>
              </w:rPr>
            </w:pPr>
            <w:r w:rsidRPr="001204BE">
              <w:rPr>
                <w:szCs w:val="22"/>
                <w:lang w:val="ru-RU" w:eastAsia="en-GB"/>
              </w:rPr>
              <w:t>Четырехгодичный отчет Председателя Рабочей группы Совета по вопросам международной государственной политики, касающимся интернета (</w:t>
            </w:r>
            <w:r w:rsidRPr="001204BE">
              <w:rPr>
                <w:i/>
                <w:iCs/>
                <w:szCs w:val="22"/>
                <w:lang w:val="ru-RU" w:eastAsia="en-GB"/>
              </w:rPr>
              <w:t>продолжение</w:t>
            </w:r>
            <w:r w:rsidRPr="001204BE">
              <w:rPr>
                <w:szCs w:val="22"/>
                <w:lang w:val="ru-RU" w:eastAsia="en-GB"/>
              </w:rPr>
              <w:t>)</w:t>
            </w:r>
          </w:p>
        </w:tc>
        <w:tc>
          <w:tcPr>
            <w:tcW w:w="1985" w:type="dxa"/>
          </w:tcPr>
          <w:p w14:paraId="0A9269C8" w14:textId="10AB5A5A" w:rsidR="00D042C1" w:rsidRPr="001204BE" w:rsidRDefault="00D042C1" w:rsidP="00D042C1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11" w:history="1">
              <w:r w:rsidRPr="001204BE">
                <w:rPr>
                  <w:rStyle w:val="Hyperlink"/>
                  <w:lang w:val="ru-RU"/>
                </w:rPr>
                <w:t>C26/52</w:t>
              </w:r>
            </w:hyperlink>
            <w:r w:rsidRPr="001204BE">
              <w:rPr>
                <w:szCs w:val="22"/>
                <w:lang w:val="ru-RU"/>
              </w:rPr>
              <w:t xml:space="preserve">, </w:t>
            </w:r>
            <w:hyperlink r:id="rId12" w:history="1">
              <w:r w:rsidRPr="001204BE">
                <w:rPr>
                  <w:rStyle w:val="Hyperlink"/>
                  <w:lang w:val="ru-RU"/>
                </w:rPr>
                <w:t>C26/94</w:t>
              </w:r>
            </w:hyperlink>
            <w:r w:rsidRPr="001204BE">
              <w:rPr>
                <w:szCs w:val="22"/>
                <w:lang w:val="ru-RU"/>
              </w:rPr>
              <w:t xml:space="preserve">, </w:t>
            </w:r>
            <w:hyperlink r:id="rId13" w:history="1">
              <w:r w:rsidRPr="001204BE">
                <w:rPr>
                  <w:rStyle w:val="Hyperlink"/>
                  <w:lang w:val="ru-RU"/>
                </w:rPr>
                <w:t>C26/99</w:t>
              </w:r>
            </w:hyperlink>
            <w:r w:rsidRPr="001204BE">
              <w:rPr>
                <w:szCs w:val="22"/>
                <w:lang w:val="ru-RU"/>
              </w:rPr>
              <w:t xml:space="preserve">, </w:t>
            </w:r>
            <w:hyperlink r:id="rId14" w:history="1">
              <w:r w:rsidRPr="001204BE">
                <w:rPr>
                  <w:rStyle w:val="Hyperlink"/>
                  <w:lang w:val="ru-RU"/>
                </w:rPr>
                <w:t>C26/101(Rev.1)</w:t>
              </w:r>
            </w:hyperlink>
          </w:p>
        </w:tc>
      </w:tr>
      <w:tr w:rsidR="00D042C1" w:rsidRPr="001204BE" w14:paraId="589037B2" w14:textId="77777777" w:rsidTr="00AE69DD">
        <w:trPr>
          <w:trHeight w:val="20"/>
          <w:jc w:val="center"/>
        </w:trPr>
        <w:tc>
          <w:tcPr>
            <w:tcW w:w="709" w:type="dxa"/>
          </w:tcPr>
          <w:p w14:paraId="3E075A38" w14:textId="645FC5E9" w:rsidR="00D042C1" w:rsidRPr="001204BE" w:rsidRDefault="00D042C1" w:rsidP="00D042C1">
            <w:pPr>
              <w:spacing w:before="80" w:after="80"/>
              <w:rPr>
                <w:sz w:val="20"/>
                <w:lang w:val="ru-RU"/>
              </w:rPr>
            </w:pPr>
            <w:r w:rsidRPr="001204BE">
              <w:rPr>
                <w:sz w:val="20"/>
                <w:lang w:val="ru-RU"/>
              </w:rPr>
              <w:t>6</w:t>
            </w:r>
          </w:p>
        </w:tc>
        <w:tc>
          <w:tcPr>
            <w:tcW w:w="6662" w:type="dxa"/>
          </w:tcPr>
          <w:p w14:paraId="3B1CECD0" w14:textId="0264A062" w:rsidR="00D042C1" w:rsidRPr="001204BE" w:rsidRDefault="00D042C1" w:rsidP="00D042C1">
            <w:pPr>
              <w:spacing w:before="80" w:after="80"/>
              <w:rPr>
                <w:szCs w:val="18"/>
                <w:lang w:val="ru-RU" w:eastAsia="en-GB"/>
              </w:rPr>
            </w:pPr>
            <w:r w:rsidRPr="001204BE">
              <w:rPr>
                <w:szCs w:val="22"/>
                <w:lang w:val="ru-RU" w:eastAsia="en-GB"/>
              </w:rPr>
              <w:t>Деятельность МСЭ в области интернета: Резолюции 101, 102, 133, 180 и 206 Полномочной конференции</w:t>
            </w:r>
          </w:p>
        </w:tc>
        <w:tc>
          <w:tcPr>
            <w:tcW w:w="1985" w:type="dxa"/>
          </w:tcPr>
          <w:p w14:paraId="5FB5B290" w14:textId="1398DBD6" w:rsidR="00D042C1" w:rsidRPr="001204BE" w:rsidRDefault="00D042C1" w:rsidP="00D042C1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15" w:history="1">
              <w:r w:rsidRPr="001204BE">
                <w:rPr>
                  <w:rStyle w:val="Hyperlink"/>
                  <w:lang w:val="ru-RU"/>
                </w:rPr>
                <w:t>C26/33</w:t>
              </w:r>
            </w:hyperlink>
          </w:p>
        </w:tc>
      </w:tr>
      <w:bookmarkEnd w:id="7"/>
    </w:tbl>
    <w:p w14:paraId="04E38EC2" w14:textId="77777777" w:rsidR="00A93103" w:rsidRPr="001204BE" w:rsidRDefault="00A93103" w:rsidP="006F1265">
      <w:pPr>
        <w:rPr>
          <w:sz w:val="26"/>
          <w:lang w:val="ru-RU"/>
        </w:rPr>
      </w:pPr>
      <w:r w:rsidRPr="001204BE">
        <w:rPr>
          <w:lang w:val="ru-RU"/>
        </w:rPr>
        <w:br w:type="page"/>
      </w:r>
    </w:p>
    <w:p w14:paraId="6632FCA4" w14:textId="77777777" w:rsidR="00D042C1" w:rsidRPr="001204BE" w:rsidRDefault="00D042C1" w:rsidP="00D042C1">
      <w:pPr>
        <w:pStyle w:val="Heading1"/>
        <w:rPr>
          <w:szCs w:val="26"/>
          <w:lang w:val="ru-RU"/>
        </w:rPr>
      </w:pPr>
      <w:r w:rsidRPr="001204BE">
        <w:rPr>
          <w:szCs w:val="26"/>
          <w:lang w:val="ru-RU"/>
        </w:rPr>
        <w:lastRenderedPageBreak/>
        <w:t>1</w:t>
      </w:r>
      <w:r w:rsidRPr="001204BE">
        <w:rPr>
          <w:szCs w:val="26"/>
          <w:lang w:val="ru-RU"/>
        </w:rPr>
        <w:tab/>
      </w:r>
      <w:r w:rsidRPr="001204BE">
        <w:rPr>
          <w:szCs w:val="26"/>
          <w:lang w:val="ru-RU" w:eastAsia="en-GB"/>
        </w:rPr>
        <w:t xml:space="preserve">Воздействие на гражданскую инфраструктуру электросвязи/ИКТ в Бахрейне, Кувейте, </w:t>
      </w:r>
      <w:r w:rsidRPr="001204BE">
        <w:rPr>
          <w:szCs w:val="26"/>
          <w:lang w:val="ru-RU"/>
        </w:rPr>
        <w:t>Объединенных</w:t>
      </w:r>
      <w:r w:rsidRPr="001204BE">
        <w:rPr>
          <w:szCs w:val="26"/>
          <w:lang w:val="ru-RU" w:eastAsia="en-GB"/>
        </w:rPr>
        <w:t xml:space="preserve"> Арабских Эмиратах и Иордании, а также его последствия для </w:t>
      </w:r>
      <w:r w:rsidRPr="001204BE">
        <w:rPr>
          <w:szCs w:val="26"/>
          <w:lang w:val="ru-RU"/>
        </w:rPr>
        <w:t>возможности</w:t>
      </w:r>
      <w:r w:rsidRPr="001204BE">
        <w:rPr>
          <w:szCs w:val="26"/>
          <w:lang w:val="ru-RU" w:eastAsia="en-GB"/>
        </w:rPr>
        <w:t xml:space="preserve"> установления региональных и глобальных соединений (</w:t>
      </w:r>
      <w:r w:rsidRPr="001204BE">
        <w:rPr>
          <w:i/>
          <w:iCs/>
          <w:szCs w:val="26"/>
          <w:lang w:val="ru-RU" w:eastAsia="en-GB"/>
        </w:rPr>
        <w:t>продолжение</w:t>
      </w:r>
      <w:r w:rsidRPr="001204BE">
        <w:rPr>
          <w:szCs w:val="26"/>
          <w:lang w:val="ru-RU" w:eastAsia="en-GB"/>
        </w:rPr>
        <w:t xml:space="preserve">) </w:t>
      </w:r>
      <w:r w:rsidRPr="001204BE">
        <w:rPr>
          <w:szCs w:val="26"/>
          <w:lang w:val="ru-RU"/>
        </w:rPr>
        <w:t>(Документ </w:t>
      </w:r>
      <w:hyperlink r:id="rId16" w:history="1">
        <w:r w:rsidRPr="001204BE">
          <w:rPr>
            <w:rStyle w:val="Hyperlink"/>
            <w:szCs w:val="26"/>
            <w:lang w:val="ru-RU"/>
          </w:rPr>
          <w:t>C26/95(Rev.2)</w:t>
        </w:r>
      </w:hyperlink>
      <w:r w:rsidRPr="001204BE">
        <w:rPr>
          <w:szCs w:val="26"/>
          <w:lang w:val="ru-RU"/>
        </w:rPr>
        <w:t>)</w:t>
      </w:r>
    </w:p>
    <w:p w14:paraId="4D131331" w14:textId="77777777" w:rsidR="00D042C1" w:rsidRPr="001204BE" w:rsidRDefault="00D042C1" w:rsidP="001111E0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1.1</w:t>
      </w:r>
      <w:r w:rsidRPr="001204BE">
        <w:rPr>
          <w:szCs w:val="18"/>
          <w:lang w:val="ru-RU"/>
        </w:rPr>
        <w:tab/>
        <w:t>Советник от Объединенных Арабских Эмиратов представляет пересмотренный проект Резолюции, содержащийся в Документе C26/95(Rev.2), от имени стран, являющихся соавторами этого проекта. С Государствами-Членами были проведены консультации, с тем чтобы заслушать мнения, представить разъяснения и подтвердить технический характер проекта Резолюции. Государствам-Членам рекомендуется помнить о глобальных и региональных последствиях нападений и их последствиях для гражданского персонала, работающего в этом секторе. Решение проблемы нападений на гражданскую инфраструктуру электросвязи и информационно-коммуникационных технологий (ИКТ) подпадает под технический мандат МСЭ и должно быть рассмотрено Советом.</w:t>
      </w:r>
    </w:p>
    <w:p w14:paraId="6FD4230D" w14:textId="77777777" w:rsidR="00D042C1" w:rsidRPr="001204BE" w:rsidRDefault="00D042C1" w:rsidP="001111E0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1.2</w:t>
      </w:r>
      <w:r w:rsidRPr="001204BE">
        <w:rPr>
          <w:szCs w:val="18"/>
          <w:lang w:val="ru-RU"/>
        </w:rPr>
        <w:tab/>
        <w:t>Наблюдатель от Катара, являющийся одним из соавторов, говорит, что проект Резолюции был пересмотрен с целью исключения формулировок, которые можно было бы считать политизирующими этот вклад.</w:t>
      </w:r>
    </w:p>
    <w:p w14:paraId="3851AB46" w14:textId="77777777" w:rsidR="00D042C1" w:rsidRPr="001204BE" w:rsidRDefault="00D042C1" w:rsidP="001111E0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1.3</w:t>
      </w:r>
      <w:r w:rsidRPr="001204BE">
        <w:rPr>
          <w:szCs w:val="18"/>
          <w:lang w:val="ru-RU"/>
        </w:rPr>
        <w:tab/>
        <w:t>Советники и наблюдатели, подчеркивая важность консенсуса, выражают поддержку проекту Резолюции и дают высокую оценку готовности его авторов учесть в нем замечания Государств-Членов. Несколько Советников подчеркивают, что незаконные и неизбирательные нападения на инфраструктуру электросвязи/ИКТ, которые привели к беспрецедентным сбоям и нарушили возможность установления международных соединений, являются серьезным нарушением Устава МСЭ и международного права. Защита такой инфраструктуры имеет решающее значение, учитывая ее важность для экономики и предоставления базовых услуг. Один из Советников отмечает, что проект Резолюции соответствует резолюциям Совета Безопасности Организации Объединенных Наций. Подчеркивается важность нейтральности и необходимость защиты технического и всеобъемлющего характера Союза.</w:t>
      </w:r>
    </w:p>
    <w:p w14:paraId="30247885" w14:textId="77777777" w:rsidR="00D042C1" w:rsidRPr="001204BE" w:rsidRDefault="00D042C1" w:rsidP="001111E0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1.4</w:t>
      </w:r>
      <w:r w:rsidRPr="001204BE">
        <w:rPr>
          <w:szCs w:val="18"/>
          <w:lang w:val="ru-RU"/>
        </w:rPr>
        <w:tab/>
        <w:t xml:space="preserve">Совет </w:t>
      </w:r>
      <w:r w:rsidRPr="001204BE">
        <w:rPr>
          <w:b/>
          <w:bCs/>
          <w:szCs w:val="18"/>
          <w:lang w:val="ru-RU"/>
        </w:rPr>
        <w:t>утверждает</w:t>
      </w:r>
      <w:r w:rsidRPr="001204BE">
        <w:rPr>
          <w:szCs w:val="18"/>
          <w:lang w:val="ru-RU"/>
        </w:rPr>
        <w:t xml:space="preserve"> Документ  C26/95(Rev.2) и </w:t>
      </w:r>
      <w:r w:rsidRPr="001204BE">
        <w:rPr>
          <w:b/>
          <w:bCs/>
          <w:szCs w:val="18"/>
          <w:lang w:val="ru-RU"/>
        </w:rPr>
        <w:t>принимает</w:t>
      </w:r>
      <w:r w:rsidRPr="001204BE">
        <w:rPr>
          <w:szCs w:val="18"/>
          <w:lang w:val="ru-RU"/>
        </w:rPr>
        <w:t xml:space="preserve"> проект Резолюции, содержащийся в приложении к нему.</w:t>
      </w:r>
    </w:p>
    <w:p w14:paraId="023042DD" w14:textId="0EBE05BB" w:rsidR="00D042C1" w:rsidRPr="001204BE" w:rsidRDefault="00D042C1" w:rsidP="00D042C1">
      <w:pPr>
        <w:pStyle w:val="Heading1"/>
        <w:rPr>
          <w:szCs w:val="26"/>
          <w:lang w:val="ru-RU"/>
        </w:rPr>
      </w:pPr>
      <w:r w:rsidRPr="001204BE">
        <w:rPr>
          <w:szCs w:val="26"/>
          <w:lang w:val="ru-RU"/>
        </w:rPr>
        <w:t>2</w:t>
      </w:r>
      <w:r w:rsidRPr="001204BE">
        <w:rPr>
          <w:szCs w:val="26"/>
          <w:lang w:val="ru-RU"/>
        </w:rPr>
        <w:tab/>
      </w:r>
      <w:r w:rsidRPr="001204BE">
        <w:rPr>
          <w:szCs w:val="26"/>
          <w:lang w:val="ru-RU" w:eastAsia="en-GB"/>
        </w:rPr>
        <w:t xml:space="preserve">Оказание помощи и поддержки </w:t>
      </w:r>
      <w:r w:rsidRPr="001204BE">
        <w:rPr>
          <w:szCs w:val="26"/>
          <w:lang w:val="ru-RU"/>
        </w:rPr>
        <w:t>Исламской</w:t>
      </w:r>
      <w:r w:rsidRPr="001204BE">
        <w:rPr>
          <w:szCs w:val="26"/>
          <w:lang w:val="ru-RU" w:eastAsia="en-GB"/>
        </w:rPr>
        <w:t xml:space="preserve"> Республике Иран в восстановлении ее отраслей радиовещания и электросвязи/ИКТ</w:t>
      </w:r>
      <w:r w:rsidRPr="001204BE">
        <w:rPr>
          <w:szCs w:val="26"/>
          <w:lang w:val="ru-RU"/>
        </w:rPr>
        <w:t xml:space="preserve"> (Документ </w:t>
      </w:r>
      <w:hyperlink r:id="rId17" w:history="1">
        <w:r w:rsidRPr="001204BE">
          <w:rPr>
            <w:rStyle w:val="Hyperlink"/>
            <w:szCs w:val="26"/>
            <w:lang w:val="ru-RU"/>
          </w:rPr>
          <w:t>C26/86(Rev.1)</w:t>
        </w:r>
      </w:hyperlink>
      <w:r w:rsidRPr="001204BE">
        <w:rPr>
          <w:szCs w:val="26"/>
          <w:lang w:val="ru-RU"/>
        </w:rPr>
        <w:t>)</w:t>
      </w:r>
    </w:p>
    <w:p w14:paraId="1081C2C6" w14:textId="4F3AB3D5" w:rsidR="00D042C1" w:rsidRPr="001204BE" w:rsidRDefault="00D042C1" w:rsidP="001111E0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2.1</w:t>
      </w:r>
      <w:r w:rsidRPr="001204BE">
        <w:rPr>
          <w:szCs w:val="18"/>
          <w:lang w:val="ru-RU"/>
        </w:rPr>
        <w:tab/>
        <w:t xml:space="preserve">Получив поддержку одного из Советников, наблюдатель от Исламской Республики Иран представляет Документ C26/86(Rev.1), в приложении к которому содержится проект Резолюции. Она направлена на мобилизацию технической и добровольной финансовой помощи для поддержки реконструкции и восстановления инфраструктуры радиовещания, электросвязи и ИКТ, пострадавшей от нападений со стороны Соединенных Штатов Америки и Израиля. Были проведены неофициальные консультации с Государствами-Членами для получения отзывов по этому предложению, которое носит технический характер и полностью соответствует мандату Союза. Важно обеспечить последовательность в подходе Совета к сопоставимым ситуациям в интересах справедливости и укрепления доверия к учреждению; в рамках </w:t>
      </w:r>
      <w:r w:rsidR="00AA1D8E" w:rsidRPr="001204BE">
        <w:rPr>
          <w:szCs w:val="18"/>
          <w:lang w:val="ru-RU"/>
        </w:rPr>
        <w:t xml:space="preserve">обсуждения Документа C26/95(Rev.2) </w:t>
      </w:r>
      <w:r w:rsidRPr="001204BE">
        <w:rPr>
          <w:szCs w:val="18"/>
          <w:lang w:val="ru-RU"/>
        </w:rPr>
        <w:t>уже был создан прецедент в отношении реконструкции и оказания технической помощи.</w:t>
      </w:r>
    </w:p>
    <w:p w14:paraId="5D19D908" w14:textId="51342E4A" w:rsidR="00D042C1" w:rsidRPr="001204BE" w:rsidRDefault="00D042C1" w:rsidP="001111E0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2.2</w:t>
      </w:r>
      <w:r w:rsidRPr="001204BE">
        <w:rPr>
          <w:szCs w:val="18"/>
          <w:lang w:val="ru-RU"/>
        </w:rPr>
        <w:tab/>
        <w:t xml:space="preserve">Кроме того, Исламская Республика Иран высказывает оговорки в отношении представленных Совету документов, в которых содержатся утверждения, которые, как представляется, не подкреплены поддающимися проверке фактическими, юридическими или техническими доказательствами. Военные операции проводятся страной в порядке </w:t>
      </w:r>
      <w:r w:rsidRPr="001204BE">
        <w:rPr>
          <w:szCs w:val="18"/>
          <w:lang w:val="ru-RU"/>
        </w:rPr>
        <w:lastRenderedPageBreak/>
        <w:t>осуществления ею права на самооборону в соответствии с Уставом Организации Объединенных Наций в ответ на предыдущие акты агрессии и ограничивались военными целями агрессоров; утверждения об обратном отвергаются. Попытки решить эти вопросы в рамках МСЭ могут выйти за рамки его технического мандата и подорвать его нейтралитет. С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 xml:space="preserve">полным текстом заявления можно ознакомиться по адресу: </w:t>
      </w:r>
      <w:hyperlink r:id="rId18" w:history="1">
        <w:r w:rsidRPr="001204BE">
          <w:rPr>
            <w:rStyle w:val="Hyperlink"/>
            <w:szCs w:val="18"/>
            <w:lang w:val="ru-RU"/>
          </w:rPr>
          <w:t>cou</w:t>
        </w:r>
        <w:r w:rsidRPr="001204BE">
          <w:rPr>
            <w:rStyle w:val="Hyperlink"/>
            <w:szCs w:val="18"/>
            <w:lang w:val="ru-RU"/>
          </w:rPr>
          <w:t>n</w:t>
        </w:r>
        <w:r w:rsidRPr="001204BE">
          <w:rPr>
            <w:rStyle w:val="Hyperlink"/>
            <w:szCs w:val="18"/>
            <w:lang w:val="ru-RU"/>
          </w:rPr>
          <w:t>cil.itu.int/</w:t>
        </w:r>
        <w:r w:rsidRPr="001204BE">
          <w:rPr>
            <w:rStyle w:val="Hyperlink"/>
            <w:szCs w:val="18"/>
            <w:lang w:val="ru-RU"/>
          </w:rPr>
          <w:t>2</w:t>
        </w:r>
        <w:r w:rsidRPr="001204BE">
          <w:rPr>
            <w:rStyle w:val="Hyperlink"/>
            <w:szCs w:val="18"/>
            <w:lang w:val="ru-RU"/>
          </w:rPr>
          <w:t>026/wp-content/uploads/sites/6/2026/02/</w:t>
        </w:r>
        <w:r w:rsidR="001111E0">
          <w:rPr>
            <w:rStyle w:val="Hyperlink"/>
            <w:szCs w:val="18"/>
            <w:lang w:val="es-ES"/>
          </w:rPr>
          <w:br/>
        </w:r>
        <w:r w:rsidRPr="001204BE">
          <w:rPr>
            <w:rStyle w:val="Hyperlink"/>
            <w:szCs w:val="18"/>
            <w:lang w:val="ru-RU"/>
          </w:rPr>
          <w:t>26.05.01-Iran-HE-Ambassador-Bahreini-C26_86-PL4.pdf</w:t>
        </w:r>
      </w:hyperlink>
      <w:r w:rsidRPr="001204BE">
        <w:rPr>
          <w:szCs w:val="18"/>
          <w:lang w:val="ru-RU"/>
        </w:rPr>
        <w:t>.</w:t>
      </w:r>
    </w:p>
    <w:p w14:paraId="43A7F41A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2.3</w:t>
      </w:r>
      <w:r w:rsidRPr="001204BE">
        <w:rPr>
          <w:szCs w:val="18"/>
          <w:lang w:val="ru-RU"/>
        </w:rPr>
        <w:tab/>
        <w:t xml:space="preserve">Один из Советников, напоминая, что удары по Исламской Республике Иран были нанесены без санкции Совета Безопасности Организации Объединенных Наций и в нарушение Устава Организации Объединенных Наций, подчеркивает, что кризис на Ближнем Востоке затрагивает региональный и международный мир и стабильность. </w:t>
      </w:r>
    </w:p>
    <w:p w14:paraId="1D4C6E60" w14:textId="77777777" w:rsidR="00D042C1" w:rsidRPr="001204BE" w:rsidRDefault="00D042C1" w:rsidP="00521165">
      <w:pPr>
        <w:jc w:val="both"/>
        <w:rPr>
          <w:spacing w:val="-2"/>
          <w:szCs w:val="18"/>
          <w:lang w:val="ru-RU"/>
        </w:rPr>
      </w:pPr>
      <w:r w:rsidRPr="001204BE">
        <w:rPr>
          <w:spacing w:val="-2"/>
          <w:szCs w:val="18"/>
          <w:lang w:val="ru-RU"/>
        </w:rPr>
        <w:t>2.4</w:t>
      </w:r>
      <w:r w:rsidRPr="001204BE">
        <w:rPr>
          <w:spacing w:val="-2"/>
          <w:szCs w:val="18"/>
          <w:lang w:val="ru-RU"/>
        </w:rPr>
        <w:tab/>
        <w:t>Ряд Советников и один из наблюдателей, осуждая нападения на инфраструктуру электросвязи страны, поддерживают предоставление Исламской Республике Иран технической помощи и создание потенциала в соответствии с мандатом МСЭ. Защита сетей и услуг электросвязи общего пользования во время конфликтов имеет важнейшее значение. Необходимо в полной мере уважать национальный суверенитет, безопасность и территориальную целостность, защищая гражданские и невоенные цели и охраняя гражданскую инфраструктуру связи. Жизненно важно обеспечить восстановление, устойчивость и функционирование систем электросвязи, особенно в тех случаях, когда сбои в работе могут иметь гуманитарные последствия.</w:t>
      </w:r>
    </w:p>
    <w:p w14:paraId="1833260E" w14:textId="03C4CFDF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2.5</w:t>
      </w:r>
      <w:r w:rsidRPr="001204BE">
        <w:rPr>
          <w:szCs w:val="18"/>
          <w:lang w:val="ru-RU"/>
        </w:rPr>
        <w:tab/>
        <w:t>Советники от Объединенных Арабских Эмиратов, Кувейта и Бахрейна заявляют, что в Документе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>C26/86(Rev.1) содержатся утверждения о том, что нападения на Исламскую Республику Иран были совершены с территории арабских государств;</w:t>
      </w:r>
      <w:r w:rsidRPr="001204BE">
        <w:rPr>
          <w:color w:val="333333"/>
          <w:sz w:val="26"/>
          <w:szCs w:val="26"/>
          <w:shd w:val="clear" w:color="auto" w:fill="FFFFFF"/>
          <w:lang w:val="ru-RU"/>
        </w:rPr>
        <w:t xml:space="preserve"> </w:t>
      </w:r>
      <w:r w:rsidRPr="001204BE">
        <w:rPr>
          <w:szCs w:val="18"/>
          <w:lang w:val="ru-RU"/>
        </w:rPr>
        <w:t>такие претензии противоречат резолюциям Совета Безопасности ООН и Совета по правам человека. Они призывают Совет не утверждать этот документ и не принимать проект Резолюции.</w:t>
      </w:r>
    </w:p>
    <w:p w14:paraId="7D479E01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2.6</w:t>
      </w:r>
      <w:r w:rsidRPr="001204BE">
        <w:rPr>
          <w:szCs w:val="18"/>
          <w:lang w:val="ru-RU"/>
        </w:rPr>
        <w:tab/>
        <w:t>Несколько Советников и один из наблюдателей подчеркивают, что результаты работы Совета должны оставаться сбалансированными, основанными на фактах, конструктивными и соответствующими мандату МСЭ. Следует придерживаться принципа нейтралитета. Принимаемые МСЭ меры должны отражать его принципы объективности, специализации и профессионализма, при этом Государства-Члены должны прилагать усилия к урегулированию ситуации на Ближнем Востоке.</w:t>
      </w:r>
    </w:p>
    <w:p w14:paraId="3F859209" w14:textId="0896A41A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2.7</w:t>
      </w:r>
      <w:r w:rsidRPr="001204BE">
        <w:rPr>
          <w:szCs w:val="18"/>
          <w:lang w:val="ru-RU"/>
        </w:rPr>
        <w:tab/>
        <w:t>Председатель полагает, что в связи с отсутствием консенсуса по Документу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>C26/86(Rev.1) Совет хотел бы перейти к обсуждению следующего пункта своей повестки дня.</w:t>
      </w:r>
    </w:p>
    <w:p w14:paraId="02403EE9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2.8</w:t>
      </w:r>
      <w:r w:rsidRPr="001204BE">
        <w:rPr>
          <w:szCs w:val="18"/>
          <w:lang w:val="ru-RU"/>
        </w:rPr>
        <w:tab/>
        <w:t xml:space="preserve">Предложение </w:t>
      </w:r>
      <w:r w:rsidRPr="001204BE">
        <w:rPr>
          <w:b/>
          <w:bCs/>
          <w:szCs w:val="18"/>
          <w:lang w:val="ru-RU"/>
        </w:rPr>
        <w:t>принимается</w:t>
      </w:r>
      <w:r w:rsidRPr="001204BE">
        <w:rPr>
          <w:szCs w:val="18"/>
          <w:lang w:val="ru-RU"/>
        </w:rPr>
        <w:t>.</w:t>
      </w:r>
    </w:p>
    <w:p w14:paraId="75BA29BD" w14:textId="77777777" w:rsidR="00D042C1" w:rsidRPr="001204BE" w:rsidRDefault="00D042C1" w:rsidP="00D042C1">
      <w:pPr>
        <w:pStyle w:val="Heading1"/>
        <w:rPr>
          <w:szCs w:val="26"/>
          <w:lang w:val="ru-RU"/>
        </w:rPr>
      </w:pPr>
      <w:r w:rsidRPr="001204BE">
        <w:rPr>
          <w:szCs w:val="26"/>
          <w:lang w:val="ru-RU"/>
        </w:rPr>
        <w:t>3</w:t>
      </w:r>
      <w:r w:rsidRPr="001204BE">
        <w:rPr>
          <w:szCs w:val="26"/>
          <w:lang w:val="ru-RU"/>
        </w:rPr>
        <w:tab/>
        <w:t xml:space="preserve">Укрепление устойчивости подводных кабелей – Международный консультативный орган по устойчивости подводных кабелей и Саммит 2026 года в Порту (Документ </w:t>
      </w:r>
      <w:hyperlink r:id="rId19" w:history="1">
        <w:r w:rsidRPr="001204BE">
          <w:rPr>
            <w:rStyle w:val="Hyperlink"/>
            <w:szCs w:val="26"/>
            <w:lang w:val="ru-RU"/>
          </w:rPr>
          <w:t>C26/76</w:t>
        </w:r>
      </w:hyperlink>
      <w:r w:rsidRPr="001204BE">
        <w:rPr>
          <w:szCs w:val="26"/>
          <w:lang w:val="ru-RU"/>
        </w:rPr>
        <w:t>)</w:t>
      </w:r>
    </w:p>
    <w:p w14:paraId="01E0213E" w14:textId="368FBD83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3.1</w:t>
      </w:r>
      <w:r w:rsidRPr="001204BE">
        <w:rPr>
          <w:szCs w:val="18"/>
          <w:lang w:val="ru-RU"/>
        </w:rPr>
        <w:tab/>
        <w:t>Наблюдатель от Португалии, выступая в качестве сопредседателя Международного консультативного органа по устойчивости подводных кабелей, представляет Документ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 xml:space="preserve">C26/76, в котором содержится обновленная информация о международных усилиях по повышению устойчивости подводных кабелей, включая информацию о Международных саммитах по устойчивости подводных кабелей 2025 и 2026 годов, которые прошли в Абудже, Нигерия, и Порту, Португалия, соответственно. Принятие Декларации Порту об устойчивости подводных кабелей подчеркнуло важность сотрудничества между заинтересованными сторонами для обеспечения безопасной и надежной возможности установления соединений в глобальном масштабе. На Саммите в Порту также были утверждены рекомендации, содержащие практические руководящие указания по ускорению развертывания и ремонта кабелей путем укрепления нормативно-правовой базы, смягчению рисков для кабельной инфраструктуры, </w:t>
      </w:r>
      <w:r w:rsidRPr="001204BE">
        <w:rPr>
          <w:szCs w:val="18"/>
          <w:lang w:val="ru-RU"/>
        </w:rPr>
        <w:lastRenderedPageBreak/>
        <w:t>поддержке инноваций и созданию потенциала, а также по содействию инвестициям и разнообразию маршрутов во всем мире.</w:t>
      </w:r>
    </w:p>
    <w:p w14:paraId="0E67E905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3.2</w:t>
      </w:r>
      <w:r w:rsidRPr="001204BE">
        <w:rPr>
          <w:szCs w:val="18"/>
          <w:lang w:val="ru-RU"/>
        </w:rPr>
        <w:tab/>
        <w:t>Многие Советники и один наблюдатель дают высокую оценку работе Международного консультативного органа по устойчивости подводных кабелей и приветствуют проведение двух саммитов. Этот вопрос имеет решающее значение, в том числе для стран, не имеющих выхода к морю, и может быть желательно продолжить его рассмотрение даже после завершения работы Консультативного органа. Выражается поддержка Декларации Порту, а также практическим рекомендациям, которые следует принять всем заинтересованным сторонам. Следует ускорить выполнение решений Саммита в Порту, особенно путем упорядочения процессов выдачи разрешений и сокращения сроков ремонта. Также жизненно важно поддерживать недостаточно обслуживаемые и уязвимые регионы, включая Африку, путем увеличения объема инвестиций, налаживания партнерских отношений и проведения политики, способствующей разнообразию и дублированию маршрутов, и активизировать деятельность по созданию потенциала и содействию инновациям для обеспечения того, чтобы развивающиеся страны могли эффективно участвовать в создании и использовании устойчивых подводных кабельных систем.</w:t>
      </w:r>
    </w:p>
    <w:p w14:paraId="43631FB6" w14:textId="77777777" w:rsidR="00D042C1" w:rsidRPr="001204BE" w:rsidRDefault="00D042C1" w:rsidP="00521165">
      <w:pPr>
        <w:jc w:val="both"/>
        <w:rPr>
          <w:spacing w:val="-2"/>
          <w:szCs w:val="18"/>
          <w:lang w:val="ru-RU"/>
        </w:rPr>
      </w:pPr>
      <w:r w:rsidRPr="001204BE">
        <w:rPr>
          <w:spacing w:val="-2"/>
          <w:szCs w:val="18"/>
          <w:lang w:val="ru-RU"/>
        </w:rPr>
        <w:t>3.3</w:t>
      </w:r>
      <w:r w:rsidRPr="001204BE">
        <w:rPr>
          <w:spacing w:val="-2"/>
          <w:szCs w:val="18"/>
          <w:lang w:val="ru-RU"/>
        </w:rPr>
        <w:tab/>
        <w:t>Один из Советников призывает к разработке национальных стратегий обеспечения устойчивости и приветствует предлагаемые дальнейшие шаги по привлечению основных заинтересованных сторон и воплощению разработанных рекомендаций в конкретные действия. Высказывается предположение о том, что этот отчет мог бы послужить вкладом для предстоящего Глобального симпозиума для регуляторных органов (ГСР-26), и предлагается довести результаты работы Консультативного комитета до сведения региональных организаций электросвязи. Советники приветствуют постоянное внимание, уделяемое сотрудничеству в целях повышения устойчивости подводных кабелей, отмечая, в частности, важность укрепления сотрудничества между правительствами, отраслью и региональными организациями. Другой Советник подчеркивает актуальность работы 15-й Исследовательской комиссии Сектора стандартизации электросвязи МСЭ (МСЭ-Т) и отмечает, что МСЭ-Т мог бы играть более важную роль в выполнении решений Саммита.</w:t>
      </w:r>
    </w:p>
    <w:p w14:paraId="4CC4711E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3.4</w:t>
      </w:r>
      <w:r w:rsidRPr="001204BE">
        <w:rPr>
          <w:szCs w:val="18"/>
          <w:lang w:val="ru-RU"/>
        </w:rPr>
        <w:tab/>
        <w:t>Другой Советник считает, что в разделе документа, касающемся основных итогов Саммита в Порту, было бы предпочтительно воспроизвести формулировку Декларации Порту и использовать термин "не имеющие обязательной силы рекомендации", а не "руководящие указания". Кроме того, этот отчет можно было бы обновить, с тем чтобы отразить текущее состояние работы и сроки.</w:t>
      </w:r>
    </w:p>
    <w:p w14:paraId="27346A3C" w14:textId="691DAEC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3.5</w:t>
      </w:r>
      <w:r w:rsidRPr="001204BE">
        <w:rPr>
          <w:szCs w:val="18"/>
          <w:lang w:val="ru-RU"/>
        </w:rPr>
        <w:tab/>
        <w:t xml:space="preserve">Заместитель Генерального секретаря, отвечая на вопрос наблюдателя от Российской Федерации, говорит, что роль МСЭ в обеспечении устойчивости подводных кабелей должны определять Государства-Члены, а не секретариат. Секретариат надеется получить дальнейшие указания от Государств-Членов в этом отношении. Он благодарит сопредседателей Международного консультативного органа за их руководящую роль и участие, благодаря которым были проведены два весьма успешных саммита и сделаны четкие выводы. Он также благодарит председателей рабочих групп и участников и приветствует участие Международного комитета по охране кабелей. Принятие всех рекомендаций на основе консенсуса показало, каким образом мировое сообщество может объединиться для решения столь важных задач. В заключение он отмечает, что подготовка отчетов рабочих групп </w:t>
      </w:r>
      <w:r w:rsidR="00AA1D8E" w:rsidRPr="001204BE">
        <w:rPr>
          <w:szCs w:val="18"/>
          <w:lang w:val="ru-RU"/>
        </w:rPr>
        <w:t>находится на завершающем этапе</w:t>
      </w:r>
      <w:r w:rsidRPr="001204BE">
        <w:rPr>
          <w:szCs w:val="18"/>
          <w:lang w:val="ru-RU"/>
        </w:rPr>
        <w:t>, как ожидается, они будут утверждены на заключительном собрании Международного консультативного органа в соответствии с его мандатом на 2024−2026 годы.</w:t>
      </w:r>
    </w:p>
    <w:p w14:paraId="20DC4D93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3.6</w:t>
      </w:r>
      <w:r w:rsidRPr="001204BE">
        <w:rPr>
          <w:szCs w:val="18"/>
          <w:lang w:val="ru-RU"/>
        </w:rPr>
        <w:tab/>
        <w:t xml:space="preserve">Совет </w:t>
      </w:r>
      <w:r w:rsidRPr="001204BE">
        <w:rPr>
          <w:b/>
          <w:bCs/>
          <w:szCs w:val="18"/>
          <w:lang w:val="ru-RU"/>
        </w:rPr>
        <w:t>принимает к сведению</w:t>
      </w:r>
      <w:r w:rsidRPr="001204BE">
        <w:rPr>
          <w:szCs w:val="18"/>
          <w:lang w:val="ru-RU"/>
        </w:rPr>
        <w:t xml:space="preserve"> отчет, содержащийся в Документе C26/76.</w:t>
      </w:r>
    </w:p>
    <w:p w14:paraId="3E98C8B5" w14:textId="77777777" w:rsidR="00D042C1" w:rsidRPr="001204BE" w:rsidRDefault="00D042C1" w:rsidP="00D042C1">
      <w:pPr>
        <w:pStyle w:val="Heading1"/>
        <w:rPr>
          <w:szCs w:val="26"/>
          <w:lang w:val="ru-RU"/>
        </w:rPr>
      </w:pPr>
      <w:r w:rsidRPr="001204BE">
        <w:rPr>
          <w:szCs w:val="26"/>
          <w:lang w:val="ru-RU"/>
        </w:rPr>
        <w:lastRenderedPageBreak/>
        <w:t>4</w:t>
      </w:r>
      <w:r w:rsidRPr="001204BE">
        <w:rPr>
          <w:szCs w:val="26"/>
          <w:lang w:val="ru-RU"/>
        </w:rPr>
        <w:tab/>
        <w:t>Всемирный день электросвязи и информационного общества</w:t>
      </w:r>
      <w:r w:rsidRPr="001204BE">
        <w:rPr>
          <w:szCs w:val="26"/>
          <w:lang w:val="ru-RU"/>
        </w:rPr>
        <w:br/>
        <w:t xml:space="preserve">(Документ </w:t>
      </w:r>
      <w:hyperlink r:id="rId20" w:history="1">
        <w:r w:rsidRPr="001204BE">
          <w:rPr>
            <w:rStyle w:val="Hyperlink"/>
            <w:szCs w:val="26"/>
            <w:lang w:val="ru-RU"/>
          </w:rPr>
          <w:t>C26/17</w:t>
        </w:r>
      </w:hyperlink>
      <w:r w:rsidRPr="001204BE">
        <w:rPr>
          <w:szCs w:val="26"/>
          <w:lang w:val="ru-RU"/>
        </w:rPr>
        <w:t>)</w:t>
      </w:r>
    </w:p>
    <w:p w14:paraId="0658AC76" w14:textId="40B89FD3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4.1</w:t>
      </w:r>
      <w:r w:rsidRPr="001204BE">
        <w:rPr>
          <w:szCs w:val="18"/>
          <w:lang w:val="ru-RU"/>
        </w:rPr>
        <w:tab/>
        <w:t>Представитель Генерального секретариата представляет отчет Генерального секретаря о Всемирном дне электросвязи и информационного общества (ВДЭИО), содержащийся в Документе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>C26/17.</w:t>
      </w:r>
    </w:p>
    <w:p w14:paraId="12DCE324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4.2</w:t>
      </w:r>
      <w:r w:rsidRPr="001204BE">
        <w:rPr>
          <w:szCs w:val="18"/>
          <w:lang w:val="ru-RU"/>
        </w:rPr>
        <w:tab/>
        <w:t>Несколько Советников и один наблюдатель приветствуют тему ВДЭИО-26, которая является особенно своевременной, и подчеркивают важность устойчивой цифровой инфраструктуры для экономического роста и устойчивого развития. Выражается поддержка участию Государств-Членов и деятельности МСЭ по повышению осведомленности, включая отчет о критических цифровых рисках, который особенно актуален для развивающихся стран и островных государств.</w:t>
      </w:r>
      <w:r w:rsidRPr="001204BE">
        <w:rPr>
          <w:color w:val="333333"/>
          <w:sz w:val="26"/>
          <w:szCs w:val="26"/>
          <w:shd w:val="clear" w:color="auto" w:fill="FFFFFF"/>
          <w:lang w:val="ru-RU"/>
        </w:rPr>
        <w:t xml:space="preserve"> </w:t>
      </w:r>
      <w:r w:rsidRPr="001204BE">
        <w:rPr>
          <w:szCs w:val="18"/>
          <w:lang w:val="ru-RU"/>
        </w:rPr>
        <w:t>Один из Советников отмечает мероприятия, проводимые в его стране по случаю ВДЭИО-26, а еще один подчеркивает важность установления соединений на базе спутников и спутниковой связи для охвата уязвимых групп населения. Один из Советников выражает поддержку предлагаемой для ВДЭИО-27 темы, а именно "Космическое пространство на благо всех: расширение возможности установления соединений во всем мире".</w:t>
      </w:r>
    </w:p>
    <w:p w14:paraId="3F029F5D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4.3</w:t>
      </w:r>
      <w:r w:rsidRPr="001204BE">
        <w:rPr>
          <w:szCs w:val="18"/>
          <w:lang w:val="ru-RU"/>
        </w:rPr>
        <w:tab/>
        <w:t xml:space="preserve">Совет </w:t>
      </w:r>
      <w:r w:rsidRPr="001204BE">
        <w:rPr>
          <w:b/>
          <w:bCs/>
          <w:szCs w:val="18"/>
          <w:lang w:val="ru-RU"/>
        </w:rPr>
        <w:t>принимает к сведению</w:t>
      </w:r>
      <w:r w:rsidRPr="001204BE">
        <w:rPr>
          <w:szCs w:val="18"/>
          <w:lang w:val="ru-RU"/>
        </w:rPr>
        <w:t xml:space="preserve"> празднование ВДЭИО-26 по теме "Важнейшая цифровая инфраструктура: укрепление устойчивости в соединенном мире".</w:t>
      </w:r>
    </w:p>
    <w:p w14:paraId="62A890F8" w14:textId="67515E1F" w:rsidR="00D042C1" w:rsidRPr="001204BE" w:rsidRDefault="00D042C1" w:rsidP="00D042C1">
      <w:pPr>
        <w:pStyle w:val="Heading1"/>
        <w:rPr>
          <w:szCs w:val="26"/>
          <w:lang w:val="ru-RU"/>
        </w:rPr>
      </w:pPr>
      <w:r w:rsidRPr="001204BE">
        <w:rPr>
          <w:szCs w:val="26"/>
          <w:lang w:val="ru-RU"/>
        </w:rPr>
        <w:t>5</w:t>
      </w:r>
      <w:r w:rsidRPr="001204BE">
        <w:rPr>
          <w:szCs w:val="26"/>
          <w:lang w:val="ru-RU"/>
        </w:rPr>
        <w:tab/>
        <w:t>Четырехгодичный отчет председателя Рабочей группы Совета по вопросам международной государственной политики, касающимся интернета (</w:t>
      </w:r>
      <w:r w:rsidRPr="001204BE">
        <w:rPr>
          <w:i/>
          <w:iCs/>
          <w:szCs w:val="26"/>
          <w:lang w:val="ru-RU"/>
        </w:rPr>
        <w:t>продолжение</w:t>
      </w:r>
      <w:r w:rsidRPr="001204BE">
        <w:rPr>
          <w:szCs w:val="26"/>
          <w:lang w:val="ru-RU"/>
        </w:rPr>
        <w:t xml:space="preserve">) </w:t>
      </w:r>
      <w:r w:rsidR="00521165">
        <w:rPr>
          <w:szCs w:val="26"/>
          <w:lang w:val="es-ES"/>
        </w:rPr>
        <w:br/>
      </w:r>
      <w:r w:rsidRPr="001204BE">
        <w:rPr>
          <w:szCs w:val="26"/>
          <w:lang w:val="ru-RU"/>
        </w:rPr>
        <w:t xml:space="preserve">(Документы </w:t>
      </w:r>
      <w:hyperlink r:id="rId21">
        <w:r w:rsidRPr="001204BE">
          <w:rPr>
            <w:rStyle w:val="Hyperlink"/>
            <w:szCs w:val="26"/>
            <w:lang w:val="ru-RU"/>
          </w:rPr>
          <w:t>C26/52</w:t>
        </w:r>
      </w:hyperlink>
      <w:r w:rsidRPr="001204BE">
        <w:rPr>
          <w:szCs w:val="26"/>
          <w:lang w:val="ru-RU"/>
        </w:rPr>
        <w:t xml:space="preserve">, </w:t>
      </w:r>
      <w:hyperlink r:id="rId22">
        <w:r w:rsidRPr="001204BE">
          <w:rPr>
            <w:rStyle w:val="Hyperlink"/>
            <w:szCs w:val="26"/>
            <w:lang w:val="ru-RU"/>
          </w:rPr>
          <w:t>C26/94</w:t>
        </w:r>
      </w:hyperlink>
      <w:r w:rsidRPr="001204BE">
        <w:rPr>
          <w:szCs w:val="26"/>
          <w:lang w:val="ru-RU"/>
        </w:rPr>
        <w:t xml:space="preserve">, </w:t>
      </w:r>
      <w:hyperlink r:id="rId23">
        <w:r w:rsidRPr="001204BE">
          <w:rPr>
            <w:rStyle w:val="Hyperlink"/>
            <w:szCs w:val="26"/>
            <w:lang w:val="ru-RU"/>
          </w:rPr>
          <w:t>C26/99</w:t>
        </w:r>
      </w:hyperlink>
      <w:r w:rsidRPr="001204BE">
        <w:rPr>
          <w:szCs w:val="26"/>
          <w:lang w:val="ru-RU"/>
        </w:rPr>
        <w:t xml:space="preserve"> и </w:t>
      </w:r>
      <w:hyperlink r:id="rId24">
        <w:r w:rsidRPr="001204BE">
          <w:rPr>
            <w:rStyle w:val="Hyperlink"/>
            <w:szCs w:val="26"/>
            <w:lang w:val="ru-RU"/>
          </w:rPr>
          <w:t>C26/101(Rev.1)</w:t>
        </w:r>
      </w:hyperlink>
      <w:r w:rsidRPr="001204BE">
        <w:rPr>
          <w:szCs w:val="26"/>
          <w:lang w:val="ru-RU"/>
        </w:rPr>
        <w:t>)</w:t>
      </w:r>
    </w:p>
    <w:p w14:paraId="77CE604B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5.1</w:t>
      </w:r>
      <w:r w:rsidRPr="001204BE">
        <w:rPr>
          <w:szCs w:val="18"/>
          <w:lang w:val="ru-RU"/>
        </w:rPr>
        <w:tab/>
        <w:t>Председатель напоминает, что Документ C26/94 был представлен Государством-Членом, имеющим статус наблюдателя, и двое Советников выражают поддержку обсуждению этого вклада.</w:t>
      </w:r>
    </w:p>
    <w:p w14:paraId="43511428" w14:textId="77777777" w:rsidR="00D042C1" w:rsidRPr="00521165" w:rsidRDefault="00D042C1" w:rsidP="00521165">
      <w:pPr>
        <w:jc w:val="both"/>
        <w:rPr>
          <w:spacing w:val="-3"/>
          <w:szCs w:val="18"/>
          <w:lang w:val="ru-RU"/>
        </w:rPr>
      </w:pPr>
      <w:r w:rsidRPr="00521165">
        <w:rPr>
          <w:spacing w:val="-3"/>
          <w:szCs w:val="18"/>
          <w:lang w:val="ru-RU"/>
        </w:rPr>
        <w:t>5.2</w:t>
      </w:r>
      <w:r w:rsidRPr="00521165">
        <w:rPr>
          <w:spacing w:val="-3"/>
          <w:szCs w:val="18"/>
          <w:lang w:val="ru-RU"/>
        </w:rPr>
        <w:tab/>
        <w:t>Советники говорят, что Рабочая группа Совета по вопросам международной государственной политики, касающимся интернета (РГС-Интернет), обеспечивает ценную платформу для диалога, и выражают поддержку продолжению его работы в следующем цикле. Однако в настоящее время это единственная рабочая группа Совета, в состав которой входят только Государства-Члены. Достигнутый прогресс во многом обусловлен вкладами заинтересованных сторон; поэтому все заинтересованные стороны, особенно техническое сообщество, должны иметь возможность в полной мере участвовать в работе РГС-Интернет, с тем чтобы обеспечить сохранение актуальности этой группы, ее способности выполнять свой важный мандат и добиваться значимых результатов для Государств-Членов, Членов Секторов и более широкого сообщества МСЭ. Несколько Советников подчеркивают, что модель с участием многих заинтересованных сторон является важнейшей основой для безопасного и инновационного интернета. Некоторые Советники напоминают о документе, посвященном итогам 20-летнего обзора выполнения решений Всемирной встречи на высшем уровне по вопросам информационного общества (ВВУИО+20), в котором, в том числе, признается, что управление использованием интернета должно по-прежнему осуществляться с участием многих заинтересованных сторон, и содержится призыв ко всем соответствующим структурам также учитывать результаты теперь уже постоянного Форума по вопросам управления использованием интернета. Они надеются, что Полномочная конференция (Доха, 2026 г.) (ПК-26) будет способствовать модернизации и укреплению РГС-Интернет, чтобы отразить подходы, признанные в других структурах системы Организации Объединенных Наций, и обеспечить полноценное участие заинтересованных сторон. Другой Советник говорит, что аспекты участия многих заинтересованных сторон уже надлежащим образом учтены в рамках процесса открытых консультаций. Основное внимание следует уделять консолидации существующей работы и обеспечению ее преемственности, а не структурным вопросам.</w:t>
      </w:r>
    </w:p>
    <w:p w14:paraId="187F2690" w14:textId="6C081F87" w:rsidR="00D042C1" w:rsidRPr="00521165" w:rsidRDefault="00D042C1" w:rsidP="00521165">
      <w:pPr>
        <w:jc w:val="both"/>
        <w:rPr>
          <w:strike/>
          <w:spacing w:val="-2"/>
          <w:szCs w:val="18"/>
          <w:lang w:val="ru-RU"/>
        </w:rPr>
      </w:pPr>
      <w:r w:rsidRPr="00521165">
        <w:rPr>
          <w:spacing w:val="-2"/>
          <w:szCs w:val="18"/>
          <w:lang w:val="ru-RU"/>
        </w:rPr>
        <w:lastRenderedPageBreak/>
        <w:t>5.3</w:t>
      </w:r>
      <w:r w:rsidRPr="00521165">
        <w:rPr>
          <w:spacing w:val="-2"/>
          <w:szCs w:val="18"/>
          <w:lang w:val="ru-RU"/>
        </w:rPr>
        <w:tab/>
        <w:t>Один из Советников говорит, что этот пункт повестки дня затрагивает самую суть важного вопроса о роли МСЭ в управлении использованием интернета на международном уровне и о том, как РГС-Интернет могла бы в следующем цикле наилучшим образом служить интересам всех Государств-Членов, в особенности развивающихся стран. Другой Советник говорит, что обсуждения в рабочей группе должны оставаться в рамках мандата МСЭ, быть всеобъемлющими и строиться на консенсусе. Однако, как отмечают многие Советники, существуют проблемы, которые необходимо решить, в том числе отсутствие преемственности в работе группы и трудности с достижением консенсуса. Необходим более прагматичный и ориентированный на действия подход, чтобы превратить прогресс, достигнутый в цикле 2022</w:t>
      </w:r>
      <w:r w:rsidR="00541554" w:rsidRPr="00521165">
        <w:rPr>
          <w:spacing w:val="-2"/>
          <w:szCs w:val="18"/>
          <w:lang w:val="ru-RU"/>
        </w:rPr>
        <w:t>−</w:t>
      </w:r>
      <w:r w:rsidRPr="00521165">
        <w:rPr>
          <w:spacing w:val="-2"/>
          <w:szCs w:val="18"/>
          <w:lang w:val="ru-RU"/>
        </w:rPr>
        <w:t>2026</w:t>
      </w:r>
      <w:r w:rsidR="00541554" w:rsidRPr="00521165">
        <w:rPr>
          <w:spacing w:val="-2"/>
          <w:szCs w:val="18"/>
          <w:lang w:val="ru-RU"/>
        </w:rPr>
        <w:t> </w:t>
      </w:r>
      <w:r w:rsidRPr="00521165">
        <w:rPr>
          <w:spacing w:val="-2"/>
          <w:szCs w:val="18"/>
          <w:lang w:val="ru-RU"/>
        </w:rPr>
        <w:t>годов, в ощутимые результаты в области развития. Некоторые Советники подчеркивают необходимость сохранения межправительственного и ориентированного на политику характера РГС-Интернет.</w:t>
      </w:r>
      <w:r w:rsidRPr="00521165">
        <w:rPr>
          <w:color w:val="333333"/>
          <w:spacing w:val="-2"/>
          <w:sz w:val="26"/>
          <w:szCs w:val="26"/>
          <w:shd w:val="clear" w:color="auto" w:fill="FFFFFF"/>
          <w:lang w:val="ru-RU"/>
        </w:rPr>
        <w:t xml:space="preserve"> </w:t>
      </w:r>
      <w:r w:rsidRPr="00521165">
        <w:rPr>
          <w:spacing w:val="-2"/>
          <w:szCs w:val="18"/>
          <w:lang w:val="ru-RU"/>
        </w:rPr>
        <w:t>Один из Советников предлагает повысить эффективность открытых консультаций, а два других Советника соглашаются с тем, что следует укреплять взаимосвязь между открытыми консультациями и результатами деятельности по существу, с тем чтобы более эффективно содействовать решению вопросов государственной политики, связанных с интернетом. Еще один Советник предлагает, чтобы РГС-Интернет эффективно использовала вклады, поступающие в процессе открытых консультаций, для разработки итоговых документов по существу, и чтобы она продемонстрировала гибкость в своих методах работы.</w:t>
      </w:r>
    </w:p>
    <w:p w14:paraId="60F72898" w14:textId="566A916D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5.4</w:t>
      </w:r>
      <w:r w:rsidRPr="001204BE">
        <w:rPr>
          <w:szCs w:val="18"/>
          <w:lang w:val="ru-RU"/>
        </w:rPr>
        <w:tab/>
        <w:t>Один из Советников отмечает, что итоги ВВУИО+20 тесно связаны с работой РГС</w:t>
      </w:r>
      <w:r w:rsidR="00541554" w:rsidRPr="001204BE">
        <w:rPr>
          <w:szCs w:val="18"/>
          <w:lang w:val="ru-RU"/>
        </w:rPr>
        <w:noBreakHyphen/>
      </w:r>
      <w:r w:rsidRPr="001204BE">
        <w:rPr>
          <w:szCs w:val="18"/>
          <w:lang w:val="ru-RU"/>
        </w:rPr>
        <w:t>Интернет. Поэтому Рабочей группе, возможно, следует принять во внимание ключевые вопросы, выделенные в итоговом документе ВВУИО+20, а именно появляющиеся технологии и охват цифровыми технологиями. Предлагается также рассмотреть такие вопросы, как участие молодежи, цифровое доверие и возможность установления соединений для всех. Некоторые Советники также выражают поддержку представлению на сессии Совета 2027 года не имеющей обязательной силы тематической основы. Другие Советники соглашаются с тем, что следует уделять особое внимание потребностям наименее развитых стран, развивающихся стран, не имеющих выхода к морю, и малых островных развивающихся государств для содействия обеспечению реальной возможности установления соединений, всеохватному участию развивающихся стран и решению возникающих проблем в области управления использованием интернета. Вместе с тем Совету не следует предвосхищать решения ПК-26 по РГС-Интернет, в том числе касающиеся работы в следующем цикле.</w:t>
      </w:r>
    </w:p>
    <w:p w14:paraId="04DD3799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5.5</w:t>
      </w:r>
      <w:r w:rsidRPr="001204BE">
        <w:rPr>
          <w:szCs w:val="18"/>
          <w:lang w:val="ru-RU"/>
        </w:rPr>
        <w:tab/>
        <w:t>Один из Советников говорит, что его страна не убеждена в ценности РГС-Интернет, при этом он отмечает, что многие темы, обсуждаемые в ходе открытых консультаций, рассматриваются на других форумах. Он выражает надежду на дальнейшее рассмотрение работы и мандата РГС-Интернет на ПК-26. Другой Советник, однако, придерживается мнения, что РГС-Интернет в ее нынешней форме остается практичным и жизнеспособным механизмом, особенно для развивающихся стран.</w:t>
      </w:r>
    </w:p>
    <w:p w14:paraId="35AA9D08" w14:textId="022506F0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5.6</w:t>
      </w:r>
      <w:r w:rsidRPr="001204BE">
        <w:rPr>
          <w:szCs w:val="18"/>
          <w:lang w:val="ru-RU"/>
        </w:rPr>
        <w:tab/>
        <w:t>Различные Советники благодарят Государства-Члены за представление Документов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>C26/94, C26/99 и C26/101(Rev.1), в которых рассматриваются проблемы, вызывающие обеспокоенность многих Государств-Членов, особенно развивающихся стран, и излагается ряд интересных предложений, которые могут повысить эффективность и результативность работы РГС-Интернет. Вместе с тем один из Советников подчеркивает, что мандат РГС-Интернет должен быть определен ПК-26, и Совету не следует исходить из того, что она продолжит свою деятельность. Совету следует принять к сведению вклады Государств-Членов, которые следует представить ПК-26 для дальнейшего рассмотрения. Еще один Советник соглашается с тем, что предметное обсуждение будущего мандата рабочей группы следует отложить до окончания ПК-26.</w:t>
      </w:r>
    </w:p>
    <w:p w14:paraId="6D571B70" w14:textId="5AFC8AE8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5.7</w:t>
      </w:r>
      <w:r w:rsidRPr="001204BE">
        <w:rPr>
          <w:szCs w:val="18"/>
          <w:lang w:val="ru-RU"/>
        </w:rPr>
        <w:tab/>
        <w:t>Один из Советников заявляет, что он не поддерживает предложение приложить Документ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>C26/99 к Документу C26/52 для представления ПК-26. Содержащиеся в нем рекомендации не рассматривались РГС-Интернет и не отражают мнения всех Государств-</w:t>
      </w:r>
      <w:r w:rsidRPr="001204BE">
        <w:rPr>
          <w:szCs w:val="18"/>
          <w:lang w:val="ru-RU"/>
        </w:rPr>
        <w:lastRenderedPageBreak/>
        <w:t>Членов. Кроме того, поскольку Документ C26/99 был представлен после завершения РГС</w:t>
      </w:r>
      <w:r w:rsidR="00541554" w:rsidRPr="001204BE">
        <w:rPr>
          <w:szCs w:val="18"/>
          <w:lang w:val="ru-RU"/>
        </w:rPr>
        <w:noBreakHyphen/>
      </w:r>
      <w:r w:rsidRPr="001204BE">
        <w:rPr>
          <w:szCs w:val="18"/>
          <w:lang w:val="ru-RU"/>
        </w:rPr>
        <w:t>Интернет своей работы в этом цикле, он выходит за рамки сферы охвата отчета. Документ</w:t>
      </w:r>
      <w:r w:rsidR="00541554" w:rsidRPr="001204BE">
        <w:rPr>
          <w:szCs w:val="18"/>
          <w:lang w:val="ru-RU"/>
        </w:rPr>
        <w:t> </w:t>
      </w:r>
      <w:r w:rsidRPr="001204BE">
        <w:rPr>
          <w:szCs w:val="18"/>
          <w:lang w:val="ru-RU"/>
        </w:rPr>
        <w:t>C26/99 следует просто принять к сведению. Несколько Советников соглашаются с тем, что отчет, содержащийся в Документе C26/52, следует представить ПК-26 без добавления каких-либо новых приложений.</w:t>
      </w:r>
    </w:p>
    <w:p w14:paraId="41C4883B" w14:textId="77777777" w:rsidR="00D042C1" w:rsidRPr="001204BE" w:rsidRDefault="00D042C1" w:rsidP="00521165">
      <w:pPr>
        <w:jc w:val="both"/>
        <w:rPr>
          <w:spacing w:val="-2"/>
          <w:szCs w:val="18"/>
          <w:lang w:val="ru-RU"/>
        </w:rPr>
      </w:pPr>
      <w:r w:rsidRPr="001204BE">
        <w:rPr>
          <w:spacing w:val="-2"/>
          <w:szCs w:val="18"/>
          <w:lang w:val="ru-RU"/>
        </w:rPr>
        <w:t>5.8</w:t>
      </w:r>
      <w:r w:rsidRPr="001204BE">
        <w:rPr>
          <w:spacing w:val="-2"/>
          <w:szCs w:val="18"/>
          <w:lang w:val="ru-RU"/>
        </w:rPr>
        <w:tab/>
        <w:t>Ряд Советников говорят, что они не поддерживают Документ C26/94, который, по их мнению, противоречит модели управления использованием интернета с участием многих заинтересованных сторон, которая является наиболее эффективным и обоснованным средством надзора за стабильностью и развитием интернета. Было бы нецелесообразно, чтобы рабочая группа, в состав которой в настоящее время входят только заинтересованные стороны из числа государственных структур, разрабатывала рекомендации по оперативному управлению использованием интернета, поскольку такие вопросы полностью относятся к компетенции глобального сообщества многих заинтересованных сторон. Такие действия могут привести к дублированию и фрагментации и подорвать существующие процессы с участием многих заинтересованных сторон, а также стабильность, устойчивость и функциональную совместимость интернета. Кроме того, вопросы, касающиеся так называемых преднамеренных нарушений возможности установления соединений, могут обсуждаться в рамках направления работы по устойчивости подводных кабелей.</w:t>
      </w:r>
    </w:p>
    <w:p w14:paraId="2BAB12AE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5.9</w:t>
      </w:r>
      <w:r w:rsidRPr="001204BE">
        <w:rPr>
          <w:szCs w:val="18"/>
          <w:lang w:val="ru-RU"/>
        </w:rPr>
        <w:tab/>
        <w:t>Вместе с тем еще один Советник отмечает, что регулирование вопросов государственной политики, связанных с интернетом, является суверенным правом государств, как это изложено в пункте 35 Тунисской программы для информационного общества ВВУИО. Управление использованием интернета должно быть демократическим и основываться на Уставе Организации Объединенных Наций и международном праве. Необходимо избегать политизации технических вопросов, создать открытую для всех среду для развивающихся стран и признать право на развитие, передачу технологий и охват цифровыми технологиями. Необходим четкий и ориентированный на результаты план работы РГС-Интернет.</w:t>
      </w:r>
    </w:p>
    <w:p w14:paraId="5CF86F7B" w14:textId="77777777" w:rsidR="00D042C1" w:rsidRPr="001204BE" w:rsidRDefault="00D042C1" w:rsidP="00521165">
      <w:pPr>
        <w:jc w:val="both"/>
        <w:rPr>
          <w:szCs w:val="18"/>
          <w:lang w:val="ru-RU"/>
        </w:rPr>
      </w:pPr>
      <w:r w:rsidRPr="001204BE">
        <w:rPr>
          <w:szCs w:val="18"/>
          <w:lang w:val="ru-RU"/>
        </w:rPr>
        <w:t>5.10</w:t>
      </w:r>
      <w:r w:rsidRPr="001204BE">
        <w:rPr>
          <w:szCs w:val="18"/>
          <w:lang w:val="ru-RU"/>
        </w:rPr>
        <w:tab/>
        <w:t xml:space="preserve">Совет </w:t>
      </w:r>
      <w:r w:rsidRPr="001204BE">
        <w:rPr>
          <w:b/>
          <w:bCs/>
          <w:szCs w:val="18"/>
          <w:lang w:val="ru-RU"/>
        </w:rPr>
        <w:t>принимает к сведению</w:t>
      </w:r>
      <w:r w:rsidRPr="001204BE">
        <w:rPr>
          <w:szCs w:val="18"/>
          <w:lang w:val="ru-RU"/>
        </w:rPr>
        <w:t xml:space="preserve"> четырехгодичный отчет РГС-Интернет, содержащийся в Документе C26/52, и </w:t>
      </w:r>
      <w:r w:rsidRPr="001204BE">
        <w:rPr>
          <w:b/>
          <w:bCs/>
          <w:szCs w:val="18"/>
          <w:lang w:val="ru-RU"/>
        </w:rPr>
        <w:t>принимает решение</w:t>
      </w:r>
      <w:r w:rsidRPr="001204BE">
        <w:rPr>
          <w:szCs w:val="18"/>
          <w:lang w:val="ru-RU"/>
        </w:rPr>
        <w:t xml:space="preserve"> передать ПК-26 выраженные по нему мнения; а также </w:t>
      </w:r>
      <w:r w:rsidRPr="001204BE">
        <w:rPr>
          <w:b/>
          <w:bCs/>
          <w:szCs w:val="18"/>
          <w:lang w:val="ru-RU"/>
        </w:rPr>
        <w:t>принимает к сведению</w:t>
      </w:r>
      <w:r w:rsidRPr="001204BE">
        <w:rPr>
          <w:szCs w:val="18"/>
          <w:lang w:val="ru-RU"/>
        </w:rPr>
        <w:t xml:space="preserve"> вклады, содержащиеся в Документах C26/94, C26/99 и C26/101(Rev.1).</w:t>
      </w:r>
    </w:p>
    <w:p w14:paraId="41D9AC75" w14:textId="65A2EF6E" w:rsidR="00D042C1" w:rsidRPr="001204BE" w:rsidRDefault="00D042C1" w:rsidP="00D042C1">
      <w:pPr>
        <w:pStyle w:val="Heading1"/>
        <w:rPr>
          <w:szCs w:val="26"/>
          <w:lang w:val="ru-RU"/>
        </w:rPr>
      </w:pPr>
      <w:bookmarkStart w:id="8" w:name="_Hlk201249041"/>
      <w:r w:rsidRPr="001204BE">
        <w:rPr>
          <w:szCs w:val="26"/>
          <w:lang w:val="ru-RU"/>
        </w:rPr>
        <w:t>6</w:t>
      </w:r>
      <w:r w:rsidRPr="001204BE">
        <w:rPr>
          <w:szCs w:val="26"/>
          <w:lang w:val="ru-RU"/>
        </w:rPr>
        <w:tab/>
        <w:t>Деятельность МСЭ в области интернета: Резолюции 101, 102, 133, 180 и</w:t>
      </w:r>
      <w:r w:rsidR="00541554" w:rsidRPr="001204BE">
        <w:rPr>
          <w:szCs w:val="26"/>
          <w:lang w:val="ru-RU"/>
        </w:rPr>
        <w:t> </w:t>
      </w:r>
      <w:r w:rsidRPr="001204BE">
        <w:rPr>
          <w:szCs w:val="26"/>
          <w:lang w:val="ru-RU"/>
        </w:rPr>
        <w:t xml:space="preserve">206 Полномочной конференции (Документ </w:t>
      </w:r>
      <w:hyperlink r:id="rId25">
        <w:r w:rsidRPr="001204BE">
          <w:rPr>
            <w:rStyle w:val="Hyperlink"/>
            <w:szCs w:val="26"/>
            <w:lang w:val="ru-RU"/>
          </w:rPr>
          <w:t>C26/33</w:t>
        </w:r>
      </w:hyperlink>
      <w:r w:rsidRPr="001204BE">
        <w:rPr>
          <w:szCs w:val="26"/>
          <w:lang w:val="ru-RU"/>
        </w:rPr>
        <w:t>)</w:t>
      </w:r>
    </w:p>
    <w:p w14:paraId="56B9D81F" w14:textId="1C34DF64" w:rsidR="00D042C1" w:rsidRPr="001204BE" w:rsidRDefault="00D042C1" w:rsidP="00521165">
      <w:pPr>
        <w:jc w:val="both"/>
        <w:rPr>
          <w:rFonts w:cs="Calibri"/>
          <w:szCs w:val="22"/>
          <w:lang w:val="ru-RU"/>
        </w:rPr>
      </w:pPr>
      <w:r w:rsidRPr="001204BE">
        <w:rPr>
          <w:rFonts w:cs="Calibri"/>
          <w:szCs w:val="22"/>
          <w:lang w:val="ru-RU"/>
        </w:rPr>
        <w:t>6.1</w:t>
      </w:r>
      <w:r w:rsidRPr="001204BE">
        <w:rPr>
          <w:rFonts w:cs="Calibri"/>
          <w:szCs w:val="22"/>
          <w:lang w:val="ru-RU"/>
        </w:rPr>
        <w:tab/>
        <w:t>Представитель Генерального секретариата представляет Документ C25/33, в котором содержится отчет о деятельности МСЭ, связанной с Резолюцией 101 (Пересм. Бухарест, 2022</w:t>
      </w:r>
      <w:r w:rsidR="00541554" w:rsidRPr="001204BE">
        <w:rPr>
          <w:rFonts w:cs="Calibri"/>
          <w:szCs w:val="22"/>
          <w:lang w:val="ru-RU"/>
        </w:rPr>
        <w:t> </w:t>
      </w:r>
      <w:r w:rsidRPr="001204BE">
        <w:rPr>
          <w:rFonts w:cs="Calibri"/>
          <w:szCs w:val="22"/>
          <w:lang w:val="ru-RU"/>
        </w:rPr>
        <w:t>г.) о сетях, базирующихся на протоколе Интернет, Резолюцией 102 (Пересм. Бухарест, 2022 г.) о роли МСЭ в вопросах международной государственной политики, касающихся интернета и управления ресурсами интернета, включая наименования доменов и адреса, Резолюцией</w:t>
      </w:r>
      <w:r w:rsidR="00541554" w:rsidRPr="001204BE">
        <w:rPr>
          <w:rFonts w:cs="Calibri"/>
          <w:szCs w:val="22"/>
          <w:lang w:val="ru-RU"/>
        </w:rPr>
        <w:t> </w:t>
      </w:r>
      <w:r w:rsidRPr="001204BE">
        <w:rPr>
          <w:rFonts w:cs="Calibri"/>
          <w:szCs w:val="22"/>
          <w:lang w:val="ru-RU"/>
        </w:rPr>
        <w:t>133 (Пересм. Бухарест, 2022 г.) о роли администраций Государств-Членов в управлении интернационализированными (многоязычными) наименованиями доменов, Резолюцией</w:t>
      </w:r>
      <w:r w:rsidR="00541554" w:rsidRPr="001204BE">
        <w:rPr>
          <w:rFonts w:cs="Calibri"/>
          <w:szCs w:val="22"/>
          <w:lang w:val="ru-RU"/>
        </w:rPr>
        <w:t> </w:t>
      </w:r>
      <w:r w:rsidRPr="001204BE">
        <w:rPr>
          <w:rFonts w:cs="Calibri"/>
          <w:szCs w:val="22"/>
          <w:lang w:val="ru-RU"/>
        </w:rPr>
        <w:t>180 (Пересм. Бухарест, 2022 г.) о содействии внедрению протокола Интернет версии 6 (IPv6) и Резолюцией</w:t>
      </w:r>
      <w:r w:rsidR="00541554" w:rsidRPr="001204BE">
        <w:rPr>
          <w:rFonts w:cs="Calibri"/>
          <w:szCs w:val="22"/>
          <w:lang w:val="ru-RU"/>
        </w:rPr>
        <w:t> </w:t>
      </w:r>
      <w:r w:rsidRPr="001204BE">
        <w:rPr>
          <w:rFonts w:cs="Calibri"/>
          <w:szCs w:val="22"/>
          <w:lang w:val="ru-RU"/>
        </w:rPr>
        <w:t>206 (Дубай, 2018 г.) Полномочной конференции об OTT.</w:t>
      </w:r>
    </w:p>
    <w:p w14:paraId="32A51260" w14:textId="77777777" w:rsidR="00D042C1" w:rsidRPr="001204BE" w:rsidRDefault="00D042C1" w:rsidP="00521165">
      <w:pPr>
        <w:jc w:val="both"/>
        <w:rPr>
          <w:rFonts w:cs="Calibri"/>
          <w:szCs w:val="22"/>
          <w:lang w:val="ru-RU"/>
        </w:rPr>
      </w:pPr>
      <w:r w:rsidRPr="001204BE">
        <w:rPr>
          <w:rFonts w:cs="Calibri"/>
          <w:szCs w:val="22"/>
          <w:lang w:val="ru-RU"/>
        </w:rPr>
        <w:t>6.2</w:t>
      </w:r>
      <w:r w:rsidRPr="001204BE">
        <w:rPr>
          <w:rFonts w:cs="Calibri"/>
          <w:szCs w:val="22"/>
          <w:lang w:val="ru-RU"/>
        </w:rPr>
        <w:tab/>
        <w:t>Советники дают высокую оценку отчету, в котором отражен масштаб связанной с интернетом деятельности, осуществляемой Союзом.</w:t>
      </w:r>
      <w:r w:rsidRPr="001204BE">
        <w:rPr>
          <w:color w:val="333333"/>
          <w:sz w:val="26"/>
          <w:szCs w:val="26"/>
          <w:shd w:val="clear" w:color="auto" w:fill="FFFFFF"/>
          <w:lang w:val="ru-RU"/>
        </w:rPr>
        <w:t xml:space="preserve"> </w:t>
      </w:r>
      <w:r w:rsidRPr="001204BE">
        <w:rPr>
          <w:rFonts w:cs="Calibri"/>
          <w:szCs w:val="22"/>
          <w:lang w:val="ru-RU"/>
        </w:rPr>
        <w:t>Несколько Советников подчеркивают важность содействия внедрению IPv6, которое имеет решающее значение как для расширения цифровизации, так и для обеспечения реальной возможности установления соединений.</w:t>
      </w:r>
    </w:p>
    <w:p w14:paraId="01BEC30C" w14:textId="77777777" w:rsidR="00D042C1" w:rsidRPr="001204BE" w:rsidRDefault="00D042C1" w:rsidP="00521165">
      <w:pPr>
        <w:jc w:val="both"/>
        <w:rPr>
          <w:rFonts w:cs="Calibri"/>
          <w:szCs w:val="18"/>
          <w:lang w:val="ru-RU"/>
        </w:rPr>
      </w:pPr>
      <w:r w:rsidRPr="001204BE">
        <w:rPr>
          <w:rFonts w:cs="Calibri"/>
          <w:szCs w:val="18"/>
          <w:lang w:val="ru-RU"/>
        </w:rPr>
        <w:t>6.3</w:t>
      </w:r>
      <w:r w:rsidRPr="001204BE">
        <w:rPr>
          <w:szCs w:val="18"/>
          <w:lang w:val="ru-RU"/>
        </w:rPr>
        <w:tab/>
      </w:r>
      <w:r w:rsidRPr="001204BE">
        <w:rPr>
          <w:rFonts w:cs="Calibri"/>
          <w:szCs w:val="18"/>
          <w:lang w:val="ru-RU"/>
        </w:rPr>
        <w:t xml:space="preserve">Один из Советников предлагает включить и другую работу, проводимую в рамках Сектора радиосвязи и Сектора стандартизации электросвязи МСЭ, например, по IMT-2030, новым и появляющимся оптическим транспортным технологиям, международным оптическим </w:t>
      </w:r>
      <w:r w:rsidRPr="001204BE">
        <w:rPr>
          <w:rFonts w:cs="Calibri"/>
          <w:szCs w:val="18"/>
          <w:lang w:val="ru-RU"/>
        </w:rPr>
        <w:lastRenderedPageBreak/>
        <w:t>сетям на период до 2030 года и далее (ION-2030), подводной кабельной инфраструктуре, а также спутниковой связи. Это будет способствовать популяризации той ценной работы, которая выполняется в рамках МСЭ на уровне Организации Объединенных Наций.</w:t>
      </w:r>
    </w:p>
    <w:p w14:paraId="0E4D527E" w14:textId="77777777" w:rsidR="00D042C1" w:rsidRPr="001204BE" w:rsidRDefault="00D042C1" w:rsidP="00521165">
      <w:pPr>
        <w:jc w:val="both"/>
        <w:rPr>
          <w:rFonts w:cs="Calibri"/>
          <w:szCs w:val="22"/>
          <w:lang w:val="ru-RU"/>
        </w:rPr>
      </w:pPr>
      <w:r w:rsidRPr="001204BE">
        <w:rPr>
          <w:rFonts w:cs="Calibri"/>
          <w:szCs w:val="22"/>
          <w:lang w:val="ru-RU"/>
        </w:rPr>
        <w:t>6.4</w:t>
      </w:r>
      <w:r w:rsidRPr="001204BE">
        <w:rPr>
          <w:rFonts w:cs="Calibri"/>
          <w:szCs w:val="22"/>
          <w:lang w:val="ru-RU"/>
        </w:rPr>
        <w:tab/>
        <w:t>Несколько Советников предлагают включать в будущие отчеты прямые ссылки на поручения, содержащиеся в Резолюциях, упомянутых в этом документе, и сообщать о прогрессе, или его отсутствии, в выполнении этих поручений, с тем чтобы дать Государствам-Членам более четкое представление о работе, проводимой по каждой Резолюции, и помочь им подготовиться к будущим конференциям и ассамблеям.</w:t>
      </w:r>
    </w:p>
    <w:p w14:paraId="476268EB" w14:textId="77777777" w:rsidR="00D042C1" w:rsidRPr="001204BE" w:rsidRDefault="00D042C1" w:rsidP="00521165">
      <w:pPr>
        <w:jc w:val="both"/>
        <w:rPr>
          <w:rFonts w:cs="Calibri"/>
          <w:szCs w:val="22"/>
          <w:lang w:val="ru-RU"/>
        </w:rPr>
      </w:pPr>
      <w:r w:rsidRPr="001204BE">
        <w:rPr>
          <w:rFonts w:cs="Calibri"/>
          <w:szCs w:val="22"/>
          <w:lang w:val="ru-RU"/>
        </w:rPr>
        <w:t>6.5</w:t>
      </w:r>
      <w:r w:rsidRPr="001204BE">
        <w:rPr>
          <w:rFonts w:cs="Calibri"/>
          <w:szCs w:val="22"/>
          <w:lang w:val="ru-RU"/>
        </w:rPr>
        <w:tab/>
        <w:t>Советник от Кубы говорит, что п. 2.8 Документа C26/33 не содержит исчерпывающего перечня инцидентов, охватываемых Резолюцией 69 (Пересм. Хаммамет, 2016 г.) Всемирной ассамблеи по стандартизации электросвязи о доступе к ресурсам интернета и их использовании на недискриминационной основе. Вследствие односторонних действий доступ ко многим интернет-ресурсам и веб-сайтам на Кубе невозможен. Ее делегация представит перечень таких инцидентов, затрагивающих ее страну, который можно было бы включить в приложение к отчету. Она говорит, что следствием отсутствия доступа к таким ресурсам является отсутствие доступа к знаниям и специальным знаниям в области разработок, необходимых для цифровой трансформации. Кроме того, это ограничивает развитие сетевой инфраструктуры и новых технологий, которые могли бы помочь удовлетворить потребности населения Кубы в услугах интернета, трафике и качестве обслуживания, и при этом затрагивает социально-экономическое развитие в более широком плане.</w:t>
      </w:r>
    </w:p>
    <w:p w14:paraId="255FD23E" w14:textId="77777777" w:rsidR="00D042C1" w:rsidRPr="001204BE" w:rsidRDefault="00D042C1" w:rsidP="00521165">
      <w:pPr>
        <w:jc w:val="both"/>
        <w:rPr>
          <w:rFonts w:cs="Calibri"/>
          <w:szCs w:val="22"/>
          <w:lang w:val="ru-RU"/>
        </w:rPr>
      </w:pPr>
      <w:r w:rsidRPr="001204BE">
        <w:rPr>
          <w:rFonts w:cs="Calibri"/>
          <w:szCs w:val="22"/>
          <w:lang w:val="ru-RU"/>
        </w:rPr>
        <w:t>6.6</w:t>
      </w:r>
      <w:r w:rsidRPr="001204BE">
        <w:rPr>
          <w:rFonts w:cs="Calibri"/>
          <w:szCs w:val="22"/>
          <w:lang w:val="ru-RU"/>
        </w:rPr>
        <w:tab/>
        <w:t>Представитель Генерального секретариата благодарит Советников за их замечания, отмечает, что все вклады были получены, и указывает, что они будут учтены при подготовке последующих отчетов.</w:t>
      </w:r>
    </w:p>
    <w:p w14:paraId="68116A50" w14:textId="3C22BCCE" w:rsidR="00D042C1" w:rsidRPr="001204BE" w:rsidRDefault="00D042C1" w:rsidP="00521165">
      <w:pPr>
        <w:jc w:val="both"/>
        <w:rPr>
          <w:lang w:val="ru-RU"/>
        </w:rPr>
      </w:pPr>
      <w:r w:rsidRPr="001204BE">
        <w:rPr>
          <w:rFonts w:cs="Calibri"/>
          <w:szCs w:val="22"/>
          <w:lang w:val="ru-RU"/>
        </w:rPr>
        <w:t>6.7</w:t>
      </w:r>
      <w:r w:rsidRPr="001204BE">
        <w:rPr>
          <w:rFonts w:cs="Calibri"/>
          <w:szCs w:val="22"/>
          <w:lang w:val="ru-RU"/>
        </w:rPr>
        <w:tab/>
      </w:r>
      <w:bookmarkEnd w:id="8"/>
      <w:r w:rsidRPr="001204BE">
        <w:rPr>
          <w:rFonts w:cs="Calibri"/>
          <w:szCs w:val="22"/>
          <w:lang w:val="ru-RU"/>
        </w:rPr>
        <w:t xml:space="preserve">Совет </w:t>
      </w:r>
      <w:r w:rsidRPr="001204BE">
        <w:rPr>
          <w:rFonts w:cs="Calibri"/>
          <w:b/>
          <w:bCs/>
          <w:szCs w:val="22"/>
          <w:lang w:val="ru-RU"/>
        </w:rPr>
        <w:t>принимает к сведению</w:t>
      </w:r>
      <w:r w:rsidRPr="001204BE">
        <w:rPr>
          <w:rFonts w:cs="Calibri"/>
          <w:szCs w:val="22"/>
          <w:lang w:val="ru-RU"/>
        </w:rPr>
        <w:t xml:space="preserve"> отчет, содержащийся в Документе C26/33, и </w:t>
      </w:r>
      <w:r w:rsidRPr="001204BE">
        <w:rPr>
          <w:rFonts w:cs="Calibri"/>
          <w:b/>
          <w:bCs/>
          <w:szCs w:val="22"/>
          <w:lang w:val="ru-RU"/>
        </w:rPr>
        <w:t>предлагает</w:t>
      </w:r>
      <w:r w:rsidRPr="001204BE">
        <w:rPr>
          <w:rFonts w:cs="Calibri"/>
          <w:szCs w:val="22"/>
          <w:lang w:val="ru-RU"/>
        </w:rPr>
        <w:t xml:space="preserve"> Государствам − Членам Совета представлять любые мнения в письменном виде до 12 час. 00 мин. (по женевскому времени) понедельника, 4 мая 2026 года, с тем чтобы передать отчет Генеральному секретарю Организации Объединенных Наций вместе с подборкой мнений Государств − Членов Совета, соответствующими краткими отчетами и сопроводительной запиской.</w:t>
      </w:r>
    </w:p>
    <w:p w14:paraId="4E1EF5CC" w14:textId="68B6C37C" w:rsidR="00AE69DD" w:rsidRPr="001204BE" w:rsidRDefault="00AE69DD" w:rsidP="00AE69DD">
      <w:pPr>
        <w:pStyle w:val="paragraph"/>
        <w:tabs>
          <w:tab w:val="left" w:pos="6237"/>
        </w:tabs>
        <w:spacing w:before="84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  <w:lang w:val="ru-RU"/>
        </w:rPr>
      </w:pPr>
      <w:r w:rsidRPr="001204BE">
        <w:rPr>
          <w:rFonts w:ascii="Calibri" w:hAnsi="Calibri" w:cs="Calibri"/>
          <w:sz w:val="22"/>
          <w:szCs w:val="22"/>
          <w:lang w:val="ru-RU"/>
        </w:rPr>
        <w:t>Генеральный секретарь:</w:t>
      </w:r>
      <w:r w:rsidRPr="001204BE">
        <w:rPr>
          <w:rFonts w:ascii="Calibri" w:hAnsi="Calibri" w:cs="Calibri"/>
          <w:sz w:val="22"/>
          <w:szCs w:val="22"/>
          <w:lang w:val="ru-RU"/>
        </w:rPr>
        <w:tab/>
        <w:t>Председатель:</w:t>
      </w:r>
      <w:r w:rsidRPr="001204BE">
        <w:rPr>
          <w:rFonts w:ascii="Calibri" w:hAnsi="Calibri" w:cs="Calibri"/>
          <w:sz w:val="22"/>
          <w:szCs w:val="22"/>
          <w:lang w:val="ru-RU"/>
        </w:rPr>
        <w:br/>
        <w:t>Д. БОГДАН-МАРТИН</w:t>
      </w:r>
      <w:r w:rsidRPr="001204BE">
        <w:rPr>
          <w:rFonts w:ascii="Calibri" w:hAnsi="Calibri" w:cs="Calibri"/>
          <w:sz w:val="22"/>
          <w:szCs w:val="22"/>
          <w:lang w:val="ru-RU"/>
        </w:rPr>
        <w:tab/>
        <w:t>Б. ТИДЖАНИ</w:t>
      </w:r>
    </w:p>
    <w:sectPr w:rsidR="00AE69DD" w:rsidRPr="001204BE" w:rsidSect="00796BD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8721F" w14:textId="77777777" w:rsidR="00B51E5A" w:rsidRDefault="00B51E5A">
      <w:r>
        <w:separator/>
      </w:r>
    </w:p>
  </w:endnote>
  <w:endnote w:type="continuationSeparator" w:id="0">
    <w:p w14:paraId="22FF453F" w14:textId="77777777" w:rsidR="00B51E5A" w:rsidRDefault="00B5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10F6" w14:textId="77777777" w:rsidR="00521165" w:rsidRDefault="005211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024B4002" w14:textId="77777777" w:rsidTr="00E31DCE">
      <w:trPr>
        <w:jc w:val="center"/>
      </w:trPr>
      <w:tc>
        <w:tcPr>
          <w:tcW w:w="1803" w:type="dxa"/>
          <w:vAlign w:val="center"/>
        </w:tcPr>
        <w:p w14:paraId="25170FC1" w14:textId="737B05C8" w:rsidR="00672F8A" w:rsidRPr="008949C1" w:rsidRDefault="00D042C1" w:rsidP="00672F8A">
          <w:pPr>
            <w:pStyle w:val="Header"/>
            <w:jc w:val="left"/>
            <w:rPr>
              <w:noProof/>
              <w:lang w:val="en-US"/>
            </w:rPr>
          </w:pPr>
          <w:r w:rsidRPr="00D042C1">
            <w:rPr>
              <w:noProof/>
              <w:lang w:val="ru-RU"/>
            </w:rPr>
            <w:t>2601341</w:t>
          </w:r>
        </w:p>
      </w:tc>
      <w:tc>
        <w:tcPr>
          <w:tcW w:w="8261" w:type="dxa"/>
        </w:tcPr>
        <w:p w14:paraId="00C435A9" w14:textId="0F0C1817" w:rsidR="00672F8A" w:rsidRPr="00E06FD5" w:rsidRDefault="00672F8A" w:rsidP="00C462C5">
          <w:pPr>
            <w:pStyle w:val="Header"/>
            <w:tabs>
              <w:tab w:val="left" w:pos="644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Pr="00623AE3">
            <w:rPr>
              <w:bCs/>
            </w:rPr>
            <w:t>/</w:t>
          </w:r>
          <w:r w:rsidR="00AE69DD">
            <w:rPr>
              <w:bCs/>
              <w:lang w:val="ru-RU"/>
            </w:rPr>
            <w:t>1</w:t>
          </w:r>
          <w:r w:rsidR="007F69E3">
            <w:rPr>
              <w:bCs/>
              <w:lang w:val="en-US"/>
            </w:rPr>
            <w:t>2</w:t>
          </w:r>
          <w:r w:rsidR="00D042C1">
            <w:rPr>
              <w:bCs/>
              <w:lang w:val="en-US"/>
            </w:rPr>
            <w:t>1</w:t>
          </w:r>
          <w:r w:rsidRPr="00623AE3">
            <w:rPr>
              <w:bCs/>
            </w:rPr>
            <w:t>-</w:t>
          </w:r>
          <w:r w:rsidR="00165D06"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1BE33544" w14:textId="77777777" w:rsidR="000E568E" w:rsidRPr="00672F8A" w:rsidRDefault="000E568E" w:rsidP="00672F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5A72023B" w14:textId="77777777" w:rsidTr="00E31DCE">
      <w:trPr>
        <w:jc w:val="center"/>
      </w:trPr>
      <w:tc>
        <w:tcPr>
          <w:tcW w:w="1803" w:type="dxa"/>
          <w:vAlign w:val="center"/>
        </w:tcPr>
        <w:p w14:paraId="08485BE8" w14:textId="77777777" w:rsidR="00672F8A" w:rsidRDefault="00D631AA" w:rsidP="00672F8A">
          <w:pPr>
            <w:pStyle w:val="Header"/>
            <w:jc w:val="left"/>
            <w:rPr>
              <w:noProof/>
            </w:rPr>
          </w:pPr>
          <w:hyperlink r:id="rId1" w:anchor="/ru" w:history="1">
            <w:r w:rsidRPr="00BE00DD">
              <w:rPr>
                <w:rStyle w:val="Hyperlink"/>
                <w:szCs w:val="14"/>
              </w:rPr>
              <w:t>council.itu.int/202</w:t>
            </w:r>
            <w:r w:rsidR="00BE00DD" w:rsidRPr="00BE00DD">
              <w:rPr>
                <w:rStyle w:val="Hyperlink"/>
                <w:szCs w:val="14"/>
              </w:rPr>
              <w:t>6</w:t>
            </w:r>
          </w:hyperlink>
          <w:r w:rsidR="00BE00DD">
            <w:rPr>
              <w:color w:val="0563C1"/>
              <w:szCs w:val="14"/>
            </w:rPr>
            <w:t xml:space="preserve"> </w:t>
          </w:r>
        </w:p>
      </w:tc>
      <w:tc>
        <w:tcPr>
          <w:tcW w:w="8261" w:type="dxa"/>
        </w:tcPr>
        <w:p w14:paraId="5AFA96A4" w14:textId="5696F6E8" w:rsidR="00672F8A" w:rsidRPr="00E06FD5" w:rsidRDefault="00672F8A" w:rsidP="00C462C5">
          <w:pPr>
            <w:pStyle w:val="Header"/>
            <w:tabs>
              <w:tab w:val="left" w:pos="644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Pr="00623AE3">
            <w:rPr>
              <w:bCs/>
            </w:rPr>
            <w:t>/</w:t>
          </w:r>
          <w:r w:rsidR="00AE69DD">
            <w:rPr>
              <w:bCs/>
              <w:lang w:val="ru-RU"/>
            </w:rPr>
            <w:t>1</w:t>
          </w:r>
          <w:r w:rsidR="007F69E3">
            <w:rPr>
              <w:bCs/>
              <w:lang w:val="en-US"/>
            </w:rPr>
            <w:t>2</w:t>
          </w:r>
          <w:r w:rsidR="00D042C1">
            <w:rPr>
              <w:bCs/>
              <w:lang w:val="en-US"/>
            </w:rPr>
            <w:t>1</w:t>
          </w:r>
          <w:r w:rsidRPr="00623AE3">
            <w:rPr>
              <w:bCs/>
            </w:rPr>
            <w:t>-</w:t>
          </w:r>
          <w:r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62CC8220" w14:textId="77777777" w:rsidR="000E568E" w:rsidRPr="00672F8A" w:rsidRDefault="000E568E" w:rsidP="00672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1F48A" w14:textId="77777777" w:rsidR="00B51E5A" w:rsidRDefault="00B51E5A">
      <w:r>
        <w:t>____________________</w:t>
      </w:r>
    </w:p>
  </w:footnote>
  <w:footnote w:type="continuationSeparator" w:id="0">
    <w:p w14:paraId="6CD2DE18" w14:textId="77777777" w:rsidR="00B51E5A" w:rsidRDefault="00B51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35365" w14:textId="77777777" w:rsidR="00521165" w:rsidRDefault="00521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E919" w14:textId="77777777" w:rsidR="00521165" w:rsidRDefault="005211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1AD0" w14:textId="77777777" w:rsidR="0014229E" w:rsidRPr="007E5FC4" w:rsidRDefault="00244C39" w:rsidP="00A74304">
    <w:pPr>
      <w:pStyle w:val="Header"/>
      <w:spacing w:before="60"/>
      <w:ind w:left="113"/>
      <w:jc w:val="left"/>
    </w:pPr>
    <w:r>
      <w:rPr>
        <w:noProof/>
      </w:rPr>
      <w:drawing>
        <wp:inline distT="0" distB="0" distL="0" distR="0" wp14:anchorId="733FC1F1" wp14:editId="3404D13B">
          <wp:extent cx="3992140" cy="720000"/>
          <wp:effectExtent l="0" t="0" r="0" b="0"/>
          <wp:docPr id="5012727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72706" name="Picture 501272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214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469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DD"/>
    <w:rsid w:val="00005BE0"/>
    <w:rsid w:val="0002183E"/>
    <w:rsid w:val="000569B4"/>
    <w:rsid w:val="0006007D"/>
    <w:rsid w:val="00080E82"/>
    <w:rsid w:val="000934DD"/>
    <w:rsid w:val="000A10CA"/>
    <w:rsid w:val="000B2DE7"/>
    <w:rsid w:val="000B4E93"/>
    <w:rsid w:val="000E568E"/>
    <w:rsid w:val="001111E0"/>
    <w:rsid w:val="001204BE"/>
    <w:rsid w:val="0014229E"/>
    <w:rsid w:val="0014734F"/>
    <w:rsid w:val="00156890"/>
    <w:rsid w:val="0015710D"/>
    <w:rsid w:val="00163A32"/>
    <w:rsid w:val="00165D06"/>
    <w:rsid w:val="00192B41"/>
    <w:rsid w:val="001B7B09"/>
    <w:rsid w:val="001E6719"/>
    <w:rsid w:val="001E7F50"/>
    <w:rsid w:val="001F4406"/>
    <w:rsid w:val="00225368"/>
    <w:rsid w:val="00227FF0"/>
    <w:rsid w:val="00244C39"/>
    <w:rsid w:val="0025006E"/>
    <w:rsid w:val="00276F05"/>
    <w:rsid w:val="00277DEA"/>
    <w:rsid w:val="00291EB6"/>
    <w:rsid w:val="002C3F32"/>
    <w:rsid w:val="002D2F57"/>
    <w:rsid w:val="002D48C5"/>
    <w:rsid w:val="0033025A"/>
    <w:rsid w:val="003421EC"/>
    <w:rsid w:val="00345D2A"/>
    <w:rsid w:val="00381936"/>
    <w:rsid w:val="00381A2B"/>
    <w:rsid w:val="003935CB"/>
    <w:rsid w:val="003F099E"/>
    <w:rsid w:val="003F235E"/>
    <w:rsid w:val="00401FD7"/>
    <w:rsid w:val="004023E0"/>
    <w:rsid w:val="00403DD8"/>
    <w:rsid w:val="004070A0"/>
    <w:rsid w:val="00425CA7"/>
    <w:rsid w:val="00431E4F"/>
    <w:rsid w:val="00442515"/>
    <w:rsid w:val="0045686C"/>
    <w:rsid w:val="00465C35"/>
    <w:rsid w:val="004918C4"/>
    <w:rsid w:val="00497703"/>
    <w:rsid w:val="004A0374"/>
    <w:rsid w:val="004A45B5"/>
    <w:rsid w:val="004D0129"/>
    <w:rsid w:val="00515795"/>
    <w:rsid w:val="00521165"/>
    <w:rsid w:val="00541554"/>
    <w:rsid w:val="005A64D5"/>
    <w:rsid w:val="005B3DEC"/>
    <w:rsid w:val="005E1CBF"/>
    <w:rsid w:val="00601994"/>
    <w:rsid w:val="00660449"/>
    <w:rsid w:val="00672F8A"/>
    <w:rsid w:val="006B33B5"/>
    <w:rsid w:val="006E1924"/>
    <w:rsid w:val="006E2D42"/>
    <w:rsid w:val="006F1265"/>
    <w:rsid w:val="00703676"/>
    <w:rsid w:val="00707304"/>
    <w:rsid w:val="00732269"/>
    <w:rsid w:val="00737E64"/>
    <w:rsid w:val="00762555"/>
    <w:rsid w:val="0077110E"/>
    <w:rsid w:val="00784980"/>
    <w:rsid w:val="00785ABD"/>
    <w:rsid w:val="00796BD3"/>
    <w:rsid w:val="007A2DD4"/>
    <w:rsid w:val="007C41F5"/>
    <w:rsid w:val="007D38B5"/>
    <w:rsid w:val="007E5FC4"/>
    <w:rsid w:val="007E7EA0"/>
    <w:rsid w:val="007F69E3"/>
    <w:rsid w:val="00807255"/>
    <w:rsid w:val="0081023E"/>
    <w:rsid w:val="008173AA"/>
    <w:rsid w:val="00840A14"/>
    <w:rsid w:val="0084546D"/>
    <w:rsid w:val="008949C1"/>
    <w:rsid w:val="008B62B4"/>
    <w:rsid w:val="008D2D7B"/>
    <w:rsid w:val="008E0737"/>
    <w:rsid w:val="008F7958"/>
    <w:rsid w:val="008F7C2C"/>
    <w:rsid w:val="00940E96"/>
    <w:rsid w:val="00950A82"/>
    <w:rsid w:val="00993A91"/>
    <w:rsid w:val="009A76A8"/>
    <w:rsid w:val="009B0BAE"/>
    <w:rsid w:val="009C1C89"/>
    <w:rsid w:val="009F3448"/>
    <w:rsid w:val="00A01CF9"/>
    <w:rsid w:val="00A01F4F"/>
    <w:rsid w:val="00A109AF"/>
    <w:rsid w:val="00A20B63"/>
    <w:rsid w:val="00A3481C"/>
    <w:rsid w:val="00A405F9"/>
    <w:rsid w:val="00A71773"/>
    <w:rsid w:val="00A74304"/>
    <w:rsid w:val="00A93103"/>
    <w:rsid w:val="00AA1D8E"/>
    <w:rsid w:val="00AE2C85"/>
    <w:rsid w:val="00AE69DD"/>
    <w:rsid w:val="00B0107F"/>
    <w:rsid w:val="00B12A37"/>
    <w:rsid w:val="00B41837"/>
    <w:rsid w:val="00B51E5A"/>
    <w:rsid w:val="00B63EF2"/>
    <w:rsid w:val="00B75591"/>
    <w:rsid w:val="00BA7D89"/>
    <w:rsid w:val="00BC0D39"/>
    <w:rsid w:val="00BC7BC0"/>
    <w:rsid w:val="00BD57B7"/>
    <w:rsid w:val="00BE00DD"/>
    <w:rsid w:val="00BE63E2"/>
    <w:rsid w:val="00C13AF5"/>
    <w:rsid w:val="00C462C5"/>
    <w:rsid w:val="00CD2009"/>
    <w:rsid w:val="00CF629C"/>
    <w:rsid w:val="00D042C1"/>
    <w:rsid w:val="00D17718"/>
    <w:rsid w:val="00D631AA"/>
    <w:rsid w:val="00D92EEA"/>
    <w:rsid w:val="00DA5D4E"/>
    <w:rsid w:val="00DA770A"/>
    <w:rsid w:val="00E05752"/>
    <w:rsid w:val="00E176BA"/>
    <w:rsid w:val="00E423EC"/>
    <w:rsid w:val="00E55121"/>
    <w:rsid w:val="00E86745"/>
    <w:rsid w:val="00EA429E"/>
    <w:rsid w:val="00EB4FCB"/>
    <w:rsid w:val="00EB6DBD"/>
    <w:rsid w:val="00EC6BC5"/>
    <w:rsid w:val="00F348D0"/>
    <w:rsid w:val="00F35898"/>
    <w:rsid w:val="00F5225B"/>
    <w:rsid w:val="00FC05A4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1A465"/>
  <w15:docId w15:val="{B24966EE-8B27-4AD8-B855-0FFD481B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71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1111E0"/>
    <w:pPr>
      <w:keepNext/>
      <w:keepLines/>
      <w:spacing w:before="36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227FF0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762555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227FF0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227FF0"/>
    <w:pPr>
      <w:outlineLvl w:val="4"/>
    </w:pPr>
  </w:style>
  <w:style w:type="paragraph" w:styleId="Heading6">
    <w:name w:val="heading 6"/>
    <w:basedOn w:val="Heading4"/>
    <w:next w:val="Normal"/>
    <w:qFormat/>
    <w:rsid w:val="00227FF0"/>
    <w:pPr>
      <w:outlineLvl w:val="5"/>
    </w:pPr>
  </w:style>
  <w:style w:type="paragraph" w:styleId="Heading7">
    <w:name w:val="heading 7"/>
    <w:basedOn w:val="Heading6"/>
    <w:next w:val="Normal"/>
    <w:qFormat/>
    <w:rsid w:val="00227FF0"/>
    <w:pPr>
      <w:outlineLvl w:val="6"/>
    </w:pPr>
  </w:style>
  <w:style w:type="paragraph" w:styleId="Heading8">
    <w:name w:val="heading 8"/>
    <w:basedOn w:val="Heading6"/>
    <w:next w:val="Normal"/>
    <w:qFormat/>
    <w:rsid w:val="00227FF0"/>
    <w:pPr>
      <w:outlineLvl w:val="7"/>
    </w:pPr>
  </w:style>
  <w:style w:type="paragraph" w:styleId="Heading9">
    <w:name w:val="heading 9"/>
    <w:basedOn w:val="Heading6"/>
    <w:next w:val="Normal"/>
    <w:qFormat/>
    <w:rsid w:val="00227FF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A405F9"/>
  </w:style>
  <w:style w:type="paragraph" w:styleId="TOC4">
    <w:name w:val="toc 4"/>
    <w:basedOn w:val="TOC1"/>
    <w:next w:val="Normal"/>
    <w:rsid w:val="00A405F9"/>
  </w:style>
  <w:style w:type="paragraph" w:styleId="TOC3">
    <w:name w:val="toc 3"/>
    <w:basedOn w:val="TOC1"/>
    <w:next w:val="Normal"/>
    <w:rsid w:val="00A405F9"/>
  </w:style>
  <w:style w:type="paragraph" w:styleId="TOC2">
    <w:name w:val="toc 2"/>
    <w:basedOn w:val="TOC1"/>
    <w:next w:val="Normal"/>
    <w:rsid w:val="00A405F9"/>
    <w:pPr>
      <w:spacing w:before="160"/>
    </w:pPr>
  </w:style>
  <w:style w:type="paragraph" w:styleId="TOC1">
    <w:name w:val="toc 1"/>
    <w:basedOn w:val="Normal"/>
    <w:rsid w:val="00A405F9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A405F9"/>
  </w:style>
  <w:style w:type="paragraph" w:styleId="TOC6">
    <w:name w:val="toc 6"/>
    <w:basedOn w:val="TOC5"/>
    <w:next w:val="Normal"/>
    <w:rsid w:val="00A405F9"/>
  </w:style>
  <w:style w:type="paragraph" w:styleId="TOC5">
    <w:name w:val="toc 5"/>
    <w:basedOn w:val="TOC4"/>
    <w:next w:val="Normal"/>
    <w:rsid w:val="00A405F9"/>
    <w:rPr>
      <w:lang w:val="fr-CH"/>
    </w:rPr>
  </w:style>
  <w:style w:type="paragraph" w:styleId="Index7">
    <w:name w:val="index 7"/>
    <w:basedOn w:val="Normal"/>
    <w:next w:val="Normal"/>
    <w:rsid w:val="00227FF0"/>
    <w:pPr>
      <w:ind w:left="1698"/>
    </w:pPr>
  </w:style>
  <w:style w:type="paragraph" w:styleId="Index6">
    <w:name w:val="index 6"/>
    <w:basedOn w:val="Normal"/>
    <w:next w:val="Normal"/>
    <w:rsid w:val="00227FF0"/>
    <w:pPr>
      <w:ind w:left="1415"/>
    </w:pPr>
  </w:style>
  <w:style w:type="paragraph" w:styleId="Index5">
    <w:name w:val="index 5"/>
    <w:basedOn w:val="Normal"/>
    <w:next w:val="Normal"/>
    <w:rsid w:val="00227FF0"/>
    <w:pPr>
      <w:ind w:left="1132"/>
    </w:pPr>
  </w:style>
  <w:style w:type="paragraph" w:styleId="Index4">
    <w:name w:val="index 4"/>
    <w:basedOn w:val="Normal"/>
    <w:next w:val="Normal"/>
    <w:rsid w:val="00227FF0"/>
    <w:pPr>
      <w:ind w:left="849"/>
    </w:pPr>
  </w:style>
  <w:style w:type="paragraph" w:styleId="Index3">
    <w:name w:val="index 3"/>
    <w:basedOn w:val="Normal"/>
    <w:next w:val="Normal"/>
    <w:rsid w:val="00227FF0"/>
    <w:pPr>
      <w:ind w:left="566"/>
    </w:pPr>
  </w:style>
  <w:style w:type="paragraph" w:styleId="Index2">
    <w:name w:val="index 2"/>
    <w:basedOn w:val="Normal"/>
    <w:next w:val="Normal"/>
    <w:rsid w:val="00227FF0"/>
    <w:pPr>
      <w:ind w:left="283"/>
    </w:pPr>
  </w:style>
  <w:style w:type="paragraph" w:styleId="Index1">
    <w:name w:val="index 1"/>
    <w:basedOn w:val="Normal"/>
    <w:next w:val="Normal"/>
    <w:rsid w:val="00227FF0"/>
  </w:style>
  <w:style w:type="character" w:styleId="LineNumber">
    <w:name w:val="line number"/>
    <w:basedOn w:val="DefaultParagraphFont"/>
    <w:rsid w:val="00227FF0"/>
  </w:style>
  <w:style w:type="paragraph" w:styleId="IndexHeading">
    <w:name w:val="index heading"/>
    <w:basedOn w:val="Normal"/>
    <w:next w:val="Index1"/>
    <w:rsid w:val="00227FF0"/>
  </w:style>
  <w:style w:type="paragraph" w:styleId="Footer">
    <w:name w:val="footer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227FF0"/>
    <w:rPr>
      <w:position w:val="6"/>
      <w:sz w:val="16"/>
    </w:rPr>
  </w:style>
  <w:style w:type="paragraph" w:styleId="FootnoteText">
    <w:name w:val="footnote text"/>
    <w:basedOn w:val="Normal"/>
    <w:rsid w:val="0015710D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styleId="NormalIndent">
    <w:name w:val="Normal Indent"/>
    <w:basedOn w:val="Normal"/>
    <w:rsid w:val="00227FF0"/>
    <w:pPr>
      <w:ind w:left="794"/>
    </w:pPr>
  </w:style>
  <w:style w:type="paragraph" w:customStyle="1" w:styleId="enumlev1">
    <w:name w:val="enumlev1"/>
    <w:basedOn w:val="Normal"/>
    <w:rsid w:val="00227FF0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227FF0"/>
    <w:pPr>
      <w:ind w:left="1191" w:hanging="397"/>
    </w:pPr>
  </w:style>
  <w:style w:type="paragraph" w:customStyle="1" w:styleId="enumlev3">
    <w:name w:val="enumlev3"/>
    <w:basedOn w:val="enumlev2"/>
    <w:rsid w:val="00227FF0"/>
    <w:pPr>
      <w:ind w:left="1588"/>
    </w:pPr>
  </w:style>
  <w:style w:type="paragraph" w:customStyle="1" w:styleId="Normalaftertitle">
    <w:name w:val="Normal after title"/>
    <w:basedOn w:val="Normal"/>
    <w:next w:val="Normal"/>
    <w:rsid w:val="00227FF0"/>
    <w:pPr>
      <w:spacing w:before="320"/>
    </w:pPr>
  </w:style>
  <w:style w:type="paragraph" w:customStyle="1" w:styleId="Equation">
    <w:name w:val="Equation"/>
    <w:basedOn w:val="Normal"/>
    <w:rsid w:val="00227FF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227FF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A405F9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styleId="List">
    <w:name w:val="Lis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docnoted">
    <w:name w:val="docnoted"/>
    <w:basedOn w:val="Normal"/>
    <w:next w:val="Head"/>
    <w:rsid w:val="00227FF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Source">
    <w:name w:val="Source"/>
    <w:basedOn w:val="Normal"/>
    <w:next w:val="Normal"/>
    <w:rsid w:val="00A405F9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meeting">
    <w:name w:val="meeting"/>
    <w:basedOn w:val="Head"/>
    <w:next w:val="Head"/>
    <w:rsid w:val="00227FF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227FF0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227FF0"/>
  </w:style>
  <w:style w:type="paragraph" w:customStyle="1" w:styleId="Data">
    <w:name w:val="Data"/>
    <w:basedOn w:val="Subject"/>
    <w:next w:val="Subject"/>
    <w:rsid w:val="00227FF0"/>
  </w:style>
  <w:style w:type="paragraph" w:customStyle="1" w:styleId="Reasons">
    <w:name w:val="Reasons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BE00DD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227FF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Headingb">
    <w:name w:val="Heading_b"/>
    <w:basedOn w:val="Heading3"/>
    <w:next w:val="Normal"/>
    <w:rsid w:val="0076255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character" w:styleId="FollowedHyperlink">
    <w:name w:val="FollowedHyperlink"/>
    <w:basedOn w:val="DefaultParagraphFont"/>
    <w:rsid w:val="00227FF0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27FF0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227FF0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227FF0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227FF0"/>
    <w:pPr>
      <w:framePr w:wrap="around"/>
    </w:pPr>
    <w:rPr>
      <w:b/>
    </w:rPr>
  </w:style>
  <w:style w:type="paragraph" w:customStyle="1" w:styleId="dnum">
    <w:name w:val="dnum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227FF0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Annexref"/>
    <w:rsid w:val="001E6719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rsid w:val="00227FF0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227FF0"/>
  </w:style>
  <w:style w:type="paragraph" w:customStyle="1" w:styleId="Appendixtitle">
    <w:name w:val="Appendix_title"/>
    <w:basedOn w:val="Annextitle"/>
    <w:next w:val="Appendixref"/>
    <w:rsid w:val="00227FF0"/>
  </w:style>
  <w:style w:type="paragraph" w:customStyle="1" w:styleId="Appendixref">
    <w:name w:val="Appendix_ref"/>
    <w:basedOn w:val="Annexref"/>
    <w:next w:val="Normalaftertitle"/>
    <w:rsid w:val="00227FF0"/>
  </w:style>
  <w:style w:type="paragraph" w:customStyle="1" w:styleId="Call">
    <w:name w:val="Call"/>
    <w:basedOn w:val="Normal"/>
    <w:next w:val="Normal"/>
    <w:rsid w:val="00227FF0"/>
    <w:pPr>
      <w:keepNext/>
      <w:keepLines/>
      <w:spacing w:before="160"/>
      <w:ind w:left="794"/>
    </w:pPr>
    <w:rPr>
      <w:i/>
    </w:rPr>
  </w:style>
  <w:style w:type="character" w:styleId="EndnoteReference">
    <w:name w:val="endnote reference"/>
    <w:basedOn w:val="DefaultParagraphFont"/>
    <w:rsid w:val="00227FF0"/>
    <w:rPr>
      <w:vertAlign w:val="superscript"/>
    </w:rPr>
  </w:style>
  <w:style w:type="paragraph" w:customStyle="1" w:styleId="Equationlegend">
    <w:name w:val="Equation_legend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Figuretitle"/>
    <w:rsid w:val="00A405F9"/>
    <w:pPr>
      <w:spacing w:after="240"/>
      <w:jc w:val="center"/>
    </w:pPr>
  </w:style>
  <w:style w:type="paragraph" w:customStyle="1" w:styleId="Figuretitle">
    <w:name w:val="Figure_title"/>
    <w:basedOn w:val="Tabletitle"/>
    <w:next w:val="Figure"/>
    <w:rsid w:val="00A405F9"/>
    <w:pPr>
      <w:spacing w:before="120"/>
    </w:pPr>
  </w:style>
  <w:style w:type="paragraph" w:customStyle="1" w:styleId="Tabletitle">
    <w:name w:val="Table_title"/>
    <w:basedOn w:val="TableNo"/>
    <w:next w:val="Tabletext"/>
    <w:rsid w:val="00A405F9"/>
    <w:pPr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405F9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A405F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legend">
    <w:name w:val="Figure_legend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TableNo"/>
    <w:next w:val="Figuretitle"/>
    <w:rsid w:val="00A405F9"/>
    <w:rPr>
      <w:caps w:val="0"/>
    </w:rPr>
  </w:style>
  <w:style w:type="paragraph" w:customStyle="1" w:styleId="Figurewithouttitle">
    <w:name w:val="Figure_without_title"/>
    <w:basedOn w:val="Figure"/>
    <w:next w:val="Normal"/>
    <w:rsid w:val="00A405F9"/>
  </w:style>
  <w:style w:type="paragraph" w:customStyle="1" w:styleId="Headingi">
    <w:name w:val="Heading_i"/>
    <w:basedOn w:val="Heading3"/>
    <w:next w:val="Normal"/>
    <w:rsid w:val="00762555"/>
    <w:pPr>
      <w:spacing w:before="160"/>
    </w:pPr>
    <w:rPr>
      <w:b w:val="0"/>
      <w:i/>
    </w:rPr>
  </w:style>
  <w:style w:type="character" w:styleId="PageNumber">
    <w:name w:val="page number"/>
    <w:basedOn w:val="DefaultParagraphFont"/>
    <w:rsid w:val="001E6719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227FF0"/>
  </w:style>
  <w:style w:type="paragraph" w:customStyle="1" w:styleId="Parttitle">
    <w:name w:val="Part_title"/>
    <w:basedOn w:val="Annextitle"/>
    <w:next w:val="Partref"/>
    <w:rsid w:val="00227FF0"/>
  </w:style>
  <w:style w:type="paragraph" w:customStyle="1" w:styleId="Partref">
    <w:name w:val="Part_ref"/>
    <w:basedOn w:val="Annexref"/>
    <w:next w:val="Normalaftertitle"/>
    <w:rsid w:val="00227FF0"/>
  </w:style>
  <w:style w:type="paragraph" w:customStyle="1" w:styleId="RecNo">
    <w:name w:val="Rec_No"/>
    <w:basedOn w:val="Normal"/>
    <w:next w:val="Rectitle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1E6719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227FF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27FF0"/>
  </w:style>
  <w:style w:type="paragraph" w:customStyle="1" w:styleId="QuestionNo">
    <w:name w:val="Question_No"/>
    <w:basedOn w:val="RecNo"/>
    <w:next w:val="Questiontitle"/>
    <w:rsid w:val="00227FF0"/>
  </w:style>
  <w:style w:type="paragraph" w:customStyle="1" w:styleId="Questionref">
    <w:name w:val="Question_ref"/>
    <w:basedOn w:val="Recref"/>
    <w:next w:val="Questiondate"/>
    <w:rsid w:val="00227FF0"/>
  </w:style>
  <w:style w:type="paragraph" w:customStyle="1" w:styleId="Questiontitle">
    <w:name w:val="Question_title"/>
    <w:basedOn w:val="Rectitle"/>
    <w:next w:val="Questionref"/>
    <w:rsid w:val="001E6719"/>
  </w:style>
  <w:style w:type="paragraph" w:customStyle="1" w:styleId="Reftext">
    <w:name w:val="Ref_text"/>
    <w:basedOn w:val="Normal"/>
    <w:rsid w:val="00227FF0"/>
    <w:pPr>
      <w:ind w:left="794" w:hanging="794"/>
    </w:pPr>
  </w:style>
  <w:style w:type="paragraph" w:customStyle="1" w:styleId="Reftitle">
    <w:name w:val="Ref_title"/>
    <w:basedOn w:val="Normal"/>
    <w:next w:val="Reftext"/>
    <w:rsid w:val="00227FF0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27FF0"/>
  </w:style>
  <w:style w:type="paragraph" w:customStyle="1" w:styleId="RepNo">
    <w:name w:val="Rep_No"/>
    <w:basedOn w:val="RecNo"/>
    <w:next w:val="Reptitle"/>
    <w:rsid w:val="00227FF0"/>
  </w:style>
  <w:style w:type="paragraph" w:customStyle="1" w:styleId="Reptitle">
    <w:name w:val="Rep_title"/>
    <w:basedOn w:val="Rectitle"/>
    <w:next w:val="Repref"/>
    <w:rsid w:val="00227FF0"/>
  </w:style>
  <w:style w:type="paragraph" w:customStyle="1" w:styleId="Repref">
    <w:name w:val="Rep_ref"/>
    <w:basedOn w:val="Recref"/>
    <w:next w:val="Repdate"/>
    <w:rsid w:val="00227FF0"/>
  </w:style>
  <w:style w:type="paragraph" w:customStyle="1" w:styleId="Resdate">
    <w:name w:val="Res_date"/>
    <w:basedOn w:val="Recdate"/>
    <w:next w:val="Normalaftertitle"/>
    <w:rsid w:val="00227FF0"/>
  </w:style>
  <w:style w:type="paragraph" w:customStyle="1" w:styleId="ResNo">
    <w:name w:val="Res_No"/>
    <w:basedOn w:val="RecNo"/>
    <w:next w:val="Restitle"/>
    <w:rsid w:val="00227FF0"/>
  </w:style>
  <w:style w:type="paragraph" w:customStyle="1" w:styleId="Restitle">
    <w:name w:val="Res_title"/>
    <w:basedOn w:val="Rectitle"/>
    <w:next w:val="Resref"/>
    <w:rsid w:val="00227FF0"/>
  </w:style>
  <w:style w:type="paragraph" w:customStyle="1" w:styleId="Resref">
    <w:name w:val="Res_ref"/>
    <w:basedOn w:val="Recref"/>
    <w:next w:val="Resdate"/>
    <w:rsid w:val="00227FF0"/>
  </w:style>
  <w:style w:type="paragraph" w:customStyle="1" w:styleId="SectionNo">
    <w:name w:val="Section_No"/>
    <w:basedOn w:val="AnnexNo"/>
    <w:next w:val="Sectiontitle"/>
    <w:rsid w:val="00227FF0"/>
  </w:style>
  <w:style w:type="paragraph" w:customStyle="1" w:styleId="Sectiontitle">
    <w:name w:val="Section_title"/>
    <w:basedOn w:val="Normal"/>
    <w:next w:val="Normalaftertitle"/>
    <w:rsid w:val="00227FF0"/>
    <w:rPr>
      <w:sz w:val="26"/>
    </w:rPr>
  </w:style>
  <w:style w:type="paragraph" w:customStyle="1" w:styleId="SpecialFooter">
    <w:name w:val="Special Footer"/>
    <w:basedOn w:val="Footer"/>
    <w:rsid w:val="00227FF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227F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405F9"/>
    <w:rPr>
      <w:sz w:val="18"/>
    </w:rPr>
  </w:style>
  <w:style w:type="paragraph" w:customStyle="1" w:styleId="Tableref">
    <w:name w:val="Table_ref"/>
    <w:basedOn w:val="Normal"/>
    <w:next w:val="Tabletitle"/>
    <w:rsid w:val="00A405F9"/>
    <w:pPr>
      <w:keepNext/>
      <w:keepLines/>
      <w:jc w:val="center"/>
    </w:pPr>
  </w:style>
  <w:style w:type="paragraph" w:customStyle="1" w:styleId="Artheading">
    <w:name w:val="Art_heading"/>
    <w:basedOn w:val="Normal"/>
    <w:next w:val="Normalaftertitle"/>
    <w:rsid w:val="00227FF0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227FF0"/>
    <w:pPr>
      <w:keepNext/>
      <w:keepLines/>
      <w:spacing w:before="240"/>
      <w:jc w:val="center"/>
    </w:pPr>
    <w:rPr>
      <w:b/>
      <w:sz w:val="26"/>
    </w:rPr>
  </w:style>
  <w:style w:type="paragraph" w:customStyle="1" w:styleId="ChapNo">
    <w:name w:val="Chap_No"/>
    <w:basedOn w:val="ArtNo"/>
    <w:next w:val="Chaptitle"/>
    <w:rsid w:val="001E6719"/>
    <w:rPr>
      <w:b/>
    </w:rPr>
  </w:style>
  <w:style w:type="paragraph" w:customStyle="1" w:styleId="Chaptitle">
    <w:name w:val="Chap_title"/>
    <w:basedOn w:val="Arttitle"/>
    <w:next w:val="Normalaftertitle"/>
    <w:rsid w:val="00227FF0"/>
  </w:style>
  <w:style w:type="character" w:customStyle="1" w:styleId="HeaderChar">
    <w:name w:val="Header Char"/>
    <w:basedOn w:val="DefaultParagraphFont"/>
    <w:link w:val="Header"/>
    <w:uiPriority w:val="99"/>
    <w:rsid w:val="00796BD3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796BD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_title"/>
    <w:basedOn w:val="Title1"/>
    <w:qFormat/>
    <w:rsid w:val="00796BD3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character" w:styleId="PlaceholderText">
    <w:name w:val="Placeholder Text"/>
    <w:basedOn w:val="DefaultParagraphFont"/>
    <w:uiPriority w:val="99"/>
    <w:semiHidden/>
    <w:rsid w:val="00D631AA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E00D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E69D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E69DD"/>
  </w:style>
  <w:style w:type="character" w:customStyle="1" w:styleId="tabchar">
    <w:name w:val="tabchar"/>
    <w:basedOn w:val="DefaultParagraphFont"/>
    <w:rsid w:val="00AE6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S26-CL-C-0099/en" TargetMode="External"/><Relationship Id="rId18" Type="http://schemas.openxmlformats.org/officeDocument/2006/relationships/hyperlink" Target="http://council.itu.int/2026/wp-content/uploads/sites/6/2026/02/26.05.01-Iran-HE-Ambassador-Bahreini-C26_86-PL4.pdf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itu.int/md/S26-CL-C-0052/en" TargetMode="External"/><Relationship Id="rId7" Type="http://schemas.openxmlformats.org/officeDocument/2006/relationships/hyperlink" Target="https://www.itu.int/md/S26-CL-C-0095/en" TargetMode="External"/><Relationship Id="rId12" Type="http://schemas.openxmlformats.org/officeDocument/2006/relationships/hyperlink" Target="https://www.itu.int/md/S26-CL-C-0094/en" TargetMode="External"/><Relationship Id="rId17" Type="http://schemas.openxmlformats.org/officeDocument/2006/relationships/hyperlink" Target="https://www.itu.int/md/S26-CL-C-0086/en" TargetMode="External"/><Relationship Id="rId25" Type="http://schemas.openxmlformats.org/officeDocument/2006/relationships/hyperlink" Target="https://www.itu.int/md/S26-CL-C-0033/en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tu.int/md/S26-CL-C-0095/en" TargetMode="External"/><Relationship Id="rId20" Type="http://schemas.openxmlformats.org/officeDocument/2006/relationships/hyperlink" Target="https://www.itu.int/md/S26-CL-C-0017/en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tu.int/md/S26-CL-C-0052/en" TargetMode="External"/><Relationship Id="rId24" Type="http://schemas.openxmlformats.org/officeDocument/2006/relationships/hyperlink" Target="https://www.itu.int/md/S26-CL-C-0101/en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itu.int/md/S26-CL-C-0033/en" TargetMode="External"/><Relationship Id="rId23" Type="http://schemas.openxmlformats.org/officeDocument/2006/relationships/hyperlink" Target="https://www.itu.int/md/S26-CL-C-0099/e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tu.int/md/S26-CL-C-0017/en" TargetMode="External"/><Relationship Id="rId19" Type="http://schemas.openxmlformats.org/officeDocument/2006/relationships/hyperlink" Target="https://www.itu.int/md/S26-CL-C-0076/en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itu.int/md/S26-CL-C-0076/en" TargetMode="External"/><Relationship Id="rId14" Type="http://schemas.openxmlformats.org/officeDocument/2006/relationships/hyperlink" Target="https://www.itu.int/md/S26-CL-C-0101/en" TargetMode="External"/><Relationship Id="rId22" Type="http://schemas.openxmlformats.org/officeDocument/2006/relationships/hyperlink" Target="https://www.itu.int/md/S26-CL-C-0094/en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www.itu.int/md/S26-CL-C-0086/e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ipina\AppData\Roaming\Microsoft\Templates\POOL%20R%20-%20ITU\GS\PR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PR_Council26.dotx</Template>
  <TotalTime>3</TotalTime>
  <Pages>8</Pages>
  <Words>4171</Words>
  <Characters>22524</Characters>
  <Application>Microsoft Office Word</Application>
  <DocSecurity>0</DocSecurity>
  <Lines>1608</Lines>
  <Paragraphs>1026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record of the fourth Plenary meeting</vt:lpstr>
    </vt:vector>
  </TitlesOfParts>
  <Manager>General Secretariat - Pool</Manager>
  <Company>International Telecommunication Union (ITU)</Company>
  <LinksUpToDate>false</LinksUpToDate>
  <CharactersWithSpaces>25669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record of the fourth Plenary meeting</dc:title>
  <dc:subject>ITU Council 2026</dc:subject>
  <cp:keywords>C26; C2026; Council 2026; PP26</cp:keywords>
  <dc:description/>
  <cp:lastPrinted>2006-03-28T16:12:00Z</cp:lastPrinted>
  <dcterms:created xsi:type="dcterms:W3CDTF">2026-08-05T12:23:00Z</dcterms:created>
  <dcterms:modified xsi:type="dcterms:W3CDTF">2026-08-05T14:26:00Z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Документ C05/xx-R</vt:lpwstr>
  </property>
  <property fmtid="{D5CDD505-2E9C-101B-9397-08002B2CF9AE}" pid="3" name="Docdate">
    <vt:lpwstr>Дата</vt:lpwstr>
  </property>
  <property fmtid="{D5CDD505-2E9C-101B-9397-08002B2CF9AE}" pid="4" name="Docorlang">
    <vt:lpwstr>Оригинал: английский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Отчет [Записка] Генерального секретаря</vt:lpwstr>
  </property>
  <property fmtid="{D5CDD505-2E9C-101B-9397-08002B2CF9AE}" pid="8" name="GrammarlyDocumentId">
    <vt:lpwstr>9788a1e2cff90a8b0a0b89c964e56f6e6a612f9769bc84c067c7d1a91603ee22</vt:lpwstr>
  </property>
</Properties>
</file>