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D72F49" w:rsidRPr="00813E5E" w14:paraId="7E2A0865" w14:textId="77777777" w:rsidTr="00796BDB">
        <w:trPr>
          <w:cantSplit/>
          <w:trHeight w:val="23"/>
        </w:trPr>
        <w:tc>
          <w:tcPr>
            <w:tcW w:w="3969" w:type="dxa"/>
            <w:vMerge w:val="restart"/>
            <w:tcMar>
              <w:left w:w="0" w:type="dxa"/>
            </w:tcMar>
          </w:tcPr>
          <w:p w14:paraId="401B38DC" w14:textId="42C3CA11" w:rsidR="00D72F49" w:rsidRPr="00E85629" w:rsidRDefault="00D72F49" w:rsidP="00796BDB">
            <w:pPr>
              <w:tabs>
                <w:tab w:val="left" w:pos="851"/>
              </w:tabs>
              <w:spacing w:before="0" w:line="240" w:lineRule="atLeast"/>
              <w:rPr>
                <w:b/>
              </w:rPr>
            </w:pPr>
          </w:p>
        </w:tc>
        <w:tc>
          <w:tcPr>
            <w:tcW w:w="5245" w:type="dxa"/>
          </w:tcPr>
          <w:p w14:paraId="6F612DE1" w14:textId="024EA0DC" w:rsidR="00D72F49" w:rsidRPr="00E85629" w:rsidRDefault="00D72F49" w:rsidP="00796BDB">
            <w:pPr>
              <w:tabs>
                <w:tab w:val="left" w:pos="851"/>
              </w:tabs>
              <w:spacing w:before="0" w:line="240" w:lineRule="atLeast"/>
              <w:jc w:val="right"/>
              <w:rPr>
                <w:b/>
              </w:rPr>
            </w:pPr>
            <w:r>
              <w:rPr>
                <w:b/>
              </w:rPr>
              <w:t>Document C2</w:t>
            </w:r>
            <w:r w:rsidR="00E4448E">
              <w:rPr>
                <w:b/>
              </w:rPr>
              <w:t>6</w:t>
            </w:r>
            <w:r>
              <w:rPr>
                <w:b/>
              </w:rPr>
              <w:t>/</w:t>
            </w:r>
            <w:r w:rsidR="00C14DAA">
              <w:rPr>
                <w:b/>
              </w:rPr>
              <w:t>121</w:t>
            </w:r>
            <w:r>
              <w:rPr>
                <w:b/>
              </w:rPr>
              <w:t>-F</w:t>
            </w:r>
          </w:p>
        </w:tc>
      </w:tr>
      <w:tr w:rsidR="00D72F49" w:rsidRPr="00C049D7" w14:paraId="632C6AF4" w14:textId="77777777" w:rsidTr="00796BDB">
        <w:trPr>
          <w:cantSplit/>
        </w:trPr>
        <w:tc>
          <w:tcPr>
            <w:tcW w:w="3969" w:type="dxa"/>
            <w:vMerge/>
          </w:tcPr>
          <w:p w14:paraId="2D910E0B" w14:textId="77777777" w:rsidR="00D72F49" w:rsidRPr="00813E5E" w:rsidRDefault="00D72F49" w:rsidP="00796BDB">
            <w:pPr>
              <w:tabs>
                <w:tab w:val="left" w:pos="851"/>
              </w:tabs>
              <w:spacing w:line="240" w:lineRule="atLeast"/>
              <w:rPr>
                <w:b/>
              </w:rPr>
            </w:pPr>
          </w:p>
        </w:tc>
        <w:tc>
          <w:tcPr>
            <w:tcW w:w="5245" w:type="dxa"/>
          </w:tcPr>
          <w:p w14:paraId="30D47F82" w14:textId="209C6BB6" w:rsidR="00D72F49" w:rsidRPr="00FC6D7D" w:rsidRDefault="00392D33" w:rsidP="00796BDB">
            <w:pPr>
              <w:tabs>
                <w:tab w:val="left" w:pos="851"/>
              </w:tabs>
              <w:spacing w:before="0"/>
              <w:jc w:val="right"/>
              <w:rPr>
                <w:b/>
                <w:lang w:val="en-GB"/>
              </w:rPr>
            </w:pPr>
            <w:r>
              <w:rPr>
                <w:b/>
              </w:rPr>
              <w:t>3 août</w:t>
            </w:r>
            <w:r w:rsidR="00C14DAA">
              <w:rPr>
                <w:b/>
              </w:rPr>
              <w:t xml:space="preserve"> 2026</w:t>
            </w:r>
          </w:p>
        </w:tc>
      </w:tr>
      <w:tr w:rsidR="00D72F49" w:rsidRPr="00813E5E" w14:paraId="04B10874" w14:textId="77777777" w:rsidTr="00796BDB">
        <w:trPr>
          <w:cantSplit/>
          <w:trHeight w:val="23"/>
        </w:trPr>
        <w:tc>
          <w:tcPr>
            <w:tcW w:w="3969" w:type="dxa"/>
            <w:vMerge/>
          </w:tcPr>
          <w:p w14:paraId="3A0FEC7B" w14:textId="77777777" w:rsidR="00D72F49" w:rsidRPr="00FC6D7D" w:rsidRDefault="00D72F49" w:rsidP="00796BDB">
            <w:pPr>
              <w:tabs>
                <w:tab w:val="left" w:pos="851"/>
              </w:tabs>
              <w:spacing w:line="240" w:lineRule="atLeast"/>
              <w:rPr>
                <w:b/>
                <w:lang w:val="en-GB"/>
              </w:rPr>
            </w:pPr>
          </w:p>
        </w:tc>
        <w:tc>
          <w:tcPr>
            <w:tcW w:w="5245" w:type="dxa"/>
          </w:tcPr>
          <w:p w14:paraId="0FEFFC5C" w14:textId="77777777" w:rsidR="00D72F49" w:rsidRPr="00E85629" w:rsidRDefault="00D72F49" w:rsidP="00796BDB">
            <w:pPr>
              <w:tabs>
                <w:tab w:val="left" w:pos="851"/>
              </w:tabs>
              <w:spacing w:before="0" w:line="240" w:lineRule="atLeast"/>
              <w:jc w:val="right"/>
              <w:rPr>
                <w:b/>
              </w:rPr>
            </w:pPr>
            <w:r w:rsidRPr="00122CE1">
              <w:rPr>
                <w:b/>
                <w:lang w:val="fr-CH"/>
              </w:rPr>
              <w:t>Original: anglais</w:t>
            </w:r>
          </w:p>
        </w:tc>
      </w:tr>
      <w:tr w:rsidR="00D72F49" w:rsidRPr="00813E5E" w14:paraId="465E36E0" w14:textId="77777777" w:rsidTr="00796BDB">
        <w:trPr>
          <w:cantSplit/>
          <w:trHeight w:val="23"/>
        </w:trPr>
        <w:tc>
          <w:tcPr>
            <w:tcW w:w="3969" w:type="dxa"/>
          </w:tcPr>
          <w:p w14:paraId="169DF201" w14:textId="77777777" w:rsidR="00D72F49" w:rsidRPr="00813E5E" w:rsidRDefault="00D72F49" w:rsidP="00796BDB">
            <w:pPr>
              <w:tabs>
                <w:tab w:val="left" w:pos="851"/>
              </w:tabs>
              <w:spacing w:line="240" w:lineRule="atLeast"/>
              <w:rPr>
                <w:b/>
              </w:rPr>
            </w:pPr>
          </w:p>
        </w:tc>
        <w:tc>
          <w:tcPr>
            <w:tcW w:w="5245" w:type="dxa"/>
          </w:tcPr>
          <w:p w14:paraId="4459DC1E" w14:textId="77777777" w:rsidR="00D72F49" w:rsidRDefault="00D72F49" w:rsidP="00796BDB">
            <w:pPr>
              <w:tabs>
                <w:tab w:val="left" w:pos="851"/>
              </w:tabs>
              <w:spacing w:before="0" w:line="240" w:lineRule="atLeast"/>
              <w:jc w:val="right"/>
              <w:rPr>
                <w:b/>
              </w:rPr>
            </w:pPr>
          </w:p>
        </w:tc>
      </w:tr>
      <w:tr w:rsidR="00D72F49" w:rsidRPr="00122CE1" w14:paraId="77B8887E" w14:textId="77777777" w:rsidTr="00796BDB">
        <w:trPr>
          <w:cantSplit/>
        </w:trPr>
        <w:tc>
          <w:tcPr>
            <w:tcW w:w="9214" w:type="dxa"/>
            <w:gridSpan w:val="2"/>
            <w:tcMar>
              <w:left w:w="0" w:type="dxa"/>
            </w:tcMar>
          </w:tcPr>
          <w:p w14:paraId="276C1042" w14:textId="3882ECD5" w:rsidR="00D72F49" w:rsidRPr="00C42437" w:rsidRDefault="00C14DAA" w:rsidP="00CA40B9">
            <w:pPr>
              <w:pStyle w:val="Source"/>
              <w:spacing w:before="360" w:after="240"/>
              <w:rPr>
                <w:sz w:val="34"/>
                <w:szCs w:val="34"/>
                <w:lang w:val="fr-CH"/>
              </w:rPr>
            </w:pPr>
            <w:r w:rsidRPr="00C14DAA">
              <w:rPr>
                <w:rFonts w:cstheme="minorHAnsi"/>
                <w:color w:val="000000"/>
                <w:sz w:val="34"/>
                <w:szCs w:val="34"/>
              </w:rPr>
              <w:t>COMPTE RENDU</w:t>
            </w:r>
            <w:r w:rsidR="00CA40B9">
              <w:rPr>
                <w:rFonts w:cstheme="minorHAnsi"/>
                <w:color w:val="000000"/>
                <w:sz w:val="34"/>
                <w:szCs w:val="34"/>
              </w:rPr>
              <w:br/>
            </w:r>
            <w:r>
              <w:rPr>
                <w:rFonts w:cstheme="minorHAnsi"/>
                <w:color w:val="000000"/>
                <w:sz w:val="34"/>
                <w:szCs w:val="34"/>
              </w:rPr>
              <w:br/>
            </w:r>
            <w:r w:rsidRPr="00C14DAA">
              <w:rPr>
                <w:rFonts w:cstheme="minorHAnsi"/>
                <w:color w:val="000000"/>
                <w:sz w:val="34"/>
                <w:szCs w:val="34"/>
              </w:rPr>
              <w:t>DE LA</w:t>
            </w:r>
            <w:r w:rsidR="00CA40B9">
              <w:rPr>
                <w:rFonts w:cstheme="minorHAnsi"/>
                <w:color w:val="000000"/>
                <w:sz w:val="34"/>
                <w:szCs w:val="34"/>
              </w:rPr>
              <w:br/>
            </w:r>
            <w:r>
              <w:rPr>
                <w:rFonts w:cstheme="minorHAnsi"/>
                <w:color w:val="000000"/>
                <w:sz w:val="34"/>
                <w:szCs w:val="34"/>
              </w:rPr>
              <w:br/>
            </w:r>
            <w:r w:rsidRPr="00C14DAA">
              <w:rPr>
                <w:rFonts w:cstheme="minorHAnsi"/>
                <w:color w:val="000000"/>
                <w:sz w:val="34"/>
                <w:szCs w:val="34"/>
              </w:rPr>
              <w:t>QUATRIÈME SÉANCE PLÉNIÈRE</w:t>
            </w:r>
          </w:p>
        </w:tc>
      </w:tr>
      <w:tr w:rsidR="00D72F49" w:rsidRPr="001A2A25" w14:paraId="64D6D4CF" w14:textId="77777777" w:rsidTr="00796BDB">
        <w:trPr>
          <w:cantSplit/>
        </w:trPr>
        <w:tc>
          <w:tcPr>
            <w:tcW w:w="9214" w:type="dxa"/>
            <w:gridSpan w:val="2"/>
            <w:tcMar>
              <w:left w:w="0" w:type="dxa"/>
            </w:tcMar>
          </w:tcPr>
          <w:p w14:paraId="771ED522" w14:textId="77777777" w:rsidR="00C14DAA" w:rsidRPr="001A2A25" w:rsidRDefault="00C14DAA" w:rsidP="00CA40B9">
            <w:pPr>
              <w:pStyle w:val="Subtitle"/>
              <w:framePr w:hSpace="0" w:wrap="auto" w:hAnchor="text" w:xAlign="left" w:yAlign="inline"/>
              <w:jc w:val="center"/>
              <w:rPr>
                <w:color w:val="000000"/>
                <w:sz w:val="24"/>
                <w:szCs w:val="24"/>
                <w:lang w:val="fr-FR"/>
              </w:rPr>
            </w:pPr>
            <w:r w:rsidRPr="001A2A25">
              <w:rPr>
                <w:color w:val="000000"/>
                <w:sz w:val="24"/>
                <w:szCs w:val="24"/>
                <w:lang w:val="fr-FR"/>
              </w:rPr>
              <w:t>Vendredi 1er mai 2026, de 9 h 05 à 12 h 10</w:t>
            </w:r>
          </w:p>
          <w:p w14:paraId="7D5945C7" w14:textId="74E36B9D" w:rsidR="00D72F49" w:rsidRPr="001A2A25" w:rsidRDefault="00C14DAA" w:rsidP="00CA40B9">
            <w:pPr>
              <w:pStyle w:val="Subtitle"/>
              <w:framePr w:hSpace="0" w:wrap="auto" w:hAnchor="text" w:xAlign="left" w:yAlign="inline"/>
              <w:jc w:val="center"/>
              <w:rPr>
                <w:color w:val="000000"/>
                <w:sz w:val="24"/>
                <w:szCs w:val="24"/>
                <w:lang w:val="fr-FR"/>
              </w:rPr>
            </w:pPr>
            <w:r w:rsidRPr="001A2A25">
              <w:rPr>
                <w:b/>
                <w:bCs/>
                <w:color w:val="000000"/>
                <w:sz w:val="24"/>
                <w:szCs w:val="24"/>
                <w:lang w:val="fr-FR"/>
              </w:rPr>
              <w:t>Président</w:t>
            </w:r>
            <w:r w:rsidRPr="001A2A25">
              <w:rPr>
                <w:color w:val="000000"/>
                <w:sz w:val="24"/>
                <w:szCs w:val="24"/>
                <w:lang w:val="fr-FR"/>
              </w:rPr>
              <w:t>: M. B. Tijani (Nigéria)</w:t>
            </w:r>
          </w:p>
        </w:tc>
      </w:tr>
    </w:tbl>
    <w:p w14:paraId="2185A57E" w14:textId="2C4EA701" w:rsidR="00A51849" w:rsidRDefault="00A51849" w:rsidP="00CF0534"/>
    <w:tbl>
      <w:tblPr>
        <w:tblW w:w="9211" w:type="dxa"/>
        <w:tblInd w:w="168" w:type="dxa"/>
        <w:tblLayout w:type="fixed"/>
        <w:tblLook w:val="04A0" w:firstRow="1" w:lastRow="0" w:firstColumn="1" w:lastColumn="0" w:noHBand="0" w:noVBand="1"/>
      </w:tblPr>
      <w:tblGrid>
        <w:gridCol w:w="420"/>
        <w:gridCol w:w="6597"/>
        <w:gridCol w:w="2194"/>
      </w:tblGrid>
      <w:tr w:rsidR="00CA40B9" w:rsidRPr="00C87805" w14:paraId="5BFB3FFA" w14:textId="77777777" w:rsidTr="007801F4">
        <w:tc>
          <w:tcPr>
            <w:tcW w:w="420" w:type="dxa"/>
          </w:tcPr>
          <w:p w14:paraId="4D6FE2E1" w14:textId="77777777" w:rsidR="00CA40B9" w:rsidRPr="008262B0" w:rsidRDefault="00CA40B9" w:rsidP="00CA40B9">
            <w:pPr>
              <w:spacing w:before="480"/>
              <w:rPr>
                <w:b/>
                <w:bCs/>
                <w:szCs w:val="24"/>
              </w:rPr>
            </w:pPr>
            <w:r w:rsidRPr="008262B0">
              <w:rPr>
                <w:b/>
                <w:bCs/>
                <w:color w:val="000000"/>
                <w:szCs w:val="24"/>
              </w:rPr>
              <w:br w:type="page"/>
            </w:r>
            <w:r w:rsidRPr="008262B0">
              <w:rPr>
                <w:b/>
                <w:bCs/>
                <w:color w:val="000000"/>
                <w:szCs w:val="24"/>
              </w:rPr>
              <w:br w:type="page"/>
            </w:r>
          </w:p>
        </w:tc>
        <w:tc>
          <w:tcPr>
            <w:tcW w:w="6597" w:type="dxa"/>
            <w:hideMark/>
          </w:tcPr>
          <w:p w14:paraId="585F9DF0" w14:textId="77777777" w:rsidR="00CA40B9" w:rsidRPr="00C87805" w:rsidRDefault="00CA40B9" w:rsidP="00CA40B9">
            <w:pPr>
              <w:spacing w:before="480" w:after="120"/>
              <w:rPr>
                <w:b/>
                <w:bCs/>
                <w:szCs w:val="24"/>
              </w:rPr>
            </w:pPr>
            <w:r w:rsidRPr="00C87805">
              <w:rPr>
                <w:b/>
                <w:bCs/>
                <w:color w:val="000000"/>
                <w:szCs w:val="24"/>
              </w:rPr>
              <w:t>Sujets traités</w:t>
            </w:r>
          </w:p>
        </w:tc>
        <w:tc>
          <w:tcPr>
            <w:tcW w:w="2194" w:type="dxa"/>
            <w:hideMark/>
          </w:tcPr>
          <w:p w14:paraId="673AF5F9" w14:textId="77777777" w:rsidR="00CA40B9" w:rsidRPr="00C87805" w:rsidRDefault="00CA40B9" w:rsidP="00CA40B9">
            <w:pPr>
              <w:spacing w:before="480"/>
              <w:jc w:val="center"/>
              <w:rPr>
                <w:b/>
                <w:bCs/>
                <w:szCs w:val="24"/>
              </w:rPr>
            </w:pPr>
            <w:r w:rsidRPr="00C87805">
              <w:rPr>
                <w:b/>
                <w:bCs/>
                <w:color w:val="000000"/>
                <w:szCs w:val="24"/>
              </w:rPr>
              <w:t>Documents</w:t>
            </w:r>
          </w:p>
        </w:tc>
      </w:tr>
      <w:tr w:rsidR="00CA40B9" w:rsidRPr="00C87805" w14:paraId="1BB66D97" w14:textId="77777777" w:rsidTr="007801F4">
        <w:trPr>
          <w:trHeight w:val="20"/>
        </w:trPr>
        <w:tc>
          <w:tcPr>
            <w:tcW w:w="420" w:type="dxa"/>
            <w:hideMark/>
          </w:tcPr>
          <w:p w14:paraId="50D23096" w14:textId="77777777" w:rsidR="00CA40B9" w:rsidRPr="00C87805" w:rsidRDefault="00CA40B9" w:rsidP="00CA40B9">
            <w:pPr>
              <w:spacing w:before="80" w:after="80"/>
              <w:rPr>
                <w:sz w:val="22"/>
                <w:szCs w:val="22"/>
              </w:rPr>
            </w:pPr>
            <w:r w:rsidRPr="00C87805">
              <w:rPr>
                <w:color w:val="000000"/>
                <w:sz w:val="22"/>
                <w:szCs w:val="22"/>
              </w:rPr>
              <w:t>1</w:t>
            </w:r>
          </w:p>
        </w:tc>
        <w:tc>
          <w:tcPr>
            <w:tcW w:w="6597" w:type="dxa"/>
          </w:tcPr>
          <w:p w14:paraId="2A9ED15F" w14:textId="77777777" w:rsidR="00CA40B9" w:rsidRPr="00C87805" w:rsidRDefault="00CA40B9" w:rsidP="00CA40B9">
            <w:pPr>
              <w:spacing w:before="80" w:after="80"/>
              <w:rPr>
                <w:sz w:val="22"/>
                <w:szCs w:val="22"/>
              </w:rPr>
            </w:pPr>
            <w:r w:rsidRPr="00CA40B9">
              <w:rPr>
                <w:color w:val="000000"/>
                <w:szCs w:val="24"/>
              </w:rPr>
              <w:t>Dommages subis par l'infrastructure civile des télécommunications/des technologies de l'information et des communications à Bahreïn, au Koweït, aux Émirats arabes unis et en Jordanie, et incidences sur la connectivité régionale et mondiale (</w:t>
            </w:r>
            <w:r w:rsidRPr="00411F69">
              <w:rPr>
                <w:i/>
                <w:iCs/>
                <w:color w:val="000000"/>
                <w:szCs w:val="24"/>
              </w:rPr>
              <w:t>suite</w:t>
            </w:r>
            <w:r w:rsidRPr="00CA40B9">
              <w:rPr>
                <w:color w:val="000000"/>
                <w:szCs w:val="24"/>
              </w:rPr>
              <w:t>)</w:t>
            </w:r>
          </w:p>
        </w:tc>
        <w:tc>
          <w:tcPr>
            <w:tcW w:w="2194" w:type="dxa"/>
          </w:tcPr>
          <w:p w14:paraId="29D2EC0D" w14:textId="77FBF19C" w:rsidR="00CA40B9" w:rsidRPr="00AB1824" w:rsidRDefault="001A2A25" w:rsidP="001A2A25">
            <w:pPr>
              <w:spacing w:before="80" w:after="80"/>
              <w:jc w:val="center"/>
              <w:rPr>
                <w:rStyle w:val="Hyperlink"/>
              </w:rPr>
            </w:pPr>
            <w:hyperlink r:id="rId7" w:history="1">
              <w:r w:rsidRPr="00AB1824">
                <w:rPr>
                  <w:rStyle w:val="Hyperlink"/>
                  <w:szCs w:val="24"/>
                  <w:lang w:val="en-GB"/>
                </w:rPr>
                <w:t>C26/95(R</w:t>
              </w:r>
              <w:r w:rsidR="00126893">
                <w:rPr>
                  <w:rStyle w:val="Hyperlink"/>
                  <w:szCs w:val="24"/>
                  <w:lang w:val="en-GB"/>
                </w:rPr>
                <w:t>é</w:t>
              </w:r>
              <w:r w:rsidRPr="00AB1824">
                <w:rPr>
                  <w:rStyle w:val="Hyperlink"/>
                  <w:szCs w:val="24"/>
                  <w:lang w:val="en-GB"/>
                </w:rPr>
                <w:t>v.2)</w:t>
              </w:r>
            </w:hyperlink>
          </w:p>
        </w:tc>
      </w:tr>
      <w:tr w:rsidR="00CA40B9" w:rsidRPr="00C87805" w14:paraId="391CDF6C" w14:textId="77777777" w:rsidTr="007801F4">
        <w:trPr>
          <w:trHeight w:val="20"/>
        </w:trPr>
        <w:tc>
          <w:tcPr>
            <w:tcW w:w="420" w:type="dxa"/>
          </w:tcPr>
          <w:p w14:paraId="4096FC8B" w14:textId="77777777" w:rsidR="00CA40B9" w:rsidRPr="00C87805" w:rsidRDefault="00CA40B9" w:rsidP="00CA40B9">
            <w:pPr>
              <w:spacing w:before="80" w:after="80"/>
              <w:rPr>
                <w:sz w:val="22"/>
                <w:szCs w:val="22"/>
              </w:rPr>
            </w:pPr>
            <w:r w:rsidRPr="00C87805">
              <w:rPr>
                <w:color w:val="000000"/>
                <w:sz w:val="22"/>
                <w:szCs w:val="22"/>
              </w:rPr>
              <w:t>2</w:t>
            </w:r>
          </w:p>
        </w:tc>
        <w:tc>
          <w:tcPr>
            <w:tcW w:w="6597" w:type="dxa"/>
          </w:tcPr>
          <w:p w14:paraId="7B632D4B" w14:textId="77777777" w:rsidR="00CA40B9" w:rsidRPr="00C87805" w:rsidRDefault="00CA40B9" w:rsidP="00CA40B9">
            <w:pPr>
              <w:spacing w:before="80" w:after="80"/>
              <w:rPr>
                <w:rFonts w:asciiTheme="minorHAnsi" w:hAnsiTheme="minorHAnsi" w:cstheme="minorHAnsi"/>
                <w:color w:val="2F2F2F"/>
                <w:sz w:val="22"/>
                <w:szCs w:val="22"/>
                <w:shd w:val="clear" w:color="auto" w:fill="FFFFFF"/>
              </w:rPr>
            </w:pPr>
            <w:r w:rsidRPr="00CA40B9">
              <w:rPr>
                <w:color w:val="000000"/>
                <w:szCs w:val="24"/>
              </w:rPr>
              <w:t>Assistance et appui à la République islamique d'Iran pour la reconstruction de ses secteurs de la radiodiffusion et des télécommunications/TIC</w:t>
            </w:r>
          </w:p>
        </w:tc>
        <w:tc>
          <w:tcPr>
            <w:tcW w:w="2194" w:type="dxa"/>
          </w:tcPr>
          <w:p w14:paraId="26CD9D6B" w14:textId="62C437B9" w:rsidR="00CA40B9" w:rsidRPr="001A2A25" w:rsidRDefault="001A2A25" w:rsidP="001A2A25">
            <w:pPr>
              <w:spacing w:before="80" w:after="80"/>
              <w:jc w:val="center"/>
              <w:rPr>
                <w:rStyle w:val="Hyperlink"/>
              </w:rPr>
            </w:pPr>
            <w:hyperlink r:id="rId8" w:history="1">
              <w:r w:rsidRPr="00701921">
                <w:rPr>
                  <w:rStyle w:val="Hyperlink"/>
                  <w:szCs w:val="24"/>
                  <w:lang w:val="en-GB"/>
                </w:rPr>
                <w:t>C26/86(R</w:t>
              </w:r>
              <w:r w:rsidR="00126893">
                <w:rPr>
                  <w:rStyle w:val="Hyperlink"/>
                  <w:szCs w:val="24"/>
                  <w:lang w:val="en-GB"/>
                </w:rPr>
                <w:t>é</w:t>
              </w:r>
              <w:r w:rsidRPr="00701921">
                <w:rPr>
                  <w:rStyle w:val="Hyperlink"/>
                  <w:szCs w:val="24"/>
                  <w:lang w:val="en-GB"/>
                </w:rPr>
                <w:t>v.1)</w:t>
              </w:r>
            </w:hyperlink>
          </w:p>
        </w:tc>
      </w:tr>
      <w:tr w:rsidR="00CA40B9" w:rsidRPr="00C87805" w14:paraId="067CFFC6" w14:textId="77777777" w:rsidTr="007801F4">
        <w:trPr>
          <w:trHeight w:val="20"/>
        </w:trPr>
        <w:tc>
          <w:tcPr>
            <w:tcW w:w="420" w:type="dxa"/>
          </w:tcPr>
          <w:p w14:paraId="23B40C00" w14:textId="77777777" w:rsidR="00CA40B9" w:rsidRPr="00C87805" w:rsidRDefault="00CA40B9" w:rsidP="00CA40B9">
            <w:pPr>
              <w:spacing w:before="80" w:after="80"/>
              <w:rPr>
                <w:sz w:val="22"/>
                <w:szCs w:val="22"/>
              </w:rPr>
            </w:pPr>
            <w:r w:rsidRPr="00C87805">
              <w:rPr>
                <w:color w:val="000000"/>
                <w:sz w:val="22"/>
                <w:szCs w:val="22"/>
              </w:rPr>
              <w:t>3</w:t>
            </w:r>
          </w:p>
        </w:tc>
        <w:tc>
          <w:tcPr>
            <w:tcW w:w="6597" w:type="dxa"/>
          </w:tcPr>
          <w:p w14:paraId="4D3D26B4" w14:textId="77777777" w:rsidR="00CA40B9" w:rsidRPr="00C87805" w:rsidRDefault="00CA40B9" w:rsidP="00CA40B9">
            <w:pPr>
              <w:spacing w:before="80" w:after="80"/>
              <w:rPr>
                <w:sz w:val="22"/>
                <w:szCs w:val="22"/>
              </w:rPr>
            </w:pPr>
            <w:r w:rsidRPr="00CA40B9">
              <w:rPr>
                <w:color w:val="000000"/>
                <w:szCs w:val="24"/>
              </w:rPr>
              <w:t>Renforcer la résilience des câbles sous-marins – l'Organe consultatif international pour la résilience des câbles sous-marins et le Sommet de Porto de 2026</w:t>
            </w:r>
          </w:p>
        </w:tc>
        <w:tc>
          <w:tcPr>
            <w:tcW w:w="2194" w:type="dxa"/>
          </w:tcPr>
          <w:p w14:paraId="3E02A4E7" w14:textId="6B6B3D6E" w:rsidR="00CA40B9" w:rsidRPr="001A2A25" w:rsidRDefault="001A2A25" w:rsidP="001A2A25">
            <w:pPr>
              <w:spacing w:before="80" w:after="80"/>
              <w:jc w:val="center"/>
              <w:rPr>
                <w:rStyle w:val="Hyperlink"/>
              </w:rPr>
            </w:pPr>
            <w:hyperlink r:id="rId9" w:history="1">
              <w:r w:rsidRPr="00701921">
                <w:rPr>
                  <w:rStyle w:val="Hyperlink"/>
                  <w:szCs w:val="24"/>
                  <w:lang w:val="en-GB"/>
                </w:rPr>
                <w:t>C26/76</w:t>
              </w:r>
            </w:hyperlink>
          </w:p>
        </w:tc>
      </w:tr>
      <w:tr w:rsidR="00CA40B9" w:rsidRPr="00C87805" w14:paraId="20DF5B0B" w14:textId="77777777" w:rsidTr="007801F4">
        <w:trPr>
          <w:trHeight w:val="20"/>
        </w:trPr>
        <w:tc>
          <w:tcPr>
            <w:tcW w:w="420" w:type="dxa"/>
          </w:tcPr>
          <w:p w14:paraId="046CF7D8" w14:textId="77777777" w:rsidR="00CA40B9" w:rsidRPr="00C87805" w:rsidRDefault="00CA40B9" w:rsidP="00CA40B9">
            <w:pPr>
              <w:spacing w:before="80" w:after="80"/>
              <w:rPr>
                <w:sz w:val="22"/>
                <w:szCs w:val="22"/>
              </w:rPr>
            </w:pPr>
            <w:r w:rsidRPr="00C87805">
              <w:rPr>
                <w:color w:val="000000"/>
                <w:sz w:val="22"/>
                <w:szCs w:val="22"/>
              </w:rPr>
              <w:t>4</w:t>
            </w:r>
          </w:p>
        </w:tc>
        <w:tc>
          <w:tcPr>
            <w:tcW w:w="6597" w:type="dxa"/>
          </w:tcPr>
          <w:p w14:paraId="636CD3B0" w14:textId="77777777" w:rsidR="00CA40B9" w:rsidRPr="00C87805" w:rsidRDefault="00CA40B9" w:rsidP="00CA40B9">
            <w:pPr>
              <w:spacing w:before="80" w:after="80"/>
            </w:pPr>
            <w:r w:rsidRPr="00CA40B9">
              <w:rPr>
                <w:color w:val="000000"/>
                <w:szCs w:val="24"/>
              </w:rPr>
              <w:t>Journée mondiale des télécommunications et de la société de l'information</w:t>
            </w:r>
          </w:p>
        </w:tc>
        <w:tc>
          <w:tcPr>
            <w:tcW w:w="2194" w:type="dxa"/>
          </w:tcPr>
          <w:p w14:paraId="6101E5F2" w14:textId="084DA759" w:rsidR="00CA40B9" w:rsidRPr="001A2A25" w:rsidRDefault="001A2A25" w:rsidP="001A2A25">
            <w:pPr>
              <w:spacing w:before="80" w:after="80"/>
              <w:jc w:val="center"/>
              <w:rPr>
                <w:rStyle w:val="Hyperlink"/>
              </w:rPr>
            </w:pPr>
            <w:hyperlink r:id="rId10" w:history="1">
              <w:r w:rsidRPr="00701921">
                <w:rPr>
                  <w:rStyle w:val="Hyperlink"/>
                  <w:szCs w:val="24"/>
                  <w:lang w:val="en-GB"/>
                </w:rPr>
                <w:t>C26/17</w:t>
              </w:r>
            </w:hyperlink>
          </w:p>
        </w:tc>
      </w:tr>
      <w:tr w:rsidR="00CA40B9" w:rsidRPr="00C87805" w14:paraId="5EFD39C7" w14:textId="77777777" w:rsidTr="007801F4">
        <w:trPr>
          <w:trHeight w:val="20"/>
        </w:trPr>
        <w:tc>
          <w:tcPr>
            <w:tcW w:w="420" w:type="dxa"/>
          </w:tcPr>
          <w:p w14:paraId="33B47E94" w14:textId="77777777" w:rsidR="00CA40B9" w:rsidRPr="00C87805" w:rsidRDefault="00CA40B9" w:rsidP="00CA40B9">
            <w:pPr>
              <w:spacing w:before="80" w:after="80"/>
              <w:rPr>
                <w:sz w:val="22"/>
                <w:szCs w:val="22"/>
              </w:rPr>
            </w:pPr>
            <w:r w:rsidRPr="00C87805">
              <w:rPr>
                <w:color w:val="000000"/>
                <w:sz w:val="22"/>
                <w:szCs w:val="22"/>
              </w:rPr>
              <w:t>5</w:t>
            </w:r>
          </w:p>
        </w:tc>
        <w:tc>
          <w:tcPr>
            <w:tcW w:w="6597" w:type="dxa"/>
          </w:tcPr>
          <w:p w14:paraId="2E68B57B" w14:textId="77777777" w:rsidR="00CA40B9" w:rsidRPr="00C87805" w:rsidRDefault="00CA40B9" w:rsidP="00CA40B9">
            <w:pPr>
              <w:spacing w:before="80" w:after="80"/>
            </w:pPr>
            <w:r w:rsidRPr="00CA40B9">
              <w:rPr>
                <w:color w:val="000000"/>
                <w:szCs w:val="24"/>
              </w:rPr>
              <w:t>Rapport quadriennal du Président du Groupe de travail du Conseil sur les questions de politiques publiques internationales relatives à l'Internet (</w:t>
            </w:r>
            <w:r w:rsidRPr="00411F69">
              <w:rPr>
                <w:i/>
                <w:iCs/>
                <w:color w:val="000000"/>
                <w:szCs w:val="24"/>
              </w:rPr>
              <w:t>suite</w:t>
            </w:r>
            <w:r w:rsidRPr="00CA40B9">
              <w:rPr>
                <w:color w:val="000000"/>
                <w:szCs w:val="24"/>
              </w:rPr>
              <w:t>)</w:t>
            </w:r>
          </w:p>
        </w:tc>
        <w:tc>
          <w:tcPr>
            <w:tcW w:w="2194" w:type="dxa"/>
          </w:tcPr>
          <w:p w14:paraId="0206EEA1" w14:textId="19986915" w:rsidR="00CA40B9" w:rsidRPr="001A2A25" w:rsidRDefault="001A2A25" w:rsidP="001A2A25">
            <w:pPr>
              <w:spacing w:before="80" w:after="80"/>
              <w:jc w:val="center"/>
              <w:rPr>
                <w:rStyle w:val="Hyperlink"/>
              </w:rPr>
            </w:pPr>
            <w:hyperlink r:id="rId11" w:history="1">
              <w:r w:rsidRPr="00701921">
                <w:rPr>
                  <w:rStyle w:val="Hyperlink"/>
                  <w:szCs w:val="24"/>
                  <w:lang w:val="en-GB"/>
                </w:rPr>
                <w:t>C26/52</w:t>
              </w:r>
            </w:hyperlink>
            <w:r w:rsidR="007801F4">
              <w:t>;</w:t>
            </w:r>
            <w:r w:rsidR="00CA40B9" w:rsidRPr="007801F4">
              <w:t xml:space="preserve"> </w:t>
            </w:r>
            <w:hyperlink r:id="rId12" w:history="1">
              <w:r w:rsidRPr="00701921">
                <w:rPr>
                  <w:rStyle w:val="Hyperlink"/>
                  <w:szCs w:val="24"/>
                  <w:lang w:val="en-GB"/>
                </w:rPr>
                <w:t>C26/94</w:t>
              </w:r>
            </w:hyperlink>
            <w:r w:rsidR="007801F4">
              <w:t>;</w:t>
            </w:r>
            <w:r w:rsidR="00CA40B9" w:rsidRPr="00411F69">
              <w:t xml:space="preserve"> </w:t>
            </w:r>
            <w:hyperlink r:id="rId13" w:history="1">
              <w:r w:rsidRPr="00701921">
                <w:rPr>
                  <w:rStyle w:val="Hyperlink"/>
                  <w:szCs w:val="24"/>
                  <w:lang w:val="en-GB"/>
                </w:rPr>
                <w:t>C26/99</w:t>
              </w:r>
            </w:hyperlink>
            <w:r w:rsidR="00CA40B9" w:rsidRPr="00411F69">
              <w:t xml:space="preserve">, </w:t>
            </w:r>
            <w:hyperlink r:id="rId14" w:history="1">
              <w:r w:rsidRPr="00701921">
                <w:rPr>
                  <w:rStyle w:val="Hyperlink"/>
                  <w:szCs w:val="24"/>
                  <w:lang w:val="en-GB"/>
                </w:rPr>
                <w:t>C26/101(R</w:t>
              </w:r>
              <w:r w:rsidR="00126893">
                <w:rPr>
                  <w:rStyle w:val="Hyperlink"/>
                  <w:szCs w:val="24"/>
                  <w:lang w:val="en-GB"/>
                </w:rPr>
                <w:t>é</w:t>
              </w:r>
              <w:r w:rsidRPr="00701921">
                <w:rPr>
                  <w:rStyle w:val="Hyperlink"/>
                  <w:szCs w:val="24"/>
                  <w:lang w:val="en-GB"/>
                </w:rPr>
                <w:t>v.1)</w:t>
              </w:r>
            </w:hyperlink>
          </w:p>
        </w:tc>
      </w:tr>
      <w:tr w:rsidR="00CA40B9" w:rsidRPr="00C87805" w14:paraId="1EFB5715" w14:textId="77777777" w:rsidTr="007801F4">
        <w:trPr>
          <w:trHeight w:val="20"/>
        </w:trPr>
        <w:tc>
          <w:tcPr>
            <w:tcW w:w="420" w:type="dxa"/>
          </w:tcPr>
          <w:p w14:paraId="339E7657" w14:textId="77777777" w:rsidR="00CA40B9" w:rsidRPr="00C87805" w:rsidRDefault="00CA40B9" w:rsidP="00CA40B9">
            <w:pPr>
              <w:spacing w:before="80" w:after="80"/>
              <w:rPr>
                <w:sz w:val="22"/>
                <w:szCs w:val="22"/>
              </w:rPr>
            </w:pPr>
            <w:r w:rsidRPr="00C87805">
              <w:rPr>
                <w:color w:val="000000"/>
                <w:sz w:val="22"/>
                <w:szCs w:val="22"/>
              </w:rPr>
              <w:t>6</w:t>
            </w:r>
          </w:p>
        </w:tc>
        <w:tc>
          <w:tcPr>
            <w:tcW w:w="6597" w:type="dxa"/>
          </w:tcPr>
          <w:p w14:paraId="612EB96D" w14:textId="77777777" w:rsidR="00CA40B9" w:rsidRPr="00C87805" w:rsidRDefault="00CA40B9" w:rsidP="00CA40B9">
            <w:pPr>
              <w:spacing w:before="80" w:after="80"/>
            </w:pPr>
            <w:r w:rsidRPr="00CA40B9">
              <w:rPr>
                <w:color w:val="000000"/>
                <w:szCs w:val="24"/>
              </w:rPr>
              <w:t>Activités de l'UIT relatives à l'Internet: Résolutions 101, 102, 133, 180 et 206 de la Conférence des plénipotentiaires</w:t>
            </w:r>
          </w:p>
        </w:tc>
        <w:tc>
          <w:tcPr>
            <w:tcW w:w="2194" w:type="dxa"/>
          </w:tcPr>
          <w:p w14:paraId="588C71EC" w14:textId="720BFB19" w:rsidR="00CA40B9" w:rsidRPr="001A2A25" w:rsidRDefault="001A2A25" w:rsidP="001A2A25">
            <w:pPr>
              <w:spacing w:before="80" w:after="80"/>
              <w:jc w:val="center"/>
              <w:rPr>
                <w:rStyle w:val="Hyperlink"/>
              </w:rPr>
            </w:pPr>
            <w:hyperlink r:id="rId15" w:history="1">
              <w:r w:rsidRPr="00701921">
                <w:rPr>
                  <w:rStyle w:val="Hyperlink"/>
                  <w:lang w:val="en-GB"/>
                </w:rPr>
                <w:t>C26/33</w:t>
              </w:r>
            </w:hyperlink>
          </w:p>
        </w:tc>
      </w:tr>
    </w:tbl>
    <w:p w14:paraId="6069946C" w14:textId="3E46AE58" w:rsidR="007801F4" w:rsidRDefault="007801F4" w:rsidP="00CF0534">
      <w:r>
        <w:br w:type="page"/>
      </w:r>
    </w:p>
    <w:p w14:paraId="5D7FAE08" w14:textId="7CEC6356" w:rsidR="00CA40B9" w:rsidRDefault="00CA40B9" w:rsidP="00DC1113">
      <w:pPr>
        <w:pStyle w:val="Heading1"/>
      </w:pPr>
      <w:r>
        <w:lastRenderedPageBreak/>
        <w:t>1</w:t>
      </w:r>
      <w:r>
        <w:tab/>
        <w:t>Dommages subis par l'infrastructure civile des télécommunications/des technologies de l'information et des communications à Bahreïn, au</w:t>
      </w:r>
      <w:r w:rsidR="007801F4">
        <w:t xml:space="preserve"> </w:t>
      </w:r>
      <w:r>
        <w:t>Koweït, aux Émirats arabes unis et en Jordanie, et incidences sur la connectivité régionale et mondiale (</w:t>
      </w:r>
      <w:r w:rsidRPr="006A4CD3">
        <w:rPr>
          <w:i/>
          <w:iCs/>
        </w:rPr>
        <w:t>suite</w:t>
      </w:r>
      <w:r>
        <w:t>) (</w:t>
      </w:r>
      <w:r w:rsidR="008C108B" w:rsidRPr="008C108B">
        <w:t xml:space="preserve">Document </w:t>
      </w:r>
      <w:hyperlink r:id="rId16" w:history="1">
        <w:proofErr w:type="spellStart"/>
        <w:r w:rsidR="002264F9" w:rsidRPr="007801F4">
          <w:rPr>
            <w:rStyle w:val="Hyperlink"/>
            <w:szCs w:val="28"/>
          </w:rPr>
          <w:t>C26</w:t>
        </w:r>
        <w:proofErr w:type="spellEnd"/>
        <w:r w:rsidR="002264F9" w:rsidRPr="007801F4">
          <w:rPr>
            <w:rStyle w:val="Hyperlink"/>
            <w:szCs w:val="28"/>
          </w:rPr>
          <w:t>/95(</w:t>
        </w:r>
        <w:proofErr w:type="spellStart"/>
        <w:r w:rsidR="002264F9" w:rsidRPr="007801F4">
          <w:rPr>
            <w:rStyle w:val="Hyperlink"/>
            <w:szCs w:val="28"/>
          </w:rPr>
          <w:t>R</w:t>
        </w:r>
        <w:r w:rsidR="00126893" w:rsidRPr="007801F4">
          <w:rPr>
            <w:rStyle w:val="Hyperlink"/>
            <w:szCs w:val="28"/>
          </w:rPr>
          <w:t>é</w:t>
        </w:r>
        <w:r w:rsidR="002264F9" w:rsidRPr="007801F4">
          <w:rPr>
            <w:rStyle w:val="Hyperlink"/>
            <w:szCs w:val="28"/>
          </w:rPr>
          <w:t>v.2</w:t>
        </w:r>
        <w:proofErr w:type="spellEnd"/>
        <w:r w:rsidR="002264F9" w:rsidRPr="007801F4">
          <w:rPr>
            <w:rStyle w:val="Hyperlink"/>
            <w:szCs w:val="28"/>
          </w:rPr>
          <w:t>)</w:t>
        </w:r>
      </w:hyperlink>
      <w:r>
        <w:t>)</w:t>
      </w:r>
    </w:p>
    <w:p w14:paraId="06445555" w14:textId="531CE132" w:rsidR="00CA40B9" w:rsidRDefault="00CA40B9" w:rsidP="008C108B">
      <w:pPr>
        <w:jc w:val="both"/>
      </w:pPr>
      <w:r>
        <w:t>1.1</w:t>
      </w:r>
      <w:r>
        <w:tab/>
        <w:t>Le conseiller des Émirats arabes unis présente, au nom des sept pays coauteurs, le projet de Résolution révisé figurant dans le Document C26/95(R</w:t>
      </w:r>
      <w:r w:rsidR="00126893">
        <w:t>é</w:t>
      </w:r>
      <w:r>
        <w:t xml:space="preserve">v.2). Des consultations ont eu lieu avec les États Membres pour entendre leurs points de vue, apporter des précisions et rappeler le caractère technique de ce projet de </w:t>
      </w:r>
      <w:r w:rsidR="008262B0">
        <w:t>R</w:t>
      </w:r>
      <w:r>
        <w:t>ésolution. Les États Membres sont encouragés à garder à l</w:t>
      </w:r>
      <w:r w:rsidR="00A65F32">
        <w:t>'</w:t>
      </w:r>
      <w:r>
        <w:t>esprit les répercussions mondiales et régionales des attaques en question et leurs conséquences pour le personnel civil travaillant dans le secteur. La lutte contre les attaques contre l</w:t>
      </w:r>
      <w:r w:rsidR="00A65F32">
        <w:t>'</w:t>
      </w:r>
      <w:r>
        <w:t>infrastructure civile des télécommunications et des technologies de l</w:t>
      </w:r>
      <w:r w:rsidR="00A65F32">
        <w:t>'</w:t>
      </w:r>
      <w:r>
        <w:t>information et de la communication (TIC) relève du mandat technique de l</w:t>
      </w:r>
      <w:r w:rsidR="00A65F32">
        <w:t>'</w:t>
      </w:r>
      <w:r>
        <w:t>UIT et devrait être examinée par le Conseil.</w:t>
      </w:r>
    </w:p>
    <w:p w14:paraId="068A4AFD" w14:textId="7B7C3939" w:rsidR="00CA40B9" w:rsidRDefault="00CA40B9" w:rsidP="008C108B">
      <w:pPr>
        <w:jc w:val="both"/>
      </w:pPr>
      <w:r>
        <w:t>1.2</w:t>
      </w:r>
      <w:r>
        <w:tab/>
        <w:t>L</w:t>
      </w:r>
      <w:r w:rsidR="00A65F32">
        <w:t>'observatrice</w:t>
      </w:r>
      <w:r>
        <w:t xml:space="preserve"> du Qatar, l</w:t>
      </w:r>
      <w:r w:rsidR="00A65F32">
        <w:t>'</w:t>
      </w:r>
      <w:r>
        <w:t xml:space="preserve">un des coauteurs, indique que le projet de </w:t>
      </w:r>
      <w:r w:rsidR="00C84124">
        <w:t>R</w:t>
      </w:r>
      <w:r>
        <w:t>ésolution a été remanié afin d</w:t>
      </w:r>
      <w:r w:rsidR="00A65F32">
        <w:t>'</w:t>
      </w:r>
      <w:r>
        <w:t>en supprimer les termes susceptibles d'avoir une connotation politique.</w:t>
      </w:r>
    </w:p>
    <w:p w14:paraId="026B8CBA" w14:textId="6E738D4A" w:rsidR="00CA40B9" w:rsidRDefault="00CA40B9" w:rsidP="008C108B">
      <w:pPr>
        <w:jc w:val="both"/>
      </w:pPr>
      <w:r>
        <w:t>1.3</w:t>
      </w:r>
      <w:r>
        <w:tab/>
        <w:t>Des conseillers et des observateurs, soulignant l</w:t>
      </w:r>
      <w:r w:rsidR="00A65F32">
        <w:t>'</w:t>
      </w:r>
      <w:r>
        <w:t xml:space="preserve">importance du consensus, se disent favorables à ce projet de </w:t>
      </w:r>
      <w:r w:rsidR="00C84124">
        <w:t>R</w:t>
      </w:r>
      <w:r>
        <w:t>ésolution et remercient les auteurs de ce texte d</w:t>
      </w:r>
      <w:r w:rsidR="00A65F32">
        <w:t>'</w:t>
      </w:r>
      <w:r>
        <w:t>avoir accepté d</w:t>
      </w:r>
      <w:r w:rsidR="00A65F32">
        <w:t>'</w:t>
      </w:r>
      <w:r>
        <w:t>y</w:t>
      </w:r>
      <w:r w:rsidR="002264F9">
        <w:t> </w:t>
      </w:r>
      <w:r>
        <w:t>incorporer les observations des États Membres. Plusieurs conseillers soulignent que les attaques lancées illégalement et aveuglément contre les infrastructures des télécommunications/TIC, lesquelles attaques ont provoqué des perturbations sans précédent et porté atteinte à la connectivité internationale, constituent une violation grave de la Constitution de l</w:t>
      </w:r>
      <w:r w:rsidR="00A65F32">
        <w:t>'</w:t>
      </w:r>
      <w:r>
        <w:t>UIT et du droit international. La protection de ces infrastructures est cruciale, compte tenu de leur importance pour l</w:t>
      </w:r>
      <w:r w:rsidR="00A65F32">
        <w:t>'</w:t>
      </w:r>
      <w:r>
        <w:t xml:space="preserve">économie et la fourniture de services de base. Un conseiller relève que le projet de </w:t>
      </w:r>
      <w:r w:rsidR="00C84124">
        <w:t>R</w:t>
      </w:r>
      <w:r>
        <w:t xml:space="preserve">ésolution est conforme aux </w:t>
      </w:r>
      <w:r w:rsidR="00C84124">
        <w:t>R</w:t>
      </w:r>
      <w:r>
        <w:t>ésolutions du Conseil de sécurité des Nations Unies. Il est fait état de l'importance de la neutralité et de la nécessité de protéger le caractère technique et inclusif de l</w:t>
      </w:r>
      <w:r w:rsidR="00A65F32">
        <w:t>'</w:t>
      </w:r>
      <w:r>
        <w:t>Union.</w:t>
      </w:r>
    </w:p>
    <w:p w14:paraId="7302739D" w14:textId="1E157768" w:rsidR="00CA40B9" w:rsidRDefault="00CA40B9" w:rsidP="008C108B">
      <w:pPr>
        <w:jc w:val="both"/>
      </w:pPr>
      <w:r>
        <w:t>1.4</w:t>
      </w:r>
      <w:r>
        <w:tab/>
        <w:t xml:space="preserve">Le Conseil </w:t>
      </w:r>
      <w:r w:rsidRPr="00411F69">
        <w:rPr>
          <w:b/>
          <w:bCs/>
        </w:rPr>
        <w:t>approuve</w:t>
      </w:r>
      <w:r>
        <w:t xml:space="preserve"> le Document C26/95(R</w:t>
      </w:r>
      <w:r w:rsidR="00126893">
        <w:t>é</w:t>
      </w:r>
      <w:r>
        <w:t xml:space="preserve">v.2) et </w:t>
      </w:r>
      <w:r w:rsidRPr="00411F69">
        <w:rPr>
          <w:b/>
          <w:bCs/>
        </w:rPr>
        <w:t>adopte</w:t>
      </w:r>
      <w:r>
        <w:t xml:space="preserve"> le projet de Résolution figurant en annexe.</w:t>
      </w:r>
    </w:p>
    <w:p w14:paraId="401A4925" w14:textId="0E4837B7" w:rsidR="00CA40B9" w:rsidRDefault="00CA40B9" w:rsidP="00DC1113">
      <w:pPr>
        <w:pStyle w:val="Heading1"/>
      </w:pPr>
      <w:r>
        <w:t>2</w:t>
      </w:r>
      <w:r>
        <w:tab/>
        <w:t xml:space="preserve">Assistance et appui à la République islamique d'Iran pour la reconstruction de ses secteurs de la radiodiffusion et des télécommunications/TIC </w:t>
      </w:r>
      <w:r w:rsidR="008C108B">
        <w:t>(</w:t>
      </w:r>
      <w:r w:rsidR="008C108B" w:rsidRPr="008C108B">
        <w:t xml:space="preserve">Document </w:t>
      </w:r>
      <w:hyperlink r:id="rId17" w:history="1">
        <w:proofErr w:type="spellStart"/>
        <w:r w:rsidR="002264F9" w:rsidRPr="00C84124">
          <w:rPr>
            <w:rStyle w:val="Hyperlink"/>
            <w:szCs w:val="24"/>
          </w:rPr>
          <w:t>C26</w:t>
        </w:r>
        <w:proofErr w:type="spellEnd"/>
        <w:r w:rsidR="002264F9" w:rsidRPr="00C84124">
          <w:rPr>
            <w:rStyle w:val="Hyperlink"/>
            <w:szCs w:val="24"/>
          </w:rPr>
          <w:t>/86(</w:t>
        </w:r>
        <w:proofErr w:type="spellStart"/>
        <w:r w:rsidR="002264F9" w:rsidRPr="00C84124">
          <w:rPr>
            <w:rStyle w:val="Hyperlink"/>
            <w:szCs w:val="24"/>
          </w:rPr>
          <w:t>R</w:t>
        </w:r>
        <w:r w:rsidR="00126893" w:rsidRPr="00C84124">
          <w:rPr>
            <w:rStyle w:val="Hyperlink"/>
            <w:szCs w:val="24"/>
          </w:rPr>
          <w:t>é</w:t>
        </w:r>
        <w:r w:rsidR="002264F9" w:rsidRPr="00C84124">
          <w:rPr>
            <w:rStyle w:val="Hyperlink"/>
            <w:szCs w:val="24"/>
          </w:rPr>
          <w:t>v.1</w:t>
        </w:r>
        <w:proofErr w:type="spellEnd"/>
        <w:r w:rsidR="002264F9" w:rsidRPr="00C84124">
          <w:rPr>
            <w:rStyle w:val="Hyperlink"/>
            <w:szCs w:val="24"/>
          </w:rPr>
          <w:t>)</w:t>
        </w:r>
      </w:hyperlink>
      <w:r>
        <w:t>)</w:t>
      </w:r>
    </w:p>
    <w:p w14:paraId="4B74EBA1" w14:textId="411898C4" w:rsidR="00CA40B9" w:rsidRDefault="00CA40B9" w:rsidP="008C108B">
      <w:pPr>
        <w:jc w:val="both"/>
      </w:pPr>
      <w:r>
        <w:t>2.1</w:t>
      </w:r>
      <w:r>
        <w:tab/>
        <w:t>Ayant reçu l</w:t>
      </w:r>
      <w:r w:rsidR="00A65F32">
        <w:t>'</w:t>
      </w:r>
      <w:r>
        <w:t>appui d</w:t>
      </w:r>
      <w:r w:rsidR="00A65F32">
        <w:t>'</w:t>
      </w:r>
      <w:r>
        <w:t>un conseiller, l</w:t>
      </w:r>
      <w:r w:rsidR="00A65F32">
        <w:t>'</w:t>
      </w:r>
      <w:r>
        <w:t>observateur de la République islamique d</w:t>
      </w:r>
      <w:r w:rsidR="00A65F32">
        <w:t>'</w:t>
      </w:r>
      <w:r>
        <w:t xml:space="preserve">Iran présente le Document C26/86(Rév.1), qui contient un projet de </w:t>
      </w:r>
      <w:r w:rsidR="00C84124">
        <w:t>R</w:t>
      </w:r>
      <w:r>
        <w:t>ésolution en annexe. Il est question de mobiliser une assistance technique et financière sur la base du volontariat pour appuyer la reconstruction et le rétablissement des infrastructures de radiodiffusion, de télécommunication et de TIC touchées par les attaques des États-Unis et d</w:t>
      </w:r>
      <w:r w:rsidR="00A65F32">
        <w:t>'</w:t>
      </w:r>
      <w:r>
        <w:t>Israël. Des consultations informelles avec les États Membres ont eu lieu afin de recueillir des commentaires sur cette proposition, qui est de nature technique et relève pleinement du mandat de l</w:t>
      </w:r>
      <w:r w:rsidR="00A65F32">
        <w:t>'</w:t>
      </w:r>
      <w:r>
        <w:t>Union. Il est important de garantir une certaine cohérence dans l</w:t>
      </w:r>
      <w:r w:rsidR="00A65F32">
        <w:t>'</w:t>
      </w:r>
      <w:r>
        <w:t>approche adoptée par le Conseil à l</w:t>
      </w:r>
      <w:r w:rsidR="00A65F32">
        <w:t>'</w:t>
      </w:r>
      <w:r>
        <w:t>égard de situations comparables dans un souci d</w:t>
      </w:r>
      <w:r w:rsidR="00A65F32">
        <w:t>'</w:t>
      </w:r>
      <w:r>
        <w:t xml:space="preserve">équité et de crédibilité institutionnelle; un précédent en matière d'aide à la reconstruction et d'assistance technique a déjà été établi dans le cadre </w:t>
      </w:r>
      <w:r w:rsidR="00392D33">
        <w:t>de l</w:t>
      </w:r>
      <w:r w:rsidR="00793AF8">
        <w:t>'</w:t>
      </w:r>
      <w:r w:rsidR="00392D33">
        <w:t>examen du Document C26/95(R</w:t>
      </w:r>
      <w:r w:rsidR="00793AF8">
        <w:t>é</w:t>
      </w:r>
      <w:r w:rsidR="00392D33">
        <w:t>v.2)</w:t>
      </w:r>
      <w:r>
        <w:t>.</w:t>
      </w:r>
    </w:p>
    <w:p w14:paraId="5F805B80" w14:textId="17FAD8F0" w:rsidR="00CA40B9" w:rsidRDefault="00CA40B9" w:rsidP="008C108B">
      <w:pPr>
        <w:jc w:val="both"/>
      </w:pPr>
      <w:r>
        <w:lastRenderedPageBreak/>
        <w:t>2.2</w:t>
      </w:r>
      <w:r>
        <w:tab/>
        <w:t>En outre, la République islamique d</w:t>
      </w:r>
      <w:r w:rsidR="00A65F32">
        <w:t>'</w:t>
      </w:r>
      <w:r>
        <w:t>Iran exprime des réserves au sujet des documents soumis au Conseil qui contiennent des affirmations apparemment non étayées par des preuves factuelles, juridiques ou techniques vérifiables. Ses opérations militaires sont menées dans l</w:t>
      </w:r>
      <w:r w:rsidR="00A65F32">
        <w:t>'</w:t>
      </w:r>
      <w:r>
        <w:t>exercice de son droit à l</w:t>
      </w:r>
      <w:r w:rsidR="00A65F32">
        <w:t>'</w:t>
      </w:r>
      <w:r>
        <w:t>autodéfense en vertu de la Charte des Nations</w:t>
      </w:r>
      <w:r w:rsidR="00C84124">
        <w:t> </w:t>
      </w:r>
      <w:r>
        <w:t>Unies, en réponse à des actes d</w:t>
      </w:r>
      <w:r w:rsidR="00A65F32">
        <w:t>'</w:t>
      </w:r>
      <w:r>
        <w:t>agression antérieurs, et se limitent aux cibles militaires que constituent les agresseurs; les allégations contraires sont rejetées. Toute tentative de traiter ces questions au sein de l</w:t>
      </w:r>
      <w:r w:rsidR="00A65F32">
        <w:t>'</w:t>
      </w:r>
      <w:r>
        <w:t xml:space="preserve">UIT pourrait outrepasser son mandat technique et porter atteinte à sa neutralité. La déclaration complète est disponible à l'adresse suivante: </w:t>
      </w:r>
      <w:hyperlink r:id="rId18" w:history="1">
        <w:r w:rsidR="002264F9" w:rsidRPr="002264F9">
          <w:rPr>
            <w:rStyle w:val="Hyperlink"/>
          </w:rPr>
          <w:t>council.itu.int/2026/wp-content/uploads/sites/6/2026/0</w:t>
        </w:r>
        <w:r w:rsidR="002264F9" w:rsidRPr="002264F9">
          <w:rPr>
            <w:rStyle w:val="Hyperlink"/>
          </w:rPr>
          <w:t>2</w:t>
        </w:r>
        <w:r w:rsidR="002264F9" w:rsidRPr="002264F9">
          <w:rPr>
            <w:rStyle w:val="Hyperlink"/>
          </w:rPr>
          <w:t>/26.05.01-Iran-HE-Ambassador-Bahreini-C26_86-PL4.pdf</w:t>
        </w:r>
      </w:hyperlink>
      <w:r>
        <w:t>.</w:t>
      </w:r>
    </w:p>
    <w:p w14:paraId="5A431970" w14:textId="3892950B" w:rsidR="00CA40B9" w:rsidRDefault="00CA40B9" w:rsidP="00CA40B9">
      <w:r>
        <w:t>2.3</w:t>
      </w:r>
      <w:r>
        <w:tab/>
        <w:t>Un conseiller, rappelant que des frappes contre la République islamique d</w:t>
      </w:r>
      <w:r w:rsidR="00A65F32">
        <w:t>'</w:t>
      </w:r>
      <w:r>
        <w:t>Iran ont été lancées sans l</w:t>
      </w:r>
      <w:r w:rsidR="00A65F32">
        <w:t>'</w:t>
      </w:r>
      <w:r>
        <w:t>autorisation du Conseil de sécurité des Nations Unies et en violation de la Charte des Nations Unies, souligne que la crise au Moyen-Orient affecte la paix et la stabilité régionales et internationales.</w:t>
      </w:r>
    </w:p>
    <w:p w14:paraId="5B33B2A8" w14:textId="5E71FA62" w:rsidR="00CA40B9" w:rsidRDefault="00CA40B9" w:rsidP="008C108B">
      <w:pPr>
        <w:jc w:val="both"/>
      </w:pPr>
      <w:r>
        <w:t>2.4</w:t>
      </w:r>
      <w:r>
        <w:tab/>
        <w:t>Plusieurs conseillères et un observateur condamnent les attaques contre les infrastructures des télécommunications du pays et sont favorables à la fourniture d</w:t>
      </w:r>
      <w:r w:rsidR="00A65F32">
        <w:t>'</w:t>
      </w:r>
      <w:r>
        <w:t>une assistance technique et d</w:t>
      </w:r>
      <w:r w:rsidR="00A65F32">
        <w:t>'</w:t>
      </w:r>
      <w:r>
        <w:t>un renforcement des capacités à la République islamique d</w:t>
      </w:r>
      <w:r w:rsidR="00A65F32">
        <w:t>'</w:t>
      </w:r>
      <w:r>
        <w:t>Iran, conformément au mandat de l</w:t>
      </w:r>
      <w:r w:rsidR="00A65F32">
        <w:t>'</w:t>
      </w:r>
      <w:r>
        <w:t>UIT. Il est essentiel de protéger les réseaux et services publics de télécommunication en temps de conflit. La souveraineté, la sécurité et l</w:t>
      </w:r>
      <w:r w:rsidR="00A65F32">
        <w:t>'</w:t>
      </w:r>
      <w:r>
        <w:t>intégrité territoriale nationales doivent être pleinement respectées, les cibles civiles et non militaires doivent être protégées et les infrastructures de communication civiles sauvegardées. Il est essentiel d</w:t>
      </w:r>
      <w:r w:rsidR="00A65F32">
        <w:t>'</w:t>
      </w:r>
      <w:r>
        <w:t>assurer le rétablissement, la résilience et le fonctionnement des systèmes de télécommunication, en particulier lorsque des perturbations risquent d</w:t>
      </w:r>
      <w:r w:rsidR="00A65F32">
        <w:t>'</w:t>
      </w:r>
      <w:r>
        <w:t>avoir des conséquences sur la plan humanitaire.</w:t>
      </w:r>
    </w:p>
    <w:p w14:paraId="6959B01E" w14:textId="615DC633" w:rsidR="00CA40B9" w:rsidRDefault="00CA40B9" w:rsidP="008C108B">
      <w:pPr>
        <w:jc w:val="both"/>
      </w:pPr>
      <w:r>
        <w:t>2.5</w:t>
      </w:r>
      <w:r>
        <w:tab/>
        <w:t>Les conseillers des Émirats arabes unis, du Koweït et de Bahreïn déclarent que le Document</w:t>
      </w:r>
      <w:r w:rsidR="00FB4062">
        <w:t> </w:t>
      </w:r>
      <w:r>
        <w:t>C26/86(Rév.1) contient des allégations selon lesquelles des attaques contre la République islamique d</w:t>
      </w:r>
      <w:r w:rsidR="00A65F32">
        <w:t>'</w:t>
      </w:r>
      <w:r>
        <w:t xml:space="preserve">Iran ont été lancées depuis le territoire des États arabes; ces affirmations contredisent les </w:t>
      </w:r>
      <w:r w:rsidR="00D63A7E">
        <w:t>R</w:t>
      </w:r>
      <w:r>
        <w:t>ésolutions du Conseil de sécurité des Nations Unies et du Conseil des droits de l</w:t>
      </w:r>
      <w:r w:rsidR="00A65F32">
        <w:t>'</w:t>
      </w:r>
      <w:r>
        <w:t>homme. Ils demandent au Conseil de ne pas approuver le document ni d</w:t>
      </w:r>
      <w:r w:rsidR="00A65F32">
        <w:t>'</w:t>
      </w:r>
      <w:r>
        <w:t xml:space="preserve">adopter le projet de </w:t>
      </w:r>
      <w:r w:rsidR="00D63A7E">
        <w:t>R</w:t>
      </w:r>
      <w:r>
        <w:t>ésolution.</w:t>
      </w:r>
    </w:p>
    <w:p w14:paraId="30C66DFA" w14:textId="387B56C7" w:rsidR="00CA40B9" w:rsidRDefault="00CA40B9" w:rsidP="008C108B">
      <w:pPr>
        <w:jc w:val="both"/>
      </w:pPr>
      <w:r>
        <w:t>2.6</w:t>
      </w:r>
      <w:r>
        <w:tab/>
        <w:t>Plusieurs conseillers et une observatrice soulignent que les conclusions du Conseil doivent rester équilibrées, s'en tenir aux faits, être constructives et conformes au mandat de l</w:t>
      </w:r>
      <w:r w:rsidR="00A65F32">
        <w:t>'</w:t>
      </w:r>
      <w:r>
        <w:t>UIT. Le principe de neutralité doit être respecté. Les mesures prises par l</w:t>
      </w:r>
      <w:r w:rsidR="00A65F32">
        <w:t>'</w:t>
      </w:r>
      <w:r>
        <w:t>UIT devraient faire écho à ses principes objectifs, spécialisés et professionnels, les États Membres s</w:t>
      </w:r>
      <w:r w:rsidR="00A65F32">
        <w:t>'</w:t>
      </w:r>
      <w:r>
        <w:t>employant à calmer la situation au Moyen-Orient.</w:t>
      </w:r>
    </w:p>
    <w:p w14:paraId="4775EC0F" w14:textId="11B020FF" w:rsidR="00CA40B9" w:rsidRDefault="00CA40B9" w:rsidP="008C108B">
      <w:pPr>
        <w:jc w:val="both"/>
      </w:pPr>
      <w:r>
        <w:t>2.7</w:t>
      </w:r>
      <w:r>
        <w:tab/>
        <w:t>Le Président considère qu</w:t>
      </w:r>
      <w:r w:rsidR="00A65F32">
        <w:t>'</w:t>
      </w:r>
      <w:r>
        <w:t>en l</w:t>
      </w:r>
      <w:r w:rsidR="00A65F32">
        <w:t>'</w:t>
      </w:r>
      <w:r>
        <w:t>absence de consensus sur le Document C26/86(Rév.1), le Conseil souhaite passer à l</w:t>
      </w:r>
      <w:r w:rsidR="00A65F32">
        <w:t>'</w:t>
      </w:r>
      <w:r>
        <w:t>examen du point suivant de l</w:t>
      </w:r>
      <w:r w:rsidR="00A65F32">
        <w:t>'</w:t>
      </w:r>
      <w:r>
        <w:t>ordre du jour.</w:t>
      </w:r>
    </w:p>
    <w:p w14:paraId="11EDC5EE" w14:textId="77777777" w:rsidR="00CA40B9" w:rsidRDefault="00CA40B9" w:rsidP="008C108B">
      <w:pPr>
        <w:jc w:val="both"/>
      </w:pPr>
      <w:r>
        <w:t>2.8</w:t>
      </w:r>
      <w:r>
        <w:tab/>
        <w:t>Il en est</w:t>
      </w:r>
      <w:r w:rsidRPr="00B84345">
        <w:t xml:space="preserve"> ainsi</w:t>
      </w:r>
      <w:r w:rsidRPr="00B84345">
        <w:rPr>
          <w:b/>
          <w:bCs/>
        </w:rPr>
        <w:t xml:space="preserve"> décidé</w:t>
      </w:r>
      <w:r>
        <w:t>.</w:t>
      </w:r>
    </w:p>
    <w:p w14:paraId="69CF0410" w14:textId="435CCC55" w:rsidR="00CA40B9" w:rsidRDefault="00CA40B9" w:rsidP="00DC1113">
      <w:pPr>
        <w:pStyle w:val="Heading1"/>
      </w:pPr>
      <w:r>
        <w:t>3</w:t>
      </w:r>
      <w:r>
        <w:tab/>
        <w:t>Renforcer la résilience des câbles sous-marins – l'Organe consultatif international pour la résilience des câbles sous-marins et le Sommet de Porto de 2026 (</w:t>
      </w:r>
      <w:r w:rsidR="008C108B" w:rsidRPr="008C108B">
        <w:t xml:space="preserve">Document </w:t>
      </w:r>
      <w:hyperlink r:id="rId19" w:history="1">
        <w:proofErr w:type="spellStart"/>
        <w:r w:rsidR="00B84345" w:rsidRPr="00D63A7E">
          <w:rPr>
            <w:rStyle w:val="Hyperlink"/>
            <w:szCs w:val="24"/>
          </w:rPr>
          <w:t>C26</w:t>
        </w:r>
        <w:proofErr w:type="spellEnd"/>
        <w:r w:rsidR="00B84345" w:rsidRPr="00D63A7E">
          <w:rPr>
            <w:rStyle w:val="Hyperlink"/>
            <w:szCs w:val="24"/>
          </w:rPr>
          <w:t>/76</w:t>
        </w:r>
      </w:hyperlink>
      <w:r>
        <w:t>)</w:t>
      </w:r>
    </w:p>
    <w:p w14:paraId="45DBDA64" w14:textId="184EFAAB" w:rsidR="00CA40B9" w:rsidRPr="008C108B" w:rsidRDefault="00CA40B9" w:rsidP="008C108B">
      <w:pPr>
        <w:jc w:val="both"/>
        <w:rPr>
          <w:spacing w:val="-2"/>
        </w:rPr>
      </w:pPr>
      <w:r w:rsidRPr="008C108B">
        <w:rPr>
          <w:spacing w:val="-2"/>
        </w:rPr>
        <w:t>3.1</w:t>
      </w:r>
      <w:r w:rsidRPr="008C108B">
        <w:rPr>
          <w:spacing w:val="-2"/>
        </w:rPr>
        <w:tab/>
        <w:t>L</w:t>
      </w:r>
      <w:r w:rsidR="00A65F32" w:rsidRPr="008C108B">
        <w:rPr>
          <w:spacing w:val="-2"/>
        </w:rPr>
        <w:t>'</w:t>
      </w:r>
      <w:r w:rsidRPr="008C108B">
        <w:rPr>
          <w:spacing w:val="-2"/>
        </w:rPr>
        <w:t>observatrice du Portugal, prenant la parole en sa qualité de coprésidente de l'Organe consultatif international pour la résilience des câbles sous-marins, présente le Document</w:t>
      </w:r>
      <w:r w:rsidR="0080516C" w:rsidRPr="008C108B">
        <w:rPr>
          <w:spacing w:val="-2"/>
        </w:rPr>
        <w:t> </w:t>
      </w:r>
      <w:r w:rsidRPr="008C108B">
        <w:rPr>
          <w:spacing w:val="-2"/>
        </w:rPr>
        <w:t xml:space="preserve">C26/76, qui permet de faire le point sur les efforts déployés au niveau international </w:t>
      </w:r>
      <w:r w:rsidRPr="008C108B">
        <w:rPr>
          <w:spacing w:val="-2"/>
        </w:rPr>
        <w:lastRenderedPageBreak/>
        <w:t>pour renforcer la résilience des câbles sous-marins, et présente également des informations sur les éditions de 2025 et 2026 du Sommet international sur la résilience des câbles sous-marins, qui se sont tenues respectivement à Abuja (Nigéria) et à Porto (Portugal). L</w:t>
      </w:r>
      <w:r w:rsidR="00A65F32" w:rsidRPr="008C108B">
        <w:rPr>
          <w:spacing w:val="-2"/>
        </w:rPr>
        <w:t>'</w:t>
      </w:r>
      <w:r w:rsidRPr="008C108B">
        <w:rPr>
          <w:spacing w:val="-2"/>
        </w:rPr>
        <w:t>adoption de la Déclaration de Porto sur la résilience des câbles sous-marins a permis de souligner l</w:t>
      </w:r>
      <w:r w:rsidR="00A65F32" w:rsidRPr="008C108B">
        <w:rPr>
          <w:spacing w:val="-2"/>
        </w:rPr>
        <w:t>'</w:t>
      </w:r>
      <w:r w:rsidRPr="008C108B">
        <w:rPr>
          <w:spacing w:val="-2"/>
        </w:rPr>
        <w:t>importance de la coopération entre les parties prenantes pour garantir une connectivité mondiale sûre et fiable. Les participants au Sommet de Porto ont également approuvé des recommandations donnant des orientations pratiques pour accélérer le déploiement et la réparation des câbles grâce à un renforcement des cadres juridiques et réglementaires, atténuer les risques pesant sur les infrastructures des câbles, soutenir l</w:t>
      </w:r>
      <w:r w:rsidR="00A65F32" w:rsidRPr="008C108B">
        <w:rPr>
          <w:spacing w:val="-2"/>
        </w:rPr>
        <w:t>'</w:t>
      </w:r>
      <w:r w:rsidRPr="008C108B">
        <w:rPr>
          <w:spacing w:val="-2"/>
        </w:rPr>
        <w:t>innovation et le renforcement des capacités et promouvoir l</w:t>
      </w:r>
      <w:r w:rsidR="00A65F32" w:rsidRPr="008C108B">
        <w:rPr>
          <w:spacing w:val="-2"/>
        </w:rPr>
        <w:t>'</w:t>
      </w:r>
      <w:r w:rsidRPr="008C108B">
        <w:rPr>
          <w:spacing w:val="-2"/>
        </w:rPr>
        <w:t>investissement et la diversité des tracés à l'échelle mondiale.</w:t>
      </w:r>
    </w:p>
    <w:p w14:paraId="1E55FC7B" w14:textId="3AC92AE2" w:rsidR="00CA40B9" w:rsidRDefault="00CA40B9" w:rsidP="008C108B">
      <w:pPr>
        <w:jc w:val="both"/>
      </w:pPr>
      <w:r>
        <w:t>3.2</w:t>
      </w:r>
      <w:r>
        <w:tab/>
        <w:t>De nombreux conseillers et une observatrice saluent les travaux de l</w:t>
      </w:r>
      <w:r w:rsidR="00A65F32">
        <w:t>'</w:t>
      </w:r>
      <w:r>
        <w:t>Organe consultatif international sur la résilience des câbles sous-marins et se félicitent de la tenue des deux</w:t>
      </w:r>
      <w:r w:rsidR="0080516C">
        <w:t> </w:t>
      </w:r>
      <w:r>
        <w:t>sommets en question. La question est de la plus haute importance, y compris pour les pays sans littoral, et pourrait mériter qu'on continue de s'y intéresser même après l'achèvement des travaux de l</w:t>
      </w:r>
      <w:r w:rsidR="00A65F32">
        <w:t>'</w:t>
      </w:r>
      <w:r>
        <w:t>Organe consultatif. Les participants appuient la Déclaration de Porto et les recommandations pratiques et exploitables qui y ont été adoptées et qui devraient être reprises par toutes les parties prenantes. Il faut accélérer la mise en œuvre des conclusions du Sommet de Porto, notamment en simplifiant les procédures d'autorisation et en réduisant les délais de réparation. Il est également essentiel de soutenir les régions mal desservies et vulnérables, notamment en Afrique, en renforçant les investissements, les partenariats et les politiques favorisant la diversité et la redondance des trajets, et de consolider le renforcement des capacités et l</w:t>
      </w:r>
      <w:r w:rsidR="00A65F32">
        <w:t>'</w:t>
      </w:r>
      <w:r>
        <w:t>innovation pour faire en sorte que les pays en développement puissent participer efficacement à des systèmes de câbles sous</w:t>
      </w:r>
      <w:r w:rsidR="00D63A7E">
        <w:noBreakHyphen/>
      </w:r>
      <w:r>
        <w:t>marins résilients et en tirer parti.</w:t>
      </w:r>
    </w:p>
    <w:p w14:paraId="63C3BF77" w14:textId="756E4218" w:rsidR="00CA40B9" w:rsidRDefault="00CA40B9" w:rsidP="008C108B">
      <w:pPr>
        <w:jc w:val="both"/>
      </w:pPr>
      <w:r>
        <w:t>3.3</w:t>
      </w:r>
      <w:r>
        <w:tab/>
        <w:t>Un conseiller demande que soient élaborées des stratégies nationales de résilience et accueille favorablement les prochaines étapes proposées pour mobiliser les principales parties prenantes et traduire les recommandations formulées en mesures concrètes. Il est proposé que le rapport serve de contribution au prochain Colloque mondial des régulateurs (GSR</w:t>
      </w:r>
      <w:r w:rsidR="00D63A7E">
        <w:noBreakHyphen/>
      </w:r>
      <w:r>
        <w:t>26) et que les résultats des travaux du Conseil consultatif soient communiqués aux organisations régionales de télécommunication. Des conseillers se félicitent que l</w:t>
      </w:r>
      <w:r w:rsidR="00A65F32">
        <w:t>'</w:t>
      </w:r>
      <w:r>
        <w:t>accent continue d</w:t>
      </w:r>
      <w:r w:rsidR="00A65F32">
        <w:t>'</w:t>
      </w:r>
      <w:r>
        <w:t>être mis sur la coopération pour renforcer la résilience des câbles sous-marins et notent en particulier qu</w:t>
      </w:r>
      <w:r w:rsidR="00A65F32">
        <w:t>'</w:t>
      </w:r>
      <w:r>
        <w:t>il est important de renforcer la coopération entre les gouvernements, le secteur privé et les organisations régionales. Un autre conseiller souligne l</w:t>
      </w:r>
      <w:r w:rsidR="00A65F32">
        <w:t>'</w:t>
      </w:r>
      <w:r>
        <w:t>intérêt que présentent les travaux de la Commission d</w:t>
      </w:r>
      <w:r w:rsidR="00A65F32">
        <w:t>'</w:t>
      </w:r>
      <w:r>
        <w:t>études 15 du Secteur de la normalisation des télécommunications de l</w:t>
      </w:r>
      <w:r w:rsidR="00A65F32">
        <w:t>'</w:t>
      </w:r>
      <w:r>
        <w:t>UIT (UIT-T) et suggère que ce secteur joue un rôle plus important dans la mise en œuvre des résultats du Sommet.</w:t>
      </w:r>
    </w:p>
    <w:p w14:paraId="67952EB1" w14:textId="4A8899B0" w:rsidR="00CA40B9" w:rsidRDefault="00CA40B9" w:rsidP="008C108B">
      <w:pPr>
        <w:keepLines/>
        <w:jc w:val="both"/>
      </w:pPr>
      <w:r>
        <w:t>3.4</w:t>
      </w:r>
      <w:r>
        <w:tab/>
        <w:t>Une autre conseillère suggère que, dans la partie du document consacrée aux principaux résultats du Sommet de Porto, il serait préférable de reproduire le libellé de la Déclaration de Porto et d</w:t>
      </w:r>
      <w:r w:rsidR="00A65F32">
        <w:t>'</w:t>
      </w:r>
      <w:r>
        <w:t>utiliser l</w:t>
      </w:r>
      <w:r w:rsidR="00A65F32">
        <w:t>'</w:t>
      </w:r>
      <w:r>
        <w:t>expression "recommandations non contraignantes" plutôt que le terme "orientations". Le rapport pourrait également être mis à jour pour rendre compte de l</w:t>
      </w:r>
      <w:r w:rsidR="00A65F32">
        <w:t>'</w:t>
      </w:r>
      <w:r>
        <w:t>état actuel des travaux et des échéances.</w:t>
      </w:r>
    </w:p>
    <w:p w14:paraId="612D1CCF" w14:textId="59CBB7DE" w:rsidR="00CA40B9" w:rsidRDefault="00CA40B9" w:rsidP="008C108B">
      <w:pPr>
        <w:jc w:val="both"/>
      </w:pPr>
      <w:r>
        <w:t>3.5</w:t>
      </w:r>
      <w:r>
        <w:tab/>
        <w:t>Le Vice-Secrétaire général, répondant à une question de l</w:t>
      </w:r>
      <w:r w:rsidR="00A65F32">
        <w:t>'</w:t>
      </w:r>
      <w:r>
        <w:t>observateur de la Fédération</w:t>
      </w:r>
      <w:r w:rsidR="0080516C">
        <w:t> </w:t>
      </w:r>
      <w:r>
        <w:t>de Russie, indique qu</w:t>
      </w:r>
      <w:r w:rsidR="00A65F32">
        <w:t>'</w:t>
      </w:r>
      <w:r>
        <w:t>il appartient aux États Membres, et non au Secrétariat, de déterminer le rôle de l</w:t>
      </w:r>
      <w:r w:rsidR="00A65F32">
        <w:t>'</w:t>
      </w:r>
      <w:r>
        <w:t>UIT en matière de résilience des câbles sous-marins. Le Secrétariat attend avec intérêt de recevoir de nouvelles orientations de la part des États Membres à cet égard. Il remercie les coprésidents de l</w:t>
      </w:r>
      <w:r w:rsidR="00A65F32">
        <w:t>'</w:t>
      </w:r>
      <w:r>
        <w:t xml:space="preserve">Organe consultatif international pour leur aptitude à </w:t>
      </w:r>
      <w:r>
        <w:lastRenderedPageBreak/>
        <w:t>diriger et leur engagement qui ont permis d'organiser deux sommets couronnés de succès et de parvenir à des conclusions claires. Il remercie également les présidents des groupes de travail et les participants à ces groupes et se félicite de la participation du Comité international de protection des câbles. L</w:t>
      </w:r>
      <w:r w:rsidR="00A65F32">
        <w:t>'</w:t>
      </w:r>
      <w:r>
        <w:t>adoption par consensus de toutes les recommandations a montré comment la communauté mondiale pouvait s</w:t>
      </w:r>
      <w:r w:rsidR="00A65F32">
        <w:t>'</w:t>
      </w:r>
      <w:r>
        <w:t xml:space="preserve">unir pour relever des défis aussi importants. Il conclut en indiquant que les rapports des groupes de travail </w:t>
      </w:r>
      <w:r w:rsidR="00392D33">
        <w:t>sont en cours d</w:t>
      </w:r>
      <w:r w:rsidR="00793AF8">
        <w:t>'</w:t>
      </w:r>
      <w:r w:rsidR="00392D33">
        <w:t>achèvement</w:t>
      </w:r>
      <w:r>
        <w:t xml:space="preserve"> et devraient être approuvés à la réunion finale de l</w:t>
      </w:r>
      <w:r w:rsidR="00A65F32">
        <w:t>'</w:t>
      </w:r>
      <w:r>
        <w:t>Organe consultatif international dans le cadre de son mandat 2024-2026.</w:t>
      </w:r>
    </w:p>
    <w:p w14:paraId="1AB7093E" w14:textId="0F141750" w:rsidR="00CA40B9" w:rsidRDefault="00CA40B9" w:rsidP="00CA40B9">
      <w:r>
        <w:t>3.6</w:t>
      </w:r>
      <w:r>
        <w:tab/>
        <w:t xml:space="preserve">Le Conseil </w:t>
      </w:r>
      <w:r w:rsidRPr="0080516C">
        <w:rPr>
          <w:b/>
          <w:bCs/>
        </w:rPr>
        <w:t>prend note</w:t>
      </w:r>
      <w:r>
        <w:t xml:space="preserve"> du rapport figurant dans le Document C26/76.</w:t>
      </w:r>
    </w:p>
    <w:p w14:paraId="7AEA5368" w14:textId="6A70A412" w:rsidR="00CA40B9" w:rsidRDefault="00CA40B9" w:rsidP="00DC1113">
      <w:pPr>
        <w:pStyle w:val="Heading1"/>
      </w:pPr>
      <w:r>
        <w:t>4</w:t>
      </w:r>
      <w:r>
        <w:tab/>
        <w:t>Journée mondiale des télécommunications et de la société de l'information (</w:t>
      </w:r>
      <w:r w:rsidR="008C108B" w:rsidRPr="008C108B">
        <w:t xml:space="preserve">Document </w:t>
      </w:r>
      <w:hyperlink r:id="rId20" w:history="1">
        <w:proofErr w:type="spellStart"/>
        <w:r w:rsidR="00B84345" w:rsidRPr="006C0832">
          <w:rPr>
            <w:rStyle w:val="Hyperlink"/>
            <w:szCs w:val="24"/>
          </w:rPr>
          <w:t>C26</w:t>
        </w:r>
        <w:proofErr w:type="spellEnd"/>
        <w:r w:rsidR="00B84345" w:rsidRPr="006C0832">
          <w:rPr>
            <w:rStyle w:val="Hyperlink"/>
            <w:szCs w:val="24"/>
          </w:rPr>
          <w:t>/17</w:t>
        </w:r>
      </w:hyperlink>
      <w:r>
        <w:t>)</w:t>
      </w:r>
    </w:p>
    <w:p w14:paraId="0A8EAC5A" w14:textId="47FD0D65" w:rsidR="00CA40B9" w:rsidRDefault="00CA40B9" w:rsidP="008C108B">
      <w:pPr>
        <w:jc w:val="both"/>
      </w:pPr>
      <w:r>
        <w:t>4.1</w:t>
      </w:r>
      <w:r>
        <w:tab/>
        <w:t>Une représentante du Secrétariat général présente le rapport de la Secrétaire générale sur la Journée mondiale des télécommunications et de la société de l'information (Document</w:t>
      </w:r>
      <w:r w:rsidR="00B84345">
        <w:t> </w:t>
      </w:r>
      <w:r>
        <w:t>C26/17).</w:t>
      </w:r>
    </w:p>
    <w:p w14:paraId="1E76BE02" w14:textId="20E2E53E" w:rsidR="00CA40B9" w:rsidRDefault="00CA40B9" w:rsidP="008C108B">
      <w:pPr>
        <w:jc w:val="both"/>
      </w:pPr>
      <w:r>
        <w:t>4.2</w:t>
      </w:r>
      <w:r>
        <w:tab/>
        <w:t>Plusieurs conseillers et une observatrice se félicitent du thème de la Journée mondiale de 2026, qui tombe à point nommé, et soulignent l</w:t>
      </w:r>
      <w:r w:rsidR="00A65F32">
        <w:t>'</w:t>
      </w:r>
      <w:r>
        <w:t>importance d</w:t>
      </w:r>
      <w:r w:rsidR="00A65F32">
        <w:t>'</w:t>
      </w:r>
      <w:r>
        <w:t>une infrastructure numérique résiliente pour la croissance économique et le développement durable. Les participants appuient la mobilisation des États Membres et les activités de sensibilisation de l</w:t>
      </w:r>
      <w:r w:rsidR="00A65F32">
        <w:t>'</w:t>
      </w:r>
      <w:r>
        <w:t xml:space="preserve">UIT, notamment le rapport sur les risques numériques majeurs, qui présente un intérêt </w:t>
      </w:r>
      <w:r w:rsidR="00014F19">
        <w:t>particulier</w:t>
      </w:r>
      <w:r>
        <w:t xml:space="preserve"> pour les pays en développement et les États insulaires. Un conseiller met en avant les manifestations organisées dans son pays à l</w:t>
      </w:r>
      <w:r w:rsidR="00A65F32">
        <w:t>'</w:t>
      </w:r>
      <w:r>
        <w:t>occasion de la Journée mondiale de 2026, tandis qu</w:t>
      </w:r>
      <w:r w:rsidR="00A65F32">
        <w:t>'</w:t>
      </w:r>
      <w:r>
        <w:t>un autre souligne l</w:t>
      </w:r>
      <w:r w:rsidR="00A65F32">
        <w:t>'</w:t>
      </w:r>
      <w:r>
        <w:t>importance de la connectivité spatiale et des communications par satellite pour atteindre les communautés vulnérables. Un conseiller souscrit au thème proposé pour l'édition 2027 de la Journée mondiale des télécommunications et de la société de l'information, à savoir "L'espace pour tous: étendre la connectivité au-delà des frontières".</w:t>
      </w:r>
    </w:p>
    <w:p w14:paraId="4C6406E0" w14:textId="77777777" w:rsidR="00CA40B9" w:rsidRDefault="00CA40B9" w:rsidP="008C108B">
      <w:pPr>
        <w:jc w:val="both"/>
      </w:pPr>
      <w:r>
        <w:t>4.3</w:t>
      </w:r>
      <w:r>
        <w:tab/>
        <w:t xml:space="preserve">Le Conseil de l'UIT </w:t>
      </w:r>
      <w:r w:rsidRPr="002C0D9E">
        <w:rPr>
          <w:b/>
          <w:bCs/>
        </w:rPr>
        <w:t>prend note</w:t>
      </w:r>
      <w:r>
        <w:t xml:space="preserve"> de la célébration de l'édition de 2026 de la Journée mondiale autour du thème: "Lignes de vie du monde numérique: Renforcer la résilience dans un monde connecté".</w:t>
      </w:r>
    </w:p>
    <w:p w14:paraId="3468A966" w14:textId="712C03D7" w:rsidR="00CA40B9" w:rsidRDefault="00CA40B9" w:rsidP="00DC1113">
      <w:pPr>
        <w:pStyle w:val="Heading1"/>
      </w:pPr>
      <w:r>
        <w:t>5</w:t>
      </w:r>
      <w:r>
        <w:tab/>
        <w:t>Rapport quadriennal du Président du Groupe de travail du Conseil sur les questions de politiques publiques internationales relatives à l'Internet (</w:t>
      </w:r>
      <w:r w:rsidRPr="002C0D9E">
        <w:rPr>
          <w:i/>
          <w:iCs/>
        </w:rPr>
        <w:t>suite</w:t>
      </w:r>
      <w:r>
        <w:t>) (</w:t>
      </w:r>
      <w:r w:rsidR="008C108B" w:rsidRPr="008C108B">
        <w:t>Document</w:t>
      </w:r>
      <w:r w:rsidR="008C108B">
        <w:t>s</w:t>
      </w:r>
      <w:r w:rsidR="008C108B" w:rsidRPr="008C108B">
        <w:t xml:space="preserve"> </w:t>
      </w:r>
      <w:hyperlink r:id="rId21" w:history="1">
        <w:proofErr w:type="spellStart"/>
        <w:r w:rsidR="00B84345" w:rsidRPr="006C0832">
          <w:rPr>
            <w:rStyle w:val="Hyperlink"/>
          </w:rPr>
          <w:t>C26</w:t>
        </w:r>
        <w:proofErr w:type="spellEnd"/>
        <w:r w:rsidR="00B84345" w:rsidRPr="006C0832">
          <w:rPr>
            <w:rStyle w:val="Hyperlink"/>
          </w:rPr>
          <w:t>/52</w:t>
        </w:r>
      </w:hyperlink>
      <w:r>
        <w:t xml:space="preserve">, </w:t>
      </w:r>
      <w:hyperlink r:id="rId22">
        <w:proofErr w:type="spellStart"/>
        <w:r w:rsidR="00B84345" w:rsidRPr="00B84345">
          <w:rPr>
            <w:rStyle w:val="Hyperlink"/>
          </w:rPr>
          <w:t>C26</w:t>
        </w:r>
        <w:proofErr w:type="spellEnd"/>
        <w:r w:rsidR="00B84345" w:rsidRPr="00B84345">
          <w:rPr>
            <w:rStyle w:val="Hyperlink"/>
          </w:rPr>
          <w:t>/94</w:t>
        </w:r>
      </w:hyperlink>
      <w:r>
        <w:t xml:space="preserve">, </w:t>
      </w:r>
      <w:hyperlink r:id="rId23">
        <w:proofErr w:type="spellStart"/>
        <w:r w:rsidR="00B84345" w:rsidRPr="00B84345">
          <w:rPr>
            <w:rStyle w:val="Hyperlink"/>
          </w:rPr>
          <w:t>C26</w:t>
        </w:r>
        <w:proofErr w:type="spellEnd"/>
        <w:r w:rsidR="00B84345" w:rsidRPr="00B84345">
          <w:rPr>
            <w:rStyle w:val="Hyperlink"/>
          </w:rPr>
          <w:t>/99</w:t>
        </w:r>
      </w:hyperlink>
      <w:r w:rsidR="00B84345" w:rsidRPr="00B84345">
        <w:t xml:space="preserve"> </w:t>
      </w:r>
      <w:r>
        <w:t xml:space="preserve">et </w:t>
      </w:r>
      <w:hyperlink r:id="rId24">
        <w:r w:rsidR="00B84345" w:rsidRPr="00B84345">
          <w:rPr>
            <w:rStyle w:val="Hyperlink"/>
          </w:rPr>
          <w:t>C26/101(R</w:t>
        </w:r>
        <w:r w:rsidR="00126893">
          <w:rPr>
            <w:rStyle w:val="Hyperlink"/>
          </w:rPr>
          <w:t>é</w:t>
        </w:r>
        <w:r w:rsidR="00B84345" w:rsidRPr="00B84345">
          <w:rPr>
            <w:rStyle w:val="Hyperlink"/>
          </w:rPr>
          <w:t>v.1)</w:t>
        </w:r>
      </w:hyperlink>
      <w:r>
        <w:t>)</w:t>
      </w:r>
    </w:p>
    <w:p w14:paraId="2E3788B8" w14:textId="23AF05A4" w:rsidR="00CA40B9" w:rsidRDefault="00CA40B9" w:rsidP="008C108B">
      <w:pPr>
        <w:jc w:val="both"/>
      </w:pPr>
      <w:r>
        <w:t>5.1</w:t>
      </w:r>
      <w:r>
        <w:tab/>
        <w:t>Le Président rappelant que le Document C26/94 a été soumis par un État Membre ayant le statut d</w:t>
      </w:r>
      <w:r w:rsidR="00A65F32">
        <w:t>'</w:t>
      </w:r>
      <w:r>
        <w:t>observateur, deux conseillers se disent favorables à l</w:t>
      </w:r>
      <w:r w:rsidR="00A65F32">
        <w:t>'</w:t>
      </w:r>
      <w:r>
        <w:t xml:space="preserve">examen de la contribution. </w:t>
      </w:r>
    </w:p>
    <w:p w14:paraId="2384CC71" w14:textId="45CB7CD3" w:rsidR="00CA40B9" w:rsidRDefault="00CA40B9" w:rsidP="008C108B">
      <w:pPr>
        <w:jc w:val="both"/>
      </w:pPr>
      <w:r>
        <w:t>5.2</w:t>
      </w:r>
      <w:r>
        <w:tab/>
        <w:t>Des conseillers indiquent que le Groupe de travail du Conseil sur les questions de politiques publiques internationales relatives à l</w:t>
      </w:r>
      <w:r w:rsidR="00A65F32">
        <w:t>'</w:t>
      </w:r>
      <w:r>
        <w:t>Internet (GTC-Internet) offre un cadre de dialogue utile et se disent favorables à la poursuite de ses travaux au cours du prochain cycle. Toutefois, il s</w:t>
      </w:r>
      <w:r w:rsidR="00A65F32">
        <w:t>'</w:t>
      </w:r>
      <w:r>
        <w:t>agit actuellement du seul groupe de travail du Conseil limité aux États</w:t>
      </w:r>
      <w:r w:rsidR="006C0832">
        <w:t> </w:t>
      </w:r>
      <w:r>
        <w:t>Membres. Les progrès accomplis sont dus en grande partie aux contributions des parties prenantes; toutes les parties prenantes, en particulier la communauté technique, doivent donc être en mesure de participer pleinement aux travaux du GTC-Internet, afin que ce dernier conserve son utilité, puisse s</w:t>
      </w:r>
      <w:r w:rsidR="00A65F32">
        <w:t>'</w:t>
      </w:r>
      <w:r>
        <w:t>acquitter de son important mandat et aboutisse à des résultats significatifs pour les États Membres, les Membres de Secteur et l</w:t>
      </w:r>
      <w:r w:rsidR="00A65F32">
        <w:t>'</w:t>
      </w:r>
      <w:r>
        <w:t>ensemble de la communauté de l</w:t>
      </w:r>
      <w:r w:rsidR="00A65F32">
        <w:t>'</w:t>
      </w:r>
      <w:r>
        <w:t xml:space="preserve">UIT. </w:t>
      </w:r>
      <w:r>
        <w:lastRenderedPageBreak/>
        <w:t xml:space="preserve">Plusieurs conseillers soulignent que le modèle multi-parties prenantes est le fondement essentiel à la mise en </w:t>
      </w:r>
      <w:r w:rsidR="00014F19">
        <w:t>œuvre</w:t>
      </w:r>
      <w:r>
        <w:t xml:space="preserve"> d</w:t>
      </w:r>
      <w:r w:rsidR="00A65F32">
        <w:t>'</w:t>
      </w:r>
      <w:r>
        <w:t>un Internet sûr et innovant. Certains conseillers rappellent le document final consacré à l</w:t>
      </w:r>
      <w:r w:rsidR="00A65F32">
        <w:t>'</w:t>
      </w:r>
      <w:r>
        <w:t>examen des 20 ans du Sommet mondial sur la société de l</w:t>
      </w:r>
      <w:r w:rsidR="00A65F32">
        <w:t>'</w:t>
      </w:r>
      <w:r>
        <w:t>information (SMSI+20), dans lequel il est notamment reconnu que la gouvernance de l</w:t>
      </w:r>
      <w:r w:rsidR="00A65F32">
        <w:t>'</w:t>
      </w:r>
      <w:r>
        <w:t>Internet doit continuer d</w:t>
      </w:r>
      <w:r w:rsidR="00A65F32">
        <w:t>'</w:t>
      </w:r>
      <w:r>
        <w:t>être multi-parties prenantes par nature et toutes les entités concernées sont invitées à tenir compte également des résultats du Forum désormais permanent sur la gouvernance de l</w:t>
      </w:r>
      <w:r w:rsidR="00A65F32">
        <w:t>'</w:t>
      </w:r>
      <w:r>
        <w:t>Internet. Ils espèrent que la Conférence de plénipotentiaires (Doha, 2026) (PP-26) modernisera et renforcera le GTC-Internet afin de prendre en compte les voies d'approche reconnues ailleurs dans le système des Nations</w:t>
      </w:r>
      <w:r w:rsidR="002C0D9E">
        <w:t> </w:t>
      </w:r>
      <w:r>
        <w:t>Unies et de permettre la pleine participation des parties prenantes. Une autre conseillère déclare que les aspects relatifs à la participation multi-parties prenantes sont déjà pris en compte comme il se doit dans le cadre du processus de consultation ouverte. L</w:t>
      </w:r>
      <w:r w:rsidR="00A65F32">
        <w:t>'</w:t>
      </w:r>
      <w:r>
        <w:t>accent devrait être mis sur la consolidation des travaux existants et la garantie de la continuité, plutôt que sur les questions structurelles.</w:t>
      </w:r>
    </w:p>
    <w:p w14:paraId="38A3DD79" w14:textId="2F6E6960" w:rsidR="00CA40B9" w:rsidRDefault="00CA40B9" w:rsidP="00623F87">
      <w:pPr>
        <w:jc w:val="both"/>
      </w:pPr>
      <w:r>
        <w:t>5.3</w:t>
      </w:r>
      <w:r>
        <w:tab/>
        <w:t>Un conseiller avance que ce point de l</w:t>
      </w:r>
      <w:r w:rsidR="00A65F32">
        <w:t>'</w:t>
      </w:r>
      <w:r>
        <w:t>ordre du jour touche au cœur de la question importante du rôle de l</w:t>
      </w:r>
      <w:r w:rsidR="00A65F32">
        <w:t>'</w:t>
      </w:r>
      <w:r>
        <w:t>UIT dans la gouvernance internationale de l</w:t>
      </w:r>
      <w:r w:rsidR="00A65F32">
        <w:t>'</w:t>
      </w:r>
      <w:r>
        <w:t>Internet et de la manière dont le GTC-Internet pourra, au cours du prochain cycle, servir au mieux les intérêts de tous les États Membres, en particulier les pays en développement. Une autre conseillère indique que les discussions du groupe de travail devraient relever strictement du mandat de l</w:t>
      </w:r>
      <w:r w:rsidR="00A65F32">
        <w:t>'</w:t>
      </w:r>
      <w:r>
        <w:t>UIT, et être inclusives et axées sur le consensus. Toutefois, comme de nombreux conseillers le soulignent, il reste des problèmes à résoudre, notamment le manque de continuité dans les travaux du groupe et les difficultés à parvenir à un consensus. Une approche plus pragmatique et fondée sur l'action est nécessaire pour traduire les progrès réalisés au cours du cycle 2022-2026 en résultats concrets en matière de développement. Certains conseillers insistent sur la nécessité de préserver le caractère intergouvernemental et axé sur les politiques du GTC-Internet. Un conseiller suggère de renforcer les consultations ouvertes et deux autres conseillers conviennent que les liens entre les consultations ouvertes et les produits de fond devraient être renforcés afin de contribuer plus efficacement aux questions de politiques publiques relatives à l</w:t>
      </w:r>
      <w:r w:rsidR="00A65F32">
        <w:t>'</w:t>
      </w:r>
      <w:r>
        <w:t>Internet. Un autre conseiller propose que le GTC</w:t>
      </w:r>
      <w:r w:rsidR="006A4CD3">
        <w:noBreakHyphen/>
      </w:r>
      <w:r>
        <w:t>Internet exploite pleinement les contributions issues des consultations ouvertes afin d</w:t>
      </w:r>
      <w:r w:rsidR="00A65F32">
        <w:t>'</w:t>
      </w:r>
      <w:r>
        <w:t>obtenir des résultats concrets et fasse preuve de souplesse dans son mode de travail.</w:t>
      </w:r>
    </w:p>
    <w:p w14:paraId="01743D4F" w14:textId="7FD23603" w:rsidR="00CA40B9" w:rsidRDefault="00CA40B9" w:rsidP="00623F87">
      <w:pPr>
        <w:jc w:val="both"/>
      </w:pPr>
      <w:r>
        <w:t>5.4</w:t>
      </w:r>
      <w:r>
        <w:tab/>
        <w:t>Un conseiller fait observer que les résultats du SMSI+20 sont étroitement liés aux travaux du GTC-Internet. Le groupe de travail souhaitera donc peut-être prendre en compte des questions essentielles mises en évidence dans le document final du SMSI+20, à savoir les technologies émergentes et l</w:t>
      </w:r>
      <w:r w:rsidR="00A65F32">
        <w:t>'</w:t>
      </w:r>
      <w:r>
        <w:t>inclusion numérique. Il est également proposé d</w:t>
      </w:r>
      <w:r w:rsidR="00A65F32">
        <w:t>'</w:t>
      </w:r>
      <w:r>
        <w:t>aborder des questions telles que la participation des jeunes, la confiance dans le domaine du numérique et la connectivité inclusive. Certains conseillers se disent également favorable à l</w:t>
      </w:r>
      <w:r w:rsidR="00A65F32">
        <w:t>'</w:t>
      </w:r>
      <w:r>
        <w:t>idée qu</w:t>
      </w:r>
      <w:r w:rsidR="00A65F32">
        <w:t>'</w:t>
      </w:r>
      <w:r>
        <w:t>un cadre thématique non contraignant soit présenté au Conseil à sa session de 2027. D</w:t>
      </w:r>
      <w:r w:rsidR="00A65F32">
        <w:t>'</w:t>
      </w:r>
      <w:r>
        <w:t>autres conseillers préconisent que l</w:t>
      </w:r>
      <w:r w:rsidR="00A65F32">
        <w:t>'</w:t>
      </w:r>
      <w:r>
        <w:t>accent soit mis sur les besoins des pays les moins avancés, des pays en développement sans littoral et des petits États insulaires en développement afin de promouvoir une connectivité efficace, la participation inclusive des pays en développement et de relever les nouveaux défis liés à la gouvernance de l</w:t>
      </w:r>
      <w:r w:rsidR="00A65F32">
        <w:t>'</w:t>
      </w:r>
      <w:r>
        <w:t>Internet. Le Conseil ne devrait toutefois pas préjuger des décisions de la PP-26 concernant le GTC-Internet, y compris en ce qui concerne les travaux du prochain cycle.</w:t>
      </w:r>
    </w:p>
    <w:p w14:paraId="6360A4B6" w14:textId="21F709F6" w:rsidR="00CA40B9" w:rsidRDefault="00CA40B9" w:rsidP="00623F87">
      <w:pPr>
        <w:jc w:val="both"/>
      </w:pPr>
      <w:r>
        <w:t>5.5</w:t>
      </w:r>
      <w:r>
        <w:tab/>
        <w:t>Un conseiller déclare que son pays n</w:t>
      </w:r>
      <w:r w:rsidR="00A65F32">
        <w:t>'</w:t>
      </w:r>
      <w:r>
        <w:t>est pas convaincu de l</w:t>
      </w:r>
      <w:r w:rsidR="00A65F32">
        <w:t>'</w:t>
      </w:r>
      <w:r>
        <w:t xml:space="preserve">utilité du GTC-Internet, notant que bon nombre des thèmes examinés dans le cadre des consultations ouvertes sont </w:t>
      </w:r>
      <w:r>
        <w:lastRenderedPageBreak/>
        <w:t>traités dans d</w:t>
      </w:r>
      <w:r w:rsidR="00A65F32">
        <w:t>'</w:t>
      </w:r>
      <w:r>
        <w:t>autres instances. Il attend avec intérêt que les travaux et le mandat du GTC</w:t>
      </w:r>
      <w:r w:rsidR="006C0832">
        <w:noBreakHyphen/>
      </w:r>
      <w:r>
        <w:t>Internet fassent l'objet d'un examen plus approfondi lors de la PP-26. Toutefois, une autre conseillère estime que le GTC-Internet, sous sa forme actuelle, demeure un mécanisme pratique et viable, en particulier pour les pays en développement.</w:t>
      </w:r>
    </w:p>
    <w:p w14:paraId="0D9BCFFC" w14:textId="6925493C" w:rsidR="00CA40B9" w:rsidRDefault="00CA40B9" w:rsidP="00623F87">
      <w:pPr>
        <w:jc w:val="both"/>
      </w:pPr>
      <w:r>
        <w:t>5.6</w:t>
      </w:r>
      <w:r>
        <w:tab/>
        <w:t>Plusieurs conseillers remercient les États Membres d</w:t>
      </w:r>
      <w:r w:rsidR="00A65F32">
        <w:t>'</w:t>
      </w:r>
      <w:r>
        <w:t>avoir soumis les Documents</w:t>
      </w:r>
      <w:r w:rsidR="006A4CD3">
        <w:t> </w:t>
      </w:r>
      <w:r>
        <w:t>C26/94, C26/99 et C26/101(Rév.1), qui répondent aux préoccupations de nombreux États Membres, en particulier des pays en développement, et présentent plusieurs propositions intéressantes susceptibles d</w:t>
      </w:r>
      <w:r w:rsidR="00A65F32">
        <w:t>'</w:t>
      </w:r>
      <w:r>
        <w:t>améliorer l</w:t>
      </w:r>
      <w:r w:rsidR="00A65F32">
        <w:t>'</w:t>
      </w:r>
      <w:r>
        <w:t>efficacité et les résultats du GTC-Internet. Toutefois, un conseiller souligne que c'est la PP</w:t>
      </w:r>
      <w:r w:rsidR="006C0832">
        <w:t>-</w:t>
      </w:r>
      <w:r>
        <w:t>26 qui devra décider du mandat du GTC-Internet et que le Conseil ne devrait pas présumer qu</w:t>
      </w:r>
      <w:r w:rsidR="00A65F32">
        <w:t>'</w:t>
      </w:r>
      <w:r>
        <w:t>il sera reconduit. Le</w:t>
      </w:r>
      <w:r w:rsidR="006A4CD3">
        <w:t> </w:t>
      </w:r>
      <w:r>
        <w:t>Conseil devrait prendre note des contributions des États Membres, qui doivent être soumises à la PP-26 pour examen complémentaire. Un autre conseiller convient que l</w:t>
      </w:r>
      <w:r w:rsidR="00A65F32">
        <w:t>'</w:t>
      </w:r>
      <w:r>
        <w:t>examen quant au fond du futur mandat du groupe de travail doit être reporté après la</w:t>
      </w:r>
      <w:r w:rsidR="00FB4062">
        <w:t> </w:t>
      </w:r>
      <w:r>
        <w:t>PP</w:t>
      </w:r>
      <w:r w:rsidR="006A4CD3">
        <w:noBreakHyphen/>
      </w:r>
      <w:r>
        <w:t>26.</w:t>
      </w:r>
    </w:p>
    <w:p w14:paraId="2D86AAC6" w14:textId="764BDF81" w:rsidR="00CA40B9" w:rsidRDefault="00CA40B9" w:rsidP="00623F87">
      <w:pPr>
        <w:jc w:val="both"/>
      </w:pPr>
      <w:r>
        <w:t>5.7</w:t>
      </w:r>
      <w:r>
        <w:tab/>
        <w:t>Un conseiller déclare qu</w:t>
      </w:r>
      <w:r w:rsidR="00A65F32">
        <w:t>'</w:t>
      </w:r>
      <w:r>
        <w:t>il n</w:t>
      </w:r>
      <w:r w:rsidR="00A65F32">
        <w:t>'</w:t>
      </w:r>
      <w:r>
        <w:t>est pas favorable à la proposition visant à annexer le Document C26/99 au Document C26/52 en vue de sa soumission à la PP-26. Les recommandations qui y figurent n</w:t>
      </w:r>
      <w:r w:rsidR="00A65F32">
        <w:t>'</w:t>
      </w:r>
      <w:r>
        <w:t>ont pas été examinées par le GTC-Internet et ne reflètent pas les vues de tous les États Membres. En outre, étant donné que le Document C26/99 a été soumis après que le GTC-Internet a achevé ses travaux pour le cycle, il sort du cadre du rapport. Il convient simplement de prendre note du Document C26/99. Plusieurs conseillers conviennent que le rapport figurant dans le Document C26/52 devrait être soumis à la PP</w:t>
      </w:r>
      <w:r w:rsidR="008262B0">
        <w:noBreakHyphen/>
      </w:r>
      <w:r>
        <w:t xml:space="preserve">26 sans adjonction de nouvelles annexes. </w:t>
      </w:r>
    </w:p>
    <w:p w14:paraId="2252388F" w14:textId="4F304C2E" w:rsidR="00CA40B9" w:rsidRDefault="00CA40B9" w:rsidP="00623F87">
      <w:pPr>
        <w:jc w:val="both"/>
      </w:pPr>
      <w:r>
        <w:t>5.8</w:t>
      </w:r>
      <w:r>
        <w:tab/>
        <w:t>Certains conseillers indiquent qu</w:t>
      </w:r>
      <w:r w:rsidR="00A65F32">
        <w:t>'</w:t>
      </w:r>
      <w:r>
        <w:t>ils ne souscrivent pas au Document C26/94 qui, à leur avis, va à l</w:t>
      </w:r>
      <w:r w:rsidR="00A65F32">
        <w:t>'</w:t>
      </w:r>
      <w:r>
        <w:t>encontre du modèle multi-parties prenantes de gouvernance de l</w:t>
      </w:r>
      <w:r w:rsidR="00A65F32">
        <w:t>'</w:t>
      </w:r>
      <w:r>
        <w:t>Internet, qui constitue le moyen le plus efficace et le plus légitime d'assurer la stabilité et l</w:t>
      </w:r>
      <w:r w:rsidR="00A65F32">
        <w:t>'</w:t>
      </w:r>
      <w:r>
        <w:t>évolution de l</w:t>
      </w:r>
      <w:r w:rsidR="00A65F32">
        <w:t>'</w:t>
      </w:r>
      <w:r>
        <w:t>Internet. Il serait malvenu qu</w:t>
      </w:r>
      <w:r w:rsidR="00A65F32">
        <w:t>'</w:t>
      </w:r>
      <w:r>
        <w:t>un groupe de travail, composé entièrement à l</w:t>
      </w:r>
      <w:r w:rsidR="00A65F32">
        <w:t>'</w:t>
      </w:r>
      <w:r>
        <w:t>heure actuelle de représentants des pouvoirs publics, élabore des recommandations sur la gestion opérationnelle de l</w:t>
      </w:r>
      <w:r w:rsidR="00A65F32">
        <w:t>'</w:t>
      </w:r>
      <w:r>
        <w:t xml:space="preserve">Internet, car ces questions relèvent clairement de la compétence de la communauté multi-parties prenantes mondiale. De telles mesures pourraient conduire à des doubles emplois et à une fragmentation et nuire aux processus </w:t>
      </w:r>
      <w:proofErr w:type="spellStart"/>
      <w:r>
        <w:t>multi-parties</w:t>
      </w:r>
      <w:proofErr w:type="spellEnd"/>
      <w:r>
        <w:t xml:space="preserve"> prenantes existants ainsi qu</w:t>
      </w:r>
      <w:r w:rsidR="00A65F32">
        <w:t>'</w:t>
      </w:r>
      <w:r>
        <w:t>à la stabilité, à la résilience et à l</w:t>
      </w:r>
      <w:r w:rsidR="00A65F32">
        <w:t>'</w:t>
      </w:r>
      <w:r>
        <w:t>interopérabilité de l</w:t>
      </w:r>
      <w:r w:rsidR="00A65F32">
        <w:t>'</w:t>
      </w:r>
      <w:r>
        <w:t>Internet. En outre, les questions relatives aux perturbations dites délibérées de la connectivité pourraient être examinées dans le cadre de l</w:t>
      </w:r>
      <w:r w:rsidR="00A65F32">
        <w:t>'</w:t>
      </w:r>
      <w:r>
        <w:t>axe de travail sur la résilience des câbles sous-marins.</w:t>
      </w:r>
    </w:p>
    <w:p w14:paraId="47509C7E" w14:textId="04B08F71" w:rsidR="00CA40B9" w:rsidRDefault="00CA40B9" w:rsidP="00623F87">
      <w:pPr>
        <w:jc w:val="both"/>
      </w:pPr>
      <w:r>
        <w:t>5.9</w:t>
      </w:r>
      <w:r>
        <w:tab/>
        <w:t>Toutefois, une autre conseillère souligne que la réglementation des questions de politiques publiques relatives à l</w:t>
      </w:r>
      <w:r w:rsidR="00A65F32">
        <w:t>'</w:t>
      </w:r>
      <w:r>
        <w:t>Internet relève du droit souverain des États, comme le stipule le paragraphe 35 de l</w:t>
      </w:r>
      <w:r w:rsidR="00A65F32">
        <w:t>'</w:t>
      </w:r>
      <w:r>
        <w:t>Agenda de Tunis pour la société de l</w:t>
      </w:r>
      <w:r w:rsidR="00A65F32">
        <w:t>'</w:t>
      </w:r>
      <w:r>
        <w:t>information adopté par le</w:t>
      </w:r>
      <w:r w:rsidR="008262B0">
        <w:t> </w:t>
      </w:r>
      <w:r>
        <w:t>SMSI. La gouvernance de l</w:t>
      </w:r>
      <w:r w:rsidR="00A65F32">
        <w:t>'</w:t>
      </w:r>
      <w:r>
        <w:t>Internet doit être démocratique et se fonder sur la Charte des Nations</w:t>
      </w:r>
      <w:r w:rsidR="008262B0">
        <w:t> </w:t>
      </w:r>
      <w:r>
        <w:t>Unies et le droit international. Il faut éviter de politiser les questions techniques, créer un cadre inclusif pour les pays en développement et reconnaître le droit au développement, au transfert de technologies et à l</w:t>
      </w:r>
      <w:r w:rsidR="00A65F32">
        <w:t>'</w:t>
      </w:r>
      <w:r>
        <w:t>inclusion numérique. Le GTC</w:t>
      </w:r>
      <w:r w:rsidR="008262B0">
        <w:noBreakHyphen/>
      </w:r>
      <w:r>
        <w:t>Internet doit disposer d</w:t>
      </w:r>
      <w:r w:rsidR="00A65F32">
        <w:t>'</w:t>
      </w:r>
      <w:r>
        <w:t xml:space="preserve">un programme de travail clairement défini et axé sur les résultats. </w:t>
      </w:r>
    </w:p>
    <w:p w14:paraId="7A905FBE" w14:textId="08C83EEB" w:rsidR="00CA40B9" w:rsidRDefault="00CA40B9" w:rsidP="00623F87">
      <w:pPr>
        <w:jc w:val="both"/>
      </w:pPr>
      <w:r>
        <w:t>5.10</w:t>
      </w:r>
      <w:r>
        <w:tab/>
        <w:t xml:space="preserve">Le Conseil </w:t>
      </w:r>
      <w:r w:rsidRPr="00014F19">
        <w:rPr>
          <w:b/>
          <w:bCs/>
        </w:rPr>
        <w:t>prend note</w:t>
      </w:r>
      <w:r>
        <w:t xml:space="preserve"> du rapport quadriennal du GTC-Internet figurant dans le Document</w:t>
      </w:r>
      <w:r w:rsidR="008262B0">
        <w:t> </w:t>
      </w:r>
      <w:r>
        <w:t xml:space="preserve">C26/52 et </w:t>
      </w:r>
      <w:r w:rsidRPr="00036D8D">
        <w:rPr>
          <w:b/>
          <w:bCs/>
        </w:rPr>
        <w:t>décide</w:t>
      </w:r>
      <w:r>
        <w:t xml:space="preserve"> de transmettre les vues exprimées à ce sujet à la PP-26. Il </w:t>
      </w:r>
      <w:r w:rsidRPr="00014F19">
        <w:rPr>
          <w:b/>
          <w:bCs/>
        </w:rPr>
        <w:t>prend</w:t>
      </w:r>
      <w:r w:rsidR="00FB4062">
        <w:t> </w:t>
      </w:r>
      <w:r>
        <w:t xml:space="preserve">également </w:t>
      </w:r>
      <w:r w:rsidRPr="00036D8D">
        <w:rPr>
          <w:b/>
          <w:bCs/>
        </w:rPr>
        <w:t>note</w:t>
      </w:r>
      <w:r>
        <w:t xml:space="preserve"> des contributions figurant dans les Documents C26/94, C26/99 et</w:t>
      </w:r>
      <w:r w:rsidR="00793AF8">
        <w:t> </w:t>
      </w:r>
      <w:r>
        <w:t>C26/101(Rév.1).</w:t>
      </w:r>
    </w:p>
    <w:p w14:paraId="0FB5F14A" w14:textId="264D8BC5" w:rsidR="00CA40B9" w:rsidRDefault="00CA40B9" w:rsidP="00DC1113">
      <w:pPr>
        <w:pStyle w:val="Heading1"/>
      </w:pPr>
      <w:r>
        <w:lastRenderedPageBreak/>
        <w:t>6</w:t>
      </w:r>
      <w:r>
        <w:tab/>
        <w:t xml:space="preserve">Activités de l'UIT relatives à </w:t>
      </w:r>
      <w:proofErr w:type="gramStart"/>
      <w:r>
        <w:t>l'Internet:</w:t>
      </w:r>
      <w:proofErr w:type="gramEnd"/>
      <w:r>
        <w:t xml:space="preserve"> Résolutions 101, 102, 133, 180 et</w:t>
      </w:r>
      <w:r w:rsidR="008262B0">
        <w:t> </w:t>
      </w:r>
      <w:r>
        <w:t>206 de la Conférence de plénipotentiaires (</w:t>
      </w:r>
      <w:r w:rsidR="00623F87" w:rsidRPr="00623F87">
        <w:t xml:space="preserve">Document </w:t>
      </w:r>
      <w:hyperlink r:id="rId25" w:history="1">
        <w:proofErr w:type="spellStart"/>
        <w:r w:rsidR="00036D8D" w:rsidRPr="008262B0">
          <w:rPr>
            <w:rStyle w:val="Hyperlink"/>
          </w:rPr>
          <w:t>C26</w:t>
        </w:r>
        <w:proofErr w:type="spellEnd"/>
        <w:r w:rsidR="00036D8D" w:rsidRPr="008262B0">
          <w:rPr>
            <w:rStyle w:val="Hyperlink"/>
          </w:rPr>
          <w:t>/33</w:t>
        </w:r>
      </w:hyperlink>
      <w:r>
        <w:t>)</w:t>
      </w:r>
    </w:p>
    <w:p w14:paraId="51F661B3" w14:textId="7DABDD60" w:rsidR="00CA40B9" w:rsidRDefault="00CA40B9" w:rsidP="00623F87">
      <w:pPr>
        <w:jc w:val="both"/>
      </w:pPr>
      <w:r>
        <w:t>6.1</w:t>
      </w:r>
      <w:r>
        <w:tab/>
        <w:t>Un représentant du Secrétariat général présente le Document C25/33, qui contient un rapport faisant la synthèse des activités de l'UIT relatives à la Résolution 101 (Rév.</w:t>
      </w:r>
      <w:r w:rsidR="00014F19">
        <w:t> </w:t>
      </w:r>
      <w:r>
        <w:t>Bucarest,</w:t>
      </w:r>
      <w:r w:rsidR="00014F19">
        <w:t> </w:t>
      </w:r>
      <w:r>
        <w:t>2022), intitulée "Réseaux fondés sur le protocole Internet", à la Résolution</w:t>
      </w:r>
      <w:r w:rsidR="008262B0">
        <w:t> </w:t>
      </w:r>
      <w:r>
        <w:t>102 (Rév. Bucarest, 2022), intitulée "Rôle de l'UIT concernant les questions de politiques publiques internationales ayant trait à l'Internet et à la gestion des ressources de l'Internet, y</w:t>
      </w:r>
      <w:r w:rsidR="00014F19">
        <w:t> </w:t>
      </w:r>
      <w:r>
        <w:t>compris les noms de domaine et les adresses", à la Résolution</w:t>
      </w:r>
      <w:r w:rsidR="008262B0">
        <w:t> </w:t>
      </w:r>
      <w:r>
        <w:t>133</w:t>
      </w:r>
      <w:r w:rsidR="008262B0">
        <w:t> </w:t>
      </w:r>
      <w:r>
        <w:t>(Rév.</w:t>
      </w:r>
      <w:r w:rsidR="008262B0">
        <w:t> </w:t>
      </w:r>
      <w:r>
        <w:t>Bucarest, 2022) sur le rôle des administrations des États Membres dans</w:t>
      </w:r>
      <w:r w:rsidR="008262B0">
        <w:t> </w:t>
      </w:r>
      <w:r>
        <w:t>la gestion de noms de domaine (multilingues) internationalisés, à la Résolution</w:t>
      </w:r>
      <w:r w:rsidR="008262B0">
        <w:t> </w:t>
      </w:r>
      <w:r>
        <w:t>180</w:t>
      </w:r>
      <w:r w:rsidR="008262B0">
        <w:t> </w:t>
      </w:r>
      <w:r>
        <w:t>(Rév.</w:t>
      </w:r>
      <w:r w:rsidR="008262B0">
        <w:t> </w:t>
      </w:r>
      <w:r>
        <w:t>Bucarest, 2022) sur la promotion du déploiement de la version 6 du protocole Internet (IPv6) et à la Résolution 206 (Dubaï,</w:t>
      </w:r>
      <w:r w:rsidR="006A4CD3">
        <w:t> </w:t>
      </w:r>
      <w:r>
        <w:t>2018), sur les services over</w:t>
      </w:r>
      <w:r w:rsidR="008262B0">
        <w:noBreakHyphen/>
      </w:r>
      <w:r>
        <w:t>the</w:t>
      </w:r>
      <w:r w:rsidR="008262B0">
        <w:noBreakHyphen/>
      </w:r>
      <w:r>
        <w:t>top (OTT), de la Conférence de plénipotentiaires.</w:t>
      </w:r>
    </w:p>
    <w:p w14:paraId="740EE43E" w14:textId="77777777" w:rsidR="00CA40B9" w:rsidRDefault="00CA40B9" w:rsidP="00623F87">
      <w:pPr>
        <w:jc w:val="both"/>
      </w:pPr>
      <w:r>
        <w:t>6.2</w:t>
      </w:r>
      <w:r>
        <w:tab/>
        <w:t>Les conseillers accueillent favorablement le rapport, qui rend compte de la diversité des activités relatives à l'Internet que met en œuvre l'Union. Plusieurs conseillers soulignent qu'il est important de faciliter l'adoption du protocole IPv6, qui est essentielle aussi bien pour le développement du numérique que pour l'objectif d'une connectivité efficace.</w:t>
      </w:r>
    </w:p>
    <w:p w14:paraId="7A572504" w14:textId="75051610" w:rsidR="00CA40B9" w:rsidRDefault="00CA40B9" w:rsidP="00623F87">
      <w:pPr>
        <w:jc w:val="both"/>
      </w:pPr>
      <w:r>
        <w:t>6.3</w:t>
      </w:r>
      <w:r>
        <w:tab/>
        <w:t>Un conseiller propose d'inclure d'autres travaux menés par le Secteur des radiocommunications et le Secteur de la normalisation des télécommunications de l'UIT, par</w:t>
      </w:r>
      <w:r w:rsidR="008262B0">
        <w:t> </w:t>
      </w:r>
      <w:r>
        <w:t>exemple sur le cadre pour les IMT-2030, les technologies de transport optique nouvelles et émergentes, le cadre applicable aux réseaux optiques internationaux à l'horizon 2030 et au</w:t>
      </w:r>
      <w:r w:rsidR="006A4CD3">
        <w:noBreakHyphen/>
      </w:r>
      <w:r>
        <w:t>delà (ION-2030), l'infrastructure des câbles sous-marins et les communications par satellite. Cela permettrait de mieux faire connaître les travaux précieux qui sont menés à bien au sein de l'UIT au niveau des Nations Unies.</w:t>
      </w:r>
    </w:p>
    <w:p w14:paraId="7C340C73" w14:textId="79DBCF72" w:rsidR="00CA40B9" w:rsidRDefault="00CA40B9" w:rsidP="00623F87">
      <w:pPr>
        <w:keepLines/>
        <w:jc w:val="both"/>
      </w:pPr>
      <w:r>
        <w:t>6.4</w:t>
      </w:r>
      <w:r>
        <w:tab/>
        <w:t xml:space="preserve">Certains conseillers proposent que les futurs rapports fassent expressément référence aux instructions contenues dans les </w:t>
      </w:r>
      <w:r w:rsidR="008262B0">
        <w:t>R</w:t>
      </w:r>
      <w:r>
        <w:t xml:space="preserve">ésolutions visées dans le document et rendent compte des progrès ou de l'absence de progrès accomplis dans l'application de ces instructions, afin de donner aux États Membres une vision plus claire des travaux effectués au titre de chaque </w:t>
      </w:r>
      <w:r w:rsidR="008262B0">
        <w:t>R</w:t>
      </w:r>
      <w:r>
        <w:t>ésolution et de les aider à se préparer aux conférences et assemblées futures.</w:t>
      </w:r>
    </w:p>
    <w:p w14:paraId="73CE9DAC" w14:textId="430D353F" w:rsidR="00CA40B9" w:rsidRDefault="00CA40B9" w:rsidP="00623F87">
      <w:pPr>
        <w:jc w:val="both"/>
      </w:pPr>
      <w:r>
        <w:t>6.5</w:t>
      </w:r>
      <w:r>
        <w:tab/>
        <w:t>La conseillère de Cuba fait observer que le paragraphe 2.8 du Document C26/33 ne fournit pas la liste exhaustive des incidents visés par la Résolution</w:t>
      </w:r>
      <w:r w:rsidR="008262B0">
        <w:t> </w:t>
      </w:r>
      <w:r>
        <w:t>69</w:t>
      </w:r>
      <w:r w:rsidR="008262B0">
        <w:t> </w:t>
      </w:r>
      <w:r>
        <w:t>(Rév.</w:t>
      </w:r>
      <w:r w:rsidR="006A4CD3">
        <w:t> </w:t>
      </w:r>
      <w:r>
        <w:t>Hammamet,</w:t>
      </w:r>
      <w:r w:rsidR="006A4CD3">
        <w:t> </w:t>
      </w:r>
      <w:r>
        <w:t>2016) de l'Assemblée mondiale de normalisation des télécommunications relative à l'accès non discriminatoire aux ressources de l'Internet et à l'utilisation non discriminatoire de ces ressources. À Cuba, de nombreuses ressources de l'Internet et de nombreux sites Internet sont inaccessibles en raison de mesures unilatérales. Sa délégation soumettra une liste des incidents touchant son pays qui pourrait être annexée au rapport. Elle déclare que le manque d</w:t>
      </w:r>
      <w:r w:rsidR="00A65F32">
        <w:t>'</w:t>
      </w:r>
      <w:r>
        <w:t>accès à ces ressources se traduit par un manque concomitant d</w:t>
      </w:r>
      <w:r w:rsidR="00A65F32">
        <w:t>'</w:t>
      </w:r>
      <w:r>
        <w:t>accès aux connaissances et aux compétences concernant les évolutions nécessaires à la transformation numérique. En outre, ce défaut d'accès limite le développement de l'infrastructure de réseau et des nouvelles technologies qui pourraient contribuer à répondre à la demande de la population cubaine en matière de services Internet, de trafic et de qualité de service, et a des conséquences négatives pour le développement socio-économique de manière plus générale.</w:t>
      </w:r>
    </w:p>
    <w:p w14:paraId="5883C01A" w14:textId="77777777" w:rsidR="00CA40B9" w:rsidRDefault="00CA40B9" w:rsidP="00623F87">
      <w:pPr>
        <w:jc w:val="both"/>
      </w:pPr>
      <w:r>
        <w:t>6.6</w:t>
      </w:r>
      <w:r>
        <w:tab/>
        <w:t>Le représentant du Secrétariat général remercie les conseillers pour leurs observations et indique qu'il est pris note de toutes les observations formulées, qui seront prises en considération dans l'élaboration des rapports ultérieurs.</w:t>
      </w:r>
    </w:p>
    <w:p w14:paraId="516D7F95" w14:textId="2EAF536C" w:rsidR="00CA40B9" w:rsidRDefault="00CA40B9" w:rsidP="00623F87">
      <w:pPr>
        <w:jc w:val="both"/>
      </w:pPr>
      <w:r>
        <w:lastRenderedPageBreak/>
        <w:t>6.7</w:t>
      </w:r>
      <w:r>
        <w:tab/>
        <w:t xml:space="preserve">Le Conseil </w:t>
      </w:r>
      <w:r w:rsidRPr="006A4CD3">
        <w:rPr>
          <w:b/>
          <w:bCs/>
        </w:rPr>
        <w:t>prend n</w:t>
      </w:r>
      <w:r w:rsidRPr="00014F19">
        <w:rPr>
          <w:b/>
          <w:bCs/>
        </w:rPr>
        <w:t>ote</w:t>
      </w:r>
      <w:r>
        <w:t xml:space="preserve"> du rapport figurant dans le Document C26/33 et </w:t>
      </w:r>
      <w:r w:rsidRPr="00014F19">
        <w:rPr>
          <w:b/>
          <w:bCs/>
        </w:rPr>
        <w:t>invite</w:t>
      </w:r>
      <w:r>
        <w:t xml:space="preserve"> les États</w:t>
      </w:r>
      <w:r w:rsidR="006A4CD3">
        <w:t> </w:t>
      </w:r>
      <w:r>
        <w:t>Membres du Conseil à soumettre des vues par écrit avant midi, heure de Genève, le lundi</w:t>
      </w:r>
      <w:r w:rsidR="008262B0">
        <w:t> </w:t>
      </w:r>
      <w:r>
        <w:t>4</w:t>
      </w:r>
      <w:r w:rsidR="00014F19">
        <w:t> </w:t>
      </w:r>
      <w:r>
        <w:t>mai 2026, afin de transmettre le rapport, ainsi que la compilation des points de vue soumis par les États Membres du Conseil, les comptes rendus connexes et la note de couverture, au Secrétaire général de l'Organisation des Nations Unies.</w:t>
      </w:r>
    </w:p>
    <w:p w14:paraId="70C464AC" w14:textId="25401B43" w:rsidR="00CA40B9" w:rsidRDefault="00CA40B9" w:rsidP="008262B0">
      <w:pPr>
        <w:tabs>
          <w:tab w:val="clear" w:pos="567"/>
          <w:tab w:val="clear" w:pos="1134"/>
          <w:tab w:val="clear" w:pos="1701"/>
          <w:tab w:val="clear" w:pos="2268"/>
          <w:tab w:val="clear" w:pos="2835"/>
          <w:tab w:val="left" w:pos="7088"/>
        </w:tabs>
        <w:spacing w:before="840"/>
      </w:pPr>
      <w:r>
        <w:t>La Secrétaire générale</w:t>
      </w:r>
      <w:r w:rsidR="00014F19">
        <w:tab/>
      </w:r>
      <w:r>
        <w:t>Le Président</w:t>
      </w:r>
    </w:p>
    <w:p w14:paraId="2CF08446" w14:textId="395709C1" w:rsidR="00CA40B9" w:rsidRPr="0019129B" w:rsidRDefault="00CA40B9" w:rsidP="008262B0">
      <w:pPr>
        <w:tabs>
          <w:tab w:val="clear" w:pos="567"/>
          <w:tab w:val="clear" w:pos="1134"/>
          <w:tab w:val="clear" w:pos="1701"/>
          <w:tab w:val="clear" w:pos="2268"/>
          <w:tab w:val="clear" w:pos="2835"/>
          <w:tab w:val="left" w:pos="7088"/>
        </w:tabs>
        <w:spacing w:before="0"/>
      </w:pPr>
      <w:r>
        <w:t>D. BOGDAN-MARTIN</w:t>
      </w:r>
      <w:r>
        <w:tab/>
        <w:t>B. TIJANI</w:t>
      </w:r>
    </w:p>
    <w:sectPr w:rsidR="00CA40B9" w:rsidRPr="0019129B" w:rsidSect="00D72F49">
      <w:headerReference w:type="even" r:id="rId26"/>
      <w:footerReference w:type="even" r:id="rId27"/>
      <w:footerReference w:type="default" r:id="rId28"/>
      <w:headerReference w:type="first" r:id="rId29"/>
      <w:footerReference w:type="first" r:id="rId30"/>
      <w:pgSz w:w="11907" w:h="16840" w:code="9"/>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08EC2" w14:textId="77777777" w:rsidR="00144A2D" w:rsidRDefault="00144A2D">
      <w:r>
        <w:separator/>
      </w:r>
    </w:p>
  </w:endnote>
  <w:endnote w:type="continuationSeparator" w:id="0">
    <w:p w14:paraId="222D059A" w14:textId="77777777" w:rsidR="00144A2D" w:rsidRDefault="0014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E435" w14:textId="2625A5AD" w:rsidR="00732045" w:rsidRDefault="00570896">
    <w:pPr>
      <w:pStyle w:val="Footer"/>
    </w:pPr>
    <w:fldSimple w:instr=" FILENAME \p \* MERGEFORMAT ">
      <w:r>
        <w:t>Document1</w:t>
      </w:r>
    </w:fldSimple>
    <w:r w:rsidR="00732045">
      <w:tab/>
    </w:r>
    <w:r w:rsidR="002F1B76">
      <w:fldChar w:fldCharType="begin"/>
    </w:r>
    <w:r w:rsidR="00732045">
      <w:instrText xml:space="preserve"> savedate \@ dd.MM.yy </w:instrText>
    </w:r>
    <w:r w:rsidR="002F1B76">
      <w:fldChar w:fldCharType="separate"/>
    </w:r>
    <w:r w:rsidR="00C814A8">
      <w:t>04.08.26</w:t>
    </w:r>
    <w:r w:rsidR="002F1B76">
      <w:fldChar w:fldCharType="end"/>
    </w:r>
    <w:r w:rsidR="00732045">
      <w:tab/>
    </w:r>
    <w:r w:rsidR="002F1B76">
      <w:fldChar w:fldCharType="begin"/>
    </w:r>
    <w:r w:rsidR="00732045">
      <w:instrText xml:space="preserve"> printdate \@ dd.MM.yy </w:instrText>
    </w:r>
    <w:r w:rsidR="002F1B76">
      <w:fldChar w:fldCharType="separate"/>
    </w:r>
    <w:r>
      <w:t>18.07.00</w:t>
    </w:r>
    <w:r w:rsidR="002F1B7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379FA5AB" w14:textId="77777777" w:rsidTr="00E31DCE">
      <w:trPr>
        <w:jc w:val="center"/>
      </w:trPr>
      <w:tc>
        <w:tcPr>
          <w:tcW w:w="1803" w:type="dxa"/>
          <w:vAlign w:val="center"/>
        </w:tcPr>
        <w:p w14:paraId="2E692415" w14:textId="7C4A4486" w:rsidR="00A51849" w:rsidRDefault="00C14DAA" w:rsidP="00A51849">
          <w:pPr>
            <w:pStyle w:val="Header"/>
            <w:jc w:val="left"/>
            <w:rPr>
              <w:noProof/>
            </w:rPr>
          </w:pPr>
          <w:r>
            <w:rPr>
              <w:noProof/>
            </w:rPr>
            <w:t>2601341</w:t>
          </w:r>
        </w:p>
      </w:tc>
      <w:tc>
        <w:tcPr>
          <w:tcW w:w="8261" w:type="dxa"/>
        </w:tcPr>
        <w:p w14:paraId="1299F6D9" w14:textId="6CF633B9" w:rsidR="00A51849" w:rsidRPr="00E06FD5" w:rsidRDefault="00A51849" w:rsidP="00C049D7">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Pr="00623AE3">
            <w:rPr>
              <w:bCs/>
            </w:rPr>
            <w:t>/</w:t>
          </w:r>
          <w:r w:rsidR="00C14DAA">
            <w:rPr>
              <w:bCs/>
            </w:rPr>
            <w:t>121</w:t>
          </w:r>
          <w:r w:rsidRPr="00623AE3">
            <w:rPr>
              <w:bCs/>
            </w:rPr>
            <w:t>-</w:t>
          </w:r>
          <w:r w:rsidR="00973F53">
            <w:rPr>
              <w:bCs/>
            </w:rPr>
            <w:t>F</w:t>
          </w:r>
          <w:r>
            <w:rPr>
              <w:bCs/>
            </w:rPr>
            <w:tab/>
          </w:r>
          <w:r>
            <w:fldChar w:fldCharType="begin"/>
          </w:r>
          <w:r>
            <w:instrText>PAGE</w:instrText>
          </w:r>
          <w:r>
            <w:fldChar w:fldCharType="separate"/>
          </w:r>
          <w:r>
            <w:t>1</w:t>
          </w:r>
          <w:r>
            <w:rPr>
              <w:noProof/>
            </w:rPr>
            <w:fldChar w:fldCharType="end"/>
          </w:r>
        </w:p>
      </w:tc>
    </w:tr>
  </w:tbl>
  <w:p w14:paraId="02A36BDD" w14:textId="77777777" w:rsidR="00732045" w:rsidRPr="00A51849" w:rsidRDefault="00732045" w:rsidP="00FC6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07FB8A60" w14:textId="77777777" w:rsidTr="00E31DCE">
      <w:trPr>
        <w:jc w:val="center"/>
      </w:trPr>
      <w:tc>
        <w:tcPr>
          <w:tcW w:w="1803" w:type="dxa"/>
          <w:vAlign w:val="center"/>
        </w:tcPr>
        <w:p w14:paraId="44842C42" w14:textId="77777777" w:rsidR="00A51849" w:rsidRPr="00FC6D7D" w:rsidRDefault="00E4448E" w:rsidP="00A51849">
          <w:pPr>
            <w:pStyle w:val="Header"/>
            <w:jc w:val="left"/>
            <w:rPr>
              <w:noProof/>
              <w:color w:val="0563C1"/>
            </w:rPr>
          </w:pPr>
          <w:hyperlink r:id="rId1" w:anchor="/fr" w:history="1">
            <w:r>
              <w:rPr>
                <w:rStyle w:val="Hyperlink"/>
              </w:rPr>
              <w:t>council.itu.int/2026</w:t>
            </w:r>
          </w:hyperlink>
        </w:p>
      </w:tc>
      <w:tc>
        <w:tcPr>
          <w:tcW w:w="8261" w:type="dxa"/>
        </w:tcPr>
        <w:p w14:paraId="1DA2C20F" w14:textId="4A4E7845" w:rsidR="00A51849" w:rsidRPr="00E06FD5" w:rsidRDefault="00A51849" w:rsidP="00C049D7">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Pr="00623AE3">
            <w:rPr>
              <w:bCs/>
            </w:rPr>
            <w:t>/</w:t>
          </w:r>
          <w:r w:rsidR="00C14DAA">
            <w:rPr>
              <w:bCs/>
            </w:rPr>
            <w:t>121</w:t>
          </w:r>
          <w:r w:rsidRPr="00623AE3">
            <w:rPr>
              <w:bCs/>
            </w:rPr>
            <w:t>-</w:t>
          </w:r>
          <w:r w:rsidR="00D72F49">
            <w:rPr>
              <w:bCs/>
            </w:rPr>
            <w:t>F</w:t>
          </w:r>
          <w:r>
            <w:rPr>
              <w:bCs/>
            </w:rPr>
            <w:tab/>
          </w:r>
          <w:r>
            <w:fldChar w:fldCharType="begin"/>
          </w:r>
          <w:r>
            <w:instrText>PAGE</w:instrText>
          </w:r>
          <w:r>
            <w:fldChar w:fldCharType="separate"/>
          </w:r>
          <w:r>
            <w:t>1</w:t>
          </w:r>
          <w:r>
            <w:rPr>
              <w:noProof/>
            </w:rPr>
            <w:fldChar w:fldCharType="end"/>
          </w:r>
        </w:p>
      </w:tc>
    </w:tr>
  </w:tbl>
  <w:p w14:paraId="57F83EF1" w14:textId="77777777" w:rsidR="00732045" w:rsidRPr="00A51849" w:rsidRDefault="00732045" w:rsidP="00FC6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F941D" w14:textId="77777777" w:rsidR="00144A2D" w:rsidRDefault="00144A2D">
      <w:r>
        <w:t>____________________</w:t>
      </w:r>
    </w:p>
  </w:footnote>
  <w:footnote w:type="continuationSeparator" w:id="0">
    <w:p w14:paraId="5E99BC0B" w14:textId="77777777" w:rsidR="00144A2D" w:rsidRDefault="00144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73198" w14:textId="77777777" w:rsidR="00732045" w:rsidRDefault="00732045">
    <w:pPr>
      <w:pStyle w:val="Header"/>
    </w:pPr>
    <w:r>
      <w:t xml:space="preserve">- </w:t>
    </w:r>
    <w:r w:rsidR="00C27A7C">
      <w:fldChar w:fldCharType="begin"/>
    </w:r>
    <w:r w:rsidR="00C27A7C">
      <w:instrText>PAGE</w:instrText>
    </w:r>
    <w:r w:rsidR="00C27A7C">
      <w:fldChar w:fldCharType="separate"/>
    </w:r>
    <w:r>
      <w:rPr>
        <w:noProof/>
      </w:rPr>
      <w:t>2</w:t>
    </w:r>
    <w:r w:rsidR="00C27A7C">
      <w:rPr>
        <w:noProof/>
      </w:rPr>
      <w:fldChar w:fldCharType="end"/>
    </w:r>
    <w:r>
      <w:t xml:space="preserve"> -</w:t>
    </w:r>
  </w:p>
  <w:p w14:paraId="68465CAC" w14:textId="77777777" w:rsidR="00732045" w:rsidRDefault="00732045">
    <w:pPr>
      <w:pStyle w:val="Header"/>
    </w:pPr>
    <w:r>
      <w:t>C2001/#-F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21CB6" w14:textId="77777777" w:rsidR="00A51849" w:rsidRPr="001342E0" w:rsidRDefault="001342E0" w:rsidP="001342E0">
    <w:pPr>
      <w:pStyle w:val="Header"/>
    </w:pPr>
    <w:r>
      <w:rPr>
        <w:noProof/>
      </w:rPr>
      <w:drawing>
        <wp:inline distT="0" distB="0" distL="0" distR="0" wp14:anchorId="46763734" wp14:editId="40308EA5">
          <wp:extent cx="5760085" cy="840740"/>
          <wp:effectExtent l="0" t="0" r="0" b="0"/>
          <wp:docPr id="322889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89409" name="Picture 322889409"/>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8364A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FC17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52E2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24F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EA3A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3050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D0D2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22DA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A9B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CA6"/>
    <w:lvl w:ilvl="0">
      <w:start w:val="1"/>
      <w:numFmt w:val="bullet"/>
      <w:lvlText w:val=""/>
      <w:lvlJc w:val="left"/>
      <w:pPr>
        <w:tabs>
          <w:tab w:val="num" w:pos="360"/>
        </w:tabs>
        <w:ind w:left="360" w:hanging="360"/>
      </w:pPr>
      <w:rPr>
        <w:rFonts w:ascii="Symbol" w:hAnsi="Symbol" w:hint="default"/>
      </w:rPr>
    </w:lvl>
  </w:abstractNum>
  <w:num w:numId="1" w16cid:durableId="434207278">
    <w:abstractNumId w:val="9"/>
  </w:num>
  <w:num w:numId="2" w16cid:durableId="1222135419">
    <w:abstractNumId w:val="7"/>
  </w:num>
  <w:num w:numId="3" w16cid:durableId="881215005">
    <w:abstractNumId w:val="6"/>
  </w:num>
  <w:num w:numId="4" w16cid:durableId="1052002949">
    <w:abstractNumId w:val="5"/>
  </w:num>
  <w:num w:numId="5" w16cid:durableId="1540583928">
    <w:abstractNumId w:val="4"/>
  </w:num>
  <w:num w:numId="6" w16cid:durableId="1711958535">
    <w:abstractNumId w:val="8"/>
  </w:num>
  <w:num w:numId="7" w16cid:durableId="991905015">
    <w:abstractNumId w:val="3"/>
  </w:num>
  <w:num w:numId="8" w16cid:durableId="1034649366">
    <w:abstractNumId w:val="2"/>
  </w:num>
  <w:num w:numId="9" w16cid:durableId="1747072404">
    <w:abstractNumId w:val="1"/>
  </w:num>
  <w:num w:numId="10" w16cid:durableId="257175577">
    <w:abstractNumId w:val="0"/>
  </w:num>
  <w:num w:numId="11" w16cid:durableId="1782338471">
    <w:abstractNumId w:val="8"/>
  </w:num>
  <w:num w:numId="12" w16cid:durableId="306057724">
    <w:abstractNumId w:val="3"/>
  </w:num>
  <w:num w:numId="13" w16cid:durableId="1767770879">
    <w:abstractNumId w:val="2"/>
  </w:num>
  <w:num w:numId="14" w16cid:durableId="899487605">
    <w:abstractNumId w:val="1"/>
  </w:num>
  <w:num w:numId="15" w16cid:durableId="113713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896"/>
    <w:rsid w:val="00014F19"/>
    <w:rsid w:val="00036D8D"/>
    <w:rsid w:val="00047936"/>
    <w:rsid w:val="00076A2C"/>
    <w:rsid w:val="000D0D0A"/>
    <w:rsid w:val="00103163"/>
    <w:rsid w:val="00106B19"/>
    <w:rsid w:val="001133EF"/>
    <w:rsid w:val="00115D93"/>
    <w:rsid w:val="001247A8"/>
    <w:rsid w:val="00126893"/>
    <w:rsid w:val="001342E0"/>
    <w:rsid w:val="001370B2"/>
    <w:rsid w:val="001378C0"/>
    <w:rsid w:val="00144A2D"/>
    <w:rsid w:val="001658F9"/>
    <w:rsid w:val="0018694A"/>
    <w:rsid w:val="0019129B"/>
    <w:rsid w:val="001A2A25"/>
    <w:rsid w:val="001A3287"/>
    <w:rsid w:val="001A6508"/>
    <w:rsid w:val="001D4C31"/>
    <w:rsid w:val="001E4D21"/>
    <w:rsid w:val="001F4406"/>
    <w:rsid w:val="00207CD1"/>
    <w:rsid w:val="002264F9"/>
    <w:rsid w:val="00226657"/>
    <w:rsid w:val="0024445B"/>
    <w:rsid w:val="002477A2"/>
    <w:rsid w:val="00263A51"/>
    <w:rsid w:val="00267E02"/>
    <w:rsid w:val="00271321"/>
    <w:rsid w:val="00277DEA"/>
    <w:rsid w:val="002A5D44"/>
    <w:rsid w:val="002C0D9E"/>
    <w:rsid w:val="002C3F32"/>
    <w:rsid w:val="002C4E3D"/>
    <w:rsid w:val="002D2336"/>
    <w:rsid w:val="002E0BC4"/>
    <w:rsid w:val="002F1B76"/>
    <w:rsid w:val="0033568E"/>
    <w:rsid w:val="00355FF5"/>
    <w:rsid w:val="00361350"/>
    <w:rsid w:val="00392D33"/>
    <w:rsid w:val="003C3FAE"/>
    <w:rsid w:val="004038CB"/>
    <w:rsid w:val="0040546F"/>
    <w:rsid w:val="00411F69"/>
    <w:rsid w:val="004177BD"/>
    <w:rsid w:val="0042404A"/>
    <w:rsid w:val="0044229C"/>
    <w:rsid w:val="0044618F"/>
    <w:rsid w:val="00465C35"/>
    <w:rsid w:val="0046769A"/>
    <w:rsid w:val="00475FB3"/>
    <w:rsid w:val="004C37A9"/>
    <w:rsid w:val="004D1D50"/>
    <w:rsid w:val="004E2322"/>
    <w:rsid w:val="004F2571"/>
    <w:rsid w:val="004F259E"/>
    <w:rsid w:val="004F633A"/>
    <w:rsid w:val="00504C7F"/>
    <w:rsid w:val="00511F1D"/>
    <w:rsid w:val="00520F36"/>
    <w:rsid w:val="00524E8D"/>
    <w:rsid w:val="00534E13"/>
    <w:rsid w:val="00540615"/>
    <w:rsid w:val="00540A6D"/>
    <w:rsid w:val="00553536"/>
    <w:rsid w:val="00566679"/>
    <w:rsid w:val="00570896"/>
    <w:rsid w:val="00571EEA"/>
    <w:rsid w:val="00575417"/>
    <w:rsid w:val="005768E1"/>
    <w:rsid w:val="005B1938"/>
    <w:rsid w:val="005C3890"/>
    <w:rsid w:val="005F7BFE"/>
    <w:rsid w:val="00600017"/>
    <w:rsid w:val="00602682"/>
    <w:rsid w:val="006235CA"/>
    <w:rsid w:val="0062366E"/>
    <w:rsid w:val="00623F87"/>
    <w:rsid w:val="006643AB"/>
    <w:rsid w:val="006A11AE"/>
    <w:rsid w:val="006A4CD3"/>
    <w:rsid w:val="006B224B"/>
    <w:rsid w:val="006C0832"/>
    <w:rsid w:val="006F0A53"/>
    <w:rsid w:val="0071402E"/>
    <w:rsid w:val="007210CD"/>
    <w:rsid w:val="00732045"/>
    <w:rsid w:val="0073275D"/>
    <w:rsid w:val="007369DB"/>
    <w:rsid w:val="0077110E"/>
    <w:rsid w:val="007801F4"/>
    <w:rsid w:val="00793AF8"/>
    <w:rsid w:val="007956C2"/>
    <w:rsid w:val="00796BDB"/>
    <w:rsid w:val="007A187E"/>
    <w:rsid w:val="007C72C2"/>
    <w:rsid w:val="007D4436"/>
    <w:rsid w:val="007F257A"/>
    <w:rsid w:val="007F3665"/>
    <w:rsid w:val="00800037"/>
    <w:rsid w:val="0080516C"/>
    <w:rsid w:val="0082299A"/>
    <w:rsid w:val="008262B0"/>
    <w:rsid w:val="0083363F"/>
    <w:rsid w:val="0083391C"/>
    <w:rsid w:val="0084546D"/>
    <w:rsid w:val="00861D73"/>
    <w:rsid w:val="00882919"/>
    <w:rsid w:val="00897553"/>
    <w:rsid w:val="008A4E87"/>
    <w:rsid w:val="008C108B"/>
    <w:rsid w:val="008D76E6"/>
    <w:rsid w:val="0092392D"/>
    <w:rsid w:val="0093234A"/>
    <w:rsid w:val="00956A78"/>
    <w:rsid w:val="0097363B"/>
    <w:rsid w:val="00973F53"/>
    <w:rsid w:val="0098348E"/>
    <w:rsid w:val="009A6BAA"/>
    <w:rsid w:val="009A76A8"/>
    <w:rsid w:val="009C307F"/>
    <w:rsid w:val="009C353C"/>
    <w:rsid w:val="009D5955"/>
    <w:rsid w:val="009F0FB8"/>
    <w:rsid w:val="00A01F4F"/>
    <w:rsid w:val="00A109AF"/>
    <w:rsid w:val="00A125FB"/>
    <w:rsid w:val="00A2113E"/>
    <w:rsid w:val="00A23A51"/>
    <w:rsid w:val="00A24607"/>
    <w:rsid w:val="00A25CD3"/>
    <w:rsid w:val="00A51849"/>
    <w:rsid w:val="00A65F32"/>
    <w:rsid w:val="00A709FE"/>
    <w:rsid w:val="00A73C60"/>
    <w:rsid w:val="00A82767"/>
    <w:rsid w:val="00AA332F"/>
    <w:rsid w:val="00AA7BBB"/>
    <w:rsid w:val="00AB1824"/>
    <w:rsid w:val="00AB64A8"/>
    <w:rsid w:val="00AC0266"/>
    <w:rsid w:val="00AC0F1D"/>
    <w:rsid w:val="00AD24EC"/>
    <w:rsid w:val="00B27B00"/>
    <w:rsid w:val="00B309F9"/>
    <w:rsid w:val="00B32B60"/>
    <w:rsid w:val="00B51005"/>
    <w:rsid w:val="00B61619"/>
    <w:rsid w:val="00B84345"/>
    <w:rsid w:val="00BB38C1"/>
    <w:rsid w:val="00BB4545"/>
    <w:rsid w:val="00BD5873"/>
    <w:rsid w:val="00BF4B60"/>
    <w:rsid w:val="00C049D7"/>
    <w:rsid w:val="00C04BE3"/>
    <w:rsid w:val="00C14DAA"/>
    <w:rsid w:val="00C25D29"/>
    <w:rsid w:val="00C2625E"/>
    <w:rsid w:val="00C27A7C"/>
    <w:rsid w:val="00C42437"/>
    <w:rsid w:val="00C814A8"/>
    <w:rsid w:val="00C84124"/>
    <w:rsid w:val="00CA08ED"/>
    <w:rsid w:val="00CA40B9"/>
    <w:rsid w:val="00CC6EAA"/>
    <w:rsid w:val="00CE5172"/>
    <w:rsid w:val="00CF0534"/>
    <w:rsid w:val="00CF183B"/>
    <w:rsid w:val="00D375CD"/>
    <w:rsid w:val="00D37B53"/>
    <w:rsid w:val="00D553A2"/>
    <w:rsid w:val="00D63A7E"/>
    <w:rsid w:val="00D72F49"/>
    <w:rsid w:val="00D774D3"/>
    <w:rsid w:val="00D904E8"/>
    <w:rsid w:val="00DA08C3"/>
    <w:rsid w:val="00DB5A3E"/>
    <w:rsid w:val="00DC1113"/>
    <w:rsid w:val="00DC22AA"/>
    <w:rsid w:val="00DD1A99"/>
    <w:rsid w:val="00DE62C6"/>
    <w:rsid w:val="00DF74DD"/>
    <w:rsid w:val="00E25AD0"/>
    <w:rsid w:val="00E33426"/>
    <w:rsid w:val="00E4428F"/>
    <w:rsid w:val="00E4448E"/>
    <w:rsid w:val="00E47427"/>
    <w:rsid w:val="00E70464"/>
    <w:rsid w:val="00E93668"/>
    <w:rsid w:val="00E95647"/>
    <w:rsid w:val="00EB6350"/>
    <w:rsid w:val="00ED799B"/>
    <w:rsid w:val="00F15B57"/>
    <w:rsid w:val="00F35EF4"/>
    <w:rsid w:val="00F37FE5"/>
    <w:rsid w:val="00F427DB"/>
    <w:rsid w:val="00FA5EB1"/>
    <w:rsid w:val="00FA7439"/>
    <w:rsid w:val="00FB4062"/>
    <w:rsid w:val="00FC4EC0"/>
    <w:rsid w:val="00FC6D7D"/>
    <w:rsid w:val="00FF01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BDB6A1"/>
  <w15:docId w15:val="{1483AAD0-1731-48D0-B3E3-67A76711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366E"/>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ED799B"/>
    <w:pPr>
      <w:keepNext/>
      <w:keepLines/>
      <w:spacing w:before="360"/>
      <w:ind w:left="567" w:hanging="567"/>
      <w:outlineLvl w:val="0"/>
    </w:pPr>
    <w:rPr>
      <w:b/>
      <w:sz w:val="28"/>
    </w:rPr>
  </w:style>
  <w:style w:type="paragraph" w:styleId="Heading2">
    <w:name w:val="heading 2"/>
    <w:basedOn w:val="Heading1"/>
    <w:next w:val="Normal"/>
    <w:qFormat/>
    <w:rsid w:val="00ED799B"/>
    <w:pPr>
      <w:spacing w:before="200"/>
      <w:outlineLvl w:val="1"/>
    </w:pPr>
    <w:rPr>
      <w:sz w:val="24"/>
    </w:rPr>
  </w:style>
  <w:style w:type="paragraph" w:styleId="Heading3">
    <w:name w:val="heading 3"/>
    <w:basedOn w:val="Heading1"/>
    <w:next w:val="Normal"/>
    <w:qFormat/>
    <w:rsid w:val="00ED799B"/>
    <w:pPr>
      <w:spacing w:before="200"/>
      <w:outlineLvl w:val="2"/>
    </w:pPr>
    <w:rPr>
      <w:sz w:val="24"/>
    </w:rPr>
  </w:style>
  <w:style w:type="paragraph" w:styleId="Heading4">
    <w:name w:val="heading 4"/>
    <w:basedOn w:val="Heading3"/>
    <w:next w:val="Normal"/>
    <w:qFormat/>
    <w:rsid w:val="00732045"/>
    <w:pPr>
      <w:ind w:left="1134" w:hanging="1134"/>
      <w:outlineLvl w:val="3"/>
    </w:pPr>
  </w:style>
  <w:style w:type="paragraph" w:styleId="Heading5">
    <w:name w:val="heading 5"/>
    <w:basedOn w:val="Heading4"/>
    <w:next w:val="Normal"/>
    <w:qFormat/>
    <w:rsid w:val="00732045"/>
    <w:pPr>
      <w:outlineLvl w:val="4"/>
    </w:pPr>
  </w:style>
  <w:style w:type="paragraph" w:styleId="Heading6">
    <w:name w:val="heading 6"/>
    <w:basedOn w:val="Heading4"/>
    <w:next w:val="Normal"/>
    <w:qFormat/>
    <w:rsid w:val="00732045"/>
    <w:pPr>
      <w:outlineLvl w:val="5"/>
    </w:pPr>
  </w:style>
  <w:style w:type="paragraph" w:styleId="Heading7">
    <w:name w:val="heading 7"/>
    <w:basedOn w:val="Heading4"/>
    <w:next w:val="Normal"/>
    <w:qFormat/>
    <w:rsid w:val="00732045"/>
    <w:pPr>
      <w:ind w:left="1701" w:hanging="1701"/>
      <w:outlineLvl w:val="6"/>
    </w:pPr>
  </w:style>
  <w:style w:type="paragraph" w:styleId="Heading8">
    <w:name w:val="heading 8"/>
    <w:basedOn w:val="Heading4"/>
    <w:next w:val="Normal"/>
    <w:qFormat/>
    <w:rsid w:val="00732045"/>
    <w:pPr>
      <w:ind w:left="1701" w:hanging="1701"/>
      <w:outlineLvl w:val="7"/>
    </w:pPr>
  </w:style>
  <w:style w:type="paragraph" w:styleId="Heading9">
    <w:name w:val="heading 9"/>
    <w:basedOn w:val="Heading4"/>
    <w:next w:val="Normal"/>
    <w:qFormat/>
    <w:rsid w:val="00732045"/>
    <w:pPr>
      <w:ind w:left="1701" w:hanging="1701"/>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19129B"/>
  </w:style>
  <w:style w:type="paragraph" w:styleId="TOC3">
    <w:name w:val="toc 3"/>
    <w:basedOn w:val="TOC1"/>
    <w:next w:val="Normal"/>
    <w:rsid w:val="001658F9"/>
  </w:style>
  <w:style w:type="paragraph" w:styleId="TOC2">
    <w:name w:val="toc 2"/>
    <w:basedOn w:val="TOC1"/>
    <w:next w:val="Normal"/>
    <w:rsid w:val="001658F9"/>
    <w:pPr>
      <w:spacing w:before="160"/>
    </w:pPr>
  </w:style>
  <w:style w:type="paragraph" w:styleId="TOC1">
    <w:name w:val="toc 1"/>
    <w:basedOn w:val="Normal"/>
    <w:rsid w:val="001658F9"/>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19129B"/>
  </w:style>
  <w:style w:type="paragraph" w:styleId="TOC6">
    <w:name w:val="toc 6"/>
    <w:basedOn w:val="TOC5"/>
    <w:next w:val="Normal"/>
    <w:rsid w:val="0019129B"/>
  </w:style>
  <w:style w:type="paragraph" w:styleId="TOC5">
    <w:name w:val="toc 5"/>
    <w:basedOn w:val="TOC4"/>
    <w:next w:val="Normal"/>
    <w:rsid w:val="0019129B"/>
    <w:rPr>
      <w:lang w:val="fr-CH"/>
    </w:rPr>
  </w:style>
  <w:style w:type="paragraph" w:styleId="TOC4">
    <w:name w:val="toc 4"/>
    <w:basedOn w:val="TOC1"/>
    <w:next w:val="Normal"/>
    <w:rsid w:val="0019129B"/>
  </w:style>
  <w:style w:type="paragraph" w:styleId="Index7">
    <w:name w:val="index 7"/>
    <w:basedOn w:val="Normal"/>
    <w:next w:val="Normal"/>
    <w:rsid w:val="005C3890"/>
    <w:pPr>
      <w:ind w:left="1698"/>
    </w:pPr>
  </w:style>
  <w:style w:type="paragraph" w:styleId="Index6">
    <w:name w:val="index 6"/>
    <w:basedOn w:val="Normal"/>
    <w:next w:val="Normal"/>
    <w:rsid w:val="005C3890"/>
    <w:pPr>
      <w:ind w:left="1415"/>
    </w:pPr>
  </w:style>
  <w:style w:type="paragraph" w:styleId="Index5">
    <w:name w:val="index 5"/>
    <w:basedOn w:val="Normal"/>
    <w:next w:val="Normal"/>
    <w:rsid w:val="005C3890"/>
    <w:pPr>
      <w:ind w:left="1132"/>
    </w:pPr>
  </w:style>
  <w:style w:type="paragraph" w:styleId="Index4">
    <w:name w:val="index 4"/>
    <w:basedOn w:val="Normal"/>
    <w:next w:val="Normal"/>
    <w:rsid w:val="005C3890"/>
    <w:pPr>
      <w:ind w:left="849"/>
    </w:pPr>
  </w:style>
  <w:style w:type="paragraph" w:styleId="Index3">
    <w:name w:val="index 3"/>
    <w:basedOn w:val="Normal"/>
    <w:next w:val="Normal"/>
    <w:rsid w:val="005C3890"/>
    <w:pPr>
      <w:ind w:left="566"/>
    </w:pPr>
  </w:style>
  <w:style w:type="paragraph" w:styleId="Index2">
    <w:name w:val="index 2"/>
    <w:basedOn w:val="Normal"/>
    <w:next w:val="Normal"/>
    <w:rsid w:val="005C3890"/>
    <w:pPr>
      <w:ind w:left="283"/>
    </w:pPr>
  </w:style>
  <w:style w:type="paragraph" w:styleId="Index1">
    <w:name w:val="index 1"/>
    <w:basedOn w:val="Normal"/>
    <w:next w:val="Normal"/>
    <w:rsid w:val="005C3890"/>
  </w:style>
  <w:style w:type="character" w:styleId="LineNumber">
    <w:name w:val="line number"/>
    <w:basedOn w:val="DefaultParagraphFont"/>
    <w:rsid w:val="005C3890"/>
  </w:style>
  <w:style w:type="paragraph" w:styleId="IndexHeading">
    <w:name w:val="index heading"/>
    <w:basedOn w:val="Normal"/>
    <w:next w:val="Index1"/>
    <w:rsid w:val="005C3890"/>
  </w:style>
  <w:style w:type="paragraph" w:styleId="Footer">
    <w:name w:val="footer"/>
    <w:basedOn w:val="Normal"/>
    <w:rsid w:val="0073204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73204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732045"/>
    <w:rPr>
      <w:rFonts w:ascii="Calibri" w:hAnsi="Calibri"/>
      <w:position w:val="6"/>
      <w:sz w:val="16"/>
    </w:rPr>
  </w:style>
  <w:style w:type="paragraph" w:styleId="FootnoteText">
    <w:name w:val="footnote text"/>
    <w:basedOn w:val="Normal"/>
    <w:rsid w:val="00ED799B"/>
    <w:pPr>
      <w:keepLines/>
      <w:tabs>
        <w:tab w:val="left" w:pos="256"/>
      </w:tabs>
      <w:ind w:left="256" w:hanging="256"/>
    </w:pPr>
    <w:rPr>
      <w:sz w:val="22"/>
    </w:rPr>
  </w:style>
  <w:style w:type="paragraph" w:styleId="NormalIndent">
    <w:name w:val="Normal Indent"/>
    <w:basedOn w:val="Normal"/>
    <w:rsid w:val="00732045"/>
    <w:pPr>
      <w:ind w:left="567"/>
    </w:pPr>
  </w:style>
  <w:style w:type="paragraph" w:customStyle="1" w:styleId="enumlev1">
    <w:name w:val="enumlev1"/>
    <w:basedOn w:val="Normal"/>
    <w:rsid w:val="009D5955"/>
    <w:pPr>
      <w:spacing w:before="80"/>
      <w:ind w:left="567" w:hanging="567"/>
    </w:pPr>
  </w:style>
  <w:style w:type="paragraph" w:customStyle="1" w:styleId="enumlev2">
    <w:name w:val="enumlev2"/>
    <w:basedOn w:val="enumlev1"/>
    <w:rsid w:val="00732045"/>
    <w:pPr>
      <w:ind w:left="1134"/>
    </w:pPr>
  </w:style>
  <w:style w:type="paragraph" w:customStyle="1" w:styleId="enumlev3">
    <w:name w:val="enumlev3"/>
    <w:basedOn w:val="enumlev2"/>
    <w:rsid w:val="009D5955"/>
    <w:pPr>
      <w:ind w:left="1701"/>
    </w:pPr>
  </w:style>
  <w:style w:type="paragraph" w:customStyle="1" w:styleId="Equation">
    <w:name w:val="Equation"/>
    <w:basedOn w:val="Normal"/>
    <w:rsid w:val="005C3890"/>
    <w:pPr>
      <w:tabs>
        <w:tab w:val="center" w:pos="4820"/>
        <w:tab w:val="right" w:pos="9639"/>
      </w:tabs>
    </w:pPr>
  </w:style>
  <w:style w:type="paragraph" w:customStyle="1" w:styleId="Head">
    <w:name w:val="Head"/>
    <w:basedOn w:val="Normal"/>
    <w:rsid w:val="005C3890"/>
    <w:pPr>
      <w:tabs>
        <w:tab w:val="left" w:pos="6663"/>
      </w:tabs>
      <w:overflowPunct/>
      <w:autoSpaceDE/>
      <w:autoSpaceDN/>
      <w:adjustRightInd/>
      <w:spacing w:before="0"/>
      <w:textAlignment w:val="auto"/>
    </w:pPr>
  </w:style>
  <w:style w:type="paragraph" w:customStyle="1" w:styleId="Normalaftertitle">
    <w:name w:val="Normal after title"/>
    <w:basedOn w:val="Normal"/>
    <w:next w:val="Normal"/>
    <w:rsid w:val="00732045"/>
    <w:pPr>
      <w:spacing w:before="240"/>
    </w:pPr>
  </w:style>
  <w:style w:type="paragraph" w:customStyle="1" w:styleId="Call">
    <w:name w:val="Call"/>
    <w:basedOn w:val="Normal"/>
    <w:next w:val="Normal"/>
    <w:rsid w:val="00732045"/>
    <w:pPr>
      <w:keepNext/>
      <w:keepLines/>
      <w:tabs>
        <w:tab w:val="clear" w:pos="1134"/>
        <w:tab w:val="clear" w:pos="1701"/>
        <w:tab w:val="clear" w:pos="2268"/>
        <w:tab w:val="clear" w:pos="2835"/>
      </w:tabs>
      <w:spacing w:before="160"/>
      <w:ind w:left="567"/>
    </w:pPr>
    <w:rPr>
      <w:i/>
    </w:rPr>
  </w:style>
  <w:style w:type="paragraph" w:customStyle="1" w:styleId="toc0">
    <w:name w:val="toc 0"/>
    <w:basedOn w:val="Normal"/>
    <w:next w:val="TOC1"/>
    <w:rsid w:val="00732045"/>
    <w:pPr>
      <w:tabs>
        <w:tab w:val="clear" w:pos="567"/>
        <w:tab w:val="clear" w:pos="1134"/>
        <w:tab w:val="clear" w:pos="1701"/>
        <w:tab w:val="clear" w:pos="2268"/>
        <w:tab w:val="clear" w:pos="2835"/>
        <w:tab w:val="right" w:pos="9781"/>
      </w:tabs>
    </w:pPr>
    <w:rPr>
      <w:b/>
    </w:rPr>
  </w:style>
  <w:style w:type="paragraph" w:styleId="List">
    <w:name w:val="List"/>
    <w:basedOn w:val="Normal"/>
    <w:rsid w:val="005C3890"/>
    <w:pPr>
      <w:tabs>
        <w:tab w:val="left" w:pos="2127"/>
      </w:tabs>
      <w:ind w:left="2127" w:hanging="2127"/>
    </w:pPr>
  </w:style>
  <w:style w:type="paragraph" w:customStyle="1" w:styleId="Part">
    <w:name w:val="Part"/>
    <w:basedOn w:val="Normal"/>
    <w:rsid w:val="005C3890"/>
    <w:pPr>
      <w:tabs>
        <w:tab w:val="left" w:pos="1276"/>
      </w:tabs>
      <w:spacing w:before="199"/>
      <w:ind w:left="1701" w:hanging="1701"/>
    </w:pPr>
    <w:rPr>
      <w:caps/>
    </w:rPr>
  </w:style>
  <w:style w:type="paragraph" w:customStyle="1" w:styleId="Reasons">
    <w:name w:val="Reasons"/>
    <w:basedOn w:val="Normal"/>
    <w:qFormat/>
    <w:rsid w:val="00732045"/>
  </w:style>
  <w:style w:type="paragraph" w:customStyle="1" w:styleId="meeting">
    <w:name w:val="meeting"/>
    <w:basedOn w:val="Head"/>
    <w:next w:val="Head"/>
    <w:rsid w:val="005C3890"/>
    <w:pPr>
      <w:tabs>
        <w:tab w:val="left" w:pos="7371"/>
      </w:tabs>
      <w:spacing w:after="567"/>
    </w:pPr>
  </w:style>
  <w:style w:type="paragraph" w:customStyle="1" w:styleId="Subject">
    <w:name w:val="Subject"/>
    <w:basedOn w:val="Normal"/>
    <w:next w:val="Source"/>
    <w:rsid w:val="005C3890"/>
    <w:pPr>
      <w:tabs>
        <w:tab w:val="left" w:pos="709"/>
      </w:tabs>
      <w:spacing w:before="0"/>
      <w:ind w:left="709" w:hanging="709"/>
    </w:pPr>
  </w:style>
  <w:style w:type="paragraph" w:customStyle="1" w:styleId="Source">
    <w:name w:val="Source"/>
    <w:basedOn w:val="Normal"/>
    <w:next w:val="Title1"/>
    <w:rsid w:val="00732045"/>
    <w:pPr>
      <w:spacing w:before="840"/>
      <w:jc w:val="center"/>
    </w:pPr>
    <w:rPr>
      <w:b/>
      <w:sz w:val="28"/>
    </w:rPr>
  </w:style>
  <w:style w:type="paragraph" w:customStyle="1" w:styleId="Object">
    <w:name w:val="Object"/>
    <w:basedOn w:val="Subject"/>
    <w:next w:val="Subject"/>
    <w:rsid w:val="005C3890"/>
  </w:style>
  <w:style w:type="paragraph" w:customStyle="1" w:styleId="Data">
    <w:name w:val="Data"/>
    <w:basedOn w:val="Subject"/>
    <w:next w:val="Subject"/>
    <w:rsid w:val="005C3890"/>
  </w:style>
  <w:style w:type="paragraph" w:customStyle="1" w:styleId="Headingb">
    <w:name w:val="Heading_b"/>
    <w:basedOn w:val="Heading3"/>
    <w:next w:val="Normal"/>
    <w:rsid w:val="00ED799B"/>
    <w:pPr>
      <w:spacing w:before="160"/>
      <w:ind w:left="0" w:firstLine="0"/>
      <w:outlineLvl w:val="0"/>
    </w:pPr>
  </w:style>
  <w:style w:type="paragraph" w:customStyle="1" w:styleId="Title1">
    <w:name w:val="Title 1"/>
    <w:basedOn w:val="Normal"/>
    <w:next w:val="Normalaftertitle"/>
    <w:rsid w:val="0071402E"/>
    <w:pPr>
      <w:spacing w:before="360"/>
      <w:jc w:val="center"/>
    </w:pPr>
    <w:rPr>
      <w:caps/>
    </w:rPr>
  </w:style>
  <w:style w:type="paragraph" w:customStyle="1" w:styleId="dnum">
    <w:name w:val="dnum"/>
    <w:basedOn w:val="Normal"/>
    <w:rsid w:val="005C3890"/>
    <w:pPr>
      <w:framePr w:hSpace="181" w:wrap="notBeside" w:vAnchor="page" w:hAnchor="margin" w:x="1" w:y="852"/>
      <w:shd w:val="solid" w:color="FFFFFF" w:fill="FFFFFF"/>
      <w:tabs>
        <w:tab w:val="left" w:pos="1871"/>
      </w:tabs>
    </w:pPr>
    <w:rPr>
      <w:b/>
      <w:bCs/>
    </w:rPr>
  </w:style>
  <w:style w:type="paragraph" w:customStyle="1" w:styleId="FirstFooter">
    <w:name w:val="FirstFooter"/>
    <w:basedOn w:val="Footer"/>
    <w:rsid w:val="00732045"/>
    <w:rPr>
      <w:caps w:val="0"/>
    </w:rPr>
  </w:style>
  <w:style w:type="paragraph" w:customStyle="1" w:styleId="Note">
    <w:name w:val="Note"/>
    <w:basedOn w:val="Normal"/>
    <w:rsid w:val="0071402E"/>
    <w:pPr>
      <w:spacing w:before="80"/>
    </w:pPr>
    <w:rPr>
      <w:sz w:val="22"/>
    </w:rPr>
  </w:style>
  <w:style w:type="paragraph" w:styleId="TOC9">
    <w:name w:val="toc 9"/>
    <w:basedOn w:val="Normal"/>
    <w:next w:val="Normal"/>
    <w:rsid w:val="00732045"/>
    <w:pPr>
      <w:tabs>
        <w:tab w:val="clear" w:pos="567"/>
        <w:tab w:val="clear" w:pos="1134"/>
        <w:tab w:val="clear" w:pos="1701"/>
        <w:tab w:val="clear" w:pos="2268"/>
        <w:tab w:val="clear" w:pos="2835"/>
        <w:tab w:val="right" w:leader="dot" w:pos="9645"/>
      </w:tabs>
      <w:ind w:left="1920"/>
    </w:pPr>
  </w:style>
  <w:style w:type="paragraph" w:customStyle="1" w:styleId="ddate">
    <w:name w:val="ddate"/>
    <w:basedOn w:val="Normal"/>
    <w:rsid w:val="005C3890"/>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5C3890"/>
    <w:pPr>
      <w:framePr w:hSpace="181" w:wrap="notBeside" w:vAnchor="page" w:hAnchor="margin" w:x="1" w:y="852"/>
      <w:shd w:val="solid" w:color="FFFFFF" w:fill="FFFFFF"/>
      <w:tabs>
        <w:tab w:val="left" w:pos="1871"/>
      </w:tabs>
      <w:spacing w:before="0"/>
    </w:pPr>
    <w:rPr>
      <w:b/>
      <w:bCs/>
    </w:rPr>
  </w:style>
  <w:style w:type="character" w:styleId="Hyperlink">
    <w:name w:val="Hyperlink"/>
    <w:basedOn w:val="DefaultParagraphFont"/>
    <w:rsid w:val="00623F87"/>
    <w:rPr>
      <w:rFonts w:eastAsiaTheme="minorHAnsi" w:cstheme="minorBidi"/>
      <w:color w:val="4F81BD" w:themeColor="accent1"/>
      <w:szCs w:val="22"/>
      <w:u w:val="single"/>
    </w:rPr>
  </w:style>
  <w:style w:type="character" w:styleId="FollowedHyperlink">
    <w:name w:val="FollowedHyperlink"/>
    <w:basedOn w:val="DefaultParagraphFont"/>
    <w:rsid w:val="005C3890"/>
    <w:rPr>
      <w:color w:val="800080"/>
      <w:u w:val="single"/>
    </w:rPr>
  </w:style>
  <w:style w:type="paragraph" w:customStyle="1" w:styleId="AnnexNo">
    <w:name w:val="Annex_No"/>
    <w:basedOn w:val="Normal"/>
    <w:next w:val="Annexref"/>
    <w:rsid w:val="00BB38C1"/>
    <w:pPr>
      <w:keepNext/>
      <w:keepLines/>
      <w:spacing w:before="720"/>
      <w:jc w:val="center"/>
    </w:pPr>
    <w:rPr>
      <w:caps/>
      <w:sz w:val="28"/>
    </w:rPr>
  </w:style>
  <w:style w:type="paragraph" w:customStyle="1" w:styleId="Annexref">
    <w:name w:val="Annex_ref"/>
    <w:basedOn w:val="Normal"/>
    <w:next w:val="Annextitle"/>
    <w:rsid w:val="00BB38C1"/>
    <w:pPr>
      <w:keepNext/>
      <w:keepLines/>
      <w:jc w:val="center"/>
    </w:pPr>
    <w:rPr>
      <w:sz w:val="28"/>
    </w:rPr>
  </w:style>
  <w:style w:type="paragraph" w:customStyle="1" w:styleId="Annextitle">
    <w:name w:val="Annex_title"/>
    <w:basedOn w:val="Normal"/>
    <w:next w:val="Normalaftertitle"/>
    <w:rsid w:val="00BB38C1"/>
    <w:pPr>
      <w:keepNext/>
      <w:keepLines/>
      <w:spacing w:before="240" w:after="240"/>
      <w:jc w:val="center"/>
    </w:pPr>
    <w:rPr>
      <w:b/>
      <w:sz w:val="28"/>
    </w:rPr>
  </w:style>
  <w:style w:type="paragraph" w:customStyle="1" w:styleId="AppendixNo">
    <w:name w:val="Appendix_No"/>
    <w:basedOn w:val="AnnexNo"/>
    <w:next w:val="Appendixref"/>
    <w:rsid w:val="00BB38C1"/>
  </w:style>
  <w:style w:type="paragraph" w:customStyle="1" w:styleId="Appendixref">
    <w:name w:val="Appendix_ref"/>
    <w:basedOn w:val="Annexref"/>
    <w:next w:val="Appendixtitle"/>
    <w:rsid w:val="00732045"/>
  </w:style>
  <w:style w:type="paragraph" w:customStyle="1" w:styleId="Appendixtitle">
    <w:name w:val="Appendix_title"/>
    <w:basedOn w:val="Annextitle"/>
    <w:next w:val="Normalaftertitle"/>
    <w:rsid w:val="00BB38C1"/>
  </w:style>
  <w:style w:type="paragraph" w:customStyle="1" w:styleId="Artheading">
    <w:name w:val="Art_heading"/>
    <w:basedOn w:val="Normal"/>
    <w:next w:val="Normalaftertitle"/>
    <w:rsid w:val="0073204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BB38C1"/>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38C1"/>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732045"/>
  </w:style>
  <w:style w:type="paragraph" w:customStyle="1" w:styleId="Chaptitle">
    <w:name w:val="Chap_title"/>
    <w:basedOn w:val="Arttitle"/>
    <w:next w:val="Normalaftertitle"/>
    <w:rsid w:val="00732045"/>
  </w:style>
  <w:style w:type="paragraph" w:customStyle="1" w:styleId="Equationlegend">
    <w:name w:val="Equation_legend"/>
    <w:basedOn w:val="NormalIndent"/>
    <w:rsid w:val="005C3890"/>
    <w:pPr>
      <w:tabs>
        <w:tab w:val="right" w:pos="1531"/>
      </w:tabs>
      <w:spacing w:before="80"/>
      <w:ind w:left="1701" w:hanging="1701"/>
    </w:pPr>
  </w:style>
  <w:style w:type="paragraph" w:customStyle="1" w:styleId="Figure">
    <w:name w:val="Figure"/>
    <w:basedOn w:val="Normal"/>
    <w:next w:val="Normal"/>
    <w:rsid w:val="009D5955"/>
    <w:pPr>
      <w:spacing w:after="240"/>
      <w:jc w:val="center"/>
    </w:pPr>
  </w:style>
  <w:style w:type="paragraph" w:customStyle="1" w:styleId="Figurelegend">
    <w:name w:val="Figure_legend"/>
    <w:basedOn w:val="Normal"/>
    <w:next w:val="Normal"/>
    <w:rsid w:val="009D5955"/>
    <w:pPr>
      <w:spacing w:before="20" w:after="240"/>
    </w:pPr>
    <w:rPr>
      <w:sz w:val="18"/>
    </w:rPr>
  </w:style>
  <w:style w:type="paragraph" w:customStyle="1" w:styleId="TableNo">
    <w:name w:val="Table_No"/>
    <w:basedOn w:val="Normal"/>
    <w:next w:val="Tabletitle"/>
    <w:rsid w:val="0071402E"/>
    <w:pPr>
      <w:keepNext/>
      <w:keepLines/>
      <w:spacing w:before="480" w:after="120"/>
      <w:jc w:val="center"/>
    </w:pPr>
    <w:rPr>
      <w:caps/>
    </w:rPr>
  </w:style>
  <w:style w:type="paragraph" w:customStyle="1" w:styleId="Tabletitle">
    <w:name w:val="Table_title"/>
    <w:basedOn w:val="TableNo"/>
    <w:next w:val="Tabletext"/>
    <w:rsid w:val="0071402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Figuretitle">
    <w:name w:val="Figure_title"/>
    <w:basedOn w:val="Tabletitle"/>
    <w:next w:val="Normalaftertitle"/>
    <w:rsid w:val="009D5955"/>
    <w:pPr>
      <w:spacing w:before="120" w:after="0"/>
    </w:pPr>
  </w:style>
  <w:style w:type="paragraph" w:customStyle="1" w:styleId="Figurewithouttitle">
    <w:name w:val="Figure_without_title"/>
    <w:basedOn w:val="Figure"/>
    <w:next w:val="Normal"/>
    <w:rsid w:val="00ED799B"/>
  </w:style>
  <w:style w:type="paragraph" w:customStyle="1" w:styleId="Headingi">
    <w:name w:val="Heading_i"/>
    <w:basedOn w:val="Heading3"/>
    <w:next w:val="Normal"/>
    <w:rsid w:val="00ED799B"/>
    <w:pPr>
      <w:spacing w:before="160"/>
      <w:ind w:left="0" w:firstLine="0"/>
      <w:outlineLvl w:val="0"/>
    </w:pPr>
    <w:rPr>
      <w:b w:val="0"/>
      <w:i/>
    </w:rPr>
  </w:style>
  <w:style w:type="character" w:styleId="PageNumber">
    <w:name w:val="page number"/>
    <w:basedOn w:val="DefaultParagraphFont"/>
    <w:rsid w:val="00732045"/>
    <w:rPr>
      <w:rFonts w:ascii="Calibri" w:hAnsi="Calibri"/>
    </w:rPr>
  </w:style>
  <w:style w:type="paragraph" w:customStyle="1" w:styleId="PartNo">
    <w:name w:val="Part_No"/>
    <w:basedOn w:val="AnnexNo"/>
    <w:next w:val="Parttitle"/>
    <w:rsid w:val="005C3890"/>
  </w:style>
  <w:style w:type="paragraph" w:customStyle="1" w:styleId="Partref">
    <w:name w:val="Part_ref"/>
    <w:basedOn w:val="Annexref"/>
    <w:next w:val="Normalaftertitle"/>
    <w:rsid w:val="005C3890"/>
  </w:style>
  <w:style w:type="paragraph" w:customStyle="1" w:styleId="Parttitle">
    <w:name w:val="Part_title"/>
    <w:basedOn w:val="Annextitle"/>
    <w:next w:val="Partref"/>
    <w:rsid w:val="005C3890"/>
  </w:style>
  <w:style w:type="paragraph" w:customStyle="1" w:styleId="RecNo">
    <w:name w:val="Rec_No"/>
    <w:basedOn w:val="Normal"/>
    <w:next w:val="Rectitle"/>
    <w:rsid w:val="0071402E"/>
    <w:pPr>
      <w:keepNext/>
      <w:keepLines/>
      <w:spacing w:before="720"/>
      <w:jc w:val="center"/>
    </w:pPr>
    <w:rPr>
      <w:caps/>
      <w:sz w:val="28"/>
    </w:rPr>
  </w:style>
  <w:style w:type="paragraph" w:customStyle="1" w:styleId="Rectitle">
    <w:name w:val="Rec_title"/>
    <w:basedOn w:val="Normal"/>
    <w:next w:val="Heading1"/>
    <w:rsid w:val="0071402E"/>
    <w:pPr>
      <w:keepNext/>
      <w:keepLines/>
      <w:jc w:val="center"/>
    </w:pPr>
    <w:rPr>
      <w:b/>
      <w:sz w:val="28"/>
    </w:rPr>
  </w:style>
  <w:style w:type="paragraph" w:customStyle="1" w:styleId="Recref">
    <w:name w:val="Rec_ref"/>
    <w:basedOn w:val="Rectitle"/>
    <w:next w:val="Recdate"/>
    <w:rsid w:val="005C3890"/>
    <w:rPr>
      <w:rFonts w:ascii="Times New Roman" w:hAnsi="Times New Roman"/>
      <w:b w:val="0"/>
      <w:sz w:val="24"/>
    </w:rPr>
  </w:style>
  <w:style w:type="paragraph" w:customStyle="1" w:styleId="Recdate">
    <w:name w:val="Rec_date"/>
    <w:basedOn w:val="Recref"/>
    <w:next w:val="Normalaftertitle"/>
    <w:rsid w:val="005C3890"/>
    <w:pPr>
      <w:jc w:val="right"/>
    </w:pPr>
    <w:rPr>
      <w:sz w:val="22"/>
    </w:rPr>
  </w:style>
  <w:style w:type="paragraph" w:customStyle="1" w:styleId="Questiondate">
    <w:name w:val="Question_date"/>
    <w:basedOn w:val="Recdate"/>
    <w:next w:val="Normalaftertitle"/>
    <w:rsid w:val="0071402E"/>
  </w:style>
  <w:style w:type="paragraph" w:customStyle="1" w:styleId="QuestionNo">
    <w:name w:val="Question_No"/>
    <w:basedOn w:val="RecNo"/>
    <w:next w:val="Questiontitle"/>
    <w:rsid w:val="0071402E"/>
  </w:style>
  <w:style w:type="paragraph" w:customStyle="1" w:styleId="Questionref">
    <w:name w:val="Question_ref"/>
    <w:basedOn w:val="Recref"/>
    <w:next w:val="Questiondate"/>
    <w:rsid w:val="005C3890"/>
  </w:style>
  <w:style w:type="paragraph" w:customStyle="1" w:styleId="Questiontitle">
    <w:name w:val="Question_title"/>
    <w:basedOn w:val="Rectitle"/>
    <w:next w:val="Questionref"/>
    <w:rsid w:val="005C3890"/>
  </w:style>
  <w:style w:type="paragraph" w:customStyle="1" w:styleId="Reftext">
    <w:name w:val="Ref_text"/>
    <w:basedOn w:val="Normal"/>
    <w:rsid w:val="00732045"/>
    <w:pPr>
      <w:ind w:left="567" w:hanging="567"/>
    </w:pPr>
  </w:style>
  <w:style w:type="paragraph" w:customStyle="1" w:styleId="Reftitle">
    <w:name w:val="Ref_title"/>
    <w:basedOn w:val="Normal"/>
    <w:next w:val="Reftext"/>
    <w:rsid w:val="00732045"/>
    <w:pPr>
      <w:spacing w:before="480"/>
      <w:jc w:val="center"/>
    </w:pPr>
    <w:rPr>
      <w:caps/>
      <w:sz w:val="28"/>
    </w:rPr>
  </w:style>
  <w:style w:type="paragraph" w:customStyle="1" w:styleId="Repdate">
    <w:name w:val="Rep_date"/>
    <w:basedOn w:val="Recdate"/>
    <w:next w:val="Normalaftertitle"/>
    <w:rsid w:val="005C3890"/>
  </w:style>
  <w:style w:type="paragraph" w:customStyle="1" w:styleId="RepNo">
    <w:name w:val="Rep_No"/>
    <w:basedOn w:val="RecNo"/>
    <w:next w:val="Reptitle"/>
    <w:rsid w:val="0071402E"/>
  </w:style>
  <w:style w:type="paragraph" w:customStyle="1" w:styleId="Repref">
    <w:name w:val="Rep_ref"/>
    <w:basedOn w:val="Recref"/>
    <w:next w:val="Repdate"/>
    <w:rsid w:val="005C3890"/>
  </w:style>
  <w:style w:type="paragraph" w:customStyle="1" w:styleId="Reptitle">
    <w:name w:val="Rep_title"/>
    <w:basedOn w:val="Rectitle"/>
    <w:next w:val="Repref"/>
    <w:rsid w:val="005C3890"/>
  </w:style>
  <w:style w:type="paragraph" w:customStyle="1" w:styleId="Resdate">
    <w:name w:val="Res_date"/>
    <w:basedOn w:val="Recdate"/>
    <w:next w:val="Normalaftertitle"/>
    <w:rsid w:val="005C3890"/>
  </w:style>
  <w:style w:type="paragraph" w:customStyle="1" w:styleId="ResNo">
    <w:name w:val="Res_No"/>
    <w:basedOn w:val="AnnexNo"/>
    <w:next w:val="Restitle"/>
    <w:rsid w:val="0071402E"/>
  </w:style>
  <w:style w:type="paragraph" w:customStyle="1" w:styleId="Resref">
    <w:name w:val="Res_ref"/>
    <w:basedOn w:val="Recref"/>
    <w:next w:val="Resdate"/>
    <w:rsid w:val="005C3890"/>
  </w:style>
  <w:style w:type="paragraph" w:customStyle="1" w:styleId="Restitle">
    <w:name w:val="Res_title"/>
    <w:basedOn w:val="Annextitle"/>
    <w:next w:val="Normal"/>
    <w:rsid w:val="00732045"/>
  </w:style>
  <w:style w:type="paragraph" w:customStyle="1" w:styleId="SectionNo">
    <w:name w:val="Section_No"/>
    <w:basedOn w:val="AnnexNo"/>
    <w:next w:val="Sectiontitle"/>
    <w:rsid w:val="0071402E"/>
  </w:style>
  <w:style w:type="paragraph" w:customStyle="1" w:styleId="Sectiontitle">
    <w:name w:val="Section_title"/>
    <w:basedOn w:val="Normal"/>
    <w:next w:val="Normalaftertitle"/>
    <w:rsid w:val="005C3890"/>
    <w:rPr>
      <w:sz w:val="28"/>
    </w:rPr>
  </w:style>
  <w:style w:type="paragraph" w:customStyle="1" w:styleId="SpecialFooter">
    <w:name w:val="Special Footer"/>
    <w:basedOn w:val="Footer"/>
    <w:rsid w:val="005C3890"/>
    <w:pPr>
      <w:tabs>
        <w:tab w:val="left" w:pos="567"/>
        <w:tab w:val="left" w:pos="1134"/>
        <w:tab w:val="left" w:pos="1701"/>
        <w:tab w:val="left" w:pos="2268"/>
        <w:tab w:val="left" w:pos="2835"/>
      </w:tabs>
      <w:jc w:val="both"/>
    </w:pPr>
    <w:rPr>
      <w:caps w:val="0"/>
      <w:noProof w:val="0"/>
    </w:rPr>
  </w:style>
  <w:style w:type="paragraph" w:customStyle="1" w:styleId="Tabletext">
    <w:name w:val="Table_text"/>
    <w:basedOn w:val="Normal"/>
    <w:rsid w:val="0071402E"/>
    <w:pPr>
      <w:tabs>
        <w:tab w:val="clear" w:pos="1134"/>
        <w:tab w:val="clear" w:pos="1701"/>
        <w:tab w:val="clear" w:pos="2268"/>
        <w:tab w:val="clear" w:pos="2835"/>
        <w:tab w:val="left" w:pos="284"/>
        <w:tab w:val="left" w:pos="851"/>
      </w:tabs>
      <w:spacing w:before="40" w:after="40"/>
    </w:pPr>
    <w:rPr>
      <w:sz w:val="22"/>
    </w:rPr>
  </w:style>
  <w:style w:type="paragraph" w:customStyle="1" w:styleId="Tablehead">
    <w:name w:val="Table_head"/>
    <w:basedOn w:val="Tabletext"/>
    <w:rsid w:val="0071402E"/>
    <w:pPr>
      <w:keepNext/>
      <w:keepLines/>
      <w:spacing w:before="80" w:after="80"/>
      <w:jc w:val="center"/>
    </w:pPr>
    <w:rPr>
      <w:b/>
    </w:rPr>
  </w:style>
  <w:style w:type="paragraph" w:customStyle="1" w:styleId="Tablelegend">
    <w:name w:val="Table_legend"/>
    <w:basedOn w:val="Tabletext"/>
    <w:rsid w:val="0071402E"/>
    <w:pPr>
      <w:ind w:left="284" w:hanging="284"/>
    </w:pPr>
    <w:rPr>
      <w:sz w:val="20"/>
    </w:rPr>
  </w:style>
  <w:style w:type="paragraph" w:customStyle="1" w:styleId="Tableref">
    <w:name w:val="Table_ref"/>
    <w:basedOn w:val="Normal"/>
    <w:next w:val="Tabletitle"/>
    <w:rsid w:val="0071402E"/>
    <w:pPr>
      <w:keepNext/>
      <w:keepLines/>
      <w:jc w:val="center"/>
    </w:pPr>
    <w:rPr>
      <w:sz w:val="20"/>
    </w:rPr>
  </w:style>
  <w:style w:type="paragraph" w:customStyle="1" w:styleId="Title2">
    <w:name w:val="Title 2"/>
    <w:basedOn w:val="Title1"/>
    <w:next w:val="Normalaftertitle"/>
    <w:rsid w:val="006B224B"/>
    <w:pPr>
      <w:keepNext/>
      <w:keepLines/>
      <w:spacing w:before="240"/>
    </w:pPr>
    <w:rPr>
      <w:b/>
      <w:caps w:val="0"/>
    </w:rPr>
  </w:style>
  <w:style w:type="paragraph" w:customStyle="1" w:styleId="Title3">
    <w:name w:val="Title 3"/>
    <w:basedOn w:val="Title2"/>
    <w:next w:val="Normalaftertitle"/>
    <w:rsid w:val="006B224B"/>
    <w:rPr>
      <w:b w:val="0"/>
      <w:caps/>
    </w:rPr>
  </w:style>
  <w:style w:type="paragraph" w:customStyle="1" w:styleId="Title4">
    <w:name w:val="Title 4"/>
    <w:basedOn w:val="Annextitle"/>
    <w:next w:val="Normal"/>
    <w:rsid w:val="00CE5172"/>
    <w:pPr>
      <w:spacing w:after="120"/>
    </w:pPr>
    <w:rPr>
      <w:b w:val="0"/>
    </w:rPr>
  </w:style>
  <w:style w:type="paragraph" w:customStyle="1" w:styleId="FigureNo">
    <w:name w:val="Figure_No"/>
    <w:basedOn w:val="Normal"/>
    <w:next w:val="Figuretitle"/>
    <w:rsid w:val="009D5955"/>
    <w:pPr>
      <w:keepNext/>
      <w:keepLines/>
      <w:spacing w:before="480" w:after="120"/>
      <w:jc w:val="center"/>
    </w:pPr>
    <w:rPr>
      <w:caps/>
    </w:rPr>
  </w:style>
  <w:style w:type="paragraph" w:customStyle="1" w:styleId="firstfooter0">
    <w:name w:val="firstfooter"/>
    <w:basedOn w:val="Normal"/>
    <w:rsid w:val="0073204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Subtitle">
    <w:name w:val="Sub_title"/>
    <w:basedOn w:val="Normal"/>
    <w:qFormat/>
    <w:rsid w:val="00A51849"/>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A51849"/>
    <w:rPr>
      <w:rFonts w:ascii="Calibri" w:hAnsi="Calibri"/>
      <w:sz w:val="18"/>
      <w:lang w:val="fr-FR" w:eastAsia="en-US"/>
    </w:rPr>
  </w:style>
  <w:style w:type="table" w:styleId="TableGrid">
    <w:name w:val="Table Grid"/>
    <w:basedOn w:val="TableNormal"/>
    <w:uiPriority w:val="39"/>
    <w:rsid w:val="00A51849"/>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5647"/>
    <w:rPr>
      <w:rFonts w:ascii="Calibri" w:hAnsi="Calibri"/>
      <w:sz w:val="24"/>
      <w:lang w:val="fr-FR" w:eastAsia="en-US"/>
    </w:rPr>
  </w:style>
  <w:style w:type="character" w:styleId="PlaceholderText">
    <w:name w:val="Placeholder Text"/>
    <w:basedOn w:val="DefaultParagraphFont"/>
    <w:uiPriority w:val="99"/>
    <w:semiHidden/>
    <w:rsid w:val="00FC6D7D"/>
    <w:rPr>
      <w:color w:val="666666"/>
    </w:rPr>
  </w:style>
  <w:style w:type="character" w:styleId="UnresolvedMention">
    <w:name w:val="Unresolved Mention"/>
    <w:basedOn w:val="DefaultParagraphFont"/>
    <w:uiPriority w:val="99"/>
    <w:semiHidden/>
    <w:unhideWhenUsed/>
    <w:rsid w:val="00FC6D7D"/>
    <w:rPr>
      <w:color w:val="605E5C"/>
      <w:shd w:val="clear" w:color="auto" w:fill="E1DFDD"/>
    </w:rPr>
  </w:style>
  <w:style w:type="paragraph" w:customStyle="1" w:styleId="Referencetext">
    <w:name w:val="Reference_text"/>
    <w:basedOn w:val="Normal"/>
    <w:rsid w:val="00CE5172"/>
    <w:pPr>
      <w:framePr w:hSpace="181" w:wrap="around" w:vAnchor="page" w:hAnchor="page" w:x="1589" w:y="2314"/>
      <w:spacing w:after="160"/>
    </w:pPr>
    <w:rPr>
      <w:i/>
      <w:iCs/>
      <w:sz w:val="22"/>
      <w:szCs w:val="22"/>
    </w:rPr>
  </w:style>
  <w:style w:type="character" w:customStyle="1" w:styleId="normaltextrun">
    <w:name w:val="normaltextrun"/>
    <w:basedOn w:val="DefaultParagraphFont"/>
    <w:rsid w:val="00C14DAA"/>
  </w:style>
  <w:style w:type="paragraph" w:customStyle="1" w:styleId="paragraph">
    <w:name w:val="paragraph"/>
    <w:basedOn w:val="Normal"/>
    <w:rsid w:val="00C14DAA"/>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86/fr" TargetMode="External"/><Relationship Id="rId13" Type="http://schemas.openxmlformats.org/officeDocument/2006/relationships/hyperlink" Target="https://www.itu.int/md/S26-CL-C-0099/fr" TargetMode="External"/><Relationship Id="rId18" Type="http://schemas.openxmlformats.org/officeDocument/2006/relationships/hyperlink" Target="http://council.itu.int/2026/wp-content/uploads/sites/6/2026/02/26.05.01-Iran-HE-Ambassador-Bahreini-C26_86-PL4.pd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itu.int/md/S26-CL-C-0052/fr" TargetMode="External"/><Relationship Id="rId7" Type="http://schemas.openxmlformats.org/officeDocument/2006/relationships/hyperlink" Target="https://www.itu.int/md/S26-CL-C-0095/fr" TargetMode="External"/><Relationship Id="rId12" Type="http://schemas.openxmlformats.org/officeDocument/2006/relationships/hyperlink" Target="https://www.itu.int/md/S26-CL-C-0094/fr" TargetMode="External"/><Relationship Id="rId17" Type="http://schemas.openxmlformats.org/officeDocument/2006/relationships/hyperlink" Target="https://www.itu.int/md/S26-CL-C-0086/fr" TargetMode="External"/><Relationship Id="rId25" Type="http://schemas.openxmlformats.org/officeDocument/2006/relationships/hyperlink" Target="https://www.itu.int/md/S26-CL-C-0033/fr" TargetMode="External"/><Relationship Id="rId2" Type="http://schemas.openxmlformats.org/officeDocument/2006/relationships/styles" Target="styles.xml"/><Relationship Id="rId16" Type="http://schemas.openxmlformats.org/officeDocument/2006/relationships/hyperlink" Target="https://www.itu.int/md/S26-CL-C-0095/fr" TargetMode="External"/><Relationship Id="rId20" Type="http://schemas.openxmlformats.org/officeDocument/2006/relationships/hyperlink" Target="https://www.itu.int/md/S26-CL-C-0017/fr"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md/S26-CL-C-0052/fr" TargetMode="External"/><Relationship Id="rId24" Type="http://schemas.openxmlformats.org/officeDocument/2006/relationships/hyperlink" Target="https://www.itu.int/md/S26-CL-C-0101/fr"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itu.int/md/S26-CL-C-0033/fr" TargetMode="External"/><Relationship Id="rId23" Type="http://schemas.openxmlformats.org/officeDocument/2006/relationships/hyperlink" Target="https://www.itu.int/md/S26-CL-C-0099/fr" TargetMode="External"/><Relationship Id="rId28" Type="http://schemas.openxmlformats.org/officeDocument/2006/relationships/footer" Target="footer2.xml"/><Relationship Id="rId10" Type="http://schemas.openxmlformats.org/officeDocument/2006/relationships/hyperlink" Target="https://www.itu.int/md/S26-CL-C-0017/fr" TargetMode="External"/><Relationship Id="rId19" Type="http://schemas.openxmlformats.org/officeDocument/2006/relationships/hyperlink" Target="https://www.itu.int/md/S26-CL-C-0076/fr"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tu.int/md/S26-CL-C-0076/fr" TargetMode="External"/><Relationship Id="rId14" Type="http://schemas.openxmlformats.org/officeDocument/2006/relationships/hyperlink" Target="https://www.itu.int/md/S26-CL-C-0101/fr" TargetMode="External"/><Relationship Id="rId22" Type="http://schemas.openxmlformats.org/officeDocument/2006/relationships/hyperlink" Target="https://www.itu.int/md/S26-CL-C-0094/fr" TargetMode="External"/><Relationship Id="rId27" Type="http://schemas.openxmlformats.org/officeDocument/2006/relationships/footer" Target="footer1.xml"/><Relationship Id="rId30"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4495</Words>
  <Characters>24277</Characters>
  <Application>Microsoft Office Word</Application>
  <DocSecurity>0</DocSecurity>
  <Lines>1734</Lines>
  <Paragraphs>1106</Paragraphs>
  <ScaleCrop>false</ScaleCrop>
  <HeadingPairs>
    <vt:vector size="2" baseType="variant">
      <vt:variant>
        <vt:lpstr>Title</vt:lpstr>
      </vt:variant>
      <vt:variant>
        <vt:i4>1</vt:i4>
      </vt:variant>
    </vt:vector>
  </HeadingPairs>
  <TitlesOfParts>
    <vt:vector size="1" baseType="lpstr">
      <vt:lpstr>Compte rendu de la quatrième séance plénière</vt:lpstr>
    </vt:vector>
  </TitlesOfParts>
  <Manager>Secrétariat général - Pool</Manager>
  <Company>Union internationale des télécommunications (UIT)</Company>
  <LinksUpToDate>false</LinksUpToDate>
  <CharactersWithSpaces>27666</CharactersWithSpaces>
  <SharedDoc>false</SharedDoc>
  <HLinks>
    <vt:vector size="6" baseType="variant">
      <vt:variant>
        <vt:i4>3342371</vt:i4>
      </vt:variant>
      <vt:variant>
        <vt:i4>24</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quatrième séance plénière</dc:title>
  <dc:subject>Conseil 2026 de l'UIT</dc:subject>
  <cp:keywords>C26; C2026; Council 2026; PP26</cp:keywords>
  <dc:description/>
  <cp:lastPrinted>2000-07-18T08:55:00Z</cp:lastPrinted>
  <dcterms:created xsi:type="dcterms:W3CDTF">2026-08-05T12:24:00Z</dcterms:created>
  <dcterms:modified xsi:type="dcterms:W3CDTF">2026-08-05T14:23:00Z</dcterms:modified>
  <cp:category>Document de conférence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C17/-F</vt:lpwstr>
  </property>
  <property fmtid="{D5CDD505-2E9C-101B-9397-08002B2CF9AE}" pid="3" name="Docdate">
    <vt:lpwstr>janvier 2017</vt:lpwstr>
  </property>
  <property fmtid="{D5CDD505-2E9C-101B-9397-08002B2CF9AE}" pid="4" name="Docorlang">
    <vt:lpwstr>Original: anglais</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3b117b70c20e9b2783321a6b7cab6c2f080bb257cb74c6787543e88ec12dc3bd</vt:lpwstr>
  </property>
</Properties>
</file>