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9"/>
        <w:gridCol w:w="2972"/>
      </w:tblGrid>
      <w:tr w:rsidR="007B0AA0" w14:paraId="102F079A" w14:textId="77777777" w:rsidTr="00A60A4F">
        <w:tc>
          <w:tcPr>
            <w:tcW w:w="6099" w:type="dxa"/>
          </w:tcPr>
          <w:p w14:paraId="59D9C44A" w14:textId="40283C48" w:rsidR="007B0AA0" w:rsidRPr="007B0AA0" w:rsidRDefault="007B0AA0" w:rsidP="00F363FE">
            <w:pPr>
              <w:spacing w:before="60" w:after="60" w:line="260" w:lineRule="exact"/>
              <w:rPr>
                <w:b/>
                <w:bCs/>
                <w:rtl/>
                <w:lang w:bidi="ar-EG"/>
              </w:rPr>
            </w:pPr>
          </w:p>
        </w:tc>
        <w:tc>
          <w:tcPr>
            <w:tcW w:w="2972" w:type="dxa"/>
          </w:tcPr>
          <w:p w14:paraId="124C3236" w14:textId="3712E28B" w:rsidR="007B0AA0" w:rsidRPr="007B0AA0" w:rsidRDefault="007B0AA0" w:rsidP="00F363FE">
            <w:pPr>
              <w:spacing w:before="60" w:after="60" w:line="260" w:lineRule="exact"/>
              <w:rPr>
                <w:b/>
                <w:bCs/>
                <w:lang w:bidi="ar-EG"/>
              </w:rPr>
            </w:pPr>
            <w:r w:rsidRPr="007B0AA0">
              <w:rPr>
                <w:rFonts w:hint="cs"/>
                <w:b/>
                <w:bCs/>
                <w:rtl/>
                <w:lang w:bidi="ar-EG"/>
              </w:rPr>
              <w:t xml:space="preserve">الوثيقة </w:t>
            </w:r>
            <w:r w:rsidRPr="007B0AA0">
              <w:rPr>
                <w:b/>
                <w:bCs/>
                <w:lang w:bidi="ar-EG"/>
              </w:rPr>
              <w:t>C2</w:t>
            </w:r>
            <w:r w:rsidR="000116AF">
              <w:rPr>
                <w:b/>
                <w:bCs/>
                <w:lang w:bidi="ar-EG"/>
              </w:rPr>
              <w:t>6</w:t>
            </w:r>
            <w:r w:rsidRPr="007B0AA0">
              <w:rPr>
                <w:b/>
                <w:bCs/>
                <w:lang w:bidi="ar-EG"/>
              </w:rPr>
              <w:t>/</w:t>
            </w:r>
            <w:r w:rsidR="00A60A4F">
              <w:rPr>
                <w:b/>
                <w:bCs/>
                <w:lang w:bidi="ar-EG"/>
              </w:rPr>
              <w:t>121</w:t>
            </w:r>
            <w:r w:rsidRPr="007B0AA0">
              <w:rPr>
                <w:b/>
                <w:bCs/>
                <w:lang w:bidi="ar-EG"/>
              </w:rPr>
              <w:t>-A</w:t>
            </w:r>
          </w:p>
        </w:tc>
      </w:tr>
      <w:tr w:rsidR="007B0AA0" w14:paraId="27FC2727" w14:textId="77777777" w:rsidTr="00A60A4F">
        <w:tc>
          <w:tcPr>
            <w:tcW w:w="6099" w:type="dxa"/>
          </w:tcPr>
          <w:p w14:paraId="77436B72" w14:textId="77777777" w:rsidR="007B0AA0" w:rsidRPr="007B0AA0" w:rsidRDefault="007B0AA0" w:rsidP="00F363FE">
            <w:pPr>
              <w:spacing w:before="60" w:after="60" w:line="260" w:lineRule="exact"/>
              <w:rPr>
                <w:b/>
                <w:bCs/>
                <w:rtl/>
                <w:lang w:bidi="ar-EG"/>
              </w:rPr>
            </w:pPr>
          </w:p>
        </w:tc>
        <w:tc>
          <w:tcPr>
            <w:tcW w:w="2972" w:type="dxa"/>
          </w:tcPr>
          <w:p w14:paraId="707DDFB5" w14:textId="4D7B8605" w:rsidR="007B0AA0" w:rsidRPr="007B0AA0" w:rsidRDefault="0006579C" w:rsidP="00F363FE">
            <w:pPr>
              <w:spacing w:before="60" w:after="60" w:line="260" w:lineRule="exact"/>
              <w:rPr>
                <w:b/>
                <w:bCs/>
                <w:rtl/>
                <w:lang w:bidi="ar-EG"/>
              </w:rPr>
            </w:pPr>
            <w:r>
              <w:rPr>
                <w:b/>
                <w:bCs/>
                <w:lang w:bidi="ar-EG"/>
              </w:rPr>
              <w:t>3</w:t>
            </w:r>
            <w:r>
              <w:rPr>
                <w:rFonts w:hint="cs"/>
                <w:b/>
                <w:bCs/>
                <w:rtl/>
                <w:lang w:bidi="ar-EG"/>
              </w:rPr>
              <w:t xml:space="preserve"> أغسطس </w:t>
            </w:r>
            <w:r w:rsidR="00A60A4F">
              <w:rPr>
                <w:rFonts w:hint="cs"/>
                <w:b/>
                <w:bCs/>
                <w:rtl/>
                <w:lang w:bidi="ar-EG"/>
              </w:rPr>
              <w:t>2026</w:t>
            </w:r>
          </w:p>
        </w:tc>
      </w:tr>
      <w:tr w:rsidR="007B0AA0" w14:paraId="0C5047A2" w14:textId="77777777" w:rsidTr="00A60A4F">
        <w:tc>
          <w:tcPr>
            <w:tcW w:w="6099" w:type="dxa"/>
          </w:tcPr>
          <w:p w14:paraId="0F76DB83" w14:textId="77777777" w:rsidR="007B0AA0" w:rsidRPr="007B0AA0" w:rsidRDefault="007B0AA0" w:rsidP="00F363FE">
            <w:pPr>
              <w:spacing w:before="60" w:after="60" w:line="260" w:lineRule="exact"/>
              <w:rPr>
                <w:b/>
                <w:bCs/>
                <w:rtl/>
                <w:lang w:bidi="ar-EG"/>
              </w:rPr>
            </w:pPr>
          </w:p>
        </w:tc>
        <w:tc>
          <w:tcPr>
            <w:tcW w:w="2972" w:type="dxa"/>
          </w:tcPr>
          <w:p w14:paraId="5DCFE9FC" w14:textId="77777777" w:rsidR="007B0AA0" w:rsidRPr="007B0AA0" w:rsidRDefault="001D64C7" w:rsidP="00F363FE">
            <w:pPr>
              <w:spacing w:before="60" w:after="60" w:line="260" w:lineRule="exact"/>
              <w:rPr>
                <w:b/>
                <w:bCs/>
                <w:rtl/>
                <w:lang w:bidi="ar-EG"/>
              </w:rPr>
            </w:pPr>
            <w:r w:rsidRPr="007B0AA0">
              <w:rPr>
                <w:rFonts w:hint="cs"/>
                <w:b/>
                <w:bCs/>
                <w:rtl/>
                <w:lang w:bidi="ar-EG"/>
              </w:rPr>
              <w:t>الأصل: بالإنكليزية</w:t>
            </w:r>
          </w:p>
        </w:tc>
      </w:tr>
      <w:tr w:rsidR="007B0AA0" w14:paraId="0A12CDCE" w14:textId="77777777" w:rsidTr="00A60A4F">
        <w:tc>
          <w:tcPr>
            <w:tcW w:w="6099" w:type="dxa"/>
          </w:tcPr>
          <w:p w14:paraId="7ED8D895" w14:textId="77777777" w:rsidR="007B0AA0" w:rsidRDefault="007B0AA0" w:rsidP="00F363FE">
            <w:pPr>
              <w:spacing w:before="60" w:after="60" w:line="260" w:lineRule="exact"/>
              <w:rPr>
                <w:lang w:bidi="ar-EG"/>
              </w:rPr>
            </w:pPr>
          </w:p>
        </w:tc>
        <w:tc>
          <w:tcPr>
            <w:tcW w:w="2972" w:type="dxa"/>
          </w:tcPr>
          <w:p w14:paraId="5FF9B7F3" w14:textId="77777777" w:rsidR="007B0AA0" w:rsidRDefault="007B0AA0" w:rsidP="00F363FE">
            <w:pPr>
              <w:spacing w:before="60" w:after="60" w:line="260" w:lineRule="exact"/>
              <w:rPr>
                <w:rtl/>
                <w:lang w:bidi="ar-EG"/>
              </w:rPr>
            </w:pPr>
          </w:p>
        </w:tc>
      </w:tr>
      <w:tr w:rsidR="007B0AA0" w14:paraId="30F0D400" w14:textId="77777777" w:rsidTr="001A1254">
        <w:tc>
          <w:tcPr>
            <w:tcW w:w="9071" w:type="dxa"/>
            <w:gridSpan w:val="2"/>
          </w:tcPr>
          <w:p w14:paraId="0E6E1A3A" w14:textId="6ED23779" w:rsidR="007B0AA0" w:rsidRDefault="00A60A4F" w:rsidP="00A60A4F">
            <w:pPr>
              <w:pStyle w:val="Source"/>
              <w:rPr>
                <w:lang w:bidi="ar-EG"/>
              </w:rPr>
            </w:pPr>
            <w:r w:rsidRPr="00A60A4F">
              <w:rPr>
                <w:rtl/>
              </w:rPr>
              <w:t>محضر موجز للجلسة العامة الرابعة</w:t>
            </w:r>
          </w:p>
        </w:tc>
      </w:tr>
      <w:tr w:rsidR="007B0AA0" w14:paraId="3A6C4C84" w14:textId="77777777" w:rsidTr="001A1254">
        <w:tc>
          <w:tcPr>
            <w:tcW w:w="9071" w:type="dxa"/>
            <w:gridSpan w:val="2"/>
          </w:tcPr>
          <w:p w14:paraId="07652DF9" w14:textId="77777777" w:rsidR="00A60A4F" w:rsidRPr="00A60A4F" w:rsidRDefault="00A60A4F" w:rsidP="00A60A4F">
            <w:pPr>
              <w:jc w:val="center"/>
            </w:pPr>
            <w:r w:rsidRPr="00A60A4F">
              <w:rPr>
                <w:rtl/>
              </w:rPr>
              <w:t>الجمعة 1 مايو 2026، من الساعة 09:05 إلى الساعة 12:10</w:t>
            </w:r>
          </w:p>
          <w:p w14:paraId="2201CEEE" w14:textId="4FA1688C" w:rsidR="007B0AA0" w:rsidRPr="005546CF" w:rsidRDefault="00A60A4F" w:rsidP="00A60A4F">
            <w:pPr>
              <w:jc w:val="center"/>
            </w:pPr>
            <w:r w:rsidRPr="00A60A4F">
              <w:rPr>
                <w:b/>
                <w:bCs/>
                <w:rtl/>
              </w:rPr>
              <w:t>الرئيس</w:t>
            </w:r>
            <w:r w:rsidRPr="00A60A4F">
              <w:rPr>
                <w:rtl/>
              </w:rPr>
              <w:t>: السيد ب. تيجاني (نيجيريا)</w:t>
            </w:r>
          </w:p>
        </w:tc>
      </w:tr>
    </w:tbl>
    <w:tbl>
      <w:tblPr>
        <w:bidiVisual/>
        <w:tblW w:w="5000" w:type="pct"/>
        <w:jc w:val="center"/>
        <w:tblLayout w:type="fixed"/>
        <w:tblLook w:val="04A0" w:firstRow="1" w:lastRow="0" w:firstColumn="1" w:lastColumn="0" w:noHBand="0" w:noVBand="1"/>
      </w:tblPr>
      <w:tblGrid>
        <w:gridCol w:w="443"/>
        <w:gridCol w:w="6490"/>
        <w:gridCol w:w="2138"/>
      </w:tblGrid>
      <w:tr w:rsidR="00A60A4F" w:rsidRPr="00701921" w14:paraId="2A272796" w14:textId="77777777" w:rsidTr="001A1254">
        <w:trPr>
          <w:jc w:val="center"/>
        </w:trPr>
        <w:tc>
          <w:tcPr>
            <w:tcW w:w="443" w:type="dxa"/>
          </w:tcPr>
          <w:p w14:paraId="1372FB23" w14:textId="77777777" w:rsidR="00A60A4F" w:rsidRPr="00701921" w:rsidRDefault="00A60A4F" w:rsidP="00A60A4F">
            <w:pPr>
              <w:spacing w:before="480"/>
              <w:rPr>
                <w:b/>
                <w:bCs/>
                <w:szCs w:val="24"/>
                <w:lang w:val="en-GB"/>
              </w:rPr>
            </w:pPr>
            <w:r w:rsidRPr="00701921">
              <w:rPr>
                <w:b/>
                <w:bCs/>
                <w:szCs w:val="24"/>
                <w:lang w:val="en-GB"/>
              </w:rPr>
              <w:br w:type="page"/>
            </w:r>
            <w:r w:rsidRPr="00701921">
              <w:rPr>
                <w:b/>
                <w:bCs/>
                <w:szCs w:val="24"/>
                <w:lang w:val="en-GB"/>
              </w:rPr>
              <w:br w:type="page"/>
            </w:r>
          </w:p>
        </w:tc>
        <w:tc>
          <w:tcPr>
            <w:tcW w:w="6490" w:type="dxa"/>
            <w:hideMark/>
          </w:tcPr>
          <w:p w14:paraId="3D192683" w14:textId="0374018E" w:rsidR="00A60A4F" w:rsidRPr="00701921" w:rsidRDefault="00A60A4F" w:rsidP="00A60A4F">
            <w:pPr>
              <w:spacing w:before="480"/>
              <w:rPr>
                <w:b/>
                <w:bCs/>
                <w:szCs w:val="24"/>
                <w:lang w:val="en-GB"/>
              </w:rPr>
            </w:pPr>
            <w:r w:rsidRPr="002B37D0">
              <w:rPr>
                <w:b/>
                <w:bCs/>
                <w:color w:val="000000"/>
                <w:rtl/>
              </w:rPr>
              <w:t>المواضيع التي نوقشت</w:t>
            </w:r>
          </w:p>
        </w:tc>
        <w:tc>
          <w:tcPr>
            <w:tcW w:w="2138" w:type="dxa"/>
            <w:hideMark/>
          </w:tcPr>
          <w:p w14:paraId="08E73D4B" w14:textId="1DD9B433" w:rsidR="00A60A4F" w:rsidRPr="00701921" w:rsidRDefault="00A60A4F" w:rsidP="00A60A4F">
            <w:pPr>
              <w:spacing w:before="480"/>
              <w:jc w:val="center"/>
              <w:rPr>
                <w:b/>
                <w:bCs/>
                <w:szCs w:val="24"/>
                <w:lang w:val="en-GB"/>
              </w:rPr>
            </w:pPr>
            <w:r w:rsidRPr="002B37D0">
              <w:rPr>
                <w:b/>
                <w:bCs/>
                <w:color w:val="000000"/>
                <w:rtl/>
              </w:rPr>
              <w:t>الوثائق</w:t>
            </w:r>
          </w:p>
        </w:tc>
      </w:tr>
      <w:tr w:rsidR="00A60A4F" w:rsidRPr="00701921" w14:paraId="7B7560FE" w14:textId="77777777" w:rsidTr="00A60A4F">
        <w:trPr>
          <w:trHeight w:val="20"/>
          <w:jc w:val="center"/>
        </w:trPr>
        <w:tc>
          <w:tcPr>
            <w:tcW w:w="443" w:type="dxa"/>
            <w:hideMark/>
          </w:tcPr>
          <w:p w14:paraId="3B2667F4" w14:textId="77777777" w:rsidR="00A60A4F" w:rsidRPr="00701921" w:rsidRDefault="00A60A4F" w:rsidP="00A60A4F">
            <w:pPr>
              <w:spacing w:before="80" w:after="80"/>
              <w:rPr>
                <w:szCs w:val="24"/>
                <w:lang w:val="en-GB"/>
              </w:rPr>
            </w:pPr>
            <w:r w:rsidRPr="00701921">
              <w:rPr>
                <w:szCs w:val="24"/>
                <w:lang w:val="en-GB"/>
              </w:rPr>
              <w:t>1</w:t>
            </w:r>
          </w:p>
        </w:tc>
        <w:tc>
          <w:tcPr>
            <w:tcW w:w="6490" w:type="dxa"/>
          </w:tcPr>
          <w:p w14:paraId="4B6ED9E6" w14:textId="10941CA4" w:rsidR="00A60A4F" w:rsidRPr="00701921" w:rsidRDefault="00A60A4F" w:rsidP="00A60A4F">
            <w:pPr>
              <w:spacing w:before="80" w:after="80"/>
              <w:rPr>
                <w:szCs w:val="24"/>
                <w:lang w:val="en-GB"/>
              </w:rPr>
            </w:pPr>
            <w:r w:rsidRPr="002B37D0">
              <w:rPr>
                <w:color w:val="000000"/>
                <w:rtl/>
              </w:rPr>
              <w:t>الأثر على البنية التحتية المدنية للاتصالات/تكنولوجيا المعلومات والاتصالات في البحرين والكويت والإمارات العربية المتحدة والأردن، وتداعياته على التوصيلية الإقليمية والعالمية</w:t>
            </w:r>
            <w:r>
              <w:rPr>
                <w:rFonts w:hint="cs"/>
                <w:color w:val="000000"/>
                <w:rtl/>
              </w:rPr>
              <w:t xml:space="preserve"> (</w:t>
            </w:r>
            <w:r>
              <w:rPr>
                <w:rFonts w:hint="eastAsia"/>
                <w:color w:val="000000"/>
                <w:rtl/>
              </w:rPr>
              <w:t> </w:t>
            </w:r>
            <w:r w:rsidRPr="00A60A4F">
              <w:rPr>
                <w:rFonts w:hint="cs"/>
                <w:i/>
                <w:iCs/>
                <w:color w:val="000000"/>
                <w:rtl/>
              </w:rPr>
              <w:t>تابع</w:t>
            </w:r>
            <w:r>
              <w:rPr>
                <w:rFonts w:hint="cs"/>
                <w:color w:val="000000"/>
                <w:rtl/>
              </w:rPr>
              <w:t>)</w:t>
            </w:r>
          </w:p>
        </w:tc>
        <w:tc>
          <w:tcPr>
            <w:tcW w:w="2138" w:type="dxa"/>
          </w:tcPr>
          <w:p w14:paraId="76AA39B9" w14:textId="77777777" w:rsidR="00A60A4F" w:rsidRPr="00701921" w:rsidRDefault="00A60A4F" w:rsidP="00A60A4F">
            <w:pPr>
              <w:spacing w:before="80" w:after="80"/>
              <w:jc w:val="center"/>
              <w:rPr>
                <w:szCs w:val="24"/>
                <w:lang w:val="en-GB"/>
              </w:rPr>
            </w:pPr>
            <w:hyperlink r:id="rId8" w:history="1">
              <w:r w:rsidRPr="00701921">
                <w:rPr>
                  <w:rStyle w:val="Hyperlink"/>
                  <w:rFonts w:eastAsia="Times New Roman" w:cs="Times New Roman"/>
                  <w:szCs w:val="24"/>
                </w:rPr>
                <w:t>C26/95(Rev.2)</w:t>
              </w:r>
            </w:hyperlink>
          </w:p>
        </w:tc>
      </w:tr>
      <w:tr w:rsidR="00A60A4F" w:rsidRPr="00701921" w14:paraId="500F8443" w14:textId="77777777" w:rsidTr="00A60A4F">
        <w:trPr>
          <w:trHeight w:val="20"/>
          <w:jc w:val="center"/>
        </w:trPr>
        <w:tc>
          <w:tcPr>
            <w:tcW w:w="443" w:type="dxa"/>
          </w:tcPr>
          <w:p w14:paraId="6116FAF7" w14:textId="77777777" w:rsidR="00A60A4F" w:rsidRPr="00701921" w:rsidRDefault="00A60A4F" w:rsidP="00A60A4F">
            <w:pPr>
              <w:spacing w:before="80" w:after="80"/>
              <w:rPr>
                <w:szCs w:val="24"/>
                <w:lang w:val="en-GB"/>
              </w:rPr>
            </w:pPr>
            <w:r w:rsidRPr="00701921">
              <w:rPr>
                <w:szCs w:val="24"/>
                <w:lang w:val="en-GB"/>
              </w:rPr>
              <w:t>2</w:t>
            </w:r>
          </w:p>
        </w:tc>
        <w:tc>
          <w:tcPr>
            <w:tcW w:w="6490" w:type="dxa"/>
          </w:tcPr>
          <w:p w14:paraId="49A6B7F6" w14:textId="0BC75F4E" w:rsidR="00A60A4F" w:rsidRPr="00701921" w:rsidRDefault="00A60A4F" w:rsidP="00A60A4F">
            <w:pPr>
              <w:spacing w:before="80" w:after="80"/>
              <w:rPr>
                <w:szCs w:val="24"/>
                <w:lang w:val="en-GB" w:eastAsia="en-GB"/>
              </w:rPr>
            </w:pPr>
            <w:r w:rsidRPr="002B37D0">
              <w:rPr>
                <w:color w:val="000000"/>
                <w:rtl/>
              </w:rPr>
              <w:t>تقديم المساعدة والدعم لجمهورية إيران الإسلامية لإعادة بناء قطاعي الإذاعة والاتصالات/تكنولوجيا المعلومات والاتصالات بها</w:t>
            </w:r>
          </w:p>
        </w:tc>
        <w:tc>
          <w:tcPr>
            <w:tcW w:w="2138" w:type="dxa"/>
          </w:tcPr>
          <w:p w14:paraId="1BEC373B" w14:textId="77777777" w:rsidR="00A60A4F" w:rsidRPr="00701921" w:rsidRDefault="00A60A4F" w:rsidP="00A60A4F">
            <w:pPr>
              <w:spacing w:before="80" w:after="80"/>
              <w:jc w:val="center"/>
              <w:rPr>
                <w:lang w:val="en-GB"/>
              </w:rPr>
            </w:pPr>
            <w:hyperlink r:id="rId9" w:history="1">
              <w:r w:rsidRPr="00701921">
                <w:rPr>
                  <w:rStyle w:val="Hyperlink"/>
                  <w:rFonts w:eastAsia="Times New Roman" w:cs="Times New Roman"/>
                  <w:szCs w:val="24"/>
                </w:rPr>
                <w:t>C26/86(Rev.1)</w:t>
              </w:r>
            </w:hyperlink>
          </w:p>
        </w:tc>
      </w:tr>
      <w:tr w:rsidR="00A60A4F" w:rsidRPr="00701921" w14:paraId="33B1BEAD" w14:textId="77777777" w:rsidTr="00A60A4F">
        <w:trPr>
          <w:trHeight w:val="20"/>
          <w:jc w:val="center"/>
        </w:trPr>
        <w:tc>
          <w:tcPr>
            <w:tcW w:w="443" w:type="dxa"/>
          </w:tcPr>
          <w:p w14:paraId="7E51D028" w14:textId="77777777" w:rsidR="00A60A4F" w:rsidRPr="00701921" w:rsidRDefault="00A60A4F" w:rsidP="00A60A4F">
            <w:pPr>
              <w:spacing w:before="80" w:after="80"/>
              <w:rPr>
                <w:szCs w:val="24"/>
                <w:lang w:val="en-GB"/>
              </w:rPr>
            </w:pPr>
            <w:r w:rsidRPr="00701921">
              <w:rPr>
                <w:szCs w:val="24"/>
                <w:lang w:val="en-GB"/>
              </w:rPr>
              <w:t>3</w:t>
            </w:r>
          </w:p>
        </w:tc>
        <w:tc>
          <w:tcPr>
            <w:tcW w:w="6490" w:type="dxa"/>
          </w:tcPr>
          <w:p w14:paraId="23AB9C39" w14:textId="65C7EFD1" w:rsidR="00A60A4F" w:rsidRPr="00701921" w:rsidRDefault="00A60A4F" w:rsidP="00A60A4F">
            <w:pPr>
              <w:spacing w:before="80" w:after="80"/>
              <w:rPr>
                <w:szCs w:val="24"/>
                <w:lang w:val="en-GB" w:eastAsia="en-GB"/>
              </w:rPr>
            </w:pPr>
            <w:r w:rsidRPr="002B37D0">
              <w:rPr>
                <w:color w:val="000000"/>
                <w:rtl/>
              </w:rPr>
              <w:t>تعزيز صمود الكبلات البحرية - الهيئة الاستشارية الدولية المعنية بصمود الكبلات البحرية وقمة بورتو لعام 2026</w:t>
            </w:r>
          </w:p>
        </w:tc>
        <w:tc>
          <w:tcPr>
            <w:tcW w:w="2138" w:type="dxa"/>
          </w:tcPr>
          <w:p w14:paraId="0994FCC5" w14:textId="77777777" w:rsidR="00A60A4F" w:rsidRPr="00701921" w:rsidRDefault="00A60A4F" w:rsidP="00A60A4F">
            <w:pPr>
              <w:spacing w:before="80" w:after="80"/>
              <w:jc w:val="center"/>
              <w:rPr>
                <w:szCs w:val="24"/>
                <w:lang w:val="en-GB"/>
              </w:rPr>
            </w:pPr>
            <w:hyperlink r:id="rId10" w:history="1">
              <w:r w:rsidRPr="00701921">
                <w:rPr>
                  <w:rStyle w:val="Hyperlink"/>
                  <w:rFonts w:eastAsia="Times New Roman" w:cs="Times New Roman"/>
                  <w:szCs w:val="24"/>
                </w:rPr>
                <w:t>C26/76</w:t>
              </w:r>
            </w:hyperlink>
          </w:p>
        </w:tc>
      </w:tr>
      <w:tr w:rsidR="00A60A4F" w:rsidRPr="00701921" w14:paraId="56361750" w14:textId="77777777" w:rsidTr="00A60A4F">
        <w:trPr>
          <w:trHeight w:val="20"/>
          <w:jc w:val="center"/>
        </w:trPr>
        <w:tc>
          <w:tcPr>
            <w:tcW w:w="443" w:type="dxa"/>
          </w:tcPr>
          <w:p w14:paraId="44ECB3A9" w14:textId="77777777" w:rsidR="00A60A4F" w:rsidRPr="00701921" w:rsidRDefault="00A60A4F" w:rsidP="00A60A4F">
            <w:pPr>
              <w:spacing w:before="80" w:after="80"/>
              <w:rPr>
                <w:szCs w:val="24"/>
                <w:lang w:val="en-GB"/>
              </w:rPr>
            </w:pPr>
            <w:r w:rsidRPr="00701921">
              <w:rPr>
                <w:szCs w:val="24"/>
                <w:lang w:val="en-GB"/>
              </w:rPr>
              <w:t>4</w:t>
            </w:r>
          </w:p>
        </w:tc>
        <w:tc>
          <w:tcPr>
            <w:tcW w:w="6490" w:type="dxa"/>
          </w:tcPr>
          <w:p w14:paraId="47B538CE" w14:textId="60476864" w:rsidR="00A60A4F" w:rsidRPr="00701921" w:rsidRDefault="00A60A4F" w:rsidP="00A60A4F">
            <w:pPr>
              <w:spacing w:before="80" w:after="80"/>
              <w:rPr>
                <w:szCs w:val="24"/>
                <w:lang w:val="en-GB" w:eastAsia="en-GB"/>
              </w:rPr>
            </w:pPr>
            <w:r w:rsidRPr="002B37D0">
              <w:rPr>
                <w:color w:val="000000"/>
                <w:rtl/>
              </w:rPr>
              <w:t>اليوم العالمي للاتصالات ومجتمع المعلومات</w:t>
            </w:r>
          </w:p>
        </w:tc>
        <w:tc>
          <w:tcPr>
            <w:tcW w:w="2138" w:type="dxa"/>
          </w:tcPr>
          <w:p w14:paraId="0E510B95" w14:textId="77777777" w:rsidR="00A60A4F" w:rsidRPr="00701921" w:rsidRDefault="00A60A4F" w:rsidP="00A60A4F">
            <w:pPr>
              <w:spacing w:before="80" w:after="80"/>
              <w:jc w:val="center"/>
              <w:rPr>
                <w:szCs w:val="24"/>
                <w:lang w:val="en-GB"/>
              </w:rPr>
            </w:pPr>
            <w:hyperlink r:id="rId11" w:history="1">
              <w:r w:rsidRPr="00701921">
                <w:rPr>
                  <w:rStyle w:val="Hyperlink"/>
                  <w:rFonts w:eastAsia="Times New Roman" w:cs="Times New Roman"/>
                  <w:szCs w:val="24"/>
                </w:rPr>
                <w:t>C26/17</w:t>
              </w:r>
            </w:hyperlink>
          </w:p>
        </w:tc>
      </w:tr>
      <w:tr w:rsidR="00A60A4F" w:rsidRPr="00701921" w14:paraId="2E13AB9A" w14:textId="77777777" w:rsidTr="00A60A4F">
        <w:trPr>
          <w:trHeight w:val="20"/>
          <w:jc w:val="center"/>
        </w:trPr>
        <w:tc>
          <w:tcPr>
            <w:tcW w:w="443" w:type="dxa"/>
          </w:tcPr>
          <w:p w14:paraId="74293D23" w14:textId="77777777" w:rsidR="00A60A4F" w:rsidRPr="00701921" w:rsidRDefault="00A60A4F" w:rsidP="00A60A4F">
            <w:pPr>
              <w:spacing w:before="80" w:after="80"/>
              <w:rPr>
                <w:szCs w:val="24"/>
                <w:lang w:val="en-GB"/>
              </w:rPr>
            </w:pPr>
            <w:r w:rsidRPr="00701921">
              <w:rPr>
                <w:szCs w:val="24"/>
                <w:lang w:val="en-GB"/>
              </w:rPr>
              <w:t>5</w:t>
            </w:r>
          </w:p>
        </w:tc>
        <w:tc>
          <w:tcPr>
            <w:tcW w:w="6490" w:type="dxa"/>
          </w:tcPr>
          <w:p w14:paraId="6D1B6930" w14:textId="076A3586" w:rsidR="00A60A4F" w:rsidRPr="00701921" w:rsidRDefault="00A60A4F" w:rsidP="00A60A4F">
            <w:pPr>
              <w:spacing w:before="80" w:after="80"/>
              <w:rPr>
                <w:szCs w:val="24"/>
                <w:lang w:val="en-GB" w:eastAsia="en-GB"/>
              </w:rPr>
            </w:pPr>
            <w:r w:rsidRPr="002B37D0">
              <w:rPr>
                <w:color w:val="000000"/>
                <w:rtl/>
              </w:rPr>
              <w:t>تقرير السنوات الأربع لرئيس فريق العمل التابع للمجلس والمعني بقضايا السياسات العامة المتعلقة بالإنترنت (</w:t>
            </w:r>
            <w:r>
              <w:rPr>
                <w:rFonts w:hint="cs"/>
                <w:color w:val="000000"/>
                <w:rtl/>
              </w:rPr>
              <w:t> </w:t>
            </w:r>
            <w:r w:rsidRPr="002B37D0">
              <w:rPr>
                <w:i/>
                <w:iCs/>
                <w:color w:val="000000"/>
                <w:rtl/>
              </w:rPr>
              <w:t>تابع</w:t>
            </w:r>
            <w:r>
              <w:rPr>
                <w:rFonts w:hint="cs"/>
                <w:color w:val="000000"/>
                <w:rtl/>
              </w:rPr>
              <w:t>)</w:t>
            </w:r>
          </w:p>
        </w:tc>
        <w:tc>
          <w:tcPr>
            <w:tcW w:w="2138" w:type="dxa"/>
          </w:tcPr>
          <w:p w14:paraId="4F9F51D8" w14:textId="298E16F0" w:rsidR="00A60A4F" w:rsidRPr="00701921" w:rsidRDefault="00A60A4F" w:rsidP="00A60A4F">
            <w:pPr>
              <w:spacing w:before="80" w:after="80"/>
              <w:jc w:val="center"/>
              <w:rPr>
                <w:szCs w:val="24"/>
                <w:lang w:val="en-GB"/>
              </w:rPr>
            </w:pPr>
            <w:hyperlink r:id="rId12" w:history="1">
              <w:r w:rsidRPr="00701921">
                <w:rPr>
                  <w:rStyle w:val="Hyperlink"/>
                  <w:rFonts w:eastAsia="Times New Roman" w:cs="Times New Roman"/>
                  <w:szCs w:val="24"/>
                </w:rPr>
                <w:t>C26/52</w:t>
              </w:r>
            </w:hyperlink>
            <w:r w:rsidR="00193F14">
              <w:rPr>
                <w:szCs w:val="24"/>
                <w:rtl/>
                <w:lang w:val="en-GB"/>
              </w:rPr>
              <w:t xml:space="preserve">، </w:t>
            </w:r>
            <w:hyperlink r:id="rId13" w:history="1">
              <w:r w:rsidRPr="00701921">
                <w:rPr>
                  <w:rStyle w:val="Hyperlink"/>
                  <w:rFonts w:eastAsia="Times New Roman" w:cs="Times New Roman"/>
                  <w:szCs w:val="24"/>
                </w:rPr>
                <w:t>C26/94</w:t>
              </w:r>
            </w:hyperlink>
            <w:r w:rsidR="00193F14">
              <w:rPr>
                <w:szCs w:val="24"/>
                <w:rtl/>
                <w:lang w:val="en-GB"/>
              </w:rPr>
              <w:t xml:space="preserve">، </w:t>
            </w:r>
            <w:hyperlink r:id="rId14" w:history="1">
              <w:r w:rsidRPr="00701921">
                <w:rPr>
                  <w:rStyle w:val="Hyperlink"/>
                  <w:rFonts w:eastAsia="Times New Roman" w:cs="Times New Roman"/>
                  <w:szCs w:val="24"/>
                </w:rPr>
                <w:t>C26/99</w:t>
              </w:r>
            </w:hyperlink>
            <w:r w:rsidR="00193F14">
              <w:rPr>
                <w:szCs w:val="24"/>
                <w:rtl/>
                <w:lang w:val="en-GB"/>
              </w:rPr>
              <w:t xml:space="preserve">، </w:t>
            </w:r>
            <w:hyperlink r:id="rId15" w:history="1">
              <w:r w:rsidRPr="00701921">
                <w:rPr>
                  <w:rStyle w:val="Hyperlink"/>
                  <w:rFonts w:eastAsia="Times New Roman" w:cs="Times New Roman"/>
                  <w:szCs w:val="24"/>
                </w:rPr>
                <w:t>C26/101(Rev.1)</w:t>
              </w:r>
            </w:hyperlink>
          </w:p>
        </w:tc>
      </w:tr>
      <w:tr w:rsidR="00A60A4F" w:rsidRPr="00701921" w14:paraId="0C07B831" w14:textId="77777777" w:rsidTr="00A60A4F">
        <w:trPr>
          <w:trHeight w:val="20"/>
          <w:jc w:val="center"/>
        </w:trPr>
        <w:tc>
          <w:tcPr>
            <w:tcW w:w="443" w:type="dxa"/>
          </w:tcPr>
          <w:p w14:paraId="43AB0E82" w14:textId="77777777" w:rsidR="00A60A4F" w:rsidRPr="00701921" w:rsidRDefault="00A60A4F" w:rsidP="00A60A4F">
            <w:pPr>
              <w:spacing w:before="80" w:after="80"/>
              <w:rPr>
                <w:szCs w:val="24"/>
                <w:lang w:val="en-GB"/>
              </w:rPr>
            </w:pPr>
            <w:r w:rsidRPr="00701921">
              <w:rPr>
                <w:szCs w:val="24"/>
                <w:lang w:val="en-GB"/>
              </w:rPr>
              <w:t>6</w:t>
            </w:r>
          </w:p>
        </w:tc>
        <w:tc>
          <w:tcPr>
            <w:tcW w:w="6490" w:type="dxa"/>
          </w:tcPr>
          <w:p w14:paraId="145869B8" w14:textId="3310060E" w:rsidR="00A60A4F" w:rsidRPr="00701921" w:rsidRDefault="00A60A4F" w:rsidP="00A60A4F">
            <w:pPr>
              <w:spacing w:before="80" w:after="80"/>
              <w:rPr>
                <w:szCs w:val="24"/>
                <w:lang w:val="en-GB" w:eastAsia="en-GB"/>
              </w:rPr>
            </w:pPr>
            <w:r w:rsidRPr="002B37D0">
              <w:rPr>
                <w:color w:val="000000"/>
                <w:rtl/>
              </w:rPr>
              <w:t>أنشطة الاتحاد المتصلة بالإنترنت: القرارات 101 و102 و133 و180 و206 لمؤتمر المندوبين المفوضين</w:t>
            </w:r>
          </w:p>
        </w:tc>
        <w:tc>
          <w:tcPr>
            <w:tcW w:w="2138" w:type="dxa"/>
          </w:tcPr>
          <w:p w14:paraId="1EDC7F2E" w14:textId="77777777" w:rsidR="00A60A4F" w:rsidRPr="00701921" w:rsidRDefault="00A60A4F" w:rsidP="00A60A4F">
            <w:pPr>
              <w:spacing w:before="80" w:after="80"/>
              <w:jc w:val="center"/>
              <w:rPr>
                <w:lang w:val="en-GB"/>
              </w:rPr>
            </w:pPr>
            <w:hyperlink r:id="rId16" w:history="1">
              <w:r w:rsidRPr="00701921">
                <w:rPr>
                  <w:rStyle w:val="Hyperlink"/>
                </w:rPr>
                <w:t>C26/33</w:t>
              </w:r>
            </w:hyperlink>
          </w:p>
        </w:tc>
      </w:tr>
    </w:tbl>
    <w:p w14:paraId="62D85767" w14:textId="77777777" w:rsidR="00E61BE8" w:rsidRDefault="00E61BE8" w:rsidP="00E61BE8">
      <w:pPr>
        <w:rPr>
          <w:rtl/>
          <w:lang w:bidi="ar-EG"/>
        </w:rPr>
      </w:pPr>
    </w:p>
    <w:p w14:paraId="209DE9E1" w14:textId="77777777" w:rsidR="00F50E3F" w:rsidRDefault="00F50E3F" w:rsidP="0043260A">
      <w:pPr>
        <w:rPr>
          <w:rtl/>
          <w:lang w:bidi="ar-EG"/>
        </w:rPr>
      </w:pPr>
      <w:r>
        <w:rPr>
          <w:rtl/>
          <w:lang w:bidi="ar-EG"/>
        </w:rPr>
        <w:br w:type="page"/>
      </w:r>
    </w:p>
    <w:p w14:paraId="6BD98175" w14:textId="5D964079" w:rsidR="009458E0" w:rsidRPr="009458E0" w:rsidRDefault="009458E0" w:rsidP="009458E0">
      <w:pPr>
        <w:pStyle w:val="Heading1"/>
        <w:rPr>
          <w:lang w:val="en-GB"/>
        </w:rPr>
      </w:pPr>
      <w:r>
        <w:rPr>
          <w:rFonts w:hint="cs"/>
          <w:rtl/>
        </w:rPr>
        <w:lastRenderedPageBreak/>
        <w:t>1</w:t>
      </w:r>
      <w:r>
        <w:rPr>
          <w:rtl/>
        </w:rPr>
        <w:tab/>
      </w:r>
      <w:r w:rsidRPr="009458E0">
        <w:rPr>
          <w:rtl/>
        </w:rPr>
        <w:t>الأثر على البنية التحتية المدنية للاتصالات/تكنولوجيا المعلومات والاتصالات في البحرين والكويت والإمارات العربية المتحدة والأردن، وتداعياته على التوصيلية الإقليمية والعالمية</w:t>
      </w:r>
      <w:r w:rsidRPr="009458E0">
        <w:rPr>
          <w:rFonts w:hint="cs"/>
          <w:rtl/>
        </w:rPr>
        <w:t xml:space="preserve"> (</w:t>
      </w:r>
      <w:r w:rsidRPr="009458E0">
        <w:rPr>
          <w:rFonts w:hint="eastAsia"/>
          <w:rtl/>
        </w:rPr>
        <w:t> </w:t>
      </w:r>
      <w:r w:rsidRPr="009458E0">
        <w:rPr>
          <w:rFonts w:hint="cs"/>
          <w:i/>
          <w:iCs/>
          <w:rtl/>
        </w:rPr>
        <w:t>تابع</w:t>
      </w:r>
      <w:r w:rsidRPr="009458E0">
        <w:rPr>
          <w:rFonts w:hint="cs"/>
          <w:rtl/>
        </w:rPr>
        <w:t>)</w:t>
      </w:r>
      <w:r>
        <w:rPr>
          <w:rFonts w:hint="cs"/>
          <w:rtl/>
          <w:lang w:val="en-GB" w:bidi="ar-EG"/>
        </w:rPr>
        <w:t xml:space="preserve"> </w:t>
      </w:r>
      <w:r w:rsidR="00995701">
        <w:rPr>
          <w:rFonts w:hint="cs"/>
          <w:rtl/>
          <w:lang w:val="en-GB" w:bidi="ar-EG"/>
        </w:rPr>
        <w:t xml:space="preserve">(الوثيقة </w:t>
      </w:r>
      <w:hyperlink r:id="rId17" w:history="1">
        <w:r w:rsidRPr="009458E0">
          <w:rPr>
            <w:rStyle w:val="Hyperlink"/>
            <w:noProof w:val="0"/>
            <w:lang w:eastAsia="zh-CN"/>
          </w:rPr>
          <w:t>C26/95(Rev.2)</w:t>
        </w:r>
      </w:hyperlink>
      <w:r w:rsidR="00995701">
        <w:rPr>
          <w:rFonts w:hint="cs"/>
          <w:rtl/>
        </w:rPr>
        <w:t>)</w:t>
      </w:r>
    </w:p>
    <w:p w14:paraId="501879A4" w14:textId="0A53263D" w:rsidR="00A60A4F" w:rsidRPr="00A60A4F" w:rsidRDefault="009458E0" w:rsidP="00A60A4F">
      <w:pPr>
        <w:rPr>
          <w:lang w:val="ar-SA" w:bidi="ar-EG"/>
        </w:rPr>
      </w:pPr>
      <w:r>
        <w:t>1.1</w:t>
      </w:r>
      <w:r w:rsidR="00A60A4F" w:rsidRPr="00A60A4F">
        <w:rPr>
          <w:rtl/>
        </w:rPr>
        <w:tab/>
        <w:t>قدم عضو المجلس من الإمارات العربية المتحدة مشروع مراجعة القرار الوارد في الوثيقة C26/95(Rev.</w:t>
      </w:r>
      <w:proofErr w:type="gramStart"/>
      <w:r w:rsidR="00A60A4F" w:rsidRPr="00A60A4F">
        <w:rPr>
          <w:rtl/>
        </w:rPr>
        <w:t>2)،</w:t>
      </w:r>
      <w:proofErr w:type="gramEnd"/>
      <w:r w:rsidR="00A60A4F" w:rsidRPr="00A60A4F">
        <w:rPr>
          <w:rtl/>
        </w:rPr>
        <w:t xml:space="preserve"> نيابةً عن البلدان السبعة المشاركة في تقديمه. وأجريت مشاورات مع الدول الأعضاء للاستماع إلى وجهات النظر وتقديم توضيحات وإعادة التأكيد على الطابع التقني لمشروع القرار. وشُجعت الدول الأعضاء على أن تبقي نصب عينيها الآثار العالمية والإقليمية للهجمات وعواقبها على الموظفين المدنيين العاملين في القطاع. ومعالجة الهجمات على البنية التحتية المدنية للاتصالات وتكنولوجيا المعلومات والاتصالات </w:t>
      </w:r>
      <w:r w:rsidR="00A60A4F" w:rsidRPr="00A60A4F">
        <w:rPr>
          <w:lang w:bidi="ar-EG"/>
        </w:rPr>
        <w:t>(ICT)</w:t>
      </w:r>
      <w:r w:rsidR="00A60A4F" w:rsidRPr="00A60A4F">
        <w:rPr>
          <w:rtl/>
        </w:rPr>
        <w:t xml:space="preserve"> أمر يقع ضمن الولاية التقنية للاتحاد وينبغي أن ينظر فيه المجلس.</w:t>
      </w:r>
    </w:p>
    <w:p w14:paraId="55FF577A" w14:textId="40D4E930" w:rsidR="00A60A4F" w:rsidRPr="00A60A4F" w:rsidRDefault="009458E0" w:rsidP="00A60A4F">
      <w:pPr>
        <w:rPr>
          <w:lang w:val="ar-SA" w:bidi="ar-EG"/>
        </w:rPr>
      </w:pPr>
      <w:r>
        <w:t>2.1</w:t>
      </w:r>
      <w:r w:rsidR="00A60A4F" w:rsidRPr="00A60A4F">
        <w:rPr>
          <w:rtl/>
        </w:rPr>
        <w:tab/>
        <w:t>وقال المراقب عن قطر، وهي من البلدان المشاركة في تقديم مشروع القرار، إن مشروع القرار روجع لحذف أي عبارات قد يُنظر إليها على أنها تضفي طابعاً سياسياً على المساهمة.</w:t>
      </w:r>
    </w:p>
    <w:p w14:paraId="3FCBC76D" w14:textId="36A70A36" w:rsidR="00A60A4F" w:rsidRPr="00A60A4F" w:rsidRDefault="009458E0" w:rsidP="00A60A4F">
      <w:pPr>
        <w:rPr>
          <w:lang w:val="ar-SA" w:bidi="ar-EG"/>
        </w:rPr>
      </w:pPr>
      <w:r>
        <w:t>3.1</w:t>
      </w:r>
      <w:r w:rsidR="00A60A4F" w:rsidRPr="00A60A4F">
        <w:rPr>
          <w:rtl/>
        </w:rPr>
        <w:tab/>
        <w:t>وشدد أعضاء المجلس والمراقبون على أهمية توافق الآراء، وأعربوا عن تأييدهم لمشروع القرار وعن تقديرهم لاستعداد مقدميه لإدراج تعليقات الدول الأعضاء. وأكد العديد من أعضاء المجلس أن الهجمات غير المشروعة والعشوائية على البنية التحتية للاتصالات/تكنولوجيا المعلومات والاتصالات، التي تسببت في تعطيل غير مسبوق وقوضت التوصيلية الدولية، تشكل انتهاكاً خطيراً لدستور الاتحاد وللقانون الدولي. وتكتسي حماية هذه البنية التحتية أهمية بالغة، نظراً لأهميتها بالنسبة للاقتصاد وتوفير الخدمات الأساسية. وأشار أحد أعضاء المجلس إلى أن مشروع القرار يتسق مع قرارات مجلس الأمن التابع للأمم المتحدة. وتم التأكيد على أهمية الحياد وضرورة حماية الطابع التقني والشامل للاتحاد.</w:t>
      </w:r>
    </w:p>
    <w:p w14:paraId="07AE6DDA" w14:textId="65AB876E" w:rsidR="00A60A4F" w:rsidRPr="00A60A4F" w:rsidRDefault="009458E0" w:rsidP="00A60A4F">
      <w:pPr>
        <w:rPr>
          <w:lang w:val="ar-SA" w:bidi="ar-EG"/>
        </w:rPr>
      </w:pPr>
      <w:r>
        <w:t>4.1</w:t>
      </w:r>
      <w:r w:rsidR="00A60A4F" w:rsidRPr="00A60A4F">
        <w:rPr>
          <w:rtl/>
        </w:rPr>
        <w:tab/>
        <w:t>و</w:t>
      </w:r>
      <w:r w:rsidR="00A60A4F" w:rsidRPr="00A60A4F">
        <w:rPr>
          <w:b/>
          <w:bCs/>
          <w:rtl/>
        </w:rPr>
        <w:t>وافق</w:t>
      </w:r>
      <w:r w:rsidR="00A60A4F" w:rsidRPr="00A60A4F">
        <w:rPr>
          <w:rtl/>
        </w:rPr>
        <w:t xml:space="preserve"> المجلس على الوثيقة C26/95(Rev.2) و</w:t>
      </w:r>
      <w:r w:rsidR="00A60A4F" w:rsidRPr="00A60A4F">
        <w:rPr>
          <w:b/>
          <w:bCs/>
          <w:rtl/>
        </w:rPr>
        <w:t>اعتمد</w:t>
      </w:r>
      <w:r w:rsidR="00A60A4F" w:rsidRPr="00A60A4F">
        <w:rPr>
          <w:rtl/>
        </w:rPr>
        <w:t xml:space="preserve"> مشروع القرار الوارد في ملحقها.</w:t>
      </w:r>
    </w:p>
    <w:p w14:paraId="49B90216" w14:textId="12C65ED4" w:rsidR="00A60A4F" w:rsidRPr="00A60A4F" w:rsidRDefault="00A60A4F" w:rsidP="009458E0">
      <w:pPr>
        <w:pStyle w:val="Heading1"/>
        <w:rPr>
          <w:lang w:val="ar-SA" w:bidi="ar-EG"/>
        </w:rPr>
      </w:pPr>
      <w:r w:rsidRPr="00A60A4F">
        <w:rPr>
          <w:rtl/>
        </w:rPr>
        <w:t>2</w:t>
      </w:r>
      <w:r w:rsidRPr="00A60A4F">
        <w:rPr>
          <w:rtl/>
        </w:rPr>
        <w:tab/>
        <w:t>تقديم المساعدة والدعم لجمهورية إيران الإسلامية لإعادة بناء قطاعي الإذاعة والاتصالات/تكنولوجيا المعلومات والاتصالات بها</w:t>
      </w:r>
      <w:r w:rsidR="00995701">
        <w:rPr>
          <w:rFonts w:hint="cs"/>
          <w:rtl/>
          <w:lang w:bidi="ar-EG"/>
        </w:rPr>
        <w:t xml:space="preserve"> (الوثيقة </w:t>
      </w:r>
      <w:hyperlink r:id="rId18" w:history="1">
        <w:r w:rsidR="00995701" w:rsidRPr="00701921">
          <w:rPr>
            <w:rStyle w:val="Hyperlink"/>
            <w:rFonts w:eastAsia="Times New Roman" w:cs="Times New Roman"/>
            <w:szCs w:val="24"/>
          </w:rPr>
          <w:t>C26/86(Rev.1)</w:t>
        </w:r>
      </w:hyperlink>
      <w:r w:rsidR="00995701" w:rsidRPr="00995701">
        <w:rPr>
          <w:rFonts w:hint="cs"/>
          <w:rtl/>
        </w:rPr>
        <w:t>)</w:t>
      </w:r>
      <w:r>
        <w:fldChar w:fldCharType="begin"/>
      </w:r>
      <w:r>
        <w:instrText>HYPERLINK "https://www.itu.int/md/S26-CL-C-0086/en"</w:instrText>
      </w:r>
      <w:r>
        <w:fldChar w:fldCharType="separate"/>
      </w:r>
      <w:r>
        <w:fldChar w:fldCharType="end"/>
      </w:r>
    </w:p>
    <w:p w14:paraId="5991E12E" w14:textId="056D00E3" w:rsidR="00A60A4F" w:rsidRPr="00A60A4F" w:rsidRDefault="00995701" w:rsidP="00B4018F">
      <w:pPr>
        <w:rPr>
          <w:lang w:val="ar-SA" w:bidi="ar-EG"/>
        </w:rPr>
      </w:pPr>
      <w:r>
        <w:t>1.2</w:t>
      </w:r>
      <w:r w:rsidR="00A60A4F" w:rsidRPr="00A60A4F">
        <w:rPr>
          <w:rtl/>
        </w:rPr>
        <w:tab/>
        <w:t xml:space="preserve">عرض المراقب عن جمهورية إيران الإسلامية، بعد أن أيده أحد أعضاء المجلس، الوثيقة C26/86(Rev.1) التي تتضمن مشروع قرار في ملحقها. ويرمي مشروع القرار إلى حشد المساعدة التقنية والمساعدة المالية الطوعية لدعم إعادة بناء وتعافي البنية التحتية للإذاعة والاتصالات وتكنولوجيا المعلومات والاتصالات المتضررة من هجمات الولايات المتحدة وإسرائيل. وقد أجريت مشاورات غير رسمية مع الدول الأعضاء لجمع تعليقات على المقترح الذي يتسم بطابع تقني ويندرج كلياً ضمن ولاية الاتحاد. ومن المهم ضمان الاتساق في نهج المجلس إزاء الحالات المماثلة توخياً للإنصاف والمصداقية المؤسسية؛ </w:t>
      </w:r>
      <w:r w:rsidR="00B4018F" w:rsidRPr="00B4018F">
        <w:rPr>
          <w:rtl/>
        </w:rPr>
        <w:t xml:space="preserve">وقد أرسيت بالفعل، في إطار مناقشة الوثيقة </w:t>
      </w:r>
      <w:r w:rsidR="00B4018F" w:rsidRPr="00B4018F">
        <w:t>C26/95(Rev.2)</w:t>
      </w:r>
      <w:r w:rsidR="00B4018F" w:rsidRPr="00B4018F">
        <w:rPr>
          <w:rtl/>
        </w:rPr>
        <w:t>، سابقة لتقديم المساعدة في إعادة الإعمار والمساعدة التقنية.</w:t>
      </w:r>
    </w:p>
    <w:p w14:paraId="4C787DB9" w14:textId="73FE8FB5" w:rsidR="00A60A4F" w:rsidRPr="00A60A4F" w:rsidRDefault="00995701" w:rsidP="00AD654F">
      <w:pPr>
        <w:rPr>
          <w:lang w:val="ar-SA" w:bidi="ar-EG"/>
        </w:rPr>
      </w:pPr>
      <w:r>
        <w:t>2.2</w:t>
      </w:r>
      <w:r w:rsidR="00A60A4F" w:rsidRPr="00A60A4F">
        <w:rPr>
          <w:rtl/>
        </w:rPr>
        <w:tab/>
        <w:t>وعلاوة على ذلك، أعربت جمهورية إيران الإسلامية عن تحفظات بشأن الوثائق المقدمة إلى المجلس التي تتضمن ادعاءات يبدو أنها غير مدعومة بأدلة وقائعية أو قانونية أو تقنية يمكن التحقق منها. وأفادت بأنها نفذت عملياتها العسكرية في إطار ممارسة حقها في الدفاع عن النفس بموجب ميثاق الأمم المتحدة، رداً على أعمال عدوانية سابقة، واقتصرت على الأهداف العسكرية للمعتدين؛ ورفضت الادعاءات التي تفيد خلاف ذلك. ومن شأن محاولات معالجة هذه المسائل داخل الاتحاد أن تتجاوز الولاية التقنية للاتحاد وتقوض حياده. ويمكن الاطلاع على البيان الكامل هنا</w:t>
      </w:r>
      <w:r w:rsidR="00A60A4F" w:rsidRPr="00A60A4F">
        <w:rPr>
          <w:lang w:bidi="ar-EG"/>
        </w:rPr>
        <w:t>:</w:t>
      </w:r>
      <w:r w:rsidR="00A60A4F" w:rsidRPr="00A60A4F">
        <w:rPr>
          <w:rtl/>
        </w:rPr>
        <w:t xml:space="preserve"> </w:t>
      </w:r>
      <w:hyperlink r:id="rId19" w:history="1">
        <w:r w:rsidR="00AD654F" w:rsidRPr="00AD654F">
          <w:rPr>
            <w:rStyle w:val="Hyperlink"/>
            <w:noProof w:val="0"/>
            <w:lang w:eastAsia="zh-CN"/>
          </w:rPr>
          <w:t>council.itu.int/2026/wp-content/uploads/sites/6/2026/02/26.05.01-Iran-HE-Ambassador-Bahreini-C26_86-PL4.pdf</w:t>
        </w:r>
      </w:hyperlink>
      <w:r w:rsidR="00A60A4F" w:rsidRPr="00A60A4F">
        <w:rPr>
          <w:rtl/>
        </w:rPr>
        <w:t>.</w:t>
      </w:r>
      <w:r w:rsidR="00A60A4F">
        <w:fldChar w:fldCharType="begin"/>
      </w:r>
      <w:r w:rsidR="00A60A4F">
        <w:instrText>HYPERLINK "http://council.itu.int/2026/wp-content/uploads/sites/6/2026/02/26.05.01-Iran-HE-Ambassador-Bahreini-C26_86-PL4.pdf"</w:instrText>
      </w:r>
      <w:r w:rsidR="00A60A4F">
        <w:fldChar w:fldCharType="separate"/>
      </w:r>
      <w:r w:rsidR="00A60A4F">
        <w:fldChar w:fldCharType="end"/>
      </w:r>
    </w:p>
    <w:p w14:paraId="457BFE25" w14:textId="04555BED" w:rsidR="00A60A4F" w:rsidRPr="00A60A4F" w:rsidRDefault="00995701" w:rsidP="00A60A4F">
      <w:pPr>
        <w:rPr>
          <w:lang w:val="ar-SA" w:bidi="ar-EG"/>
        </w:rPr>
      </w:pPr>
      <w:r>
        <w:t>3.2</w:t>
      </w:r>
      <w:r w:rsidR="00A60A4F" w:rsidRPr="00A60A4F">
        <w:rPr>
          <w:rtl/>
        </w:rPr>
        <w:tab/>
        <w:t xml:space="preserve">وذكّر أحد أعضاء المجلس </w:t>
      </w:r>
      <w:r w:rsidR="0011332D">
        <w:rPr>
          <w:rFonts w:hint="cs"/>
          <w:rtl/>
        </w:rPr>
        <w:t>ب</w:t>
      </w:r>
      <w:r w:rsidR="00A60A4F" w:rsidRPr="00A60A4F">
        <w:rPr>
          <w:rtl/>
        </w:rPr>
        <w:t xml:space="preserve">أن الضربات التي شُنت على جمهورية إيران الإسلامية قد نُفذت دون إذن من مجلس الأمن التابع للأمم المتحدة وشكلت انتهاكاً لميثاق الأمم المتحدة، وأكد أن الأزمة في الشرق الأوسط تؤثر على السلم والاستقرار على الصعيدين الإقليمي والدولي. </w:t>
      </w:r>
    </w:p>
    <w:p w14:paraId="40D1A669" w14:textId="33D3E539" w:rsidR="00A60A4F" w:rsidRPr="00A60A4F" w:rsidRDefault="00995701" w:rsidP="00A60A4F">
      <w:pPr>
        <w:rPr>
          <w:lang w:val="ar-SA" w:bidi="ar-EG"/>
        </w:rPr>
      </w:pPr>
      <w:r>
        <w:t>4.2</w:t>
      </w:r>
      <w:r w:rsidR="00A60A4F" w:rsidRPr="00A60A4F">
        <w:rPr>
          <w:rtl/>
        </w:rPr>
        <w:tab/>
        <w:t xml:space="preserve">وأدان عدد من أعضاء المجلس وأحد المراقبين الهجمات على البنية التحتية للاتصالات في البلد، وأعربوا عن تأييدهم لتقديم المساعدة التقنية والمساعدة في بناء القدرات إلى جمهورية إيران الإسلامية بما يتوافق مع ولاية الاتحاد. وتعد حماية شبكات الاتصالات العمومية وخدماتها في أوقات النزاع أمراً أساسياً. وينبغي احترام السيادة الوطنية والأمن </w:t>
      </w:r>
      <w:r w:rsidR="00A60A4F" w:rsidRPr="00A60A4F">
        <w:rPr>
          <w:rtl/>
        </w:rPr>
        <w:lastRenderedPageBreak/>
        <w:t>وسلامة الأراضي احتراماً كاملاً، مع حماية الأهداف المدنية وغير العسكرية وصون البنية التحتية للاتصالات المدنية. ومن الضروري ضمان استعادة أنظمة الاتصالات وقدرتها على الصمود واستمرار عملها، لا سيما حيثما يمكن أن تترتب عن الانقطاعات عواقب إنسانية.</w:t>
      </w:r>
    </w:p>
    <w:p w14:paraId="45E9E33C" w14:textId="0C58CC23" w:rsidR="00A60A4F" w:rsidRPr="00A60A4F" w:rsidRDefault="00995701" w:rsidP="00A60A4F">
      <w:pPr>
        <w:rPr>
          <w:lang w:val="ar-SA" w:bidi="ar-EG"/>
        </w:rPr>
      </w:pPr>
      <w:r>
        <w:t>5.2</w:t>
      </w:r>
      <w:r w:rsidR="00A60A4F" w:rsidRPr="00A60A4F">
        <w:rPr>
          <w:rtl/>
        </w:rPr>
        <w:tab/>
        <w:t>وذكر أعضاء المجلس من الإمارات العربية المتحدة والكويت والبحرين أن الوثيقة C26/86(Rev.1) تتضمن ادعاءات بأن هجمات على جمهورية إيران الإسلامية شُنت من أراضي دول عربية؛ وهذه الادعاءات تتناقض مع قرارات مجلس الأمن التابع للأمم المتحدة ومجلس حقوق الإنسان. ودعوا المجلس إلى عدم الموافقة على الوثيقة وعدم اعتماد مشروع القرار.</w:t>
      </w:r>
    </w:p>
    <w:p w14:paraId="38BF4D83" w14:textId="557996DE" w:rsidR="00A60A4F" w:rsidRPr="00A60A4F" w:rsidRDefault="00995701" w:rsidP="00A60A4F">
      <w:pPr>
        <w:rPr>
          <w:lang w:val="ar-SA" w:bidi="ar-EG"/>
        </w:rPr>
      </w:pPr>
      <w:r>
        <w:t>6.2</w:t>
      </w:r>
      <w:r w:rsidR="00A60A4F" w:rsidRPr="00A60A4F">
        <w:rPr>
          <w:rtl/>
        </w:rPr>
        <w:tab/>
        <w:t>وأكد العديد من أعضاء المجلس وأحد المراقبين على أن نتائج المجلس ينبغي أن تظل متوازنة ووقائعية وبناءة ومتسقة مع ولاية الاتحاد. وينبغي التمسك بمبدأ الحياد. وينبغي أن تعكس الإجراءات التي يتخذها الاتحاد مبادئه الموضوعية والتخصصية والمهنية، مع عمل الدول الأعضاء على التخفيف من حدة الوضع في الشرق الأوسط.</w:t>
      </w:r>
    </w:p>
    <w:p w14:paraId="1E0D76D4" w14:textId="016F4F7C" w:rsidR="00A60A4F" w:rsidRPr="00A60A4F" w:rsidRDefault="00995701" w:rsidP="00A60A4F">
      <w:pPr>
        <w:rPr>
          <w:lang w:val="ar-SA" w:bidi="ar-EG"/>
        </w:rPr>
      </w:pPr>
      <w:r>
        <w:t>7.2</w:t>
      </w:r>
      <w:r w:rsidR="00A60A4F" w:rsidRPr="00A60A4F">
        <w:rPr>
          <w:rtl/>
        </w:rPr>
        <w:tab/>
        <w:t>واستنتج الرئيس أن المجلس، نظراً لعدم التوصل إلى توافق في الآراء بشأن الوثيقة C26/86(Rev.1)، يرغب في الانتقال إلى مناقشة البند التالي من جدول أعماله.</w:t>
      </w:r>
    </w:p>
    <w:p w14:paraId="05946D80" w14:textId="3A8BCA1E" w:rsidR="00A60A4F" w:rsidRPr="00A60A4F" w:rsidRDefault="00995701" w:rsidP="00A60A4F">
      <w:pPr>
        <w:rPr>
          <w:lang w:val="ar-SA" w:bidi="ar-EG"/>
        </w:rPr>
      </w:pPr>
      <w:r>
        <w:t>8.2</w:t>
      </w:r>
      <w:r w:rsidR="00A60A4F" w:rsidRPr="00A60A4F">
        <w:rPr>
          <w:rtl/>
        </w:rPr>
        <w:tab/>
        <w:t>و</w:t>
      </w:r>
      <w:r w:rsidR="00A60A4F" w:rsidRPr="00A60A4F">
        <w:rPr>
          <w:b/>
          <w:bCs/>
          <w:rtl/>
        </w:rPr>
        <w:t>اتُّفق</w:t>
      </w:r>
      <w:r w:rsidR="00A60A4F" w:rsidRPr="00A60A4F">
        <w:rPr>
          <w:rtl/>
        </w:rPr>
        <w:t xml:space="preserve"> على ذلك.</w:t>
      </w:r>
    </w:p>
    <w:p w14:paraId="2A3969BE" w14:textId="218FE803" w:rsidR="00A60A4F" w:rsidRPr="00A60A4F" w:rsidRDefault="00A60A4F" w:rsidP="009458E0">
      <w:pPr>
        <w:pStyle w:val="Heading1"/>
        <w:rPr>
          <w:lang w:val="ar-SA" w:bidi="ar-EG"/>
        </w:rPr>
      </w:pPr>
      <w:r w:rsidRPr="00A60A4F">
        <w:rPr>
          <w:rtl/>
        </w:rPr>
        <w:t>3</w:t>
      </w:r>
      <w:r w:rsidRPr="00A60A4F">
        <w:rPr>
          <w:rtl/>
        </w:rPr>
        <w:tab/>
        <w:t xml:space="preserve">تعزيز صمود الكبلات البحرية - الهيئة الاستشارية الدولية المعنية بصمود الكبلات البحرية وقمة بورتو لعام 2026 (الوثيقة </w:t>
      </w:r>
      <w:hyperlink r:id="rId20" w:history="1">
        <w:r w:rsidR="001F4E3C" w:rsidRPr="00701921">
          <w:rPr>
            <w:rStyle w:val="Hyperlink"/>
            <w:rFonts w:eastAsia="Times New Roman" w:cs="Times New Roman"/>
            <w:szCs w:val="24"/>
          </w:rPr>
          <w:t>C26/76</w:t>
        </w:r>
      </w:hyperlink>
      <w:r w:rsidRPr="00A60A4F">
        <w:rPr>
          <w:rtl/>
        </w:rPr>
        <w:t>)</w:t>
      </w:r>
      <w:r>
        <w:fldChar w:fldCharType="begin"/>
      </w:r>
      <w:r>
        <w:instrText>HYPERLINK "https://www.itu.int/md/S26-CL-C-0076/en"</w:instrText>
      </w:r>
      <w:r>
        <w:fldChar w:fldCharType="separate"/>
      </w:r>
      <w:r>
        <w:fldChar w:fldCharType="end"/>
      </w:r>
    </w:p>
    <w:p w14:paraId="779A783C" w14:textId="37EC2C3E" w:rsidR="00A60A4F" w:rsidRPr="00A60A4F" w:rsidRDefault="001F4E3C" w:rsidP="00A60A4F">
      <w:pPr>
        <w:rPr>
          <w:lang w:val="ar-SA" w:bidi="ar-EG"/>
        </w:rPr>
      </w:pPr>
      <w:r>
        <w:t>1.3</w:t>
      </w:r>
      <w:r w:rsidR="00A60A4F" w:rsidRPr="00A60A4F">
        <w:rPr>
          <w:rtl/>
        </w:rPr>
        <w:tab/>
        <w:t>عرض المراقب من البرتغال، متحدثاً بصفته رئيساً مشاركاً للهيئة الاستشارية الدولية المعنية بصمود الكبلات البحرية، الوثيقة C26/76 التي تقدم معلومات محدثة عن الجهود الدولية الرامية إلى تعزيز قدرة الكبلات البحرية على الصمود، بما في ذلك معلومات عن نسختي عامي 2025 و2026 من القمة الدولية لصمود الكبلات البحرية، اللتين عقدتا في أبوجا، نيجيريا،  وبورتو، البرتغال، على التوالي. وقد أكد اعتماد إعلان بورتو بشأن صمود الكبلات البحرية أهمية التعاون بين أصحاب المصلحة لضمان توصيلية عالمية آمنة وموثوقة. ووافقت قمة بورتو أيضاً على توصيات توفر إرشادات عملية لتسريع نشر الكبلات وإصلاحها من خلال تعزيز الأطر القانونية والتنظيمية، والتخفيف من المخاطر التي تهدد البنية التحتية للكبلات، ودعم الابتكار وبناء القدرات، وتشجيع الاستثمار وتنوع الطرق في جميع أنحاء العالم.</w:t>
      </w:r>
    </w:p>
    <w:p w14:paraId="7C038A4F" w14:textId="4B3778EE" w:rsidR="00A60A4F" w:rsidRPr="00A60A4F" w:rsidRDefault="001F4E3C" w:rsidP="00A60A4F">
      <w:pPr>
        <w:rPr>
          <w:lang w:val="ar-SA" w:bidi="ar-EG"/>
        </w:rPr>
      </w:pPr>
      <w:r>
        <w:t>2.3</w:t>
      </w:r>
      <w:r w:rsidR="00A60A4F" w:rsidRPr="00A60A4F">
        <w:rPr>
          <w:rtl/>
        </w:rPr>
        <w:tab/>
        <w:t>وأشاد العديد من أعضاء المجلس وأحد المراقبين بعمل الهيئة الاستشارية الدولية المعنية بصمود الكبلات البحرية، ورحبوا بالقمتين المعقودتين. وتكتسي هذه المسألة أهمية حاسمة، خاصة بالنسبة للبلدان غير الساحلية، وقد تستحق مواصلة النظر فيها حتى بعد أن تختتم الهيئة الاستشارية أعمالها. وأُعرب عن التأييد لإعلان بورتو والتوصيات العملية والقابلة للتنفيذ المعتمدة، التي ينبغي أن يأخذ بها جميع أصحاب المصلحة. وينبغي التعجيل بتنفيذ نتائج قمة بورتو، لا سيما من خلال تبسيط إجراءات منح التصاريح وتقليص المهل الزمنية للإصلاح. ومن بالغ الأهمية أيضاً دعم المناطق الشحيحة الخدمات والمناطق الهشة، بما في ذلك إفريقيا، من خلال تعزيز الاستثمار والشراكات والسياسات التي تشجع تنوع المسارات وتكرارها؛ وتعزيز بناء القدرات والابتكار لضمان تمكّن البلدان النامية من المشاركة بفعالية في أنظمة الكبلات البحرية القادرة على الصمود والاستفادة منها.</w:t>
      </w:r>
    </w:p>
    <w:p w14:paraId="2EDDE3EC" w14:textId="4241CB1C" w:rsidR="00A60A4F" w:rsidRPr="00A60A4F" w:rsidRDefault="001F4E3C" w:rsidP="00A60A4F">
      <w:pPr>
        <w:rPr>
          <w:lang w:val="ar-SA" w:bidi="ar-EG"/>
        </w:rPr>
      </w:pPr>
      <w:r>
        <w:t>3.3</w:t>
      </w:r>
      <w:r w:rsidR="00A60A4F" w:rsidRPr="00A60A4F">
        <w:rPr>
          <w:rtl/>
        </w:rPr>
        <w:tab/>
        <w:t xml:space="preserve">ودعا أحد أعضاء المجلس إلى وضع استراتيجيات وطنية للصمود، ورحّب بالخطوات المقبلة المقترحة لإشراك أصحاب المصلحة الرئيسيين وترجمة التوصيات المقدمة إلى إجراءات ملموسة. واقتُرح أن يكون التقرير مُدخلاً للندوة العالمية المقبلة لمنظمي الاتصالات </w:t>
      </w:r>
      <w:r w:rsidR="00A60A4F" w:rsidRPr="00A60A4F">
        <w:rPr>
          <w:lang w:bidi="ar-EG"/>
        </w:rPr>
        <w:t>(</w:t>
      </w:r>
      <w:r w:rsidR="00A60A4F" w:rsidRPr="00A60A4F">
        <w:t>GSR-26</w:t>
      </w:r>
      <w:r w:rsidR="00A60A4F" w:rsidRPr="00A60A4F">
        <w:rPr>
          <w:lang w:bidi="ar-EG"/>
        </w:rPr>
        <w:t>)</w:t>
      </w:r>
      <w:r w:rsidR="00A60A4F" w:rsidRPr="00A60A4F">
        <w:rPr>
          <w:rtl/>
        </w:rPr>
        <w:t xml:space="preserve"> وأن يتم إطلاع المنظمات الإقليمية للاتصالات على نتائج أعمال الهيئة الاستشارية. ورحّب أعضاء المجلس باستمرار التركيز على التعاون لتعزيز قدرة الكبلات البحرية على الصمود، وأشاروا بوجه خاص إلى أهمية تعزيز التعاون بين الحكومات والصناعة والمنظمات الإقليمية. وسلط عضو آخر الضوء على أهمية عمل لجنة الدراسات 15 لقطاع تقييس الاتصالات بالاتحاد الدولي للاتصالات </w:t>
      </w:r>
      <w:r w:rsidR="00A60A4F" w:rsidRPr="00A60A4F">
        <w:rPr>
          <w:lang w:bidi="ar-EG"/>
        </w:rPr>
        <w:t>(ITU-T)</w:t>
      </w:r>
      <w:r w:rsidR="00A60A4F" w:rsidRPr="00A60A4F">
        <w:rPr>
          <w:rtl/>
        </w:rPr>
        <w:t>، وأشار إلى أن قطاع تقييس الاتصالات قد يضطلع بدور أكبر في تنفيذ نواتج القمة.</w:t>
      </w:r>
    </w:p>
    <w:p w14:paraId="117DABE1" w14:textId="6DDCCCC6" w:rsidR="00A60A4F" w:rsidRPr="00A60A4F" w:rsidRDefault="001F4E3C" w:rsidP="00A60A4F">
      <w:pPr>
        <w:rPr>
          <w:lang w:val="ar-SA" w:bidi="ar-EG"/>
        </w:rPr>
      </w:pPr>
      <w:r>
        <w:t>4.3</w:t>
      </w:r>
      <w:r w:rsidR="00A60A4F" w:rsidRPr="00A60A4F">
        <w:rPr>
          <w:rtl/>
        </w:rPr>
        <w:tab/>
        <w:t>وارتأى عضو آخر في المجلس أنه سيكون من الأفضل أن تُستنسخ، في القسم الخاص بالنتائج الرئيسية لقمة بورتو في الوثيقة، صياغة إعلان بورتو ويُستخدم مصطلح "توصيات غير ملزِمة" بدلاً من مصطلح "إرشادات". ويمكن أيضاً تحديث التقرير ليعكس الوضع الحالي للعمل والجداول الزمنية.</w:t>
      </w:r>
    </w:p>
    <w:p w14:paraId="1D3793BB" w14:textId="59735BB0" w:rsidR="00A60A4F" w:rsidRPr="00A60A4F" w:rsidRDefault="001F4E3C" w:rsidP="006976DF">
      <w:pPr>
        <w:rPr>
          <w:lang w:val="ar-SA" w:bidi="ar-EG"/>
        </w:rPr>
      </w:pPr>
      <w:r>
        <w:lastRenderedPageBreak/>
        <w:t>5.3</w:t>
      </w:r>
      <w:r w:rsidR="00A60A4F" w:rsidRPr="00A60A4F">
        <w:rPr>
          <w:rtl/>
        </w:rPr>
        <w:tab/>
        <w:t xml:space="preserve">وقال نائب الأمينة العامة، رداً على سؤال طرحه المراقب عن الاتحاد الروسي، إن تحديد دور الاتحاد في مجال صمود الكبلات البحرية أمر يعود إلى الدول الأعضاء، لا إلى الأمانة. وأضاف أن الأمانة تتطلع إلى تلقي مزيد من الإرشادات من الدول الأعضاء في هذا الصدد. وشكر الرئيسين المشاركين للهيئة الاستشارية الدولية على قيادتهما ومشاركتهما اللتين أسفرتا عن قمتين ناجحتين للغاية والتوصل إلى استنتاجات واضحة. كما شكر رؤساء أفرقة العمل والمشاركين فيها ورحّب بمشاركة اللجنة الدولية لحماية الكبلات. وأشار إلى أن اعتماد جميع التوصيات بتوافق الآراء أظهر كيف يمكن للمجتمع العالمي أن يتكاتف لمواجهة هذه التحديات الهامة. </w:t>
      </w:r>
      <w:r w:rsidR="006976DF" w:rsidRPr="006976DF">
        <w:rPr>
          <w:rtl/>
        </w:rPr>
        <w:t xml:space="preserve">واختتم كلمته بالإشارة إلى أن تقارير أفرقة العمل يجري استكمالها ومن المتوقع أن يوافَق عليها في الاجتماع الأخير للهيئة الاستشارية الدولية </w:t>
      </w:r>
      <w:r w:rsidR="00A60A4F" w:rsidRPr="00A60A4F">
        <w:rPr>
          <w:rtl/>
        </w:rPr>
        <w:t>في إطار ولايتها للفترة 2024-2026.</w:t>
      </w:r>
    </w:p>
    <w:p w14:paraId="782B413A" w14:textId="6BDB7879" w:rsidR="00A60A4F" w:rsidRPr="00A60A4F" w:rsidRDefault="001F4E3C" w:rsidP="00A60A4F">
      <w:pPr>
        <w:rPr>
          <w:lang w:val="ar-SA" w:bidi="ar-EG"/>
        </w:rPr>
      </w:pPr>
      <w:r>
        <w:t>6.3</w:t>
      </w:r>
      <w:r w:rsidR="00A60A4F" w:rsidRPr="00A60A4F">
        <w:rPr>
          <w:rtl/>
        </w:rPr>
        <w:tab/>
        <w:t>و</w:t>
      </w:r>
      <w:r w:rsidR="00A60A4F" w:rsidRPr="00A60A4F">
        <w:rPr>
          <w:b/>
          <w:bCs/>
          <w:rtl/>
        </w:rPr>
        <w:t>أحاط</w:t>
      </w:r>
      <w:r w:rsidR="00A60A4F" w:rsidRPr="00A60A4F">
        <w:rPr>
          <w:rtl/>
        </w:rPr>
        <w:t xml:space="preserve"> المجلس </w:t>
      </w:r>
      <w:r w:rsidR="00A60A4F" w:rsidRPr="00A60A4F">
        <w:rPr>
          <w:b/>
          <w:bCs/>
          <w:rtl/>
        </w:rPr>
        <w:t xml:space="preserve">علماً </w:t>
      </w:r>
      <w:r w:rsidR="00A60A4F" w:rsidRPr="00A60A4F">
        <w:rPr>
          <w:rtl/>
        </w:rPr>
        <w:t>بالتقرير الوارد في الوثيقة C26/76.</w:t>
      </w:r>
    </w:p>
    <w:p w14:paraId="2E72352C" w14:textId="2B779938" w:rsidR="00A60A4F" w:rsidRPr="00A60A4F" w:rsidRDefault="00A60A4F" w:rsidP="009458E0">
      <w:pPr>
        <w:pStyle w:val="Heading1"/>
        <w:rPr>
          <w:rtl/>
          <w:lang w:val="ar-SA" w:bidi="ar-EG"/>
        </w:rPr>
      </w:pPr>
      <w:r w:rsidRPr="00A60A4F">
        <w:rPr>
          <w:rtl/>
        </w:rPr>
        <w:t>4</w:t>
      </w:r>
      <w:r w:rsidRPr="00A60A4F">
        <w:rPr>
          <w:rtl/>
        </w:rPr>
        <w:tab/>
        <w:t xml:space="preserve">اليوم العالمي للاتصالات ومجتمع المعلومات (الوثيقة </w:t>
      </w:r>
      <w:hyperlink r:id="rId21" w:history="1">
        <w:r w:rsidR="004B43BA" w:rsidRPr="00701921">
          <w:rPr>
            <w:rStyle w:val="Hyperlink"/>
            <w:rFonts w:eastAsia="Times New Roman" w:cs="Times New Roman"/>
            <w:szCs w:val="24"/>
          </w:rPr>
          <w:t>C26/17</w:t>
        </w:r>
      </w:hyperlink>
      <w:r w:rsidR="004B43BA">
        <w:rPr>
          <w:rFonts w:hint="cs"/>
          <w:rtl/>
          <w:lang w:bidi="ar-EG"/>
        </w:rPr>
        <w:t>)</w:t>
      </w:r>
    </w:p>
    <w:p w14:paraId="6E6EB06C" w14:textId="579DDC39" w:rsidR="00A60A4F" w:rsidRPr="00A60A4F" w:rsidRDefault="00277C28" w:rsidP="00A60A4F">
      <w:pPr>
        <w:rPr>
          <w:lang w:val="ar-SA" w:bidi="ar-EG"/>
        </w:rPr>
      </w:pPr>
      <w:r>
        <w:t>1.4</w:t>
      </w:r>
      <w:r w:rsidR="00A60A4F" w:rsidRPr="00A60A4F">
        <w:rPr>
          <w:rtl/>
        </w:rPr>
        <w:tab/>
        <w:t>قدم ممثل عن الأمانة العامة تقرير الأمينة العامة عن اليوم العالمي للاتصالات ومجتمع المعلومات</w:t>
      </w:r>
      <w:r w:rsidR="004B43BA">
        <w:rPr>
          <w:rFonts w:hint="cs"/>
          <w:rtl/>
        </w:rPr>
        <w:t> </w:t>
      </w:r>
      <w:r w:rsidR="00A60A4F" w:rsidRPr="00A60A4F">
        <w:rPr>
          <w:lang w:bidi="ar-EG"/>
        </w:rPr>
        <w:t>(WTISD)</w:t>
      </w:r>
      <w:r w:rsidR="00A60A4F" w:rsidRPr="00A60A4F">
        <w:rPr>
          <w:rtl/>
        </w:rPr>
        <w:t>، الوارد في الوثيقة C26/17.</w:t>
      </w:r>
    </w:p>
    <w:p w14:paraId="27731E77" w14:textId="23C6F2FB" w:rsidR="00A60A4F" w:rsidRPr="00A60A4F" w:rsidRDefault="00277C28" w:rsidP="00A60A4F">
      <w:pPr>
        <w:rPr>
          <w:lang w:val="ar-SA" w:bidi="ar-EG"/>
        </w:rPr>
      </w:pPr>
      <w:r>
        <w:t>2.4</w:t>
      </w:r>
      <w:r w:rsidR="00A60A4F" w:rsidRPr="00A60A4F">
        <w:rPr>
          <w:rtl/>
        </w:rPr>
        <w:tab/>
        <w:t>ورحب العديد من أعضاء المجلس وأحد المراقبين بموضوع اليوم العالمي للاتصالات ومجتمع المعلومات لعام 2026، الذي جاء في توق</w:t>
      </w:r>
      <w:r>
        <w:rPr>
          <w:rFonts w:hint="cs"/>
          <w:rtl/>
        </w:rPr>
        <w:t>ي</w:t>
      </w:r>
      <w:r w:rsidR="00A60A4F" w:rsidRPr="00A60A4F">
        <w:rPr>
          <w:rtl/>
        </w:rPr>
        <w:t>ت مناسب جداً، وشددوا على أهمية البنية التحتية الرقمية القادرة على الصمود للنمو الاقتصادي والتنمية المستدامة. وأُعرب عن التأييد لمشاركة الدول الأعضاء ولأنشطة إذكاء الوعي التي يضطلع بها الاتحاد، بما في ذلك تقرير المخاطر الرقمية الحرجة الذي يكتسي أهمية بالغة بالنسبة للبلدان النامية والدول الجزرية. وسلط أحد أعضاء المجلس الضوء على الفعاليات التي أقيمت في بلده احتفالاً باليوم العالمي للاتصالات ومجتمع المعلومات لعام</w:t>
      </w:r>
      <w:r>
        <w:rPr>
          <w:rFonts w:hint="eastAsia"/>
          <w:rtl/>
          <w:lang w:bidi="ar-EG"/>
        </w:rPr>
        <w:t> </w:t>
      </w:r>
      <w:r w:rsidR="00A60A4F" w:rsidRPr="00A60A4F">
        <w:rPr>
          <w:rtl/>
        </w:rPr>
        <w:t>2026، وأكد عضو آخر أهمية التوصيلية الفضائية والاتصالات الساتلية في الوصول إلى المجتمعات الضعيفة. وأعرب أحد أعضاء المجلس عن تأييده للموضوع المقترح لليوم العالمي للاتصالات ومجتمع المعلومات لعام 2027، وهو "الفضاء للجميع: توسيع التوصيلية إلى ما وراء الحدود".</w:t>
      </w:r>
    </w:p>
    <w:p w14:paraId="06647F32" w14:textId="786CEE46" w:rsidR="00A60A4F" w:rsidRPr="00A60A4F" w:rsidRDefault="00277C28" w:rsidP="00A60A4F">
      <w:pPr>
        <w:rPr>
          <w:lang w:val="ar-SA" w:bidi="ar-EG"/>
        </w:rPr>
      </w:pPr>
      <w:r>
        <w:t>3.4</w:t>
      </w:r>
      <w:r w:rsidR="00A60A4F" w:rsidRPr="00A60A4F">
        <w:rPr>
          <w:rtl/>
        </w:rPr>
        <w:tab/>
        <w:t>و</w:t>
      </w:r>
      <w:r w:rsidR="00A60A4F" w:rsidRPr="00A60A4F">
        <w:rPr>
          <w:b/>
          <w:bCs/>
          <w:rtl/>
        </w:rPr>
        <w:t>أحاط</w:t>
      </w:r>
      <w:r w:rsidR="00A60A4F" w:rsidRPr="00A60A4F">
        <w:rPr>
          <w:rtl/>
        </w:rPr>
        <w:t xml:space="preserve"> المجلس </w:t>
      </w:r>
      <w:r w:rsidR="00A60A4F" w:rsidRPr="00A60A4F">
        <w:rPr>
          <w:b/>
          <w:bCs/>
          <w:rtl/>
        </w:rPr>
        <w:t xml:space="preserve">علماً </w:t>
      </w:r>
      <w:r w:rsidR="00A60A4F" w:rsidRPr="00A60A4F">
        <w:rPr>
          <w:rtl/>
        </w:rPr>
        <w:t>بالاحتفال باليوم العالمي للاتصالات ومجتمع المعلومات لعام 2026 تحت موضوع "شريان الحياة الرقمية: تعزيز القدرة على الصمود في عالم موصول".</w:t>
      </w:r>
    </w:p>
    <w:p w14:paraId="58704AF9" w14:textId="1E31DC63" w:rsidR="00A60A4F" w:rsidRPr="00A60A4F" w:rsidRDefault="00A60A4F" w:rsidP="0088120C">
      <w:pPr>
        <w:pStyle w:val="Heading1"/>
        <w:jc w:val="left"/>
        <w:rPr>
          <w:lang w:val="ar-SA" w:bidi="ar-EG"/>
        </w:rPr>
      </w:pPr>
      <w:r w:rsidRPr="00A60A4F">
        <w:rPr>
          <w:rtl/>
        </w:rPr>
        <w:t>5</w:t>
      </w:r>
      <w:r w:rsidRPr="00A60A4F">
        <w:rPr>
          <w:rtl/>
        </w:rPr>
        <w:tab/>
        <w:t>تقرير السنوات الأربع لرئيس فريق العمل التابع للمجلس والمعني بقضايا السياسات العامة الدولية المتعلقة بالإنترنت (</w:t>
      </w:r>
      <w:r w:rsidRPr="00A60A4F">
        <w:rPr>
          <w:i/>
          <w:iCs/>
          <w:rtl/>
        </w:rPr>
        <w:t>تابع</w:t>
      </w:r>
      <w:r w:rsidRPr="00A60A4F">
        <w:rPr>
          <w:rtl/>
        </w:rPr>
        <w:t xml:space="preserve">) </w:t>
      </w:r>
      <w:r w:rsidR="0088120C">
        <w:br/>
      </w:r>
      <w:r w:rsidRPr="00A60A4F">
        <w:rPr>
          <w:rtl/>
        </w:rPr>
        <w:t xml:space="preserve">(الوثائق </w:t>
      </w:r>
      <w:r w:rsidR="00621DB9">
        <w:fldChar w:fldCharType="begin"/>
      </w:r>
      <w:r w:rsidR="00621DB9">
        <w:instrText>HYPERLINK "https://www.itu.int/md/S26-CL-C-0052/en" \h</w:instrText>
      </w:r>
      <w:r w:rsidR="00621DB9">
        <w:fldChar w:fldCharType="separate"/>
      </w:r>
      <w:proofErr w:type="spellStart"/>
      <w:r w:rsidR="00621DB9" w:rsidRPr="00621DB9">
        <w:rPr>
          <w:rStyle w:val="Hyperlink"/>
          <w:noProof w:val="0"/>
          <w:lang w:eastAsia="zh-CN"/>
        </w:rPr>
        <w:t>C26</w:t>
      </w:r>
      <w:proofErr w:type="spellEnd"/>
      <w:r w:rsidR="00621DB9" w:rsidRPr="00621DB9">
        <w:rPr>
          <w:rStyle w:val="Hyperlink"/>
          <w:noProof w:val="0"/>
          <w:lang w:eastAsia="zh-CN"/>
        </w:rPr>
        <w:t>/52</w:t>
      </w:r>
      <w:r w:rsidR="00621DB9">
        <w:fldChar w:fldCharType="end"/>
      </w:r>
      <w:r w:rsidR="00621DB9">
        <w:rPr>
          <w:rFonts w:hint="cs"/>
          <w:rtl/>
          <w:lang w:val="en-GB"/>
        </w:rPr>
        <w:t xml:space="preserve"> و</w:t>
      </w:r>
      <w:r w:rsidR="00621DB9">
        <w:fldChar w:fldCharType="begin"/>
      </w:r>
      <w:r w:rsidR="00621DB9">
        <w:instrText>HYPERLINK "https://www.itu.int/md/S26-CL-C-0094/en" \h</w:instrText>
      </w:r>
      <w:r w:rsidR="00621DB9">
        <w:fldChar w:fldCharType="separate"/>
      </w:r>
      <w:proofErr w:type="spellStart"/>
      <w:r w:rsidR="00621DB9" w:rsidRPr="00621DB9">
        <w:rPr>
          <w:rStyle w:val="Hyperlink"/>
          <w:noProof w:val="0"/>
          <w:lang w:eastAsia="zh-CN"/>
        </w:rPr>
        <w:t>C26</w:t>
      </w:r>
      <w:proofErr w:type="spellEnd"/>
      <w:r w:rsidR="00621DB9" w:rsidRPr="00621DB9">
        <w:rPr>
          <w:rStyle w:val="Hyperlink"/>
          <w:noProof w:val="0"/>
          <w:lang w:eastAsia="zh-CN"/>
        </w:rPr>
        <w:t>/94</w:t>
      </w:r>
      <w:r w:rsidR="00621DB9">
        <w:fldChar w:fldCharType="end"/>
      </w:r>
      <w:r w:rsidR="00621DB9">
        <w:rPr>
          <w:rFonts w:hint="cs"/>
          <w:rtl/>
          <w:lang w:val="en-GB"/>
        </w:rPr>
        <w:t xml:space="preserve"> و</w:t>
      </w:r>
      <w:r w:rsidR="00621DB9">
        <w:fldChar w:fldCharType="begin"/>
      </w:r>
      <w:r w:rsidR="00621DB9">
        <w:instrText>HYPERLINK "https://www.itu.int/md/S26-CL-C-0099/en" \h</w:instrText>
      </w:r>
      <w:r w:rsidR="00621DB9">
        <w:fldChar w:fldCharType="separate"/>
      </w:r>
      <w:proofErr w:type="spellStart"/>
      <w:r w:rsidR="00621DB9" w:rsidRPr="00621DB9">
        <w:rPr>
          <w:rStyle w:val="Hyperlink"/>
          <w:noProof w:val="0"/>
          <w:lang w:eastAsia="zh-CN"/>
        </w:rPr>
        <w:t>C26</w:t>
      </w:r>
      <w:proofErr w:type="spellEnd"/>
      <w:r w:rsidR="00621DB9" w:rsidRPr="00621DB9">
        <w:rPr>
          <w:rStyle w:val="Hyperlink"/>
          <w:noProof w:val="0"/>
          <w:lang w:eastAsia="zh-CN"/>
        </w:rPr>
        <w:t>/99</w:t>
      </w:r>
      <w:r w:rsidR="00621DB9">
        <w:fldChar w:fldCharType="end"/>
      </w:r>
      <w:r w:rsidR="00621DB9">
        <w:rPr>
          <w:rFonts w:hint="cs"/>
          <w:rtl/>
          <w:lang w:val="en-GB"/>
        </w:rPr>
        <w:t xml:space="preserve"> و</w:t>
      </w:r>
      <w:r w:rsidR="00621DB9">
        <w:fldChar w:fldCharType="begin"/>
      </w:r>
      <w:r w:rsidR="00621DB9">
        <w:instrText>HYPERLINK "https://www.itu.int/md/S26-CL-C-0101/en" \h</w:instrText>
      </w:r>
      <w:r w:rsidR="00621DB9">
        <w:fldChar w:fldCharType="separate"/>
      </w:r>
      <w:proofErr w:type="spellStart"/>
      <w:r w:rsidR="00621DB9" w:rsidRPr="00621DB9">
        <w:rPr>
          <w:rStyle w:val="Hyperlink"/>
          <w:noProof w:val="0"/>
          <w:lang w:eastAsia="zh-CN"/>
        </w:rPr>
        <w:t>C26</w:t>
      </w:r>
      <w:proofErr w:type="spellEnd"/>
      <w:r w:rsidR="00621DB9" w:rsidRPr="00621DB9">
        <w:rPr>
          <w:rStyle w:val="Hyperlink"/>
          <w:noProof w:val="0"/>
          <w:lang w:eastAsia="zh-CN"/>
        </w:rPr>
        <w:t>/101(</w:t>
      </w:r>
      <w:proofErr w:type="spellStart"/>
      <w:r w:rsidR="00621DB9" w:rsidRPr="00621DB9">
        <w:rPr>
          <w:rStyle w:val="Hyperlink"/>
          <w:noProof w:val="0"/>
          <w:lang w:eastAsia="zh-CN"/>
        </w:rPr>
        <w:t>Rev.1</w:t>
      </w:r>
      <w:proofErr w:type="spellEnd"/>
      <w:r w:rsidR="00621DB9" w:rsidRPr="00621DB9">
        <w:rPr>
          <w:rStyle w:val="Hyperlink"/>
          <w:noProof w:val="0"/>
          <w:lang w:eastAsia="zh-CN"/>
        </w:rPr>
        <w:t>)</w:t>
      </w:r>
      <w:r w:rsidR="00621DB9">
        <w:fldChar w:fldCharType="end"/>
      </w:r>
      <w:r w:rsidR="00621DB9">
        <w:rPr>
          <w:rFonts w:hint="cs"/>
          <w:rtl/>
          <w:lang w:bidi="ar-EG"/>
        </w:rPr>
        <w:t>)</w:t>
      </w:r>
    </w:p>
    <w:p w14:paraId="66F919EE" w14:textId="2110F327" w:rsidR="00A60A4F" w:rsidRPr="00A60A4F" w:rsidRDefault="00621DB9" w:rsidP="00A60A4F">
      <w:pPr>
        <w:rPr>
          <w:lang w:val="ar-SA" w:bidi="ar-EG"/>
        </w:rPr>
      </w:pPr>
      <w:r>
        <w:t>1.5</w:t>
      </w:r>
      <w:r w:rsidR="00A60A4F" w:rsidRPr="00A60A4F">
        <w:rPr>
          <w:rtl/>
        </w:rPr>
        <w:tab/>
        <w:t xml:space="preserve">بعد أن أشار الرئيس إلى أن الوثيقة C26/94 قدمتها دولة عضو بصفة مراقب، أعرب عضوان في المجلس عن تأييدهما لمناقشة المساهمة. </w:t>
      </w:r>
    </w:p>
    <w:p w14:paraId="7D64B9BE" w14:textId="1A20F60D" w:rsidR="00A60A4F" w:rsidRPr="00A60A4F" w:rsidRDefault="00621DB9" w:rsidP="00A60A4F">
      <w:pPr>
        <w:rPr>
          <w:lang w:val="ar-SA" w:bidi="ar-EG"/>
        </w:rPr>
      </w:pPr>
      <w:r>
        <w:t>2.5</w:t>
      </w:r>
      <w:r w:rsidR="00A60A4F" w:rsidRPr="00A60A4F">
        <w:rPr>
          <w:rtl/>
        </w:rPr>
        <w:tab/>
        <w:t xml:space="preserve">وقال أعضاء في المجلس إن فريق العمل التابع للمجلس والمعني بقضايا السياسات العامة الدولية المتعلقة بالإنترنت </w:t>
      </w:r>
      <w:r w:rsidR="00A60A4F" w:rsidRPr="00A60A4F">
        <w:rPr>
          <w:lang w:bidi="ar-EG"/>
        </w:rPr>
        <w:t>(CWG-Internet)</w:t>
      </w:r>
      <w:r w:rsidR="00A60A4F" w:rsidRPr="00A60A4F">
        <w:rPr>
          <w:rtl/>
        </w:rPr>
        <w:t xml:space="preserve"> يوفر منصة قيّمة للحوار، وأعربوا عن تأييدهم لاستمراره في الدورة المقبلة. غير أنه حالياً فريق العمل الوحيد التابع للمجلس الذي تقتصر عضويته على الدول الأعضاء. وقد تحقق التقدم المحرز بفضل مدخلات أصحاب المصلحة إلى حد كبير؛ ولذلك يجب أن يكون جميع أصحاب المصلحة، ولا سيما المجتمع التقني، قادرين على المشاركة الكاملة في عمل الفريق لضمان بقائه ذا أهمية وقادراً على الاضطلاع بولايته الهامة وإعداد نواتج مفيدة للدول الأعضاء وأعضاء القطاعات ومجتمع الاتحاد الأوسع. وأكد العديد من أعضاء المجلس أن النموذج المتعدد أصحاب المصلحة هو الدعامة الأساسية لإنترنت آمنة ومبتكرة. وذكّر بعض أعضاء المجلس بالوثيقة الختامية لاستعراض تنفيذ نتائج القمة العالمية لمجتمع المعلومات بعد مرور 20 عاماً على انعقادها </w:t>
      </w:r>
      <w:r w:rsidR="00A60A4F" w:rsidRPr="00A60A4F">
        <w:rPr>
          <w:lang w:bidi="ar-EG"/>
        </w:rPr>
        <w:t>(</w:t>
      </w:r>
      <w:r w:rsidR="00A60A4F" w:rsidRPr="00A60A4F">
        <w:t>WSIS+20</w:t>
      </w:r>
      <w:r w:rsidR="00A60A4F" w:rsidRPr="00A60A4F">
        <w:rPr>
          <w:lang w:bidi="ar-EG"/>
        </w:rPr>
        <w:t>)</w:t>
      </w:r>
      <w:r w:rsidR="00A60A4F" w:rsidRPr="00A60A4F">
        <w:rPr>
          <w:rtl/>
        </w:rPr>
        <w:t xml:space="preserve">، التي تعترف، في جملة أمور، بأن إدارة الإنترنت يجب أن تظل ذات طابع متعدد أصحاب المصلحة، وتدعو جميع الكيانات ذات الصلة إلى أن تأخذ في الاعتبار أيضاً نتائج منتدى إدارة الإنترنت الذي أصبح الآن دائماً. وأعربوا عن ثقتهم بأن مؤتمر المندوبين المفوضين (الدوحة، 2026) (PP-26) سيقوم بتحديث وتعزيز فريق العمل </w:t>
      </w:r>
      <w:r w:rsidR="00A60A4F" w:rsidRPr="00A60A4F">
        <w:rPr>
          <w:lang w:bidi="ar-EG"/>
        </w:rPr>
        <w:t>CWG-Internet</w:t>
      </w:r>
      <w:r w:rsidR="00A60A4F" w:rsidRPr="00A60A4F">
        <w:rPr>
          <w:rtl/>
        </w:rPr>
        <w:t>، ليعكس النُّهج المعترف بها في أماكن أخرى داخل منظومة الأمم المتحدة ويتيح المشاركة الكاملة لأصحاب المصلحة. وقال عضو آخر في المجلس إن الجوانب المتعلقة بتعدد أصحاب المصلحة قد عولجت بالفعل على نحو كاف من خلال عملية المشاورة المفتوحة. وينبغي أن ينصب التركيز على توطيد الأعمال القائمة وضمان استمراريتها، لا على المسائل الهيكلية.</w:t>
      </w:r>
    </w:p>
    <w:p w14:paraId="1C3698A6" w14:textId="287C09B1" w:rsidR="00A60A4F" w:rsidRPr="00A60A4F" w:rsidRDefault="00621DB9" w:rsidP="00A60A4F">
      <w:pPr>
        <w:rPr>
          <w:lang w:val="ar-SA" w:bidi="ar-EG"/>
        </w:rPr>
      </w:pPr>
      <w:r>
        <w:lastRenderedPageBreak/>
        <w:t>3.5</w:t>
      </w:r>
      <w:r w:rsidR="00A60A4F" w:rsidRPr="00A60A4F">
        <w:rPr>
          <w:rtl/>
        </w:rPr>
        <w:tab/>
        <w:t>وقال أحد أعضاء المجلس إن بند جدول الأعمال يصب في صميم المسألة الهامة المتعلقة بدور الاتحاد في الإدارة الدولية للإنترنت وكيف يمكن لفريق العمل أن يخدم على أفضل وجه مصالح جميع الدول الأعضاء، ولا سيما البلدان النامية، في الدورة المقبلة. وقال عضو آخر في المجلس إن المناقشات في إطار فريق العمل ينبغي أن تظل محصورة تماماً في نطاق ولاية الاتحاد، وأن تكون شاملة وقائمة على توافق الآراء. ولكن، كما أشار العديد من أعضاء المجلس، هناك تحديات يتعين معالجتها، منها عدم الاستمرارية في عمل الفريق والصعوبات في التوصل إلى توافق في الآراء. ويلزم اتباع نهج أكثر عمليةً وتوجهاً نحو اتخاذ إجراءات لترجمة التقدم المحرز في الدورة 2022-2026 إلى نواتج إنمائية ملموسة وموجهة نحو النتائج. وشدد بعض أعضاء المجلس على ضرورة الحفاظ على الطابع الحكومي الدولي الذي يركز على السياسات في فريق العمل. وارتأى أحد أعضاء المجلس أنه ينبغي تعزيز المشاورات المفتوحة، واتفق عضوان آخران في المجلس على ضرورة تعزيز الصلة بين المشاورات المفتوحة والمخرجات الموضوعية للمساهمة بشكل أكثر فعالية في قضايا السياسات العامة المتعلقة بالإنترنت. واقترح عضو آخر في المجلس أن يستفيد فريق العمل بفعالية من المدخلات المنبثقة عن المشاورات المفتوحة من أجل إعداد نواتج موضوعية وأن يبدي مرونة في أساليب عمله.</w:t>
      </w:r>
    </w:p>
    <w:p w14:paraId="758ADE0F" w14:textId="7B52D5C4" w:rsidR="00A60A4F" w:rsidRPr="00A60A4F" w:rsidRDefault="00621DB9" w:rsidP="00A60A4F">
      <w:pPr>
        <w:rPr>
          <w:spacing w:val="-4"/>
          <w:lang w:val="ar-SA" w:bidi="ar-EG"/>
        </w:rPr>
      </w:pPr>
      <w:r w:rsidRPr="00D016F9">
        <w:rPr>
          <w:spacing w:val="-4"/>
        </w:rPr>
        <w:t>4.5</w:t>
      </w:r>
      <w:r w:rsidR="00A60A4F" w:rsidRPr="00A60A4F">
        <w:rPr>
          <w:spacing w:val="-4"/>
          <w:rtl/>
        </w:rPr>
        <w:tab/>
        <w:t>وأشار أحد أعضاء المجلس إلى أن نتائج الحدث الرفيع المستوى WSIS+20 ترتبط ارتباطاً وثيقاً بعمل الفريق</w:t>
      </w:r>
      <w:r w:rsidR="00277C28" w:rsidRPr="00D016F9">
        <w:rPr>
          <w:rFonts w:hint="cs"/>
          <w:spacing w:val="-4"/>
          <w:rtl/>
        </w:rPr>
        <w:t> </w:t>
      </w:r>
      <w:r w:rsidR="00A60A4F" w:rsidRPr="00A60A4F">
        <w:rPr>
          <w:spacing w:val="-4"/>
          <w:rtl/>
        </w:rPr>
        <w:t xml:space="preserve">CWG-Internet. ولذلك قد يرغب فريق العمل في أن يأخذ في الاعتبار القضايا الرئيسية التي سُلط عليها الضوء في الوثيقة الختامية للحدث WSIS+20، وهي التكنولوجيات الناشئة والشمول الرقمي. واقتُرح أيضاً معالجة قضايا من قبيل مشاركة الشباب والثقة الرقمية والتوصيلية الشاملة. وأعرب بعض أعضاء المجلس أيضاً عن تأييدهم لوضع إطار مواضيعي غير ملزِم يُعرض على المجلس في دورته لعام 2027. وأيد أعضاء آخرون في المجلس التركيز على احتياجات أقل البلدان نمواً والبلدان النامية غير الساحلية والدول الجزرية الصغيرة النامية لتعزيز التوصيلية الهادفة والمشاركة الشاملة للبلدان النامية ومواجهة التحديات الناشئة في مجال إدارة الإنترنت. ومع ذلك، ينبغي ألا يستبق المجلس قرارات مؤتمر المندوبين المفوضين لعام 2026 بشأن فريق العمل </w:t>
      </w:r>
      <w:r w:rsidR="00A60A4F" w:rsidRPr="00A60A4F">
        <w:rPr>
          <w:spacing w:val="-4"/>
          <w:lang w:bidi="ar-EG"/>
        </w:rPr>
        <w:t>CWG-Internet</w:t>
      </w:r>
      <w:r w:rsidR="00A60A4F" w:rsidRPr="00A60A4F">
        <w:rPr>
          <w:spacing w:val="-4"/>
          <w:rtl/>
        </w:rPr>
        <w:t>، بما في ذلك القرارات المتعلقة بعمل الفريق في الدورة المقبلة.</w:t>
      </w:r>
    </w:p>
    <w:p w14:paraId="6B75E9C5" w14:textId="3D4B59B6" w:rsidR="00A60A4F" w:rsidRPr="00A60A4F" w:rsidRDefault="00621DB9" w:rsidP="00A60A4F">
      <w:pPr>
        <w:rPr>
          <w:lang w:val="ar-SA" w:bidi="ar-EG"/>
        </w:rPr>
      </w:pPr>
      <w:r>
        <w:t>5.5</w:t>
      </w:r>
      <w:r w:rsidR="00A60A4F" w:rsidRPr="00A60A4F">
        <w:rPr>
          <w:rtl/>
        </w:rPr>
        <w:tab/>
        <w:t xml:space="preserve">وقال أحد أعضاء المجلس إن بلده غير مقتنع بجدوى فريق العمل </w:t>
      </w:r>
      <w:r w:rsidR="00A60A4F" w:rsidRPr="00A60A4F">
        <w:rPr>
          <w:lang w:bidi="ar-EG"/>
        </w:rPr>
        <w:t>CWG-Internet</w:t>
      </w:r>
      <w:r w:rsidR="00A60A4F" w:rsidRPr="00A60A4F">
        <w:rPr>
          <w:rtl/>
        </w:rPr>
        <w:t>، مشيراً إلى أن العديد من المواضيع التي نوقشت في المشاورات المفتوحة تم تناولها في منتديات أخرى. وقال إنه يتطلع إلى مواصلة النظر في عمل الفريق وولايته في مؤتمر المندوبين المفوضين لعام 2026. غير أن عضواً آخر في المجلس رأى أن فريق العمل لا يزال، في شكله الحالي، آلية عملية ومجدية، خاصة بالنسبة للبلدان النامية.</w:t>
      </w:r>
    </w:p>
    <w:p w14:paraId="25962261" w14:textId="3B0A6544" w:rsidR="00A60A4F" w:rsidRPr="00A60A4F" w:rsidRDefault="00621DB9" w:rsidP="00A60A4F">
      <w:pPr>
        <w:rPr>
          <w:lang w:val="ar-SA" w:bidi="ar-EG"/>
        </w:rPr>
      </w:pPr>
      <w:r>
        <w:t>6.5</w:t>
      </w:r>
      <w:r w:rsidR="00A60A4F" w:rsidRPr="00A60A4F">
        <w:rPr>
          <w:rtl/>
        </w:rPr>
        <w:tab/>
        <w:t xml:space="preserve">وشكر العديد من أعضاء المجلس الدول الأعضاء على تقديم الوثائق C26/94 وC26/99 وC26/101(Rev.1) التي تتناول شواغل العديد من الدول الأعضاء، ولا سيما البلدان النامية، وتعرض عدة مقترحات مثيرة للاهتمام ومن شأنها أن تحسن كفاءة الفريق </w:t>
      </w:r>
      <w:r w:rsidR="00A60A4F" w:rsidRPr="00A60A4F">
        <w:rPr>
          <w:lang w:bidi="ar-EG"/>
        </w:rPr>
        <w:t>CWG-Internet</w:t>
      </w:r>
      <w:r w:rsidR="00A60A4F" w:rsidRPr="00A60A4F">
        <w:rPr>
          <w:rtl/>
        </w:rPr>
        <w:t xml:space="preserve"> ومخرجاته. غير أن أحد أعضاء المجلس شدد على أن ولاية الفريق سيحددها مؤتمر المندوبين المفوضين لعام 2026، وينبغي ألا يفترض المجلس أنها ستستمر. وينبغي أن يحيط المجلس علماً بمساهمات الدول الأعضاء التي ينبغي تقديمها إلى مؤتمر المندوبين المفوضين لعام 2026 لمواصلة النظر فيها. واتفق عضو آخر في المجلس على إرجاء المناقشة الموضوعية لولاية فريق العمل المستقبلية إلى ما بعد مؤتمر المندوبين المفوضين لعام 2026.</w:t>
      </w:r>
    </w:p>
    <w:p w14:paraId="0BB1A7CD" w14:textId="33DFC0A2" w:rsidR="00A60A4F" w:rsidRPr="00A60A4F" w:rsidRDefault="00621DB9" w:rsidP="00A60A4F">
      <w:pPr>
        <w:rPr>
          <w:lang w:val="ar-SA" w:bidi="ar-EG"/>
        </w:rPr>
      </w:pPr>
      <w:r>
        <w:t>7.5</w:t>
      </w:r>
      <w:r w:rsidR="00A60A4F" w:rsidRPr="00A60A4F">
        <w:rPr>
          <w:rtl/>
        </w:rPr>
        <w:tab/>
        <w:t xml:space="preserve">وقال أحد أعضاء المجلس إنه لا يؤيد مقترح إلحاق الوثيقة C26/99 بالوثيقة C26/52 لتقديمها إلى مؤتمر المندوبين المفوضين لعام 2026. وأضاف أن فريق العمل </w:t>
      </w:r>
      <w:r w:rsidR="00A60A4F" w:rsidRPr="00A60A4F">
        <w:rPr>
          <w:lang w:bidi="ar-EG"/>
        </w:rPr>
        <w:t>CWG-Internet</w:t>
      </w:r>
      <w:r w:rsidR="00A60A4F" w:rsidRPr="00A60A4F">
        <w:rPr>
          <w:rtl/>
        </w:rPr>
        <w:t xml:space="preserve"> لم يتناول التوصيات الواردة فيها، وأن هذه التوصيات لا تعبر عن آراء جميع الدول الأعضاء. وعلاوة على ذلك، قُدمت الوثيقة C26/99 بعد أن أكمل الفريق عمله لهذه الدورة، لذا فإنها لا تندرج ضمن نطاق التقرير. وينبغي الاكتفاء بالإحاطة علماً بها. واتفق العديد من أعضاء المجلس على تقديم التقرير الوارد في الوثيقة C26/52 إلى مؤتمر المندوبين المفوضين لعام 2026 دون إضافة أي ملحقات جديدة.</w:t>
      </w:r>
    </w:p>
    <w:p w14:paraId="397F1EAB" w14:textId="29EDC737" w:rsidR="00A60A4F" w:rsidRPr="00A60A4F" w:rsidRDefault="00621DB9" w:rsidP="00A60A4F">
      <w:pPr>
        <w:rPr>
          <w:lang w:val="ar-SA" w:bidi="ar-EG"/>
        </w:rPr>
      </w:pPr>
      <w:r>
        <w:t>8.5</w:t>
      </w:r>
      <w:r w:rsidR="00A60A4F" w:rsidRPr="00A60A4F">
        <w:rPr>
          <w:rtl/>
        </w:rPr>
        <w:tab/>
        <w:t>وقال بعض أعضاء المجلس إنهم لا يؤيدون الوثيقة C26/94 التي يرون أنها تتعارض مع النموذج المتعدد أصحاب المصلحة لإدارة الإنترنت الذي يعد الوسيلة الأكثر فعالية وشرعية للإشراف على استقرار الإنترنت وتطورها. ولن يكون من الملائم أن يتولى فريق عمل، يتألف حالياً بالكامل من أصحاب مصلحة حكوميين، وضع توصيات بشأن الإدارة التشغيلية للإنترنت، لأن هذه القضايا تندرج تماماً ضمن اختصاص المجتمع العالمي المتعدد أصحاب المصلحة. ويمكن أن تؤدي هذه الإجراءات إلى الازدواجية والتشرذم، وأن تقوض العمليات القائمة المتعددة أصحاب المصلحة واستقرار الإنترنت وقدرتها على الصمود وقابليتها للتشغيل البيني. وعلاوة على ذلك، يمكن مناقشة القضايا المتعلقة بما يسمى التعطيلات المتعمدة للتوصيلية في إطار مسار عمل صمود الكبلات البحرية.</w:t>
      </w:r>
    </w:p>
    <w:p w14:paraId="5CC84CA1" w14:textId="220063F2" w:rsidR="00A60A4F" w:rsidRPr="00A60A4F" w:rsidRDefault="00621DB9" w:rsidP="00A60A4F">
      <w:pPr>
        <w:rPr>
          <w:lang w:val="ar-SA" w:bidi="ar-EG"/>
        </w:rPr>
      </w:pPr>
      <w:r>
        <w:t>9.5</w:t>
      </w:r>
      <w:r w:rsidR="00A60A4F" w:rsidRPr="00A60A4F">
        <w:rPr>
          <w:rtl/>
        </w:rPr>
        <w:tab/>
        <w:t xml:space="preserve">غير أن عضواً آخر في المجلس أشار إلى أن تنظيم قضايا السياسات العامة المتعلقة بالإنترنت حق سيادي للدول، على النحو المنصوص عليه في الفقرة 35 من برنامج عمل تونس بشأن مجتمع المعلومات الصادر عن القمة </w:t>
      </w:r>
      <w:r w:rsidR="00A60A4F" w:rsidRPr="00A60A4F">
        <w:rPr>
          <w:rtl/>
        </w:rPr>
        <w:lastRenderedPageBreak/>
        <w:t>العالمية لمجتمع المعلومات. ويجب أن تكون إدارة الإنترنت ديمقراطية وأن تستند إلى ميثاق الأمم المتحدة والقانون الدولي. ويجب تجنب تسييس المسائل التقنية، كما يجب تهيئة بيئة شاملة للبلدان النامية، والاعتراف بالحق في التنمية، ونقل التكنولوجيا والشمول الرقمي. ويحتاج الفريق إلى خطة عمل واضحة وموجهة نحو تحقيق النتائج.</w:t>
      </w:r>
    </w:p>
    <w:p w14:paraId="0B309369" w14:textId="04070206" w:rsidR="00A60A4F" w:rsidRPr="00A60A4F" w:rsidRDefault="00621DB9" w:rsidP="00A60A4F">
      <w:pPr>
        <w:rPr>
          <w:lang w:val="ar-SA" w:bidi="ar-EG"/>
        </w:rPr>
      </w:pPr>
      <w:r>
        <w:t>10.5</w:t>
      </w:r>
      <w:r w:rsidR="00A60A4F" w:rsidRPr="00A60A4F">
        <w:rPr>
          <w:rtl/>
        </w:rPr>
        <w:tab/>
        <w:t>و</w:t>
      </w:r>
      <w:r w:rsidR="00A60A4F" w:rsidRPr="00A60A4F">
        <w:rPr>
          <w:b/>
          <w:bCs/>
          <w:rtl/>
        </w:rPr>
        <w:t>أحاط</w:t>
      </w:r>
      <w:r w:rsidR="00A60A4F" w:rsidRPr="00A60A4F">
        <w:rPr>
          <w:rtl/>
        </w:rPr>
        <w:t xml:space="preserve"> المجلس </w:t>
      </w:r>
      <w:r w:rsidR="00A60A4F" w:rsidRPr="00A60A4F">
        <w:rPr>
          <w:b/>
          <w:bCs/>
          <w:rtl/>
        </w:rPr>
        <w:t xml:space="preserve">علماً </w:t>
      </w:r>
      <w:r w:rsidR="00A60A4F" w:rsidRPr="00A60A4F">
        <w:rPr>
          <w:rtl/>
        </w:rPr>
        <w:t xml:space="preserve">بتقرير السنوات الأربع للفريق </w:t>
      </w:r>
      <w:r w:rsidR="00A60A4F" w:rsidRPr="00A60A4F">
        <w:rPr>
          <w:lang w:bidi="ar-EG"/>
        </w:rPr>
        <w:t>CWG-Internet</w:t>
      </w:r>
      <w:r w:rsidR="00A60A4F" w:rsidRPr="00A60A4F">
        <w:rPr>
          <w:rtl/>
        </w:rPr>
        <w:t xml:space="preserve"> الوارد في الوثيقة C26/52، و</w:t>
      </w:r>
      <w:r w:rsidR="00A60A4F" w:rsidRPr="00A60A4F">
        <w:rPr>
          <w:b/>
          <w:bCs/>
          <w:rtl/>
        </w:rPr>
        <w:t>وافق</w:t>
      </w:r>
      <w:r w:rsidR="00A60A4F" w:rsidRPr="00A60A4F">
        <w:rPr>
          <w:rtl/>
        </w:rPr>
        <w:t xml:space="preserve"> على إحالة الآراء المعرب عنها بشأنه إلى مؤتمر المندوبين المفوضين لعام 2026؛ و</w:t>
      </w:r>
      <w:r w:rsidR="00A60A4F" w:rsidRPr="00A60A4F">
        <w:rPr>
          <w:b/>
          <w:bCs/>
          <w:rtl/>
        </w:rPr>
        <w:t>أحاط علما</w:t>
      </w:r>
      <w:r w:rsidR="00277C28">
        <w:rPr>
          <w:rFonts w:hint="cs"/>
          <w:b/>
          <w:bCs/>
          <w:rtl/>
        </w:rPr>
        <w:t>ً</w:t>
      </w:r>
      <w:r w:rsidR="00A60A4F" w:rsidRPr="00A60A4F">
        <w:rPr>
          <w:rtl/>
        </w:rPr>
        <w:t xml:space="preserve"> كذلك بالمساهمات الواردة في الوثائق C26/94 وC26/99 وC26/101(Rev.1).</w:t>
      </w:r>
    </w:p>
    <w:p w14:paraId="6193CB3B" w14:textId="08375EFD" w:rsidR="00A60A4F" w:rsidRPr="00A60A4F" w:rsidRDefault="00A60A4F" w:rsidP="009458E0">
      <w:pPr>
        <w:pStyle w:val="Heading1"/>
        <w:rPr>
          <w:lang w:val="ar-SA" w:bidi="ar-EG"/>
        </w:rPr>
      </w:pPr>
      <w:bookmarkStart w:id="0" w:name="_Hlk201249041"/>
      <w:r w:rsidRPr="00A60A4F">
        <w:rPr>
          <w:rtl/>
        </w:rPr>
        <w:t>6</w:t>
      </w:r>
      <w:r w:rsidRPr="00A60A4F">
        <w:rPr>
          <w:rtl/>
        </w:rPr>
        <w:tab/>
        <w:t xml:space="preserve">أنشطة الاتحاد المتصلة بالإنترنت: القرارات 101 و102 و133 و180 و206 لمؤتمر المندوبين المفوضين (الوثيقة </w:t>
      </w:r>
      <w:hyperlink r:id="rId22">
        <w:r w:rsidR="003335D4" w:rsidRPr="00701921">
          <w:rPr>
            <w:rStyle w:val="Hyperlink"/>
          </w:rPr>
          <w:t>C26/33</w:t>
        </w:r>
      </w:hyperlink>
      <w:r w:rsidR="003335D4">
        <w:rPr>
          <w:rFonts w:hint="cs"/>
          <w:rtl/>
          <w:lang w:bidi="ar-EG"/>
        </w:rPr>
        <w:t>)</w:t>
      </w:r>
    </w:p>
    <w:p w14:paraId="7DE87716" w14:textId="7A5D2C79" w:rsidR="00A60A4F" w:rsidRPr="00A60A4F" w:rsidRDefault="003335D4" w:rsidP="00A60A4F">
      <w:pPr>
        <w:rPr>
          <w:spacing w:val="-4"/>
          <w:lang w:val="ar-SA" w:bidi="ar-EG"/>
        </w:rPr>
      </w:pPr>
      <w:r w:rsidRPr="00D016F9">
        <w:rPr>
          <w:spacing w:val="-4"/>
        </w:rPr>
        <w:t>1.6</w:t>
      </w:r>
      <w:r w:rsidR="00A60A4F" w:rsidRPr="00A60A4F">
        <w:rPr>
          <w:spacing w:val="-4"/>
          <w:rtl/>
        </w:rPr>
        <w:tab/>
        <w:t xml:space="preserve">عرض ممثل عن الأمانة العامة الوثيقة C26/33 التي تتضمن تقريراً يلخص أنشطة الاتحاد ذات الصلة بالقرار 101 (المراجَع في بوخارست، 2022) بشأن الشبكات القائمة على بروتوكول الإنترنت، والقرار 102 (المراجَع في بوخارست، 2022) بشأن دور الاتحاد الدولي للاتصالات فيما يتعلق بقضايا السياسة العامة الدولية المتصلة بالإنترنت وبإدارة موارد الإنترنت، بما في ذلك إدارة أسماء الميادين والعناوين، والقرار 133 (المراجَع في بوخارست، 2022) بشأن أدوار إدارات الدول الأعضاء في إدارة أسماء الميادين الدولية الطابع (المتعددة اللغات)، والقرار 180 (المراجَع في بوخارست، 2022) بشأن تعزيز نشر الإصدار السادس لبروتوكول الإنترنت </w:t>
      </w:r>
      <w:r w:rsidR="00A60A4F" w:rsidRPr="00A60A4F">
        <w:rPr>
          <w:spacing w:val="-4"/>
          <w:lang w:bidi="ar-EG"/>
        </w:rPr>
        <w:t>(</w:t>
      </w:r>
      <w:r w:rsidR="00A60A4F" w:rsidRPr="00A60A4F">
        <w:rPr>
          <w:spacing w:val="-4"/>
        </w:rPr>
        <w:t>IPv6</w:t>
      </w:r>
      <w:r w:rsidR="00A60A4F" w:rsidRPr="00A60A4F">
        <w:rPr>
          <w:spacing w:val="-4"/>
          <w:lang w:bidi="ar-EG"/>
        </w:rPr>
        <w:t>)</w:t>
      </w:r>
      <w:r w:rsidR="00A60A4F" w:rsidRPr="00A60A4F">
        <w:rPr>
          <w:spacing w:val="-4"/>
          <w:rtl/>
        </w:rPr>
        <w:t xml:space="preserve">، والقرار 206 (دبي، 2018) بشأن الخدمات المتاحة </w:t>
      </w:r>
      <w:r w:rsidR="009D47D3">
        <w:rPr>
          <w:rFonts w:hint="cs"/>
          <w:spacing w:val="-4"/>
          <w:rtl/>
        </w:rPr>
        <w:t xml:space="preserve">عبر </w:t>
      </w:r>
      <w:r w:rsidR="00A60A4F" w:rsidRPr="00A60A4F">
        <w:rPr>
          <w:spacing w:val="-4"/>
          <w:rtl/>
        </w:rPr>
        <w:t xml:space="preserve">الإنترنت </w:t>
      </w:r>
      <w:r w:rsidR="00A60A4F" w:rsidRPr="00A60A4F">
        <w:rPr>
          <w:spacing w:val="-4"/>
          <w:lang w:bidi="ar-EG"/>
        </w:rPr>
        <w:t>(OTT)</w:t>
      </w:r>
      <w:r w:rsidR="00A60A4F" w:rsidRPr="00A60A4F">
        <w:rPr>
          <w:spacing w:val="-4"/>
          <w:rtl/>
        </w:rPr>
        <w:t>.</w:t>
      </w:r>
    </w:p>
    <w:p w14:paraId="5A2D9355" w14:textId="14C69062" w:rsidR="00A60A4F" w:rsidRPr="00A60A4F" w:rsidRDefault="003335D4" w:rsidP="00A60A4F">
      <w:pPr>
        <w:rPr>
          <w:lang w:val="ar-SA" w:bidi="ar-EG"/>
        </w:rPr>
      </w:pPr>
      <w:r>
        <w:t>2.6</w:t>
      </w:r>
      <w:r w:rsidR="00A60A4F" w:rsidRPr="00A60A4F">
        <w:rPr>
          <w:rtl/>
        </w:rPr>
        <w:tab/>
        <w:t xml:space="preserve">ورحب أعضاء المجلس بالتقرير الذي يعكس اتساع نطاق الأنشطة المتصلة بالإنترنت التي ينفذها الاتحاد. وشدد العديد من أعضاء المجلس على أهمية تسهيل اعتماد الإصدار السادس لبروتوكول الإنترنت </w:t>
      </w:r>
      <w:r w:rsidR="00D016F9">
        <w:t>(IPv6)</w:t>
      </w:r>
      <w:r w:rsidR="00A60A4F" w:rsidRPr="00A60A4F">
        <w:rPr>
          <w:rtl/>
        </w:rPr>
        <w:t>، وهو أمر بالغ الأهمية لتوسيع نطاق الرقمنة والتوصيلية الهادفة على حد سواء.</w:t>
      </w:r>
    </w:p>
    <w:p w14:paraId="217A05F6" w14:textId="185E44EB" w:rsidR="00A60A4F" w:rsidRPr="00A60A4F" w:rsidRDefault="003335D4" w:rsidP="00A60A4F">
      <w:pPr>
        <w:rPr>
          <w:lang w:val="ar-SA" w:bidi="ar-EG"/>
        </w:rPr>
      </w:pPr>
      <w:r>
        <w:t>3.6</w:t>
      </w:r>
      <w:r w:rsidR="00A60A4F" w:rsidRPr="00A60A4F">
        <w:rPr>
          <w:rtl/>
        </w:rPr>
        <w:tab/>
        <w:t xml:space="preserve">واقترح أحد أعضاء المجلس إدراج بعض الأعمال الأخرى المُنفَّذة في قطاعي الاتصالات الراديوية وتقييس الاتصالات في الاتحاد، مثل إطار الاتحاد بشأن الاتصالات المتنقلة الدولية لعام 2030، وتكنولوجيات النقل البصرية الجديدة والناشئة، والشبكات البصرية الدولية نحو عام 2030 وما بعده </w:t>
      </w:r>
      <w:r w:rsidR="00D016F9">
        <w:t>(ION</w:t>
      </w:r>
      <w:r w:rsidR="00D016F9">
        <w:noBreakHyphen/>
        <w:t>2030)</w:t>
      </w:r>
      <w:r w:rsidR="00A60A4F" w:rsidRPr="00A60A4F">
        <w:rPr>
          <w:rtl/>
        </w:rPr>
        <w:t>، والبنية التحتية للكبلات البحرية، والاتصالات الساتلية. ومن شأن الاضطلاع بذلك أن يعزز العمل القيِّم الذي يُنفَّذ في الاتحاد وعلى مستوى الأمم المتحدة.</w:t>
      </w:r>
    </w:p>
    <w:p w14:paraId="61437F4A" w14:textId="7AC113A9" w:rsidR="00A60A4F" w:rsidRPr="00A60A4F" w:rsidRDefault="003335D4" w:rsidP="00A60A4F">
      <w:pPr>
        <w:rPr>
          <w:lang w:val="ar-SA" w:bidi="ar-EG"/>
        </w:rPr>
      </w:pPr>
      <w:r>
        <w:t>4.6</w:t>
      </w:r>
      <w:r w:rsidR="00A60A4F" w:rsidRPr="00A60A4F">
        <w:rPr>
          <w:rtl/>
        </w:rPr>
        <w:tab/>
        <w:t>واقترح بعض أعضاء المجلس أن تشير التقارير المقبلة صراحةً إلى التعليمات الواردة في تلك القرارات التي تناولتها الوثيقة، وأن تبلِّغ عن التقدم المحرز أو غير المحرز في تنفيذ تلك التعليمات، من أجل منح الدول الأعضاء رؤية أوضح بشأن العمل الجاري بموجب كل قرار ومساعدتها على الاستعداد للمؤتمرات والجمعيات المقبلة.</w:t>
      </w:r>
    </w:p>
    <w:p w14:paraId="75771A50" w14:textId="5FBFD695" w:rsidR="00A60A4F" w:rsidRPr="00A60A4F" w:rsidRDefault="003335D4" w:rsidP="00A60A4F">
      <w:pPr>
        <w:rPr>
          <w:lang w:val="ar-SA" w:bidi="ar-EG"/>
        </w:rPr>
      </w:pPr>
      <w:r>
        <w:t>5.6</w:t>
      </w:r>
      <w:r w:rsidR="00A60A4F" w:rsidRPr="00A60A4F">
        <w:rPr>
          <w:rtl/>
        </w:rPr>
        <w:tab/>
        <w:t>وقالت عضوة المجلس من كوبا إن الفقرة 8.2 من الوثيقة C26/33 لا تقدم قائمة شاملة بالحوادث المشمولة بالقرار 69 (المراجَع في الحمامات، 2016) للجمعية العالمية لتقييس الاتصالات، بشأن النفاذ إلى موارد الإنترنت واستعمالها على أساس غير تمييزي. ولم يتسنَّ النفاذ إلى العديد من موارد الإنترنت والمواقع الإلكترونية في كوبا بسبب الإجراءات أحادية الجانب. وأوضحت أن وفدها سيقدم قائمة بهذه الحوادث المُضِرَّة ببلدها ويمكن إلحاقها بالتقرير. وأفادت بأن عدم النفاذ إلى هذه الموارد أدى، بالتبعية، إلى عدم الحصول على المعارف والخبرات المتعلقة بالتطورات اللازمة للتحول الرقمي. وعلاوةً على ذلك، قيّد تطوير البنية التحتية للشبكات والتكنولوجيات الجديدة التي يمكن أن تساعد على تلبية طلبات سكان كوبا فيما يتعلق بخدمات الإنترنت وحركة البيانات وجودة الخدمة، في حين ألحق أضراراً أيضاً بالتنمية الاجتماعية والاقتصادية على نطاق أوسع.</w:t>
      </w:r>
    </w:p>
    <w:p w14:paraId="7539667F" w14:textId="3F80B748" w:rsidR="00A60A4F" w:rsidRPr="00A60A4F" w:rsidRDefault="003335D4" w:rsidP="00A60A4F">
      <w:pPr>
        <w:rPr>
          <w:lang w:val="ar-SA" w:bidi="ar-EG"/>
        </w:rPr>
      </w:pPr>
      <w:r>
        <w:t>6.6</w:t>
      </w:r>
      <w:r w:rsidR="00A60A4F" w:rsidRPr="00A60A4F">
        <w:rPr>
          <w:rtl/>
        </w:rPr>
        <w:tab/>
        <w:t>وشكر ممثل الأمانة العامة أعضاء المجلس على تعليقاتهم، وأشار إلى استلام جميع المدخلات وأوضح أنه سيتم أخذها بعين الاعتبار عند إعداد التقارير اللاحقة.</w:t>
      </w:r>
    </w:p>
    <w:p w14:paraId="361E04A8" w14:textId="76B6BCCE" w:rsidR="00A60A4F" w:rsidRPr="00A60A4F" w:rsidRDefault="003335D4" w:rsidP="00A60A4F">
      <w:pPr>
        <w:rPr>
          <w:lang w:val="ar-SA" w:bidi="ar-EG"/>
        </w:rPr>
      </w:pPr>
      <w:r>
        <w:t>7.6</w:t>
      </w:r>
      <w:r w:rsidR="00A60A4F" w:rsidRPr="00A60A4F">
        <w:rPr>
          <w:rtl/>
        </w:rPr>
        <w:tab/>
        <w:t>‏و</w:t>
      </w:r>
      <w:r w:rsidR="00A60A4F" w:rsidRPr="00A60A4F">
        <w:rPr>
          <w:b/>
          <w:bCs/>
          <w:rtl/>
        </w:rPr>
        <w:t>أحاط</w:t>
      </w:r>
      <w:r w:rsidR="00A60A4F" w:rsidRPr="00A60A4F">
        <w:rPr>
          <w:rtl/>
        </w:rPr>
        <w:t xml:space="preserve"> المجلس </w:t>
      </w:r>
      <w:r w:rsidR="00A60A4F" w:rsidRPr="00A60A4F">
        <w:rPr>
          <w:b/>
          <w:bCs/>
          <w:rtl/>
        </w:rPr>
        <w:t xml:space="preserve">علماً </w:t>
      </w:r>
      <w:r w:rsidR="00A60A4F" w:rsidRPr="00A60A4F">
        <w:rPr>
          <w:rtl/>
        </w:rPr>
        <w:t>بالتقرير الوارد بالوثيقة C26/33 و</w:t>
      </w:r>
      <w:r w:rsidR="00A60A4F" w:rsidRPr="00A60A4F">
        <w:rPr>
          <w:b/>
          <w:bCs/>
          <w:rtl/>
        </w:rPr>
        <w:t>دعا</w:t>
      </w:r>
      <w:r w:rsidR="00A60A4F" w:rsidRPr="00A60A4F">
        <w:rPr>
          <w:rtl/>
        </w:rPr>
        <w:t xml:space="preserve"> الدول الأعضاء في المجلس إلى تقديم أي آراء كتابةً بحلول منتصف نهار يوم الإثنين 4 مايو 2026‏ بتوقيت جنيف، بهدف إحالة التقرير إلى الأمين العام للأمم المتحدة، مشفوعاً بتجميع لآراء الدول الأعضاء في المجلس والمحاضر الموجزة ذات الصلة، مع ملاحظة توضيحية.</w:t>
      </w:r>
      <w:bookmarkEnd w:id="0"/>
    </w:p>
    <w:p w14:paraId="3EF493DB" w14:textId="1F7E84A5" w:rsidR="00A60A4F" w:rsidRPr="0088120C" w:rsidRDefault="00A60A4F" w:rsidP="00D016F9">
      <w:pPr>
        <w:tabs>
          <w:tab w:val="clear" w:pos="794"/>
          <w:tab w:val="left" w:pos="4818"/>
        </w:tabs>
        <w:spacing w:before="480"/>
        <w:rPr>
          <w:lang w:val="ar-SA" w:bidi="ar-EG"/>
        </w:rPr>
      </w:pPr>
      <w:r w:rsidRPr="00A60A4F">
        <w:rPr>
          <w:rtl/>
        </w:rPr>
        <w:t>الأمينة العامة</w:t>
      </w:r>
      <w:r w:rsidRPr="00A60A4F">
        <w:rPr>
          <w:rtl/>
        </w:rPr>
        <w:tab/>
        <w:t xml:space="preserve">الرئيس: </w:t>
      </w:r>
      <w:r w:rsidR="00202ECB">
        <w:br/>
      </w:r>
      <w:r w:rsidRPr="0088120C">
        <w:rPr>
          <w:rtl/>
        </w:rPr>
        <w:t>د. بوغدان-مارتن</w:t>
      </w:r>
      <w:r w:rsidRPr="0088120C">
        <w:rPr>
          <w:rtl/>
        </w:rPr>
        <w:tab/>
        <w:t>ب. تيجاني</w:t>
      </w:r>
    </w:p>
    <w:sectPr w:rsidR="00A60A4F" w:rsidRPr="0088120C" w:rsidSect="006F363C">
      <w:footerReference w:type="default" r:id="rId23"/>
      <w:headerReference w:type="first" r:id="rId24"/>
      <w:footerReference w:type="first" r:id="rId25"/>
      <w:type w:val="oddPage"/>
      <w:pgSz w:w="11907" w:h="16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DB870" w14:textId="77777777" w:rsidR="00184247" w:rsidRDefault="00184247" w:rsidP="006C3242">
      <w:pPr>
        <w:spacing w:before="0" w:line="240" w:lineRule="auto"/>
      </w:pPr>
      <w:r>
        <w:separator/>
      </w:r>
    </w:p>
  </w:endnote>
  <w:endnote w:type="continuationSeparator" w:id="0">
    <w:p w14:paraId="571506A9" w14:textId="77777777" w:rsidR="00184247" w:rsidRDefault="00184247"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7"/>
      <w:gridCol w:w="7874"/>
      <w:gridCol w:w="443"/>
    </w:tblGrid>
    <w:tr w:rsidR="00F50E3F" w:rsidRPr="007B0AA0" w14:paraId="25D39BB5" w14:textId="77777777" w:rsidTr="00A67F05">
      <w:trPr>
        <w:jc w:val="center"/>
      </w:trPr>
      <w:tc>
        <w:tcPr>
          <w:tcW w:w="868" w:type="pct"/>
          <w:vAlign w:val="center"/>
        </w:tcPr>
        <w:p w14:paraId="06E68553" w14:textId="6B795E9E" w:rsidR="00F50E3F" w:rsidRPr="00A60A4F" w:rsidRDefault="00A60A4F" w:rsidP="0088120C">
          <w:pPr>
            <w:tabs>
              <w:tab w:val="clear" w:pos="794"/>
            </w:tabs>
            <w:overflowPunct w:val="0"/>
            <w:autoSpaceDE w:val="0"/>
            <w:autoSpaceDN w:val="0"/>
            <w:bidi w:val="0"/>
            <w:adjustRightInd w:val="0"/>
            <w:spacing w:before="0" w:after="0" w:line="240" w:lineRule="auto"/>
            <w:jc w:val="right"/>
            <w:textAlignment w:val="baseline"/>
            <w:rPr>
              <w:rFonts w:ascii="Calibri" w:hAnsi="Calibri" w:cs="Arial"/>
              <w:noProof/>
              <w:sz w:val="18"/>
            </w:rPr>
          </w:pPr>
          <w:r w:rsidRPr="00A60A4F">
            <w:rPr>
              <w:rFonts w:ascii="Calibri" w:hAnsi="Calibri" w:cs="Arial"/>
              <w:sz w:val="18"/>
              <w:szCs w:val="14"/>
              <w:lang w:val="en-US"/>
            </w:rPr>
            <w:t>2601341</w:t>
          </w:r>
        </w:p>
      </w:tc>
      <w:tc>
        <w:tcPr>
          <w:tcW w:w="3912" w:type="pct"/>
        </w:tcPr>
        <w:p w14:paraId="549573A7" w14:textId="2A370826" w:rsidR="00F50E3F" w:rsidRPr="007B0AA0" w:rsidRDefault="00F50E3F" w:rsidP="0088120C">
          <w:pPr>
            <w:tabs>
              <w:tab w:val="clear" w:pos="794"/>
              <w:tab w:val="left" w:pos="862"/>
              <w:tab w:val="right" w:pos="8505"/>
              <w:tab w:val="right" w:pos="9639"/>
            </w:tabs>
            <w:overflowPunct w:val="0"/>
            <w:autoSpaceDE w:val="0"/>
            <w:autoSpaceDN w:val="0"/>
            <w:adjustRightInd w:val="0"/>
            <w:spacing w:before="0" w:after="0" w:line="240" w:lineRule="auto"/>
            <w:jc w:val="right"/>
            <w:textAlignment w:val="baseline"/>
            <w:rPr>
              <w:rFonts w:ascii="Arial" w:hAnsi="Arial" w:cs="Arial"/>
              <w:b/>
              <w:bCs/>
              <w:color w:val="7F7F7F"/>
              <w:sz w:val="18"/>
              <w:szCs w:val="18"/>
            </w:rPr>
          </w:pPr>
          <w:r w:rsidRPr="007B0AA0">
            <w:rPr>
              <w:rFonts w:ascii="Calibri" w:hAnsi="Calibri" w:cs="Arial"/>
              <w:bCs/>
              <w:color w:val="7F7F7F"/>
              <w:sz w:val="18"/>
            </w:rPr>
            <w:t>C2</w:t>
          </w:r>
          <w:r w:rsidR="000116AF">
            <w:rPr>
              <w:rFonts w:ascii="Calibri" w:hAnsi="Calibri" w:cs="Arial"/>
              <w:bCs/>
              <w:color w:val="7F7F7F"/>
              <w:sz w:val="18"/>
            </w:rPr>
            <w:t>6</w:t>
          </w:r>
          <w:r w:rsidRPr="007B0AA0">
            <w:rPr>
              <w:rFonts w:ascii="Calibri" w:hAnsi="Calibri" w:cs="Arial"/>
              <w:bCs/>
              <w:color w:val="7F7F7F"/>
              <w:sz w:val="18"/>
            </w:rPr>
            <w:t>/</w:t>
          </w:r>
          <w:r w:rsidR="00A60A4F">
            <w:rPr>
              <w:rFonts w:ascii="Calibri" w:hAnsi="Calibri" w:cs="Arial"/>
              <w:bCs/>
              <w:color w:val="7F7F7F"/>
              <w:sz w:val="18"/>
            </w:rPr>
            <w:t>121</w:t>
          </w:r>
          <w:r w:rsidRPr="007B0AA0">
            <w:rPr>
              <w:rFonts w:ascii="Calibri" w:hAnsi="Calibri" w:cs="Arial"/>
              <w:bCs/>
              <w:color w:val="7F7F7F"/>
              <w:sz w:val="18"/>
            </w:rPr>
            <w:t>-</w:t>
          </w:r>
          <w:r>
            <w:rPr>
              <w:rFonts w:ascii="Calibri" w:hAnsi="Calibri" w:cs="Arial"/>
              <w:bCs/>
              <w:color w:val="7F7F7F"/>
              <w:sz w:val="18"/>
            </w:rPr>
            <w:t>A</w:t>
          </w:r>
        </w:p>
      </w:tc>
      <w:tc>
        <w:tcPr>
          <w:tcW w:w="220" w:type="pct"/>
        </w:tcPr>
        <w:p w14:paraId="0482B7D8" w14:textId="77777777" w:rsidR="00F50E3F" w:rsidRPr="007B0AA0" w:rsidRDefault="00F50E3F" w:rsidP="0088120C">
          <w:pPr>
            <w:tabs>
              <w:tab w:val="clear" w:pos="794"/>
              <w:tab w:val="left" w:pos="862"/>
              <w:tab w:val="right" w:pos="8505"/>
              <w:tab w:val="right" w:pos="9639"/>
            </w:tabs>
            <w:overflowPunct w:val="0"/>
            <w:autoSpaceDE w:val="0"/>
            <w:autoSpaceDN w:val="0"/>
            <w:adjustRightInd w:val="0"/>
            <w:spacing w:before="0" w:after="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cs="Arial"/>
              <w:color w:val="7F7F7F"/>
              <w:sz w:val="18"/>
            </w:rPr>
            <w:t>1</w:t>
          </w:r>
          <w:r w:rsidRPr="007B0AA0">
            <w:rPr>
              <w:rFonts w:ascii="Calibri" w:hAnsi="Calibri" w:cs="Arial"/>
              <w:noProof/>
              <w:color w:val="7F7F7F"/>
              <w:sz w:val="18"/>
            </w:rPr>
            <w:fldChar w:fldCharType="end"/>
          </w:r>
        </w:p>
      </w:tc>
    </w:tr>
  </w:tbl>
  <w:p w14:paraId="4209381C" w14:textId="77777777" w:rsidR="006C3242" w:rsidRPr="00077A58" w:rsidRDefault="006C3242" w:rsidP="00077A58">
    <w:pPr>
      <w:pStyle w:val="Footer"/>
      <w:tabs>
        <w:tab w:val="clear" w:pos="4153"/>
        <w:tab w:val="clear" w:pos="8306"/>
        <w:tab w:val="center" w:pos="5103"/>
        <w:tab w:val="right" w:pos="9639"/>
      </w:tabs>
      <w:spacing w:after="0"/>
      <w:rPr>
        <w:sz w:val="2"/>
        <w:szCs w:val="2"/>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39"/>
      <w:gridCol w:w="7584"/>
      <w:gridCol w:w="441"/>
    </w:tblGrid>
    <w:tr w:rsidR="007B0AA0" w:rsidRPr="007B0AA0" w14:paraId="4CFB8259" w14:textId="77777777" w:rsidTr="00A67F05">
      <w:trPr>
        <w:jc w:val="center"/>
      </w:trPr>
      <w:tc>
        <w:tcPr>
          <w:tcW w:w="1013" w:type="pct"/>
          <w:vAlign w:val="center"/>
        </w:tcPr>
        <w:p w14:paraId="32E7857C" w14:textId="77777777" w:rsidR="007B0AA0" w:rsidRPr="000116AF" w:rsidRDefault="000116AF" w:rsidP="0088120C">
          <w:pPr>
            <w:tabs>
              <w:tab w:val="clear" w:pos="794"/>
            </w:tabs>
            <w:overflowPunct w:val="0"/>
            <w:autoSpaceDE w:val="0"/>
            <w:autoSpaceDN w:val="0"/>
            <w:bidi w:val="0"/>
            <w:adjustRightInd w:val="0"/>
            <w:spacing w:before="0" w:after="0" w:line="240" w:lineRule="auto"/>
            <w:jc w:val="right"/>
            <w:textAlignment w:val="baseline"/>
            <w:rPr>
              <w:rFonts w:ascii="Calibri" w:hAnsi="Calibri" w:cs="Arial"/>
              <w:noProof/>
              <w:color w:val="7F7F7F"/>
              <w:sz w:val="18"/>
              <w:szCs w:val="18"/>
            </w:rPr>
          </w:pPr>
          <w:hyperlink r:id="rId1" w:anchor="/ar" w:history="1">
            <w:r w:rsidRPr="000116AF">
              <w:rPr>
                <w:rStyle w:val="Hyperlink"/>
                <w:noProof w:val="0"/>
                <w:sz w:val="18"/>
                <w:szCs w:val="18"/>
                <w:lang w:val="en-US"/>
              </w:rPr>
              <w:t>council.itu.int/2026</w:t>
            </w:r>
          </w:hyperlink>
        </w:p>
      </w:tc>
      <w:tc>
        <w:tcPr>
          <w:tcW w:w="3768" w:type="pct"/>
        </w:tcPr>
        <w:p w14:paraId="76F8B432" w14:textId="5EBAE4BF" w:rsidR="007B0AA0" w:rsidRPr="007B0AA0" w:rsidRDefault="007B0AA0" w:rsidP="0088120C">
          <w:pPr>
            <w:tabs>
              <w:tab w:val="clear" w:pos="794"/>
              <w:tab w:val="left" w:pos="862"/>
              <w:tab w:val="right" w:pos="8505"/>
              <w:tab w:val="right" w:pos="9639"/>
            </w:tabs>
            <w:overflowPunct w:val="0"/>
            <w:autoSpaceDE w:val="0"/>
            <w:autoSpaceDN w:val="0"/>
            <w:adjustRightInd w:val="0"/>
            <w:spacing w:before="0" w:after="0" w:line="240" w:lineRule="auto"/>
            <w:jc w:val="right"/>
            <w:textAlignment w:val="baseline"/>
            <w:rPr>
              <w:rFonts w:ascii="Arial" w:hAnsi="Arial" w:cs="Arial"/>
              <w:b/>
              <w:bCs/>
              <w:color w:val="7F7F7F"/>
              <w:sz w:val="18"/>
              <w:szCs w:val="18"/>
            </w:rPr>
          </w:pPr>
          <w:r w:rsidRPr="007B0AA0">
            <w:rPr>
              <w:rFonts w:ascii="Calibri" w:hAnsi="Calibri" w:cs="Arial"/>
              <w:bCs/>
              <w:color w:val="7F7F7F"/>
              <w:sz w:val="18"/>
            </w:rPr>
            <w:t>C2</w:t>
          </w:r>
          <w:r w:rsidR="000116AF">
            <w:rPr>
              <w:rFonts w:ascii="Calibri" w:hAnsi="Calibri" w:cs="Arial"/>
              <w:bCs/>
              <w:color w:val="7F7F7F"/>
              <w:sz w:val="18"/>
            </w:rPr>
            <w:t>6</w:t>
          </w:r>
          <w:r w:rsidRPr="007B0AA0">
            <w:rPr>
              <w:rFonts w:ascii="Calibri" w:hAnsi="Calibri" w:cs="Arial"/>
              <w:bCs/>
              <w:color w:val="7F7F7F"/>
              <w:sz w:val="18"/>
            </w:rPr>
            <w:t>/</w:t>
          </w:r>
          <w:r w:rsidR="00A60A4F">
            <w:rPr>
              <w:rFonts w:ascii="Calibri" w:hAnsi="Calibri" w:cs="Arial"/>
              <w:bCs/>
              <w:color w:val="7F7F7F"/>
              <w:sz w:val="18"/>
            </w:rPr>
            <w:t>121</w:t>
          </w:r>
          <w:r w:rsidRPr="007B0AA0">
            <w:rPr>
              <w:rFonts w:ascii="Calibri" w:hAnsi="Calibri" w:cs="Arial"/>
              <w:bCs/>
              <w:color w:val="7F7F7F"/>
              <w:sz w:val="18"/>
            </w:rPr>
            <w:t>-</w:t>
          </w:r>
          <w:r>
            <w:rPr>
              <w:rFonts w:ascii="Calibri" w:hAnsi="Calibri" w:cs="Arial"/>
              <w:bCs/>
              <w:color w:val="7F7F7F"/>
              <w:sz w:val="18"/>
            </w:rPr>
            <w:t>A</w:t>
          </w:r>
        </w:p>
      </w:tc>
      <w:tc>
        <w:tcPr>
          <w:tcW w:w="220" w:type="pct"/>
        </w:tcPr>
        <w:p w14:paraId="3E25D8D0" w14:textId="77777777" w:rsidR="007B0AA0" w:rsidRPr="007B0AA0" w:rsidRDefault="00F50E3F" w:rsidP="0088120C">
          <w:pPr>
            <w:tabs>
              <w:tab w:val="clear" w:pos="794"/>
              <w:tab w:val="left" w:pos="862"/>
              <w:tab w:val="right" w:pos="8505"/>
              <w:tab w:val="right" w:pos="9639"/>
            </w:tabs>
            <w:overflowPunct w:val="0"/>
            <w:autoSpaceDE w:val="0"/>
            <w:autoSpaceDN w:val="0"/>
            <w:adjustRightInd w:val="0"/>
            <w:spacing w:before="0" w:after="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cs="Arial"/>
              <w:color w:val="7F7F7F"/>
              <w:sz w:val="18"/>
            </w:rPr>
            <w:t>1</w:t>
          </w:r>
          <w:r w:rsidRPr="007B0AA0">
            <w:rPr>
              <w:rFonts w:ascii="Calibri" w:hAnsi="Calibri" w:cs="Arial"/>
              <w:noProof/>
              <w:color w:val="7F7F7F"/>
              <w:sz w:val="18"/>
            </w:rPr>
            <w:fldChar w:fldCharType="end"/>
          </w:r>
        </w:p>
      </w:tc>
    </w:tr>
  </w:tbl>
  <w:p w14:paraId="67C4618D" w14:textId="77777777" w:rsidR="0006468A" w:rsidRPr="00077A58" w:rsidRDefault="0006468A" w:rsidP="00077A58">
    <w:pPr>
      <w:pStyle w:val="Footer"/>
      <w:tabs>
        <w:tab w:val="clear" w:pos="4153"/>
        <w:tab w:val="clear" w:pos="8306"/>
        <w:tab w:val="center" w:pos="5103"/>
        <w:tab w:val="right" w:pos="9639"/>
      </w:tabs>
      <w:spacing w:after="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A7EEA" w14:textId="77777777" w:rsidR="00184247" w:rsidRDefault="00184247" w:rsidP="006C3242">
      <w:pPr>
        <w:spacing w:before="0" w:line="240" w:lineRule="auto"/>
      </w:pPr>
      <w:r>
        <w:separator/>
      </w:r>
    </w:p>
  </w:footnote>
  <w:footnote w:type="continuationSeparator" w:id="0">
    <w:p w14:paraId="15763819" w14:textId="77777777" w:rsidR="00184247" w:rsidRDefault="00184247" w:rsidP="006C32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BC445" w14:textId="77777777" w:rsidR="001A3E13" w:rsidRPr="00057769" w:rsidRDefault="001A3E13" w:rsidP="001A3E13">
    <w:pPr>
      <w:pStyle w:val="Header"/>
    </w:pPr>
    <w:r>
      <w:rPr>
        <w:noProof/>
      </w:rPr>
      <w:drawing>
        <wp:inline distT="0" distB="0" distL="0" distR="0" wp14:anchorId="66F1A74A" wp14:editId="5FABB0ED">
          <wp:extent cx="5760085" cy="840740"/>
          <wp:effectExtent l="0" t="0" r="0" b="0"/>
          <wp:docPr id="1496537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537511" name="Picture 1496537511"/>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838345589">
    <w:abstractNumId w:val="9"/>
  </w:num>
  <w:num w:numId="2" w16cid:durableId="1774472849">
    <w:abstractNumId w:val="7"/>
  </w:num>
  <w:num w:numId="3" w16cid:durableId="923494626">
    <w:abstractNumId w:val="6"/>
  </w:num>
  <w:num w:numId="4" w16cid:durableId="442574474">
    <w:abstractNumId w:val="5"/>
  </w:num>
  <w:num w:numId="5" w16cid:durableId="1628318554">
    <w:abstractNumId w:val="4"/>
  </w:num>
  <w:num w:numId="6" w16cid:durableId="2075542342">
    <w:abstractNumId w:val="8"/>
  </w:num>
  <w:num w:numId="7" w16cid:durableId="1174762821">
    <w:abstractNumId w:val="3"/>
  </w:num>
  <w:num w:numId="8" w16cid:durableId="201795547">
    <w:abstractNumId w:val="2"/>
  </w:num>
  <w:num w:numId="9" w16cid:durableId="355010693">
    <w:abstractNumId w:val="1"/>
  </w:num>
  <w:num w:numId="10" w16cid:durableId="844200481">
    <w:abstractNumId w:val="0"/>
  </w:num>
  <w:num w:numId="11" w16cid:durableId="11048383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A4F"/>
    <w:rsid w:val="000116AF"/>
    <w:rsid w:val="0006468A"/>
    <w:rsid w:val="0006579C"/>
    <w:rsid w:val="00077A58"/>
    <w:rsid w:val="00090574"/>
    <w:rsid w:val="000C1C0E"/>
    <w:rsid w:val="000C548A"/>
    <w:rsid w:val="0011332D"/>
    <w:rsid w:val="00184247"/>
    <w:rsid w:val="00191059"/>
    <w:rsid w:val="00193F14"/>
    <w:rsid w:val="001A1254"/>
    <w:rsid w:val="001A3E13"/>
    <w:rsid w:val="001B6E2B"/>
    <w:rsid w:val="001C0169"/>
    <w:rsid w:val="001C0C21"/>
    <w:rsid w:val="001D1D50"/>
    <w:rsid w:val="001D64C7"/>
    <w:rsid w:val="001D6745"/>
    <w:rsid w:val="001E446E"/>
    <w:rsid w:val="001F4406"/>
    <w:rsid w:val="001F4E3C"/>
    <w:rsid w:val="00202ECB"/>
    <w:rsid w:val="002154EE"/>
    <w:rsid w:val="002276D2"/>
    <w:rsid w:val="0023283D"/>
    <w:rsid w:val="00254393"/>
    <w:rsid w:val="0026373E"/>
    <w:rsid w:val="00271C43"/>
    <w:rsid w:val="00277C28"/>
    <w:rsid w:val="00290728"/>
    <w:rsid w:val="002978F4"/>
    <w:rsid w:val="002B028D"/>
    <w:rsid w:val="002C3F32"/>
    <w:rsid w:val="002E6541"/>
    <w:rsid w:val="003031A0"/>
    <w:rsid w:val="003335D4"/>
    <w:rsid w:val="00334924"/>
    <w:rsid w:val="003409BC"/>
    <w:rsid w:val="00357185"/>
    <w:rsid w:val="00383829"/>
    <w:rsid w:val="003F0756"/>
    <w:rsid w:val="003F4B29"/>
    <w:rsid w:val="00410B26"/>
    <w:rsid w:val="00420F8A"/>
    <w:rsid w:val="0042686F"/>
    <w:rsid w:val="004317D8"/>
    <w:rsid w:val="0043260A"/>
    <w:rsid w:val="00434183"/>
    <w:rsid w:val="00443869"/>
    <w:rsid w:val="00447F32"/>
    <w:rsid w:val="00491BA9"/>
    <w:rsid w:val="00494119"/>
    <w:rsid w:val="004A4701"/>
    <w:rsid w:val="004B43BA"/>
    <w:rsid w:val="004B7334"/>
    <w:rsid w:val="004E11DC"/>
    <w:rsid w:val="005130DE"/>
    <w:rsid w:val="00513157"/>
    <w:rsid w:val="00525DDD"/>
    <w:rsid w:val="005409AC"/>
    <w:rsid w:val="005434E0"/>
    <w:rsid w:val="005546CF"/>
    <w:rsid w:val="0055516A"/>
    <w:rsid w:val="0058491B"/>
    <w:rsid w:val="00592EA5"/>
    <w:rsid w:val="005A3170"/>
    <w:rsid w:val="00621DB9"/>
    <w:rsid w:val="00657019"/>
    <w:rsid w:val="00660DEA"/>
    <w:rsid w:val="00675F66"/>
    <w:rsid w:val="00677396"/>
    <w:rsid w:val="00683F16"/>
    <w:rsid w:val="0069200F"/>
    <w:rsid w:val="006976DF"/>
    <w:rsid w:val="006A65CB"/>
    <w:rsid w:val="006B12E5"/>
    <w:rsid w:val="006C3242"/>
    <w:rsid w:val="006C7CC0"/>
    <w:rsid w:val="006F363C"/>
    <w:rsid w:val="006F63F7"/>
    <w:rsid w:val="00701FE3"/>
    <w:rsid w:val="007025C7"/>
    <w:rsid w:val="00706D7A"/>
    <w:rsid w:val="0071524E"/>
    <w:rsid w:val="00722F0D"/>
    <w:rsid w:val="00735081"/>
    <w:rsid w:val="0074420E"/>
    <w:rsid w:val="007648A6"/>
    <w:rsid w:val="0077110E"/>
    <w:rsid w:val="00783E26"/>
    <w:rsid w:val="007A6684"/>
    <w:rsid w:val="007B0AA0"/>
    <w:rsid w:val="007C3BC7"/>
    <w:rsid w:val="007C3BCD"/>
    <w:rsid w:val="007D4ACF"/>
    <w:rsid w:val="007F0787"/>
    <w:rsid w:val="00810B7B"/>
    <w:rsid w:val="0082358A"/>
    <w:rsid w:val="008235CD"/>
    <w:rsid w:val="008247DE"/>
    <w:rsid w:val="008339C0"/>
    <w:rsid w:val="00840B10"/>
    <w:rsid w:val="008513CB"/>
    <w:rsid w:val="00874E9F"/>
    <w:rsid w:val="0088120C"/>
    <w:rsid w:val="008A7F84"/>
    <w:rsid w:val="0091702E"/>
    <w:rsid w:val="00923B0C"/>
    <w:rsid w:val="00924F46"/>
    <w:rsid w:val="00935AAC"/>
    <w:rsid w:val="0093725D"/>
    <w:rsid w:val="0094021C"/>
    <w:rsid w:val="009458E0"/>
    <w:rsid w:val="00952F86"/>
    <w:rsid w:val="0096716C"/>
    <w:rsid w:val="00982B28"/>
    <w:rsid w:val="009868AC"/>
    <w:rsid w:val="00995701"/>
    <w:rsid w:val="009D313F"/>
    <w:rsid w:val="009D47D3"/>
    <w:rsid w:val="00A47A5A"/>
    <w:rsid w:val="00A60A4F"/>
    <w:rsid w:val="00A63AE6"/>
    <w:rsid w:val="00A6683B"/>
    <w:rsid w:val="00A67F05"/>
    <w:rsid w:val="00A97F94"/>
    <w:rsid w:val="00AA7EA2"/>
    <w:rsid w:val="00AB5A56"/>
    <w:rsid w:val="00AD654F"/>
    <w:rsid w:val="00B03099"/>
    <w:rsid w:val="00B05BC8"/>
    <w:rsid w:val="00B30F5E"/>
    <w:rsid w:val="00B4018F"/>
    <w:rsid w:val="00B64B47"/>
    <w:rsid w:val="00B95654"/>
    <w:rsid w:val="00B97F32"/>
    <w:rsid w:val="00BA04B2"/>
    <w:rsid w:val="00C002DE"/>
    <w:rsid w:val="00C0602B"/>
    <w:rsid w:val="00C224DA"/>
    <w:rsid w:val="00C53BF8"/>
    <w:rsid w:val="00C66157"/>
    <w:rsid w:val="00C674FE"/>
    <w:rsid w:val="00C67501"/>
    <w:rsid w:val="00C75633"/>
    <w:rsid w:val="00CE2EE1"/>
    <w:rsid w:val="00CE3349"/>
    <w:rsid w:val="00CE36E5"/>
    <w:rsid w:val="00CE4360"/>
    <w:rsid w:val="00CF27F5"/>
    <w:rsid w:val="00CF3FFD"/>
    <w:rsid w:val="00D016F9"/>
    <w:rsid w:val="00D10CCF"/>
    <w:rsid w:val="00D13941"/>
    <w:rsid w:val="00D23F5F"/>
    <w:rsid w:val="00D43F7D"/>
    <w:rsid w:val="00D63735"/>
    <w:rsid w:val="00D77D0F"/>
    <w:rsid w:val="00DA1CF0"/>
    <w:rsid w:val="00DA6A30"/>
    <w:rsid w:val="00DC1E02"/>
    <w:rsid w:val="00DC24B4"/>
    <w:rsid w:val="00DC5FB0"/>
    <w:rsid w:val="00DF16DC"/>
    <w:rsid w:val="00E45211"/>
    <w:rsid w:val="00E473C5"/>
    <w:rsid w:val="00E61BE8"/>
    <w:rsid w:val="00E83FF1"/>
    <w:rsid w:val="00E92863"/>
    <w:rsid w:val="00E9680E"/>
    <w:rsid w:val="00E979B2"/>
    <w:rsid w:val="00EB796D"/>
    <w:rsid w:val="00EF40FD"/>
    <w:rsid w:val="00F058DC"/>
    <w:rsid w:val="00F24FC4"/>
    <w:rsid w:val="00F2676C"/>
    <w:rsid w:val="00F363FE"/>
    <w:rsid w:val="00F50E3F"/>
    <w:rsid w:val="00F84366"/>
    <w:rsid w:val="00F85089"/>
    <w:rsid w:val="00F941A3"/>
    <w:rsid w:val="00F974C5"/>
    <w:rsid w:val="00FA3763"/>
    <w:rsid w:val="00FA6F46"/>
    <w:rsid w:val="00FC0E94"/>
    <w:rsid w:val="00FC4592"/>
    <w:rsid w:val="00FD527F"/>
    <w:rsid w:val="00FE5872"/>
    <w:rsid w:val="00FE7F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67752F"/>
  <w15:chartTrackingRefBased/>
  <w15:docId w15:val="{CAE6BC6E-70A6-4A95-A2B1-CE619981F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8E0"/>
    <w:pPr>
      <w:tabs>
        <w:tab w:val="left" w:pos="794"/>
      </w:tabs>
      <w:bidi/>
      <w:spacing w:before="120" w:after="12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_i"/>
    <w:basedOn w:val="Normal"/>
    <w:qFormat/>
    <w:rsid w:val="00F974C5"/>
    <w:pPr>
      <w:keepNext/>
      <w:keepLines/>
      <w:spacing w:before="160"/>
    </w:pPr>
    <w:rPr>
      <w:i/>
      <w:iCs/>
    </w:rPr>
  </w:style>
  <w:style w:type="paragraph" w:customStyle="1" w:styleId="AgendaItem">
    <w:name w:val="Agenda Item"/>
    <w:basedOn w:val="Normal"/>
    <w:qFormat/>
    <w:rsid w:val="00F974C5"/>
    <w:pPr>
      <w:spacing w:before="360"/>
      <w:jc w:val="center"/>
    </w:pPr>
    <w:rPr>
      <w:sz w:val="26"/>
      <w:szCs w:val="26"/>
      <w:lang w:bidi="ar-SY"/>
    </w:rPr>
  </w:style>
  <w:style w:type="paragraph" w:customStyle="1" w:styleId="AnnexNo">
    <w:name w:val="Annex_No"/>
    <w:basedOn w:val="AgendaItem"/>
    <w:qFormat/>
    <w:rsid w:val="00F974C5"/>
  </w:style>
  <w:style w:type="paragraph" w:customStyle="1" w:styleId="Annextitle">
    <w:name w:val="Annex_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_No"/>
    <w:basedOn w:val="Normal"/>
    <w:qFormat/>
    <w:rsid w:val="00F974C5"/>
    <w:pPr>
      <w:keepNext/>
      <w:keepLines/>
      <w:spacing w:before="360"/>
      <w:jc w:val="center"/>
    </w:pPr>
    <w:rPr>
      <w:sz w:val="26"/>
      <w:szCs w:val="26"/>
      <w:lang w:bidi="ar-SY"/>
    </w:rPr>
  </w:style>
  <w:style w:type="paragraph" w:customStyle="1" w:styleId="Appendixtitle">
    <w:name w:val="Appendix_title"/>
    <w:basedOn w:val="Normal"/>
    <w:qFormat/>
    <w:rsid w:val="00F974C5"/>
    <w:pPr>
      <w:keepNext/>
      <w:keepLines/>
      <w:spacing w:after="360"/>
      <w:jc w:val="center"/>
    </w:pPr>
    <w:rPr>
      <w:b/>
      <w:bCs/>
      <w:sz w:val="28"/>
      <w:szCs w:val="28"/>
    </w:rPr>
  </w:style>
  <w:style w:type="paragraph" w:customStyle="1" w:styleId="ArticleNo">
    <w:name w:val="Article_No"/>
    <w:basedOn w:val="Normal"/>
    <w:qFormat/>
    <w:rsid w:val="00F974C5"/>
    <w:pPr>
      <w:keepNext/>
      <w:keepLines/>
      <w:spacing w:after="360"/>
      <w:jc w:val="center"/>
    </w:pPr>
    <w:rPr>
      <w:sz w:val="26"/>
      <w:szCs w:val="26"/>
      <w:lang w:bidi="ar-SY"/>
    </w:rPr>
  </w:style>
  <w:style w:type="paragraph" w:customStyle="1" w:styleId="Articletitle">
    <w:name w:val="Article_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_No"/>
    <w:basedOn w:val="Normal"/>
    <w:qFormat/>
    <w:rsid w:val="00F974C5"/>
    <w:pPr>
      <w:keepNext/>
      <w:keepLines/>
      <w:spacing w:before="600"/>
      <w:jc w:val="center"/>
    </w:pPr>
    <w:rPr>
      <w:sz w:val="28"/>
      <w:szCs w:val="28"/>
      <w:lang w:bidi="ar-SY"/>
    </w:rPr>
  </w:style>
  <w:style w:type="paragraph" w:customStyle="1" w:styleId="Chaptertitle">
    <w:name w:val="Chapter_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1"/>
    <w:basedOn w:val="Normal"/>
    <w:qFormat/>
    <w:rsid w:val="00077A58"/>
    <w:pPr>
      <w:spacing w:before="80" w:after="80"/>
      <w:ind w:left="794" w:hanging="794"/>
      <w:outlineLvl w:val="0"/>
    </w:pPr>
    <w:rPr>
      <w:lang w:bidi="ar-SY"/>
    </w:rPr>
  </w:style>
  <w:style w:type="paragraph" w:customStyle="1" w:styleId="enumlev2">
    <w:name w:val="enumlev2"/>
    <w:basedOn w:val="Normal"/>
    <w:next w:val="enumlev1"/>
    <w:qFormat/>
    <w:rsid w:val="00077A58"/>
    <w:pPr>
      <w:spacing w:before="80" w:after="80"/>
      <w:ind w:left="1588" w:hanging="794"/>
      <w:outlineLvl w:val="1"/>
    </w:pPr>
  </w:style>
  <w:style w:type="paragraph" w:customStyle="1" w:styleId="enumlev3">
    <w:name w:val="enumlev3"/>
    <w:basedOn w:val="Normal"/>
    <w:qFormat/>
    <w:rsid w:val="00077A58"/>
    <w:pPr>
      <w:spacing w:before="80" w:after="80"/>
      <w:ind w:left="2382" w:hanging="794"/>
      <w:outlineLvl w:val="2"/>
    </w:pPr>
    <w:rPr>
      <w:lang w:bidi="ar-SY"/>
    </w:rPr>
  </w:style>
  <w:style w:type="paragraph" w:customStyle="1" w:styleId="Figurelegend">
    <w:name w:val="Figure_legend"/>
    <w:basedOn w:val="Normal"/>
    <w:qFormat/>
    <w:rsid w:val="00F974C5"/>
    <w:pPr>
      <w:spacing w:before="60"/>
    </w:pPr>
    <w:rPr>
      <w:lang w:bidi="ar-SY"/>
    </w:rPr>
  </w:style>
  <w:style w:type="paragraph" w:styleId="FootnoteText">
    <w:name w:val="footnote text"/>
    <w:basedOn w:val="Normal"/>
    <w:link w:val="FootnoteTextChar"/>
    <w:uiPriority w:val="99"/>
    <w:semiHidden/>
    <w:unhideWhenUsed/>
    <w:qFormat/>
    <w:rsid w:val="002E6541"/>
    <w:pPr>
      <w:spacing w:before="60" w:line="168" w:lineRule="auto"/>
    </w:pPr>
    <w:rPr>
      <w:sz w:val="20"/>
      <w:szCs w:val="26"/>
    </w:rPr>
  </w:style>
  <w:style w:type="character" w:styleId="FootnoteReference">
    <w:name w:val="footnote reference"/>
    <w:aliases w:val="Footnote_Reference"/>
    <w:basedOn w:val="DefaultParagraphFont"/>
    <w:uiPriority w:val="99"/>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2E6541"/>
    <w:rPr>
      <w:rFonts w:ascii="Calibri" w:hAnsi="Calibri" w:cs="Traditional Arabic"/>
      <w:sz w:val="20"/>
      <w:szCs w:val="26"/>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_No"/>
    <w:basedOn w:val="Normal"/>
    <w:qFormat/>
    <w:rsid w:val="00F974C5"/>
    <w:pPr>
      <w:keepNext/>
      <w:keepLines/>
      <w:spacing w:before="360"/>
      <w:jc w:val="center"/>
    </w:pPr>
    <w:rPr>
      <w:sz w:val="26"/>
      <w:szCs w:val="26"/>
    </w:rPr>
  </w:style>
  <w:style w:type="paragraph" w:customStyle="1" w:styleId="Parttitle">
    <w:name w:val="Part_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_1"/>
    <w:basedOn w:val="Normal"/>
    <w:qFormat/>
    <w:rsid w:val="00F974C5"/>
    <w:pPr>
      <w:keepNext/>
      <w:spacing w:before="360" w:after="240"/>
      <w:jc w:val="center"/>
    </w:pPr>
    <w:rPr>
      <w:b/>
      <w:bCs/>
      <w:sz w:val="26"/>
      <w:szCs w:val="26"/>
      <w:lang w:bidi="ar-SY"/>
    </w:rPr>
  </w:style>
  <w:style w:type="paragraph" w:customStyle="1" w:styleId="Section2">
    <w:name w:val="Section_2"/>
    <w:basedOn w:val="Section1"/>
    <w:qFormat/>
    <w:rsid w:val="00F974C5"/>
    <w:pPr>
      <w:spacing w:before="240"/>
    </w:pPr>
    <w:rPr>
      <w:b w:val="0"/>
      <w:bCs w:val="0"/>
    </w:rPr>
  </w:style>
  <w:style w:type="paragraph" w:customStyle="1" w:styleId="SectionNo">
    <w:name w:val="Section_No"/>
    <w:basedOn w:val="Normal"/>
    <w:qFormat/>
    <w:rsid w:val="00F974C5"/>
    <w:pPr>
      <w:keepNext/>
      <w:keepLines/>
      <w:spacing w:before="36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jc w:val="center"/>
    </w:pPr>
    <w:rPr>
      <w:b/>
      <w:bCs/>
      <w:sz w:val="32"/>
      <w:szCs w:val="32"/>
    </w:rPr>
  </w:style>
  <w:style w:type="paragraph" w:customStyle="1" w:styleId="FigureNo">
    <w:name w:val="Figure_No"/>
    <w:basedOn w:val="Normal"/>
    <w:qFormat/>
    <w:rsid w:val="00F974C5"/>
    <w:pPr>
      <w:keepNext/>
      <w:spacing w:before="240"/>
      <w:jc w:val="center"/>
    </w:pPr>
    <w:rPr>
      <w:lang w:bidi="ar-SY"/>
    </w:rPr>
  </w:style>
  <w:style w:type="paragraph" w:customStyle="1" w:styleId="Figuretitle">
    <w:name w:val="Figure_title"/>
    <w:basedOn w:val="Normal"/>
    <w:qFormat/>
    <w:rsid w:val="00F974C5"/>
    <w:pPr>
      <w:keepNext/>
      <w:spacing w:after="240"/>
      <w:jc w:val="center"/>
    </w:pPr>
    <w:rPr>
      <w:b/>
      <w:bCs/>
    </w:rPr>
  </w:style>
  <w:style w:type="paragraph" w:customStyle="1" w:styleId="TableNo">
    <w:name w:val="Table_No"/>
    <w:basedOn w:val="Normal"/>
    <w:qFormat/>
    <w:rsid w:val="00F974C5"/>
    <w:pPr>
      <w:keepNext/>
      <w:spacing w:before="240"/>
      <w:jc w:val="center"/>
    </w:pPr>
    <w:rPr>
      <w:lang w:bidi="ar-SY"/>
    </w:rPr>
  </w:style>
  <w:style w:type="paragraph" w:customStyle="1" w:styleId="Tabletitle">
    <w:name w:val="Table_title"/>
    <w:basedOn w:val="TableNo"/>
    <w:qFormat/>
    <w:rsid w:val="00F974C5"/>
    <w:pPr>
      <w:spacing w:before="120" w:after="240"/>
    </w:pPr>
    <w:rPr>
      <w:b/>
      <w:bCs/>
    </w:rPr>
  </w:style>
  <w:style w:type="paragraph" w:customStyle="1" w:styleId="Tablehead">
    <w:name w:val="Table_head"/>
    <w:basedOn w:val="Normal"/>
    <w:qFormat/>
    <w:rsid w:val="00F974C5"/>
    <w:pPr>
      <w:keepNext/>
      <w:spacing w:before="60" w:after="60" w:line="260" w:lineRule="exact"/>
      <w:jc w:val="center"/>
    </w:pPr>
    <w:rPr>
      <w:b/>
      <w:bCs/>
      <w:sz w:val="20"/>
      <w:szCs w:val="20"/>
    </w:rPr>
  </w:style>
  <w:style w:type="paragraph" w:customStyle="1" w:styleId="Tabletexte">
    <w:name w:val="Table_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_No"/>
    <w:basedOn w:val="Normal"/>
    <w:qFormat/>
    <w:rsid w:val="00F974C5"/>
    <w:pPr>
      <w:keepNext/>
      <w:spacing w:before="360"/>
      <w:jc w:val="center"/>
    </w:pPr>
    <w:rPr>
      <w:sz w:val="26"/>
      <w:szCs w:val="26"/>
      <w:lang w:bidi="ar-SY"/>
    </w:rPr>
  </w:style>
  <w:style w:type="paragraph" w:customStyle="1" w:styleId="Volumetitle">
    <w:name w:val="Volume_title"/>
    <w:basedOn w:val="VolumeNo"/>
    <w:qFormat/>
    <w:rsid w:val="00F974C5"/>
    <w:pPr>
      <w:spacing w:before="120" w:after="360"/>
    </w:pPr>
    <w:rPr>
      <w:b/>
      <w:bCs/>
      <w:sz w:val="28"/>
      <w:szCs w:val="28"/>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_No"/>
    <w:basedOn w:val="Normal"/>
    <w:qFormat/>
    <w:rsid w:val="00F974C5"/>
    <w:pPr>
      <w:keepNext/>
      <w:keepLines/>
      <w:spacing w:before="360"/>
      <w:jc w:val="center"/>
    </w:pPr>
    <w:rPr>
      <w:sz w:val="26"/>
      <w:szCs w:val="26"/>
    </w:rPr>
  </w:style>
  <w:style w:type="paragraph" w:customStyle="1" w:styleId="Opiniontitle">
    <w:name w:val="Opinion_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3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basedOn w:val="DefaultParagraphFont"/>
    <w:unhideWhenUsed/>
    <w:rsid w:val="0096716C"/>
    <w:rPr>
      <w:rFonts w:ascii="Dubai" w:hAnsi="Dubai" w:cs="Dubai"/>
      <w:noProof/>
      <w:color w:val="5B9BD5"/>
      <w:u w:val="single" w:color="5B9BD5"/>
      <w:lang w:val="en-GB" w:eastAsia="en-US"/>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_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_legend"/>
    <w:basedOn w:val="Normal"/>
    <w:qFormat/>
    <w:rsid w:val="00F974C5"/>
    <w:pPr>
      <w:spacing w:before="80"/>
    </w:pPr>
    <w:rPr>
      <w:lang w:bidi="ar-SY"/>
    </w:rPr>
  </w:style>
  <w:style w:type="paragraph" w:customStyle="1" w:styleId="Headingb">
    <w:name w:val="Heading_b"/>
    <w:basedOn w:val="Normal"/>
    <w:qFormat/>
    <w:rsid w:val="008339C0"/>
    <w:pPr>
      <w:keepNext/>
      <w:spacing w:before="240"/>
      <w:ind w:left="1134" w:hanging="1134"/>
    </w:pPr>
    <w:rPr>
      <w:b/>
      <w:bCs/>
      <w:sz w:val="24"/>
      <w:szCs w:val="24"/>
    </w:rPr>
  </w:style>
  <w:style w:type="table" w:styleId="GridTable5Dark-Accent1">
    <w:name w:val="Grid Table 5 Dark Accent 1"/>
    <w:basedOn w:val="TableNormal"/>
    <w:uiPriority w:val="50"/>
    <w:rsid w:val="00E61BE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Subtitle0">
    <w:name w:val="Sub_title"/>
    <w:basedOn w:val="Normal"/>
    <w:qFormat/>
    <w:rsid w:val="007B0AA0"/>
    <w:rPr>
      <w:sz w:val="30"/>
      <w:szCs w:val="30"/>
      <w:lang w:bidi="ar-EG"/>
    </w:rPr>
  </w:style>
  <w:style w:type="table" w:customStyle="1" w:styleId="TableGrid1">
    <w:name w:val="Table Grid1"/>
    <w:basedOn w:val="TableNormal"/>
    <w:next w:val="TableGrid"/>
    <w:uiPriority w:val="39"/>
    <w:rsid w:val="007B0AA0"/>
    <w:pPr>
      <w:spacing w:after="0" w:line="240" w:lineRule="auto"/>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60DEA"/>
    <w:rPr>
      <w:color w:val="605E5C"/>
      <w:shd w:val="clear" w:color="auto" w:fill="E1DFDD"/>
    </w:rPr>
  </w:style>
  <w:style w:type="character" w:styleId="FollowedHyperlink">
    <w:name w:val="FollowedHyperlink"/>
    <w:basedOn w:val="DefaultParagraphFont"/>
    <w:uiPriority w:val="99"/>
    <w:semiHidden/>
    <w:unhideWhenUsed/>
    <w:rsid w:val="000116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41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u.int/md/S26-CL-C-0095/en" TargetMode="External"/><Relationship Id="rId13" Type="http://schemas.openxmlformats.org/officeDocument/2006/relationships/hyperlink" Target="https://www.itu.int/md/S26-CL-C-0094/en" TargetMode="External"/><Relationship Id="rId18" Type="http://schemas.openxmlformats.org/officeDocument/2006/relationships/hyperlink" Target="https://www.itu.int/md/S26-CL-C-0086/en"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itu.int/md/S26-CL-C-0017/en" TargetMode="External"/><Relationship Id="rId7" Type="http://schemas.openxmlformats.org/officeDocument/2006/relationships/endnotes" Target="endnotes.xml"/><Relationship Id="rId12" Type="http://schemas.openxmlformats.org/officeDocument/2006/relationships/hyperlink" Target="https://www.itu.int/md/S26-CL-C-0052/en" TargetMode="External"/><Relationship Id="rId17" Type="http://schemas.openxmlformats.org/officeDocument/2006/relationships/hyperlink" Target="https://www.itu.int/md/S26-CL-C-0095/en"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itu.int/md/S26-CL-C-0033/en" TargetMode="External"/><Relationship Id="rId20" Type="http://schemas.openxmlformats.org/officeDocument/2006/relationships/hyperlink" Target="https://www.itu.int/md/S26-CL-C-0076/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md/S26-CL-C-0017/en"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itu.int/md/S26-CL-C-0101/en" TargetMode="External"/><Relationship Id="rId23" Type="http://schemas.openxmlformats.org/officeDocument/2006/relationships/footer" Target="footer1.xml"/><Relationship Id="rId10" Type="http://schemas.openxmlformats.org/officeDocument/2006/relationships/hyperlink" Target="https://www.itu.int/md/S26-CL-C-0076/en" TargetMode="External"/><Relationship Id="rId19" Type="http://schemas.openxmlformats.org/officeDocument/2006/relationships/hyperlink" Target="http://council.itu.int/2026/wp-content/uploads/sites/6/2026/02/26.05.01-Iran-HE-Ambassador-Bahreini-C26_86-PL4.pdf" TargetMode="External"/><Relationship Id="rId4" Type="http://schemas.openxmlformats.org/officeDocument/2006/relationships/settings" Target="settings.xml"/><Relationship Id="rId9" Type="http://schemas.openxmlformats.org/officeDocument/2006/relationships/hyperlink" Target="https://www.itu.int/md/S26-CL-C-0086/en" TargetMode="External"/><Relationship Id="rId14" Type="http://schemas.openxmlformats.org/officeDocument/2006/relationships/hyperlink" Target="https://www.itu.int/md/S26-CL-C-0099/en" TargetMode="External"/><Relationship Id="rId22" Type="http://schemas.openxmlformats.org/officeDocument/2006/relationships/hyperlink" Target="https://www.itu.int/md/S26-CL-C-0033/en"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natelb\ITU\Riz,%20Imad%20-%20Arabic%20Pool%20Drive\Templates\Arabic%20Templates%202026\SG\PA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28108-4966-4581-8805-B68FC0355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PA_Council26.dotx</Template>
  <TotalTime>71</TotalTime>
  <Pages>6</Pages>
  <Words>3362</Words>
  <Characters>18160</Characters>
  <Application>Microsoft Office Word</Application>
  <DocSecurity>0</DocSecurity>
  <Lines>1297</Lines>
  <Paragraphs>827</Paragraphs>
  <ScaleCrop>false</ScaleCrop>
  <HeadingPairs>
    <vt:vector size="2" baseType="variant">
      <vt:variant>
        <vt:lpstr>Title</vt:lpstr>
      </vt:variant>
      <vt:variant>
        <vt:i4>1</vt:i4>
      </vt:variant>
    </vt:vector>
  </HeadingPairs>
  <TitlesOfParts>
    <vt:vector size="1" baseType="lpstr">
      <vt:lpstr>Summary record of the fourth Plenary meeting</vt:lpstr>
    </vt:vector>
  </TitlesOfParts>
  <Company>International Telecommunication Union</Company>
  <LinksUpToDate>false</LinksUpToDate>
  <CharactersWithSpaces>20695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record of the fourth Plenary meeting</dc:title>
  <dc:subject>ITU Council 2026</dc:subject>
  <cp:keywords>C26; C2026; Council 2026; PP26</cp:keywords>
  <dc:description/>
  <dcterms:created xsi:type="dcterms:W3CDTF">2026-08-05T12:22:00Z</dcterms:created>
  <dcterms:modified xsi:type="dcterms:W3CDTF">2026-08-05T14:18:00Z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4764bc0ed8aab6cc3f228418da0bf4d692034987165b3c327d8e9737cd820415</vt:lpwstr>
  </property>
</Properties>
</file>