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1" w:rightFromText="181" w:vertAnchor="page" w:horzAnchor="page" w:tblpX="1589" w:tblpY="2314"/>
        <w:tblW w:w="9214" w:type="dxa"/>
        <w:tblLayout w:type="fixed"/>
        <w:tblLook w:val="0000" w:firstRow="0" w:lastRow="0" w:firstColumn="0" w:lastColumn="0" w:noHBand="0" w:noVBand="0"/>
      </w:tblPr>
      <w:tblGrid>
        <w:gridCol w:w="3969"/>
        <w:gridCol w:w="5245"/>
      </w:tblGrid>
      <w:tr w:rsidR="00FE57F6" w:rsidRPr="00A04080" w14:paraId="69D81E64" w14:textId="77777777" w:rsidTr="00C4421B">
        <w:trPr>
          <w:cantSplit/>
          <w:trHeight w:val="23"/>
        </w:trPr>
        <w:tc>
          <w:tcPr>
            <w:tcW w:w="3969" w:type="dxa"/>
            <w:vMerge w:val="restart"/>
            <w:tcMar>
              <w:left w:w="0" w:type="dxa"/>
            </w:tcMar>
          </w:tcPr>
          <w:p w14:paraId="7BF34C6B" w14:textId="23371141" w:rsidR="00FE57F6" w:rsidRPr="00A04080" w:rsidRDefault="00FE57F6" w:rsidP="00C4421B">
            <w:pPr>
              <w:tabs>
                <w:tab w:val="left" w:pos="851"/>
              </w:tabs>
              <w:spacing w:before="0" w:line="240" w:lineRule="atLeast"/>
              <w:rPr>
                <w:b/>
                <w:lang w:val="es-ES"/>
              </w:rPr>
            </w:pPr>
            <w:bookmarkStart w:id="0" w:name="_Hlk133421839"/>
          </w:p>
        </w:tc>
        <w:tc>
          <w:tcPr>
            <w:tcW w:w="5245" w:type="dxa"/>
          </w:tcPr>
          <w:p w14:paraId="3FC7AA2C" w14:textId="1602896F" w:rsidR="00FE57F6" w:rsidRPr="00A04080" w:rsidRDefault="00FE57F6" w:rsidP="000147ED">
            <w:pPr>
              <w:spacing w:before="0"/>
              <w:jc w:val="right"/>
              <w:rPr>
                <w:b/>
                <w:bCs/>
                <w:lang w:val="es-ES"/>
              </w:rPr>
            </w:pPr>
            <w:r w:rsidRPr="00A04080">
              <w:rPr>
                <w:b/>
                <w:bCs/>
                <w:lang w:val="es-ES"/>
              </w:rPr>
              <w:t>Document</w:t>
            </w:r>
            <w:r w:rsidR="00F24B71" w:rsidRPr="00A04080">
              <w:rPr>
                <w:b/>
                <w:bCs/>
                <w:lang w:val="es-ES"/>
              </w:rPr>
              <w:t>o</w:t>
            </w:r>
            <w:r w:rsidRPr="00A04080">
              <w:rPr>
                <w:b/>
                <w:bCs/>
                <w:lang w:val="es-ES"/>
              </w:rPr>
              <w:t xml:space="preserve"> C2</w:t>
            </w:r>
            <w:r w:rsidR="00F85E5C" w:rsidRPr="00A04080">
              <w:rPr>
                <w:b/>
                <w:bCs/>
                <w:lang w:val="es-ES"/>
              </w:rPr>
              <w:t>6</w:t>
            </w:r>
            <w:r w:rsidRPr="00A04080">
              <w:rPr>
                <w:b/>
                <w:bCs/>
                <w:lang w:val="es-ES"/>
              </w:rPr>
              <w:t>/</w:t>
            </w:r>
            <w:r w:rsidR="000147ED" w:rsidRPr="00A04080">
              <w:rPr>
                <w:b/>
                <w:bCs/>
                <w:lang w:val="es-ES"/>
              </w:rPr>
              <w:t>1</w:t>
            </w:r>
            <w:r w:rsidR="00411A60">
              <w:rPr>
                <w:b/>
                <w:bCs/>
                <w:lang w:val="es-ES"/>
              </w:rPr>
              <w:t>20</w:t>
            </w:r>
            <w:r w:rsidRPr="00A04080">
              <w:rPr>
                <w:b/>
                <w:bCs/>
                <w:lang w:val="es-ES"/>
              </w:rPr>
              <w:t>-</w:t>
            </w:r>
            <w:r w:rsidR="00F24B71" w:rsidRPr="00A04080">
              <w:rPr>
                <w:b/>
                <w:bCs/>
                <w:lang w:val="es-ES"/>
              </w:rPr>
              <w:t>S</w:t>
            </w:r>
          </w:p>
        </w:tc>
      </w:tr>
      <w:tr w:rsidR="00FE57F6" w:rsidRPr="00A04080" w14:paraId="3B8A7CBB" w14:textId="77777777" w:rsidTr="00C4421B">
        <w:trPr>
          <w:cantSplit/>
        </w:trPr>
        <w:tc>
          <w:tcPr>
            <w:tcW w:w="3969" w:type="dxa"/>
            <w:vMerge/>
          </w:tcPr>
          <w:p w14:paraId="2312DC50" w14:textId="77777777" w:rsidR="00FE57F6" w:rsidRPr="00A04080" w:rsidRDefault="00FE57F6" w:rsidP="00C4421B">
            <w:pPr>
              <w:tabs>
                <w:tab w:val="left" w:pos="851"/>
              </w:tabs>
              <w:spacing w:line="240" w:lineRule="atLeast"/>
              <w:rPr>
                <w:b/>
                <w:lang w:val="es-ES"/>
              </w:rPr>
            </w:pPr>
          </w:p>
        </w:tc>
        <w:tc>
          <w:tcPr>
            <w:tcW w:w="5245" w:type="dxa"/>
          </w:tcPr>
          <w:p w14:paraId="259AB7D0" w14:textId="075D3C9C" w:rsidR="00FE57F6" w:rsidRPr="00A04080" w:rsidRDefault="00010425" w:rsidP="000147ED">
            <w:pPr>
              <w:spacing w:before="0"/>
              <w:jc w:val="right"/>
              <w:rPr>
                <w:b/>
                <w:bCs/>
                <w:lang w:val="es-ES"/>
              </w:rPr>
            </w:pPr>
            <w:r>
              <w:rPr>
                <w:b/>
                <w:bCs/>
                <w:lang w:val="es-ES"/>
              </w:rPr>
              <w:t>3 de agosto</w:t>
            </w:r>
            <w:r w:rsidR="000147ED" w:rsidRPr="00A04080">
              <w:rPr>
                <w:b/>
                <w:bCs/>
                <w:lang w:val="es-ES"/>
              </w:rPr>
              <w:t xml:space="preserve"> de 2026</w:t>
            </w:r>
          </w:p>
        </w:tc>
      </w:tr>
      <w:tr w:rsidR="00FE57F6" w:rsidRPr="00A04080" w14:paraId="3B7BDBAD" w14:textId="77777777" w:rsidTr="00C4421B">
        <w:trPr>
          <w:cantSplit/>
          <w:trHeight w:val="23"/>
        </w:trPr>
        <w:tc>
          <w:tcPr>
            <w:tcW w:w="3969" w:type="dxa"/>
            <w:vMerge/>
          </w:tcPr>
          <w:p w14:paraId="4ADFE76D" w14:textId="77777777" w:rsidR="00FE57F6" w:rsidRPr="00A04080" w:rsidRDefault="00FE57F6" w:rsidP="00C4421B">
            <w:pPr>
              <w:tabs>
                <w:tab w:val="left" w:pos="851"/>
              </w:tabs>
              <w:spacing w:line="240" w:lineRule="atLeast"/>
              <w:rPr>
                <w:b/>
                <w:lang w:val="es-ES"/>
              </w:rPr>
            </w:pPr>
          </w:p>
        </w:tc>
        <w:tc>
          <w:tcPr>
            <w:tcW w:w="5245" w:type="dxa"/>
          </w:tcPr>
          <w:p w14:paraId="0ABE241B" w14:textId="77777777" w:rsidR="00FE57F6" w:rsidRPr="00A04080" w:rsidRDefault="00F24B71" w:rsidP="000147ED">
            <w:pPr>
              <w:spacing w:before="0"/>
              <w:jc w:val="right"/>
              <w:rPr>
                <w:b/>
                <w:bCs/>
                <w:lang w:val="es-ES"/>
              </w:rPr>
            </w:pPr>
            <w:r w:rsidRPr="00A04080">
              <w:rPr>
                <w:b/>
                <w:bCs/>
                <w:lang w:val="es-ES"/>
              </w:rPr>
              <w:t>Original: inglés</w:t>
            </w:r>
          </w:p>
        </w:tc>
      </w:tr>
      <w:tr w:rsidR="00FE57F6" w:rsidRPr="00A04080" w14:paraId="3F377ABC" w14:textId="77777777" w:rsidTr="00C4421B">
        <w:trPr>
          <w:cantSplit/>
          <w:trHeight w:val="23"/>
        </w:trPr>
        <w:tc>
          <w:tcPr>
            <w:tcW w:w="3969" w:type="dxa"/>
          </w:tcPr>
          <w:p w14:paraId="19A75AB6" w14:textId="77777777" w:rsidR="00FE57F6" w:rsidRPr="00A04080" w:rsidRDefault="00FE57F6" w:rsidP="00C4421B">
            <w:pPr>
              <w:tabs>
                <w:tab w:val="left" w:pos="851"/>
              </w:tabs>
              <w:spacing w:line="240" w:lineRule="atLeast"/>
              <w:rPr>
                <w:b/>
                <w:lang w:val="es-ES"/>
              </w:rPr>
            </w:pPr>
          </w:p>
        </w:tc>
        <w:tc>
          <w:tcPr>
            <w:tcW w:w="5245" w:type="dxa"/>
          </w:tcPr>
          <w:p w14:paraId="444FA9F2" w14:textId="77777777" w:rsidR="00FE57F6" w:rsidRPr="00A04080" w:rsidRDefault="00FE57F6" w:rsidP="00C4421B">
            <w:pPr>
              <w:tabs>
                <w:tab w:val="left" w:pos="851"/>
              </w:tabs>
              <w:spacing w:before="0" w:line="240" w:lineRule="atLeast"/>
              <w:jc w:val="right"/>
              <w:rPr>
                <w:b/>
                <w:lang w:val="es-ES"/>
              </w:rPr>
            </w:pPr>
          </w:p>
        </w:tc>
      </w:tr>
      <w:tr w:rsidR="00FE57F6" w:rsidRPr="00E271C3" w14:paraId="2F83711C" w14:textId="77777777" w:rsidTr="00C4421B">
        <w:trPr>
          <w:cantSplit/>
        </w:trPr>
        <w:tc>
          <w:tcPr>
            <w:tcW w:w="9214" w:type="dxa"/>
            <w:gridSpan w:val="2"/>
            <w:tcMar>
              <w:left w:w="0" w:type="dxa"/>
            </w:tcMar>
          </w:tcPr>
          <w:p w14:paraId="4E6C659F" w14:textId="27E89F9E" w:rsidR="00FE57F6" w:rsidRPr="00A04080" w:rsidRDefault="000147ED" w:rsidP="00A04080">
            <w:pPr>
              <w:pStyle w:val="Source"/>
              <w:spacing w:before="360"/>
              <w:rPr>
                <w:sz w:val="34"/>
                <w:szCs w:val="34"/>
                <w:lang w:val="es-ES"/>
              </w:rPr>
            </w:pPr>
            <w:r w:rsidRPr="00A04080">
              <w:rPr>
                <w:sz w:val="34"/>
                <w:szCs w:val="34"/>
                <w:lang w:val="es-ES"/>
              </w:rPr>
              <w:t>RESUMEN DE LOS DEBATES</w:t>
            </w:r>
            <w:r w:rsidRPr="00A04080">
              <w:rPr>
                <w:sz w:val="34"/>
                <w:szCs w:val="34"/>
                <w:lang w:val="es-ES"/>
              </w:rPr>
              <w:br/>
            </w:r>
            <w:r w:rsidRPr="00A04080">
              <w:rPr>
                <w:sz w:val="34"/>
                <w:szCs w:val="34"/>
                <w:lang w:val="es-ES"/>
              </w:rPr>
              <w:br/>
              <w:t>DE LA</w:t>
            </w:r>
            <w:r w:rsidRPr="00A04080">
              <w:rPr>
                <w:sz w:val="34"/>
                <w:szCs w:val="34"/>
                <w:lang w:val="es-ES"/>
              </w:rPr>
              <w:br/>
            </w:r>
            <w:r w:rsidRPr="00A04080">
              <w:rPr>
                <w:sz w:val="34"/>
                <w:szCs w:val="34"/>
                <w:lang w:val="es-ES"/>
              </w:rPr>
              <w:br/>
            </w:r>
            <w:r w:rsidR="00411A60" w:rsidRPr="00411A60">
              <w:rPr>
                <w:sz w:val="34"/>
                <w:szCs w:val="34"/>
                <w:lang w:val="es-ES"/>
              </w:rPr>
              <w:t xml:space="preserve">TERCERA </w:t>
            </w:r>
            <w:r w:rsidRPr="00A04080">
              <w:rPr>
                <w:sz w:val="34"/>
                <w:szCs w:val="34"/>
                <w:lang w:val="es-ES"/>
              </w:rPr>
              <w:t>SESIÓN PLENARIA</w:t>
            </w:r>
          </w:p>
        </w:tc>
      </w:tr>
      <w:tr w:rsidR="00FE57F6" w:rsidRPr="00E271C3" w14:paraId="1DA7B0C9" w14:textId="77777777" w:rsidTr="00C4421B">
        <w:trPr>
          <w:cantSplit/>
        </w:trPr>
        <w:tc>
          <w:tcPr>
            <w:tcW w:w="9214" w:type="dxa"/>
            <w:gridSpan w:val="2"/>
            <w:tcMar>
              <w:left w:w="0" w:type="dxa"/>
            </w:tcMar>
          </w:tcPr>
          <w:p w14:paraId="4645DA98" w14:textId="463FD102" w:rsidR="000147ED" w:rsidRPr="00A04080" w:rsidRDefault="00411A60" w:rsidP="003C3B9A">
            <w:pPr>
              <w:jc w:val="center"/>
              <w:rPr>
                <w:lang w:val="es-ES"/>
              </w:rPr>
            </w:pPr>
            <w:r w:rsidRPr="00411A60">
              <w:rPr>
                <w:lang w:val="es-ES"/>
              </w:rPr>
              <w:t>Jueves 30 de abril de 2026, de las 14.35 a las 17.40 horas</w:t>
            </w:r>
          </w:p>
          <w:p w14:paraId="60970BAC" w14:textId="668E3979" w:rsidR="00FE57F6" w:rsidRPr="005E3F36" w:rsidRDefault="000147ED" w:rsidP="003C3B9A">
            <w:pPr>
              <w:jc w:val="center"/>
              <w:rPr>
                <w:lang w:val="it-IT"/>
              </w:rPr>
            </w:pPr>
            <w:r w:rsidRPr="005E3F36">
              <w:rPr>
                <w:b/>
                <w:bCs/>
                <w:lang w:val="it-IT"/>
              </w:rPr>
              <w:t>Presidente:</w:t>
            </w:r>
            <w:r w:rsidRPr="005E3F36">
              <w:rPr>
                <w:lang w:val="it-IT"/>
              </w:rPr>
              <w:t xml:space="preserve"> Sr. B</w:t>
            </w:r>
            <w:r w:rsidR="00137BDC">
              <w:rPr>
                <w:lang w:val="it-IT"/>
              </w:rPr>
              <w:t>.</w:t>
            </w:r>
            <w:r w:rsidRPr="005E3F36">
              <w:rPr>
                <w:lang w:val="it-IT"/>
              </w:rPr>
              <w:t xml:space="preserve"> Tijani (Nigeria)</w:t>
            </w:r>
          </w:p>
        </w:tc>
      </w:tr>
      <w:bookmarkEnd w:id="0"/>
    </w:tbl>
    <w:p w14:paraId="552F9EE4" w14:textId="52457D20" w:rsidR="00093EEB" w:rsidRPr="000147ED" w:rsidRDefault="00093EEB">
      <w:pPr>
        <w:rPr>
          <w:lang w:val="it-IT"/>
        </w:rPr>
      </w:pPr>
    </w:p>
    <w:tbl>
      <w:tblPr>
        <w:tblW w:w="9214" w:type="dxa"/>
        <w:tblInd w:w="170" w:type="dxa"/>
        <w:tblLayout w:type="fixed"/>
        <w:tblLook w:val="04A0" w:firstRow="1" w:lastRow="0" w:firstColumn="1" w:lastColumn="0" w:noHBand="0" w:noVBand="1"/>
      </w:tblPr>
      <w:tblGrid>
        <w:gridCol w:w="446"/>
        <w:gridCol w:w="6597"/>
        <w:gridCol w:w="2171"/>
      </w:tblGrid>
      <w:tr w:rsidR="000147ED" w:rsidRPr="00A04080" w14:paraId="6CA3174E" w14:textId="77777777" w:rsidTr="00A04080">
        <w:tc>
          <w:tcPr>
            <w:tcW w:w="446" w:type="dxa"/>
          </w:tcPr>
          <w:p w14:paraId="12C605C9" w14:textId="77777777" w:rsidR="000147ED" w:rsidRPr="005E3F36" w:rsidRDefault="000147ED" w:rsidP="00A04080">
            <w:pPr>
              <w:rPr>
                <w:b/>
                <w:bCs/>
                <w:lang w:val="it-IT"/>
              </w:rPr>
            </w:pPr>
            <w:bookmarkStart w:id="1" w:name="_Hlk141438382"/>
            <w:r w:rsidRPr="005E3F36">
              <w:rPr>
                <w:b/>
                <w:bCs/>
                <w:lang w:val="it-IT"/>
              </w:rPr>
              <w:br w:type="page"/>
            </w:r>
            <w:r w:rsidRPr="005E3F36">
              <w:rPr>
                <w:b/>
                <w:bCs/>
                <w:lang w:val="it-IT"/>
              </w:rPr>
              <w:br w:type="page"/>
            </w:r>
          </w:p>
        </w:tc>
        <w:tc>
          <w:tcPr>
            <w:tcW w:w="6597" w:type="dxa"/>
            <w:hideMark/>
          </w:tcPr>
          <w:p w14:paraId="51D8A5BE" w14:textId="0DC313F2" w:rsidR="000147ED" w:rsidRPr="00A04080" w:rsidRDefault="000147ED" w:rsidP="00A04080">
            <w:pPr>
              <w:rPr>
                <w:b/>
                <w:bCs/>
                <w:lang w:val="es-ES"/>
              </w:rPr>
            </w:pPr>
            <w:r w:rsidRPr="00A04080">
              <w:rPr>
                <w:b/>
                <w:bCs/>
                <w:lang w:val="es-ES"/>
              </w:rPr>
              <w:t>Asuntos tratados</w:t>
            </w:r>
          </w:p>
        </w:tc>
        <w:tc>
          <w:tcPr>
            <w:tcW w:w="2171" w:type="dxa"/>
            <w:hideMark/>
          </w:tcPr>
          <w:p w14:paraId="7F5B4CED" w14:textId="77777777" w:rsidR="000147ED" w:rsidRPr="00A04080" w:rsidRDefault="000147ED" w:rsidP="00A04080">
            <w:pPr>
              <w:jc w:val="center"/>
              <w:rPr>
                <w:b/>
                <w:bCs/>
                <w:lang w:val="es-ES"/>
              </w:rPr>
            </w:pPr>
            <w:r w:rsidRPr="00A04080">
              <w:rPr>
                <w:b/>
                <w:bCs/>
                <w:lang w:val="es-ES"/>
              </w:rPr>
              <w:t>Documentos</w:t>
            </w:r>
          </w:p>
        </w:tc>
      </w:tr>
      <w:tr w:rsidR="000147ED" w:rsidRPr="00A04080" w14:paraId="31CE6E87" w14:textId="77777777" w:rsidTr="00A04080">
        <w:trPr>
          <w:trHeight w:val="20"/>
        </w:trPr>
        <w:tc>
          <w:tcPr>
            <w:tcW w:w="446" w:type="dxa"/>
            <w:hideMark/>
          </w:tcPr>
          <w:p w14:paraId="47C20B3D" w14:textId="77777777" w:rsidR="000147ED" w:rsidRPr="00A04080" w:rsidRDefault="000147ED" w:rsidP="00A04080">
            <w:pPr>
              <w:rPr>
                <w:lang w:val="es-ES"/>
              </w:rPr>
            </w:pPr>
            <w:r w:rsidRPr="00A04080">
              <w:rPr>
                <w:lang w:val="es-ES"/>
              </w:rPr>
              <w:t>1</w:t>
            </w:r>
          </w:p>
        </w:tc>
        <w:tc>
          <w:tcPr>
            <w:tcW w:w="6597" w:type="dxa"/>
          </w:tcPr>
          <w:p w14:paraId="7A35FF65" w14:textId="5A0FA8C2" w:rsidR="000147ED" w:rsidRPr="00A04080" w:rsidRDefault="00411A60" w:rsidP="00411A60">
            <w:pPr>
              <w:rPr>
                <w:lang w:val="es-ES"/>
              </w:rPr>
            </w:pPr>
            <w:r w:rsidRPr="00411A60">
              <w:rPr>
                <w:lang w:val="es-ES"/>
              </w:rPr>
              <w:t>Preparativos para la Conferencia de Plenipotenciarios de</w:t>
            </w:r>
            <w:r w:rsidR="009A57D1">
              <w:rPr>
                <w:lang w:val="es-ES"/>
              </w:rPr>
              <w:t> </w:t>
            </w:r>
            <w:r w:rsidRPr="00411A60">
              <w:rPr>
                <w:lang w:val="es-ES"/>
              </w:rPr>
              <w:t>2026</w:t>
            </w:r>
          </w:p>
        </w:tc>
        <w:tc>
          <w:tcPr>
            <w:tcW w:w="2171" w:type="dxa"/>
          </w:tcPr>
          <w:p w14:paraId="0493B68A" w14:textId="1716720F" w:rsidR="000147ED" w:rsidRPr="00411A60" w:rsidRDefault="00411A60" w:rsidP="00411A60">
            <w:pPr>
              <w:jc w:val="center"/>
              <w:rPr>
                <w:szCs w:val="24"/>
                <w:lang w:val="es-ES"/>
              </w:rPr>
            </w:pPr>
            <w:hyperlink r:id="rId7" w:history="1">
              <w:r w:rsidRPr="00411A60">
                <w:rPr>
                  <w:rStyle w:val="Hyperlink"/>
                  <w:rFonts w:eastAsia="Times New Roman" w:cs="Times New Roman"/>
                  <w:szCs w:val="24"/>
                  <w:lang w:val="en-GB"/>
                </w:rPr>
                <w:t>C26/4</w:t>
              </w:r>
            </w:hyperlink>
          </w:p>
        </w:tc>
      </w:tr>
      <w:tr w:rsidR="000147ED" w:rsidRPr="00411A60" w14:paraId="598270ED" w14:textId="77777777" w:rsidTr="00A04080">
        <w:trPr>
          <w:trHeight w:val="20"/>
        </w:trPr>
        <w:tc>
          <w:tcPr>
            <w:tcW w:w="446" w:type="dxa"/>
          </w:tcPr>
          <w:p w14:paraId="5772F2D4" w14:textId="77777777" w:rsidR="000147ED" w:rsidRPr="00A04080" w:rsidRDefault="000147ED" w:rsidP="00A04080">
            <w:pPr>
              <w:rPr>
                <w:lang w:val="es-ES"/>
              </w:rPr>
            </w:pPr>
            <w:r w:rsidRPr="00A04080">
              <w:rPr>
                <w:lang w:val="es-ES"/>
              </w:rPr>
              <w:t>2</w:t>
            </w:r>
          </w:p>
        </w:tc>
        <w:tc>
          <w:tcPr>
            <w:tcW w:w="6597" w:type="dxa"/>
          </w:tcPr>
          <w:p w14:paraId="6FDA9B49" w14:textId="509A4E7E" w:rsidR="000147ED" w:rsidRPr="00A04080" w:rsidRDefault="00411A60" w:rsidP="00411A60">
            <w:pPr>
              <w:rPr>
                <w:shd w:val="clear" w:color="auto" w:fill="FFFFFF"/>
                <w:lang w:val="es-ES"/>
              </w:rPr>
            </w:pPr>
            <w:r w:rsidRPr="00411A60">
              <w:rPr>
                <w:shd w:val="clear" w:color="auto" w:fill="FFFFFF"/>
                <w:lang w:val="es-ES"/>
              </w:rPr>
              <w:t>Preparativos para la Asamblea de Radiocomunicaciones de</w:t>
            </w:r>
            <w:r w:rsidR="009A57D1">
              <w:rPr>
                <w:shd w:val="clear" w:color="auto" w:fill="FFFFFF"/>
                <w:lang w:val="es-ES"/>
              </w:rPr>
              <w:t> </w:t>
            </w:r>
            <w:r w:rsidRPr="00411A60">
              <w:rPr>
                <w:shd w:val="clear" w:color="auto" w:fill="FFFFFF"/>
                <w:lang w:val="es-ES"/>
              </w:rPr>
              <w:t>2027 (AR</w:t>
            </w:r>
            <w:r>
              <w:rPr>
                <w:shd w:val="clear" w:color="auto" w:fill="FFFFFF"/>
                <w:lang w:val="es-ES"/>
              </w:rPr>
              <w:noBreakHyphen/>
            </w:r>
            <w:r w:rsidRPr="00411A60">
              <w:rPr>
                <w:shd w:val="clear" w:color="auto" w:fill="FFFFFF"/>
                <w:lang w:val="es-ES"/>
              </w:rPr>
              <w:t>27) y la Conferencia Mundial de Radiocomunicaciones de</w:t>
            </w:r>
            <w:r w:rsidR="009A57D1">
              <w:rPr>
                <w:shd w:val="clear" w:color="auto" w:fill="FFFFFF"/>
                <w:lang w:val="es-ES"/>
              </w:rPr>
              <w:t> </w:t>
            </w:r>
            <w:r w:rsidRPr="00411A60">
              <w:rPr>
                <w:shd w:val="clear" w:color="auto" w:fill="FFFFFF"/>
                <w:lang w:val="es-ES"/>
              </w:rPr>
              <w:t>2027 (CMR</w:t>
            </w:r>
            <w:r>
              <w:rPr>
                <w:shd w:val="clear" w:color="auto" w:fill="FFFFFF"/>
                <w:lang w:val="es-ES"/>
              </w:rPr>
              <w:noBreakHyphen/>
            </w:r>
            <w:r w:rsidRPr="00411A60">
              <w:rPr>
                <w:shd w:val="clear" w:color="auto" w:fill="FFFFFF"/>
                <w:lang w:val="es-ES"/>
              </w:rPr>
              <w:t>27)</w:t>
            </w:r>
          </w:p>
        </w:tc>
        <w:tc>
          <w:tcPr>
            <w:tcW w:w="2171" w:type="dxa"/>
            <w:vAlign w:val="center"/>
          </w:tcPr>
          <w:p w14:paraId="30842B6B" w14:textId="1E82D25F" w:rsidR="000147ED" w:rsidRPr="00411A60" w:rsidRDefault="00411A60" w:rsidP="00411A60">
            <w:pPr>
              <w:jc w:val="center"/>
              <w:rPr>
                <w:szCs w:val="24"/>
                <w:lang w:val="es-ES"/>
              </w:rPr>
            </w:pPr>
            <w:hyperlink r:id="rId8" w:history="1">
              <w:r w:rsidRPr="00411A60">
                <w:rPr>
                  <w:rStyle w:val="Hyperlink"/>
                  <w:rFonts w:eastAsia="Times New Roman" w:cs="Times New Roman"/>
                  <w:szCs w:val="24"/>
                  <w:lang w:val="en-GB"/>
                </w:rPr>
                <w:t>C26/6</w:t>
              </w:r>
            </w:hyperlink>
          </w:p>
        </w:tc>
      </w:tr>
      <w:tr w:rsidR="000147ED" w:rsidRPr="00411A60" w14:paraId="0B16DB81" w14:textId="77777777" w:rsidTr="00A04080">
        <w:trPr>
          <w:trHeight w:val="20"/>
        </w:trPr>
        <w:tc>
          <w:tcPr>
            <w:tcW w:w="446" w:type="dxa"/>
          </w:tcPr>
          <w:p w14:paraId="7C3311C1" w14:textId="77777777" w:rsidR="000147ED" w:rsidRPr="00A04080" w:rsidRDefault="000147ED" w:rsidP="00A04080">
            <w:pPr>
              <w:rPr>
                <w:lang w:val="es-ES"/>
              </w:rPr>
            </w:pPr>
            <w:r w:rsidRPr="00A04080">
              <w:rPr>
                <w:lang w:val="es-ES"/>
              </w:rPr>
              <w:t>3</w:t>
            </w:r>
          </w:p>
        </w:tc>
        <w:tc>
          <w:tcPr>
            <w:tcW w:w="6597" w:type="dxa"/>
          </w:tcPr>
          <w:p w14:paraId="4E3D1B43" w14:textId="717AEA37" w:rsidR="000147ED" w:rsidRPr="00A04080" w:rsidRDefault="00411A60" w:rsidP="00411A60">
            <w:pPr>
              <w:rPr>
                <w:lang w:val="es-ES"/>
              </w:rPr>
            </w:pPr>
            <w:r w:rsidRPr="00411A60">
              <w:rPr>
                <w:lang w:val="es-ES"/>
              </w:rPr>
              <w:t>Declaraciones de los consejeros y observadores sobre la interferencia causada a las comunicaciones por satélite</w:t>
            </w:r>
          </w:p>
        </w:tc>
        <w:tc>
          <w:tcPr>
            <w:tcW w:w="2171" w:type="dxa"/>
          </w:tcPr>
          <w:p w14:paraId="194BC6D0" w14:textId="334F7D97" w:rsidR="000147ED" w:rsidRPr="00411A60" w:rsidRDefault="00411A60" w:rsidP="00A04080">
            <w:pPr>
              <w:jc w:val="center"/>
              <w:rPr>
                <w:szCs w:val="24"/>
                <w:lang w:val="es-ES"/>
              </w:rPr>
            </w:pPr>
            <w:r w:rsidRPr="00411A60">
              <w:rPr>
                <w:rFonts w:cs="Calibri"/>
                <w:szCs w:val="24"/>
                <w:lang w:val="es-ES"/>
              </w:rPr>
              <w:t>–</w:t>
            </w:r>
          </w:p>
        </w:tc>
      </w:tr>
      <w:tr w:rsidR="000147ED" w:rsidRPr="00411A60" w14:paraId="6FF31813" w14:textId="77777777" w:rsidTr="00A04080">
        <w:trPr>
          <w:trHeight w:val="20"/>
        </w:trPr>
        <w:tc>
          <w:tcPr>
            <w:tcW w:w="446" w:type="dxa"/>
          </w:tcPr>
          <w:p w14:paraId="06EF9159" w14:textId="77777777" w:rsidR="000147ED" w:rsidRPr="00A04080" w:rsidRDefault="000147ED" w:rsidP="00A04080">
            <w:pPr>
              <w:rPr>
                <w:lang w:val="es-ES"/>
              </w:rPr>
            </w:pPr>
            <w:r w:rsidRPr="00A04080">
              <w:rPr>
                <w:lang w:val="es-ES"/>
              </w:rPr>
              <w:t>4</w:t>
            </w:r>
          </w:p>
        </w:tc>
        <w:tc>
          <w:tcPr>
            <w:tcW w:w="6597" w:type="dxa"/>
          </w:tcPr>
          <w:p w14:paraId="2FA7C0A0" w14:textId="1332F9D0" w:rsidR="000147ED" w:rsidRPr="00A04080" w:rsidRDefault="00411A60" w:rsidP="00411A60">
            <w:pPr>
              <w:rPr>
                <w:lang w:val="es-ES"/>
              </w:rPr>
            </w:pPr>
            <w:r w:rsidRPr="00411A60">
              <w:rPr>
                <w:lang w:val="es-ES"/>
              </w:rPr>
              <w:t>Preparación para el Foro Mundial de Política de las Telecomunicaciones/TIC de</w:t>
            </w:r>
            <w:r w:rsidR="009A57D1">
              <w:rPr>
                <w:lang w:val="es-ES"/>
              </w:rPr>
              <w:t> </w:t>
            </w:r>
            <w:r w:rsidRPr="00411A60">
              <w:rPr>
                <w:lang w:val="es-ES"/>
              </w:rPr>
              <w:t>2026</w:t>
            </w:r>
          </w:p>
        </w:tc>
        <w:tc>
          <w:tcPr>
            <w:tcW w:w="2171" w:type="dxa"/>
          </w:tcPr>
          <w:p w14:paraId="519583EE" w14:textId="2A010CD7" w:rsidR="000147ED" w:rsidRPr="00411A60" w:rsidRDefault="00411A60" w:rsidP="00411A60">
            <w:pPr>
              <w:jc w:val="center"/>
              <w:rPr>
                <w:szCs w:val="24"/>
                <w:lang w:val="es-ES"/>
              </w:rPr>
            </w:pPr>
            <w:hyperlink r:id="rId9" w:history="1">
              <w:r w:rsidRPr="00411A60">
                <w:rPr>
                  <w:rStyle w:val="Hyperlink"/>
                  <w:rFonts w:eastAsia="Times New Roman" w:cs="Times New Roman"/>
                  <w:szCs w:val="24"/>
                  <w:lang w:val="en-GB"/>
                </w:rPr>
                <w:t>C26/5+Add.1</w:t>
              </w:r>
            </w:hyperlink>
          </w:p>
        </w:tc>
      </w:tr>
      <w:tr w:rsidR="000147ED" w:rsidRPr="00411A60" w14:paraId="6F2BD095" w14:textId="77777777" w:rsidTr="00A04080">
        <w:trPr>
          <w:trHeight w:val="20"/>
        </w:trPr>
        <w:tc>
          <w:tcPr>
            <w:tcW w:w="446" w:type="dxa"/>
          </w:tcPr>
          <w:p w14:paraId="5BEF9034" w14:textId="77777777" w:rsidR="000147ED" w:rsidRPr="00A04080" w:rsidRDefault="000147ED" w:rsidP="00A04080">
            <w:pPr>
              <w:rPr>
                <w:lang w:val="es-ES"/>
              </w:rPr>
            </w:pPr>
            <w:r w:rsidRPr="00A04080">
              <w:rPr>
                <w:lang w:val="es-ES"/>
              </w:rPr>
              <w:t>5</w:t>
            </w:r>
          </w:p>
        </w:tc>
        <w:tc>
          <w:tcPr>
            <w:tcW w:w="6597" w:type="dxa"/>
          </w:tcPr>
          <w:p w14:paraId="107C0C1C" w14:textId="3A12C518" w:rsidR="000147ED" w:rsidRPr="00A04080" w:rsidRDefault="00411A60" w:rsidP="00411A60">
            <w:pPr>
              <w:rPr>
                <w:lang w:val="es-ES" w:eastAsia="en-GB"/>
              </w:rPr>
            </w:pPr>
            <w:r w:rsidRPr="00411A60">
              <w:rPr>
                <w:lang w:val="es-ES" w:eastAsia="en-GB"/>
              </w:rPr>
              <w:t>Informe del Presidente del Grupo de Trabajo del Consejo sobre cuestiones de política pública internacional relacionadas con Internet</w:t>
            </w:r>
          </w:p>
        </w:tc>
        <w:tc>
          <w:tcPr>
            <w:tcW w:w="2171" w:type="dxa"/>
          </w:tcPr>
          <w:p w14:paraId="01E95343" w14:textId="6E140B62" w:rsidR="000147ED" w:rsidRPr="00411A60" w:rsidRDefault="00411A60" w:rsidP="00411A60">
            <w:pPr>
              <w:spacing w:before="80" w:after="80"/>
              <w:jc w:val="center"/>
              <w:rPr>
                <w:szCs w:val="24"/>
                <w:lang w:val="es-ES"/>
              </w:rPr>
            </w:pPr>
            <w:hyperlink r:id="rId10" w:history="1">
              <w:r w:rsidRPr="00411A60">
                <w:rPr>
                  <w:rStyle w:val="Hyperlink"/>
                  <w:rFonts w:eastAsia="Times New Roman" w:cs="Times New Roman"/>
                  <w:szCs w:val="24"/>
                  <w:lang w:val="en-GB"/>
                </w:rPr>
                <w:t>C26/51</w:t>
              </w:r>
            </w:hyperlink>
          </w:p>
        </w:tc>
      </w:tr>
      <w:tr w:rsidR="00411A60" w:rsidRPr="00411A60" w14:paraId="70A57BE9" w14:textId="77777777" w:rsidTr="00A04080">
        <w:trPr>
          <w:trHeight w:val="20"/>
        </w:trPr>
        <w:tc>
          <w:tcPr>
            <w:tcW w:w="446" w:type="dxa"/>
          </w:tcPr>
          <w:p w14:paraId="5784B6E4" w14:textId="37E5A373" w:rsidR="00411A60" w:rsidRPr="00A04080" w:rsidRDefault="00411A60" w:rsidP="00A04080">
            <w:pPr>
              <w:rPr>
                <w:lang w:val="es-ES"/>
              </w:rPr>
            </w:pPr>
            <w:r>
              <w:rPr>
                <w:lang w:val="es-ES"/>
              </w:rPr>
              <w:t>6</w:t>
            </w:r>
          </w:p>
        </w:tc>
        <w:tc>
          <w:tcPr>
            <w:tcW w:w="6597" w:type="dxa"/>
          </w:tcPr>
          <w:p w14:paraId="19693A1F" w14:textId="547CBC67" w:rsidR="00411A60" w:rsidRPr="00A04080" w:rsidRDefault="00411A60" w:rsidP="00411A60">
            <w:pPr>
              <w:rPr>
                <w:lang w:val="es-ES" w:eastAsia="en-GB"/>
              </w:rPr>
            </w:pPr>
            <w:r w:rsidRPr="00411A60">
              <w:rPr>
                <w:lang w:val="es-ES" w:eastAsia="en-GB"/>
              </w:rPr>
              <w:t>Informe cuatrienal del Grupo de Trabajo del Consejo sobre cuestiones de política pública internacional relacionadas con Internet</w:t>
            </w:r>
          </w:p>
        </w:tc>
        <w:tc>
          <w:tcPr>
            <w:tcW w:w="2171" w:type="dxa"/>
          </w:tcPr>
          <w:p w14:paraId="74E78350" w14:textId="482CA86F" w:rsidR="00411A60" w:rsidRPr="00411A60" w:rsidRDefault="00411A60" w:rsidP="00411A60">
            <w:pPr>
              <w:spacing w:before="80" w:after="80"/>
              <w:jc w:val="center"/>
              <w:rPr>
                <w:rFonts w:cs="Calibri"/>
                <w:szCs w:val="24"/>
                <w:lang w:val="es-ES"/>
              </w:rPr>
            </w:pPr>
            <w:hyperlink r:id="rId11" w:history="1">
              <w:r w:rsidRPr="00411A60">
                <w:rPr>
                  <w:rStyle w:val="Hyperlink"/>
                  <w:rFonts w:eastAsia="Times New Roman" w:cs="Calibri"/>
                  <w:szCs w:val="24"/>
                  <w:lang w:val="en-GB"/>
                </w:rPr>
                <w:t>C26/52</w:t>
              </w:r>
            </w:hyperlink>
            <w:r w:rsidRPr="00411A60">
              <w:rPr>
                <w:rFonts w:cs="Calibri"/>
                <w:szCs w:val="24"/>
                <w:lang w:val="en-GB"/>
              </w:rPr>
              <w:t xml:space="preserve">, </w:t>
            </w:r>
            <w:hyperlink r:id="rId12" w:history="1">
              <w:r w:rsidRPr="00411A60">
                <w:rPr>
                  <w:rStyle w:val="Hyperlink"/>
                  <w:rFonts w:eastAsia="Times New Roman" w:cs="Calibri"/>
                  <w:szCs w:val="24"/>
                  <w:lang w:val="en-GB"/>
                </w:rPr>
                <w:t>C26/94</w:t>
              </w:r>
            </w:hyperlink>
            <w:r w:rsidRPr="00411A60">
              <w:rPr>
                <w:rFonts w:cs="Calibri"/>
                <w:szCs w:val="24"/>
                <w:lang w:val="en-GB"/>
              </w:rPr>
              <w:t xml:space="preserve">, </w:t>
            </w:r>
            <w:hyperlink r:id="rId13" w:history="1">
              <w:r w:rsidRPr="00411A60">
                <w:rPr>
                  <w:rStyle w:val="Hyperlink"/>
                  <w:rFonts w:eastAsia="Times New Roman" w:cs="Calibri"/>
                  <w:szCs w:val="24"/>
                  <w:lang w:val="en-GB"/>
                </w:rPr>
                <w:t>C26/99</w:t>
              </w:r>
            </w:hyperlink>
            <w:r w:rsidRPr="00411A60">
              <w:rPr>
                <w:rFonts w:cs="Calibri"/>
                <w:szCs w:val="24"/>
                <w:lang w:val="en-GB"/>
              </w:rPr>
              <w:t xml:space="preserve">, </w:t>
            </w:r>
            <w:hyperlink r:id="rId14" w:history="1">
              <w:r w:rsidRPr="00411A60">
                <w:rPr>
                  <w:rStyle w:val="Hyperlink"/>
                  <w:rFonts w:eastAsia="Times New Roman" w:cs="Calibri"/>
                  <w:szCs w:val="24"/>
                  <w:lang w:val="en-GB"/>
                </w:rPr>
                <w:t>C26/101(Rev.1)</w:t>
              </w:r>
            </w:hyperlink>
          </w:p>
        </w:tc>
      </w:tr>
      <w:tr w:rsidR="00411A60" w:rsidRPr="00A04080" w14:paraId="144FE53E" w14:textId="77777777" w:rsidTr="00A04080">
        <w:trPr>
          <w:trHeight w:val="20"/>
        </w:trPr>
        <w:tc>
          <w:tcPr>
            <w:tcW w:w="446" w:type="dxa"/>
          </w:tcPr>
          <w:p w14:paraId="5D6C9479" w14:textId="7FBC4891" w:rsidR="00411A60" w:rsidRPr="00A04080" w:rsidRDefault="00411A60" w:rsidP="00A04080">
            <w:pPr>
              <w:rPr>
                <w:lang w:val="es-ES"/>
              </w:rPr>
            </w:pPr>
            <w:r>
              <w:rPr>
                <w:lang w:val="es-ES"/>
              </w:rPr>
              <w:t>7</w:t>
            </w:r>
          </w:p>
        </w:tc>
        <w:tc>
          <w:tcPr>
            <w:tcW w:w="6597" w:type="dxa"/>
          </w:tcPr>
          <w:p w14:paraId="2988CCAF" w14:textId="451B89D0" w:rsidR="00411A60" w:rsidRPr="00A04080" w:rsidRDefault="00411A60" w:rsidP="00411A60">
            <w:pPr>
              <w:rPr>
                <w:lang w:val="es-ES" w:eastAsia="en-GB"/>
              </w:rPr>
            </w:pPr>
            <w:r w:rsidRPr="00411A60">
              <w:rPr>
                <w:lang w:val="es-ES" w:eastAsia="en-GB"/>
              </w:rPr>
              <w:t>Declaraciones de los consejeros</w:t>
            </w:r>
          </w:p>
        </w:tc>
        <w:tc>
          <w:tcPr>
            <w:tcW w:w="2171" w:type="dxa"/>
          </w:tcPr>
          <w:p w14:paraId="0021308B" w14:textId="1EB34904" w:rsidR="00411A60" w:rsidRPr="00411A60" w:rsidRDefault="00411A60" w:rsidP="00A04080">
            <w:pPr>
              <w:spacing w:before="80" w:after="80"/>
              <w:jc w:val="center"/>
              <w:rPr>
                <w:rFonts w:cs="Calibri"/>
                <w:szCs w:val="24"/>
                <w:lang w:val="es-ES"/>
              </w:rPr>
            </w:pPr>
            <w:r w:rsidRPr="00411A60">
              <w:rPr>
                <w:rFonts w:cs="Calibri"/>
                <w:szCs w:val="24"/>
                <w:lang w:val="es-ES"/>
              </w:rPr>
              <w:t>–</w:t>
            </w:r>
          </w:p>
        </w:tc>
      </w:tr>
      <w:bookmarkEnd w:id="1"/>
    </w:tbl>
    <w:p w14:paraId="1EEF6FFD" w14:textId="77777777" w:rsidR="001559F5" w:rsidRPr="00BB6FD8" w:rsidRDefault="001559F5" w:rsidP="000147ED">
      <w:r w:rsidRPr="00BB6FD8">
        <w:br w:type="page"/>
      </w:r>
    </w:p>
    <w:p w14:paraId="4BBA8578" w14:textId="6B1DED01" w:rsidR="00411A60" w:rsidRPr="00411A60" w:rsidRDefault="00411A60" w:rsidP="00411A60">
      <w:pPr>
        <w:pStyle w:val="Heading1"/>
        <w:rPr>
          <w:lang w:val="es-ES"/>
        </w:rPr>
      </w:pPr>
      <w:r w:rsidRPr="00411A60">
        <w:rPr>
          <w:lang w:val="es-ES"/>
        </w:rPr>
        <w:lastRenderedPageBreak/>
        <w:t>1</w:t>
      </w:r>
      <w:r w:rsidRPr="00411A60">
        <w:rPr>
          <w:lang w:val="es-ES"/>
        </w:rPr>
        <w:tab/>
        <w:t>Preparativos para la Conferencia de Plenipotenciarios de 2026 (Documento</w:t>
      </w:r>
      <w:r>
        <w:rPr>
          <w:lang w:val="es-ES"/>
        </w:rPr>
        <w:t> </w:t>
      </w:r>
      <w:proofErr w:type="spellStart"/>
      <w:r>
        <w:fldChar w:fldCharType="begin"/>
      </w:r>
      <w:r>
        <w:instrText>HYPERLINK "https://www.itu.int/md/S26-CL-C-0004/es"</w:instrText>
      </w:r>
      <w:r>
        <w:fldChar w:fldCharType="separate"/>
      </w:r>
      <w:r w:rsidRPr="00411A60">
        <w:rPr>
          <w:rStyle w:val="Hyperlink"/>
          <w:rFonts w:eastAsia="Times New Roman" w:cs="Times New Roman"/>
          <w:szCs w:val="20"/>
          <w:lang w:val="es-ES"/>
        </w:rPr>
        <w:t>C26</w:t>
      </w:r>
      <w:proofErr w:type="spellEnd"/>
      <w:r w:rsidRPr="00411A60">
        <w:rPr>
          <w:rStyle w:val="Hyperlink"/>
          <w:rFonts w:eastAsia="Times New Roman" w:cs="Times New Roman"/>
          <w:szCs w:val="20"/>
          <w:lang w:val="es-ES"/>
        </w:rPr>
        <w:t>/4</w:t>
      </w:r>
      <w:r>
        <w:fldChar w:fldCharType="end"/>
      </w:r>
      <w:r w:rsidRPr="00411A60">
        <w:rPr>
          <w:lang w:val="es-ES"/>
        </w:rPr>
        <w:t>)</w:t>
      </w:r>
    </w:p>
    <w:p w14:paraId="4D9F1A72" w14:textId="798E0E51" w:rsidR="00411A60" w:rsidRPr="00411A60" w:rsidRDefault="00411A60" w:rsidP="00B4641B">
      <w:pPr>
        <w:jc w:val="both"/>
        <w:rPr>
          <w:lang w:val="es-ES"/>
        </w:rPr>
      </w:pPr>
      <w:bookmarkStart w:id="2" w:name="_Hlk201404443"/>
      <w:r w:rsidRPr="00411A60">
        <w:rPr>
          <w:lang w:val="es-ES"/>
        </w:rPr>
        <w:t>1.1</w:t>
      </w:r>
      <w:r w:rsidRPr="00411A60">
        <w:rPr>
          <w:lang w:val="es-ES"/>
        </w:rPr>
        <w:tab/>
        <w:t>La Jefa del Departamento de Planificación Estratégica y Relaciones con los Miembros (SPM) presenta el Documento</w:t>
      </w:r>
      <w:r w:rsidR="00016F53">
        <w:rPr>
          <w:lang w:val="es-ES"/>
        </w:rPr>
        <w:t> </w:t>
      </w:r>
      <w:r w:rsidRPr="00411A60">
        <w:rPr>
          <w:lang w:val="es-ES"/>
        </w:rPr>
        <w:t>C26/4, en el que se informa al Consejo del estado de los preparativos para la organización de la Conferencia de Plenipotenciarios de 2026 (PP-26), cuya celebración está prevista en Doha (Qatar) del 9 al 27 de noviembre de</w:t>
      </w:r>
      <w:r w:rsidR="009A57D1">
        <w:rPr>
          <w:lang w:val="es-ES"/>
        </w:rPr>
        <w:t> </w:t>
      </w:r>
      <w:r w:rsidRPr="00411A60">
        <w:rPr>
          <w:lang w:val="es-ES"/>
        </w:rPr>
        <w:t>2026.</w:t>
      </w:r>
    </w:p>
    <w:p w14:paraId="6BC656B0" w14:textId="3AB3A140" w:rsidR="00411A60" w:rsidRPr="00411A60" w:rsidRDefault="00411A60" w:rsidP="00B4641B">
      <w:pPr>
        <w:jc w:val="both"/>
        <w:rPr>
          <w:lang w:val="es-ES"/>
        </w:rPr>
      </w:pPr>
      <w:r w:rsidRPr="00411A60">
        <w:rPr>
          <w:lang w:val="es-ES"/>
        </w:rPr>
        <w:t>1.2</w:t>
      </w:r>
      <w:r w:rsidRPr="00411A60">
        <w:rPr>
          <w:lang w:val="es-ES"/>
        </w:rPr>
        <w:tab/>
        <w:t>Un equipo de la</w:t>
      </w:r>
      <w:r w:rsidR="00016F53">
        <w:rPr>
          <w:lang w:val="es-ES"/>
        </w:rPr>
        <w:t> </w:t>
      </w:r>
      <w:r w:rsidRPr="00411A60">
        <w:rPr>
          <w:lang w:val="es-ES"/>
        </w:rPr>
        <w:t>UIT visitó por segunda vez la zona en noviembre de</w:t>
      </w:r>
      <w:r w:rsidR="009A57D1">
        <w:rPr>
          <w:lang w:val="es-ES"/>
        </w:rPr>
        <w:t> </w:t>
      </w:r>
      <w:r w:rsidRPr="00411A60">
        <w:rPr>
          <w:lang w:val="es-ES"/>
        </w:rPr>
        <w:t>2025 y quedó satisfecho con la preparación del lugar de celebración y las disposiciones en materia de alojamiento, seguridad y logística. La coordinación entre la</w:t>
      </w:r>
      <w:r w:rsidR="009A57D1">
        <w:rPr>
          <w:lang w:val="es-ES"/>
        </w:rPr>
        <w:t> </w:t>
      </w:r>
      <w:r w:rsidRPr="00411A60">
        <w:rPr>
          <w:lang w:val="es-ES"/>
        </w:rPr>
        <w:t>UIT y el país anfitrión sigue en curso y se prevé finalizar el breve el acuerdo de país anfitrión. Los preparativos internos también avanzan con acuerdo a lo previsto. En paralelo a la PP-26 se celebrará el Mobile World Congress del 8 al 11 de noviembre, lo que ofrecerá oportunidades de sinergia y toma de contacto con una comunidad más amplia.</w:t>
      </w:r>
    </w:p>
    <w:p w14:paraId="32F87E85" w14:textId="529F6B1B" w:rsidR="00411A60" w:rsidRPr="00B4641B" w:rsidRDefault="00411A60" w:rsidP="00B4641B">
      <w:pPr>
        <w:jc w:val="both"/>
        <w:rPr>
          <w:spacing w:val="-2"/>
          <w:lang w:val="es-ES"/>
        </w:rPr>
      </w:pPr>
      <w:r w:rsidRPr="00B4641B">
        <w:rPr>
          <w:spacing w:val="-2"/>
          <w:lang w:val="es-ES"/>
        </w:rPr>
        <w:t>1.3</w:t>
      </w:r>
      <w:r w:rsidRPr="00B4641B">
        <w:rPr>
          <w:spacing w:val="-2"/>
          <w:lang w:val="es-ES"/>
        </w:rPr>
        <w:tab/>
        <w:t>La Secretaría General sigue de cerca las condiciones de seguridad en Oriente Medio, en estrecha cooperación con el país anfitrión, y se atiene en ese sentido a las orientaciones del Departamento de Seguridad de las Naciones Unidas. Cuatro meses antes del evento se realizará una nueva evaluación y, de ser necesario, se convocará al Consejo para tratar el tema.</w:t>
      </w:r>
    </w:p>
    <w:p w14:paraId="021A9368" w14:textId="5C423A01" w:rsidR="00411A60" w:rsidRPr="00411A60" w:rsidRDefault="00411A60" w:rsidP="00B4641B">
      <w:pPr>
        <w:jc w:val="both"/>
        <w:rPr>
          <w:lang w:val="es-ES"/>
        </w:rPr>
      </w:pPr>
      <w:r w:rsidRPr="00411A60">
        <w:rPr>
          <w:lang w:val="es-ES"/>
        </w:rPr>
        <w:t>1.4</w:t>
      </w:r>
      <w:r w:rsidRPr="00411A60">
        <w:rPr>
          <w:lang w:val="es-ES"/>
        </w:rPr>
        <w:tab/>
        <w:t>El Sr.</w:t>
      </w:r>
      <w:r w:rsidR="009A57D1">
        <w:rPr>
          <w:lang w:val="es-ES"/>
        </w:rPr>
        <w:t> </w:t>
      </w:r>
      <w:r w:rsidRPr="00411A60">
        <w:rPr>
          <w:lang w:val="es-ES"/>
        </w:rPr>
        <w:t>Al-</w:t>
      </w:r>
      <w:proofErr w:type="spellStart"/>
      <w:r w:rsidRPr="00411A60">
        <w:rPr>
          <w:lang w:val="es-ES"/>
        </w:rPr>
        <w:t>Muslemani</w:t>
      </w:r>
      <w:proofErr w:type="spellEnd"/>
      <w:r w:rsidRPr="00411A60">
        <w:rPr>
          <w:lang w:val="es-ES"/>
        </w:rPr>
        <w:t xml:space="preserve"> (Presidente de la Autoridad de Reglamentación de las Comunicaciones de Qatar), Presidente designado de la</w:t>
      </w:r>
      <w:r w:rsidR="00016F53">
        <w:rPr>
          <w:lang w:val="es-ES"/>
        </w:rPr>
        <w:t> </w:t>
      </w:r>
      <w:r w:rsidRPr="00411A60">
        <w:rPr>
          <w:lang w:val="es-ES"/>
        </w:rPr>
        <w:t>PP</w:t>
      </w:r>
      <w:r w:rsidR="00016F53">
        <w:rPr>
          <w:lang w:val="es-ES"/>
        </w:rPr>
        <w:noBreakHyphen/>
      </w:r>
      <w:r w:rsidRPr="00411A60">
        <w:rPr>
          <w:lang w:val="es-ES"/>
        </w:rPr>
        <w:t>26, dice que su país espera celebrar la</w:t>
      </w:r>
      <w:r w:rsidR="00016F53">
        <w:rPr>
          <w:lang w:val="es-ES"/>
        </w:rPr>
        <w:t> </w:t>
      </w:r>
      <w:r w:rsidRPr="00411A60">
        <w:rPr>
          <w:lang w:val="es-ES"/>
        </w:rPr>
        <w:t>PP</w:t>
      </w:r>
      <w:r w:rsidR="00016F53">
        <w:rPr>
          <w:lang w:val="es-ES"/>
        </w:rPr>
        <w:noBreakHyphen/>
      </w:r>
      <w:r w:rsidRPr="00411A60">
        <w:rPr>
          <w:lang w:val="es-ES"/>
        </w:rPr>
        <w:t>26 y permanece firmemente comprometido a ofrecer un evento seguro y bien gestionado. Qatar está trabajando estrechamente con sus socios regionales en la supervisión de las condiciones de seguridad y ha aplicado medidas de seguridad integrales, conformes con las prácticas idóneas a nivel mundial. En Doha la vida cotidiana y los servicios se llevan a cabo con normalidad. Qatar seguirá colaborando proactivamente con la Secretaría General y los participantes para tranquilizarlos y prestarles apoyo.</w:t>
      </w:r>
    </w:p>
    <w:p w14:paraId="50959D26" w14:textId="68CCC6F2" w:rsidR="00411A60" w:rsidRPr="00411A60" w:rsidRDefault="00411A60" w:rsidP="00B4641B">
      <w:pPr>
        <w:jc w:val="both"/>
        <w:rPr>
          <w:lang w:val="es-ES"/>
        </w:rPr>
      </w:pPr>
      <w:r w:rsidRPr="00411A60">
        <w:rPr>
          <w:lang w:val="es-ES"/>
        </w:rPr>
        <w:t>1.5</w:t>
      </w:r>
      <w:r w:rsidRPr="00411A60">
        <w:rPr>
          <w:lang w:val="es-ES"/>
        </w:rPr>
        <w:tab/>
        <w:t>Se proyecta un breve vídeo sobre Qatar y el lugar de celebración de la Conferencia. Una observadora de Qatar presenta las disposiciones logísticas previstas para la</w:t>
      </w:r>
      <w:r w:rsidR="009A57D1">
        <w:rPr>
          <w:lang w:val="es-ES"/>
        </w:rPr>
        <w:t> </w:t>
      </w:r>
      <w:r w:rsidRPr="00411A60">
        <w:rPr>
          <w:lang w:val="es-ES"/>
        </w:rPr>
        <w:t>PP</w:t>
      </w:r>
      <w:r w:rsidR="009A57D1">
        <w:rPr>
          <w:lang w:val="es-ES"/>
        </w:rPr>
        <w:noBreakHyphen/>
      </w:r>
      <w:r w:rsidRPr="00411A60">
        <w:rPr>
          <w:lang w:val="es-ES"/>
        </w:rPr>
        <w:t>26. En respuesta a la pregunta de un consejero, dice que los delegados tienen derecho a un permiso de entrada superior que los exime de la necesidad de visado adicional, lo que simplifica los requisitos de entrada. El proceso de solicitud se efectúa íntegramente en línea y el permiso se expide gratuitamente.</w:t>
      </w:r>
    </w:p>
    <w:p w14:paraId="16BAA6A2" w14:textId="62DB52BD" w:rsidR="00411A60" w:rsidRPr="00411A60" w:rsidRDefault="00411A60" w:rsidP="00B4641B">
      <w:pPr>
        <w:jc w:val="both"/>
        <w:rPr>
          <w:lang w:val="es-ES"/>
        </w:rPr>
      </w:pPr>
      <w:r w:rsidRPr="00411A60">
        <w:rPr>
          <w:lang w:val="es-ES"/>
        </w:rPr>
        <w:t>1.6</w:t>
      </w:r>
      <w:r w:rsidRPr="00411A60">
        <w:rPr>
          <w:lang w:val="es-ES"/>
        </w:rPr>
        <w:tab/>
        <w:t>Varios consejeros toman la palabra para agradecer al Gobierno de Qatar su oferta de celebrar la</w:t>
      </w:r>
      <w:r w:rsidR="009A57D1">
        <w:rPr>
          <w:lang w:val="es-ES"/>
        </w:rPr>
        <w:t> </w:t>
      </w:r>
      <w:r w:rsidRPr="00411A60">
        <w:rPr>
          <w:lang w:val="es-ES"/>
        </w:rPr>
        <w:t>PP</w:t>
      </w:r>
      <w:r w:rsidR="009A57D1">
        <w:rPr>
          <w:lang w:val="es-ES"/>
        </w:rPr>
        <w:noBreakHyphen/>
      </w:r>
      <w:r w:rsidRPr="00411A60">
        <w:rPr>
          <w:lang w:val="es-ES"/>
        </w:rPr>
        <w:t>26 y alaban los preparativos realizados. Esperan que los resultados del evento se basen en el consenso y ofrezcan una visión estratégica clara.</w:t>
      </w:r>
    </w:p>
    <w:p w14:paraId="11974795" w14:textId="4E76F15E" w:rsidR="00411A60" w:rsidRPr="00411A60" w:rsidRDefault="00411A60" w:rsidP="00B4641B">
      <w:pPr>
        <w:jc w:val="both"/>
        <w:rPr>
          <w:lang w:val="es-ES"/>
        </w:rPr>
      </w:pPr>
      <w:r w:rsidRPr="00411A60">
        <w:rPr>
          <w:lang w:val="es-ES"/>
        </w:rPr>
        <w:t>1.7</w:t>
      </w:r>
      <w:r w:rsidRPr="00411A60">
        <w:rPr>
          <w:lang w:val="es-ES"/>
        </w:rPr>
        <w:tab/>
        <w:t>Varios consejeros alaban la estrecha cooperación entre Qatar y la Secretaría General a la hora de preparar la PP</w:t>
      </w:r>
      <w:r w:rsidR="009A57D1">
        <w:rPr>
          <w:lang w:val="es-ES"/>
        </w:rPr>
        <w:noBreakHyphen/>
      </w:r>
      <w:r w:rsidRPr="00411A60">
        <w:rPr>
          <w:lang w:val="es-ES"/>
        </w:rPr>
        <w:t>26. Concretamente, los esfuerzos invertidos por el país anfitrión para garantizar la seguridad, accesibilidad y celebración fluida del evento inspiran confianza en su capacidad para adaptarse a las cambiantes condiciones de seguridad de la región.</w:t>
      </w:r>
    </w:p>
    <w:p w14:paraId="73A1D17A" w14:textId="77777777" w:rsidR="00411A60" w:rsidRPr="00411A60" w:rsidRDefault="00411A60" w:rsidP="00B4641B">
      <w:pPr>
        <w:jc w:val="both"/>
        <w:rPr>
          <w:lang w:val="es-ES"/>
        </w:rPr>
      </w:pPr>
      <w:r w:rsidRPr="00411A60">
        <w:rPr>
          <w:lang w:val="es-ES"/>
        </w:rPr>
        <w:t>1.8</w:t>
      </w:r>
      <w:r w:rsidRPr="00411A60">
        <w:rPr>
          <w:lang w:val="es-ES"/>
        </w:rPr>
        <w:tab/>
        <w:t>Dos consejeros expresan su apoyo a la propuesta de la Secretaría de examinar las condiciones de seguridad cuatro meses antes de la celebración prevista de la PP-26. Un consejero animó a la Secretaría a considerar la posibilidad de ofrecer medios de participación flexibles para garantizar la inclusividad.</w:t>
      </w:r>
    </w:p>
    <w:p w14:paraId="21EE37EC" w14:textId="3C0D3A48" w:rsidR="00411A60" w:rsidRPr="00411A60" w:rsidRDefault="00411A60" w:rsidP="00B4641B">
      <w:pPr>
        <w:jc w:val="both"/>
        <w:rPr>
          <w:lang w:val="es-ES"/>
        </w:rPr>
      </w:pPr>
      <w:r w:rsidRPr="00411A60">
        <w:rPr>
          <w:lang w:val="es-ES"/>
        </w:rPr>
        <w:lastRenderedPageBreak/>
        <w:t>1.9</w:t>
      </w:r>
      <w:r w:rsidRPr="00411A60">
        <w:rPr>
          <w:lang w:val="es-ES"/>
        </w:rPr>
        <w:tab/>
        <w:t>Un consejero subraya la importancia de garantizar la oportuna celebración de la Conferencia de Plenipotenciarios al ser la más alta autoridad de la</w:t>
      </w:r>
      <w:r w:rsidR="00016F53">
        <w:rPr>
          <w:lang w:val="es-ES"/>
        </w:rPr>
        <w:t> </w:t>
      </w:r>
      <w:r w:rsidRPr="00411A60">
        <w:rPr>
          <w:lang w:val="es-ES"/>
        </w:rPr>
        <w:t>UIT. Dos consejeros animan a la Secretaría a comunicar el acuerdo de país anfitrión en cuanto se haya finalizado.</w:t>
      </w:r>
    </w:p>
    <w:p w14:paraId="4AE4234A" w14:textId="47FBD3CA" w:rsidR="00411A60" w:rsidRPr="00411A60" w:rsidRDefault="00411A60" w:rsidP="00B4641B">
      <w:pPr>
        <w:jc w:val="both"/>
        <w:rPr>
          <w:lang w:val="es-ES"/>
        </w:rPr>
      </w:pPr>
      <w:r w:rsidRPr="00411A60">
        <w:rPr>
          <w:lang w:val="es-ES"/>
        </w:rPr>
        <w:t>1.10</w:t>
      </w:r>
      <w:r w:rsidRPr="00411A60">
        <w:rPr>
          <w:lang w:val="es-ES"/>
        </w:rPr>
        <w:tab/>
        <w:t>Varios consejeros alaban el inclusivo y transparente proceso preparatorio de la PP</w:t>
      </w:r>
      <w:r w:rsidRPr="00411A60">
        <w:rPr>
          <w:lang w:val="es-ES"/>
        </w:rPr>
        <w:noBreakHyphen/>
        <w:t>26, destacando el papel que desempeñan las consultas regionales e interregionales para afianzar la cohesión regional y aumentar la efectividad del diálogo mundial. La Conferencia ofrece una oportunidad única para reafirmar el compromiso colectivo para con el logro de la conectividad universal y la transformación digital sostenible. La coincidencia con el Mobile World Con</w:t>
      </w:r>
      <w:r w:rsidR="00010425">
        <w:rPr>
          <w:lang w:val="es-ES"/>
        </w:rPr>
        <w:t>gress</w:t>
      </w:r>
      <w:r w:rsidRPr="00411A60">
        <w:rPr>
          <w:lang w:val="es-ES"/>
        </w:rPr>
        <w:t xml:space="preserve"> contribuirá a enriquecer el diálogo y la colaboración entre los sectores público y privado.</w:t>
      </w:r>
    </w:p>
    <w:p w14:paraId="2D2A9D75" w14:textId="77777777" w:rsidR="00411A60" w:rsidRPr="00411A60" w:rsidRDefault="00411A60" w:rsidP="00B4641B">
      <w:pPr>
        <w:jc w:val="both"/>
        <w:rPr>
          <w:lang w:val="es-ES"/>
        </w:rPr>
      </w:pPr>
      <w:r w:rsidRPr="00411A60">
        <w:rPr>
          <w:lang w:val="es-ES"/>
        </w:rPr>
        <w:t>1.11</w:t>
      </w:r>
      <w:r w:rsidRPr="00411A60">
        <w:rPr>
          <w:lang w:val="es-ES"/>
        </w:rPr>
        <w:tab/>
        <w:t>El observador de Cabo Verde insiste en la importancia de la PP-26 como oportunidad para centrar la acción colectiva en aumentar la resiliencia infraestructural y crear capacidades e infraestructuras sostenibles, seguras e inclusivas, lo que reviste una particular importancia para los países en desarrollo, incluidos los pequeños Estados insulares en desarrollo (PEID).</w:t>
      </w:r>
    </w:p>
    <w:p w14:paraId="56E76798" w14:textId="4E85D4A0" w:rsidR="00411A60" w:rsidRPr="00411A60" w:rsidRDefault="00411A60" w:rsidP="00B4641B">
      <w:pPr>
        <w:jc w:val="both"/>
        <w:rPr>
          <w:lang w:val="es-ES"/>
        </w:rPr>
      </w:pPr>
      <w:r w:rsidRPr="00411A60">
        <w:rPr>
          <w:lang w:val="es-ES"/>
        </w:rPr>
        <w:t>1.12</w:t>
      </w:r>
      <w:r w:rsidRPr="00411A60">
        <w:rPr>
          <w:lang w:val="es-ES"/>
        </w:rPr>
        <w:tab/>
        <w:t>La Jefa de</w:t>
      </w:r>
      <w:r w:rsidR="00091B52">
        <w:rPr>
          <w:lang w:val="es-ES"/>
        </w:rPr>
        <w:t>l</w:t>
      </w:r>
      <w:r w:rsidRPr="00411A60">
        <w:rPr>
          <w:lang w:val="es-ES"/>
        </w:rPr>
        <w:t xml:space="preserve"> SPM, en respuesta a las observaciones de los consejeros, dice que la Secretaría General está estudiando cuándo podría celebrarse la tercera reunión preparatoria interregional para la PP</w:t>
      </w:r>
      <w:r w:rsidR="00091B52">
        <w:rPr>
          <w:lang w:val="es-ES"/>
        </w:rPr>
        <w:noBreakHyphen/>
      </w:r>
      <w:r w:rsidRPr="00411A60">
        <w:rPr>
          <w:lang w:val="es-ES"/>
        </w:rPr>
        <w:t>26, dado que en la actualidad está prevista al mismo tiempo que el Foro Mundial de Política de las Telecomunicaciones/TIC (FMPT-26), que podría retrasarse. La decisión se tomará en función de los resultados de la segunda reunión preparatoria interregional, celebrada ese mismo día. Asegura a los consejeros que la Secretaría comunicará toda modificación acerca de la organización de la PP-26 en cuanto disponga de la información.</w:t>
      </w:r>
    </w:p>
    <w:p w14:paraId="067E271C" w14:textId="1C14463B" w:rsidR="00411A60" w:rsidRPr="00411A60" w:rsidRDefault="00411A60" w:rsidP="00B4641B">
      <w:pPr>
        <w:jc w:val="both"/>
        <w:rPr>
          <w:lang w:val="es-ES"/>
        </w:rPr>
      </w:pPr>
      <w:r w:rsidRPr="00411A60">
        <w:rPr>
          <w:lang w:val="es-ES"/>
        </w:rPr>
        <w:t>1.13</w:t>
      </w:r>
      <w:r w:rsidRPr="00411A60">
        <w:rPr>
          <w:lang w:val="es-ES"/>
        </w:rPr>
        <w:tab/>
        <w:t>La Secretaria General alaba la activa colaboración de la Administración de Qatar y el Presidente designado con la Secretaría, los Estados Miembros y las organizaciones regionales de telecomunicaciones para garantizar el éxito de la</w:t>
      </w:r>
      <w:r w:rsidR="00091B52">
        <w:rPr>
          <w:lang w:val="es-ES"/>
        </w:rPr>
        <w:t> </w:t>
      </w:r>
      <w:r w:rsidRPr="00411A60">
        <w:rPr>
          <w:lang w:val="es-ES"/>
        </w:rPr>
        <w:t>PP</w:t>
      </w:r>
      <w:r w:rsidR="00091B52">
        <w:rPr>
          <w:lang w:val="es-ES"/>
        </w:rPr>
        <w:noBreakHyphen/>
      </w:r>
      <w:r w:rsidRPr="00411A60">
        <w:rPr>
          <w:lang w:val="es-ES"/>
        </w:rPr>
        <w:t>26.</w:t>
      </w:r>
    </w:p>
    <w:p w14:paraId="30AF1E70" w14:textId="5CDF7C28" w:rsidR="00411A60" w:rsidRPr="00411A60" w:rsidRDefault="00411A60" w:rsidP="00B4641B">
      <w:pPr>
        <w:jc w:val="both"/>
        <w:rPr>
          <w:lang w:val="es-ES"/>
        </w:rPr>
      </w:pPr>
      <w:r w:rsidRPr="00411A60">
        <w:rPr>
          <w:lang w:val="es-ES"/>
        </w:rPr>
        <w:t>1.14</w:t>
      </w:r>
      <w:r w:rsidRPr="00411A60">
        <w:rPr>
          <w:lang w:val="es-ES"/>
        </w:rPr>
        <w:tab/>
        <w:t xml:space="preserve">El Consejo </w:t>
      </w:r>
      <w:r w:rsidRPr="00411A60">
        <w:rPr>
          <w:b/>
          <w:bCs/>
          <w:lang w:val="es-ES"/>
        </w:rPr>
        <w:t xml:space="preserve">toma nota </w:t>
      </w:r>
      <w:r w:rsidRPr="00411A60">
        <w:rPr>
          <w:lang w:val="es-ES"/>
        </w:rPr>
        <w:t xml:space="preserve">del informe sobre los preparativos para </w:t>
      </w:r>
      <w:r w:rsidR="00091B52">
        <w:rPr>
          <w:lang w:val="es-ES"/>
        </w:rPr>
        <w:t xml:space="preserve">la </w:t>
      </w:r>
      <w:r w:rsidRPr="00411A60">
        <w:rPr>
          <w:lang w:val="es-ES"/>
        </w:rPr>
        <w:t>PP-26 del Documento</w:t>
      </w:r>
      <w:r w:rsidR="00016F53">
        <w:rPr>
          <w:lang w:val="es-ES"/>
        </w:rPr>
        <w:t> </w:t>
      </w:r>
      <w:r w:rsidRPr="00411A60">
        <w:rPr>
          <w:lang w:val="es-ES"/>
        </w:rPr>
        <w:t>C26/4.</w:t>
      </w:r>
    </w:p>
    <w:bookmarkEnd w:id="2"/>
    <w:p w14:paraId="492F6A2E" w14:textId="73B11D4E" w:rsidR="00411A60" w:rsidRPr="00411A60" w:rsidRDefault="00411A60" w:rsidP="005B66FB">
      <w:pPr>
        <w:pStyle w:val="Heading1"/>
        <w:rPr>
          <w:lang w:val="es-ES"/>
        </w:rPr>
      </w:pPr>
      <w:r w:rsidRPr="00411A60">
        <w:rPr>
          <w:lang w:val="es-ES"/>
        </w:rPr>
        <w:t>2</w:t>
      </w:r>
      <w:r w:rsidRPr="00411A60">
        <w:rPr>
          <w:lang w:val="es-ES"/>
        </w:rPr>
        <w:tab/>
        <w:t>Preparativos para la Asamblea de Radiocomunicaciones de 2027 y la Conferencia Mundial de Radiocomunicaciones de 2027 (Documento</w:t>
      </w:r>
      <w:r>
        <w:rPr>
          <w:lang w:val="es-ES"/>
        </w:rPr>
        <w:t> </w:t>
      </w:r>
      <w:proofErr w:type="spellStart"/>
      <w:r>
        <w:fldChar w:fldCharType="begin"/>
      </w:r>
      <w:r>
        <w:instrText>HYPERLINK "https://www.itu.int/md/S26-CL-C-0006/es"</w:instrText>
      </w:r>
      <w:r>
        <w:fldChar w:fldCharType="separate"/>
      </w:r>
      <w:r w:rsidRPr="00411A60">
        <w:rPr>
          <w:rStyle w:val="Hyperlink"/>
          <w:rFonts w:eastAsia="Times New Roman" w:cs="Times New Roman"/>
          <w:szCs w:val="20"/>
          <w:lang w:val="es-ES"/>
        </w:rPr>
        <w:t>C26</w:t>
      </w:r>
      <w:proofErr w:type="spellEnd"/>
      <w:r w:rsidRPr="00411A60">
        <w:rPr>
          <w:rStyle w:val="Hyperlink"/>
          <w:rFonts w:eastAsia="Times New Roman" w:cs="Times New Roman"/>
          <w:szCs w:val="20"/>
          <w:lang w:val="es-ES"/>
        </w:rPr>
        <w:t>/6</w:t>
      </w:r>
      <w:r>
        <w:fldChar w:fldCharType="end"/>
      </w:r>
      <w:r w:rsidRPr="00411A60">
        <w:rPr>
          <w:lang w:val="es-ES"/>
        </w:rPr>
        <w:t>)</w:t>
      </w:r>
    </w:p>
    <w:p w14:paraId="3B094918" w14:textId="781DEDED" w:rsidR="00411A60" w:rsidRPr="005B66FB" w:rsidRDefault="00411A60" w:rsidP="00B4641B">
      <w:pPr>
        <w:jc w:val="both"/>
        <w:rPr>
          <w:spacing w:val="-2"/>
          <w:lang w:val="es-ES"/>
        </w:rPr>
      </w:pPr>
      <w:r w:rsidRPr="005B66FB">
        <w:rPr>
          <w:spacing w:val="-2"/>
          <w:lang w:val="es-ES"/>
        </w:rPr>
        <w:t>2.1</w:t>
      </w:r>
      <w:r w:rsidRPr="005B66FB">
        <w:rPr>
          <w:spacing w:val="-2"/>
          <w:lang w:val="es-ES"/>
        </w:rPr>
        <w:tab/>
        <w:t>La Directora Adjunta de la Oficina de Radiocomunicaciones (BR) presenta el Documento</w:t>
      </w:r>
      <w:r w:rsidR="00091B52" w:rsidRPr="005B66FB">
        <w:rPr>
          <w:spacing w:val="-2"/>
          <w:lang w:val="es-ES"/>
        </w:rPr>
        <w:t> </w:t>
      </w:r>
      <w:r w:rsidRPr="005B66FB">
        <w:rPr>
          <w:spacing w:val="-2"/>
          <w:lang w:val="es-ES"/>
        </w:rPr>
        <w:t>C26/6 e informa al Consejo acerca de los preparativos para la Asamblea de Radiocomunicaciones de 2027 (AR-27) y la Conferencia Mundial de Radiocomunicaciones de</w:t>
      </w:r>
      <w:r w:rsidR="00016F53" w:rsidRPr="005B66FB">
        <w:rPr>
          <w:spacing w:val="-2"/>
          <w:lang w:val="es-ES"/>
        </w:rPr>
        <w:t> </w:t>
      </w:r>
      <w:r w:rsidRPr="005B66FB">
        <w:rPr>
          <w:spacing w:val="-2"/>
          <w:lang w:val="es-ES"/>
        </w:rPr>
        <w:t>2027 (CMR-27), que se celebrarán en Shanghái (China) del 11 de octubre al 12 de noviembre de</w:t>
      </w:r>
      <w:r w:rsidR="00091B52" w:rsidRPr="005B66FB">
        <w:rPr>
          <w:spacing w:val="-2"/>
          <w:lang w:val="es-ES"/>
        </w:rPr>
        <w:t> </w:t>
      </w:r>
      <w:r w:rsidRPr="005B66FB">
        <w:rPr>
          <w:spacing w:val="-2"/>
          <w:lang w:val="es-ES"/>
        </w:rPr>
        <w:t>2027, e irán inmediatamente seguidas de la primera sesión de la Reunión Preparatoria de la Conferencia para la siguiente CMR (RPC31-1). El país anfitrión ha propuesto que la Presidenta designada de la CMR-27 sea la Sra.</w:t>
      </w:r>
      <w:r w:rsidR="00091B52" w:rsidRPr="005B66FB">
        <w:rPr>
          <w:spacing w:val="-2"/>
          <w:lang w:val="es-ES"/>
        </w:rPr>
        <w:t> </w:t>
      </w:r>
      <w:r w:rsidRPr="005B66FB">
        <w:rPr>
          <w:spacing w:val="-2"/>
          <w:lang w:val="es-ES"/>
        </w:rPr>
        <w:t>Zhu Keer, Directora General del Centro Estatal de Comprobación Técnica Radioeléctrica.</w:t>
      </w:r>
    </w:p>
    <w:p w14:paraId="6E45E426" w14:textId="600614F6" w:rsidR="00411A60" w:rsidRPr="005B66FB" w:rsidRDefault="00411A60" w:rsidP="00B4641B">
      <w:pPr>
        <w:jc w:val="both"/>
        <w:rPr>
          <w:spacing w:val="-3"/>
          <w:lang w:val="es-ES"/>
        </w:rPr>
      </w:pPr>
      <w:r w:rsidRPr="005B66FB">
        <w:rPr>
          <w:spacing w:val="-3"/>
          <w:lang w:val="es-ES"/>
        </w:rPr>
        <w:t>2.2</w:t>
      </w:r>
      <w:r w:rsidRPr="005B66FB">
        <w:rPr>
          <w:spacing w:val="-3"/>
          <w:lang w:val="es-ES"/>
        </w:rPr>
        <w:tab/>
        <w:t>El consejero de China agradece a la Unión y a los Estados Miembros la confianza que le depositan para la celebración de la</w:t>
      </w:r>
      <w:r w:rsidR="00091B52" w:rsidRPr="005B66FB">
        <w:rPr>
          <w:spacing w:val="-3"/>
          <w:lang w:val="es-ES"/>
        </w:rPr>
        <w:t> </w:t>
      </w:r>
      <w:r w:rsidRPr="005B66FB">
        <w:rPr>
          <w:spacing w:val="-3"/>
          <w:lang w:val="es-ES"/>
        </w:rPr>
        <w:t>CMR</w:t>
      </w:r>
      <w:r w:rsidR="00091B52" w:rsidRPr="005B66FB">
        <w:rPr>
          <w:spacing w:val="-3"/>
          <w:lang w:val="es-ES"/>
        </w:rPr>
        <w:noBreakHyphen/>
      </w:r>
      <w:r w:rsidRPr="005B66FB">
        <w:rPr>
          <w:spacing w:val="-3"/>
          <w:lang w:val="es-ES"/>
        </w:rPr>
        <w:t>27 en Shanghái, ciudad definida por su apertura, innovación e inclusividad y que se sitúa a la vanguardia del desarrollo de las radiocomunicaciones de China. No se escatimarán esfuerzos para garantizar el éxito de la Conferencia.</w:t>
      </w:r>
    </w:p>
    <w:p w14:paraId="2E250BE8" w14:textId="529CA73F" w:rsidR="00091B52" w:rsidRPr="00411A60" w:rsidRDefault="00411A60" w:rsidP="00B4641B">
      <w:pPr>
        <w:jc w:val="both"/>
        <w:rPr>
          <w:lang w:val="es-ES"/>
        </w:rPr>
      </w:pPr>
      <w:r w:rsidRPr="00411A60">
        <w:rPr>
          <w:lang w:val="es-ES"/>
        </w:rPr>
        <w:t>2.3</w:t>
      </w:r>
      <w:r w:rsidRPr="00411A60">
        <w:rPr>
          <w:lang w:val="es-ES"/>
        </w:rPr>
        <w:tab/>
        <w:t>Se proyecta un breve vídeo sobre los atractivos de Shanghái y los trabajos que se están realizando para preparar el recinto y las instalaciones en que se celebrará la Conferencia.</w:t>
      </w:r>
    </w:p>
    <w:p w14:paraId="7FFC5D8A" w14:textId="6361F0A6" w:rsidR="00411A60" w:rsidRPr="00411A60" w:rsidRDefault="00411A60" w:rsidP="00B4641B">
      <w:pPr>
        <w:jc w:val="both"/>
        <w:rPr>
          <w:lang w:val="es-ES"/>
        </w:rPr>
      </w:pPr>
      <w:r w:rsidRPr="00411A60">
        <w:rPr>
          <w:lang w:val="es-ES"/>
        </w:rPr>
        <w:lastRenderedPageBreak/>
        <w:t>2.4</w:t>
      </w:r>
      <w:r w:rsidRPr="00411A60">
        <w:rPr>
          <w:lang w:val="es-ES"/>
        </w:rPr>
        <w:tab/>
        <w:t>Los consejeros dan las gracias al Gobierno de China por celebrar la</w:t>
      </w:r>
      <w:r w:rsidR="00091B52">
        <w:rPr>
          <w:lang w:val="es-ES"/>
        </w:rPr>
        <w:t> </w:t>
      </w:r>
      <w:r w:rsidRPr="00411A60">
        <w:rPr>
          <w:lang w:val="es-ES"/>
        </w:rPr>
        <w:t>AR</w:t>
      </w:r>
      <w:r w:rsidR="00091B52">
        <w:rPr>
          <w:lang w:val="es-ES"/>
        </w:rPr>
        <w:noBreakHyphen/>
      </w:r>
      <w:r w:rsidRPr="00411A60">
        <w:rPr>
          <w:lang w:val="es-ES"/>
        </w:rPr>
        <w:t>27 y la</w:t>
      </w:r>
      <w:r w:rsidR="00091B52">
        <w:rPr>
          <w:lang w:val="es-ES"/>
        </w:rPr>
        <w:t> </w:t>
      </w:r>
      <w:r w:rsidRPr="00411A60">
        <w:rPr>
          <w:lang w:val="es-ES"/>
        </w:rPr>
        <w:t>CMR-27, cuyos resultados definirán las comunicaciones mundiales del futuro. Dada la amplitud y complejidad del orden del día de la</w:t>
      </w:r>
      <w:r w:rsidR="00016F53">
        <w:rPr>
          <w:lang w:val="es-ES"/>
        </w:rPr>
        <w:t> </w:t>
      </w:r>
      <w:r w:rsidRPr="00411A60">
        <w:rPr>
          <w:lang w:val="es-ES"/>
        </w:rPr>
        <w:t>CMR, será vital gestionar eficazmente el tiempo para garantizar la efectividad y productividad de las deliberaciones. La</w:t>
      </w:r>
      <w:r w:rsidR="00091B52">
        <w:rPr>
          <w:lang w:val="es-ES"/>
        </w:rPr>
        <w:t> </w:t>
      </w:r>
      <w:r w:rsidRPr="00411A60">
        <w:rPr>
          <w:lang w:val="es-ES"/>
        </w:rPr>
        <w:t>CMR</w:t>
      </w:r>
      <w:r w:rsidR="00091B52">
        <w:rPr>
          <w:lang w:val="es-ES"/>
        </w:rPr>
        <w:noBreakHyphen/>
      </w:r>
      <w:r w:rsidRPr="00411A60">
        <w:rPr>
          <w:lang w:val="es-ES"/>
        </w:rPr>
        <w:t>27 ofrecerá a la comunidad internacional de radiocomunicaciones una oportunidad sin par para abordar las tecnologías incipientes, que han de estar respaldadas por una eficaz gestión del espectro. Varios consejeros destacan la importancia de las actividades preparatorias regionales e interregionales a la hora de garantizar un proceso inclusivo y transparente. Otro consejero, recordando que gran parte del orden del día se refiere a las comunicaciones espaciales y por satélite, insiste en la necesidad de prestar un constante apoyo a los países en desarrollo a lo largo del proceso preparatorio, en concreto mediante la capacitación y la asistencia técnica, a fin de que los resultados sean equilibrados y efectivos; un tercer consejero resalta que es necesario contar con apoyo real para determinadas cuestiones, como la obtención de visados.</w:t>
      </w:r>
    </w:p>
    <w:p w14:paraId="0F9D84C0" w14:textId="61E3BB12" w:rsidR="00411A60" w:rsidRPr="00411A60" w:rsidRDefault="00411A60" w:rsidP="00B4641B">
      <w:pPr>
        <w:jc w:val="both"/>
        <w:rPr>
          <w:lang w:val="es-ES"/>
        </w:rPr>
      </w:pPr>
      <w:r w:rsidRPr="00411A60">
        <w:rPr>
          <w:lang w:val="es-ES"/>
        </w:rPr>
        <w:t>2.5</w:t>
      </w:r>
      <w:r w:rsidRPr="00411A60">
        <w:rPr>
          <w:lang w:val="es-ES"/>
        </w:rPr>
        <w:tab/>
        <w:t>Varios consejeros insisten en la importancia de garantizar el respeto de los privilegios e inmunidades, de conformidad con el Convenio sobre los privilegios e inmunidades de los organismos especializados de las Naciones Unidas de</w:t>
      </w:r>
      <w:r w:rsidR="00016F53">
        <w:rPr>
          <w:lang w:val="es-ES"/>
        </w:rPr>
        <w:t> </w:t>
      </w:r>
      <w:r w:rsidRPr="00411A60">
        <w:rPr>
          <w:lang w:val="es-ES"/>
        </w:rPr>
        <w:t>1947, y piden que se garantice la no interferencia de las autoridades y que las actividades operativas o de otro tipo de los delegados y el personal no se verán limitadas en modo alguno durante su estancia en el país anfitrión. El acuerdo de país anfitrión debe contener compromisos explícitos a ese respecto. Varios consejeros subrayan, además, la necesidad de garantizar la participación de lo más amplia posible de los gobiernos e industrias de todas las regiones.</w:t>
      </w:r>
    </w:p>
    <w:p w14:paraId="28FA78EB" w14:textId="2EA600F1" w:rsidR="00411A60" w:rsidRPr="00411A60" w:rsidRDefault="00411A60" w:rsidP="00B4641B">
      <w:pPr>
        <w:jc w:val="both"/>
        <w:rPr>
          <w:lang w:val="es-ES"/>
        </w:rPr>
      </w:pPr>
      <w:r w:rsidRPr="00411A60">
        <w:rPr>
          <w:lang w:val="es-ES"/>
        </w:rPr>
        <w:t>2.6</w:t>
      </w:r>
      <w:r w:rsidRPr="00411A60">
        <w:rPr>
          <w:lang w:val="es-ES"/>
        </w:rPr>
        <w:tab/>
        <w:t>En respuesta a esas observaciones el Director de la</w:t>
      </w:r>
      <w:r w:rsidR="00016F53">
        <w:rPr>
          <w:lang w:val="es-ES"/>
        </w:rPr>
        <w:t> </w:t>
      </w:r>
      <w:r w:rsidRPr="00411A60">
        <w:rPr>
          <w:lang w:val="es-ES"/>
        </w:rPr>
        <w:t>BR dice que tomará buena nota de las inquietudes manifestadas. En su calidad de signatario del Convenio de</w:t>
      </w:r>
      <w:r w:rsidR="00091B52">
        <w:rPr>
          <w:lang w:val="es-ES"/>
        </w:rPr>
        <w:t> </w:t>
      </w:r>
      <w:r w:rsidRPr="00411A60">
        <w:rPr>
          <w:lang w:val="es-ES"/>
        </w:rPr>
        <w:t>1947, el país anfitrión está obligado por sus disposiciones. El proceso de negociación del acuerdo de país anfitrión seguirá delante mediante la relación directa entre la</w:t>
      </w:r>
      <w:r w:rsidR="00016F53">
        <w:rPr>
          <w:lang w:val="es-ES"/>
        </w:rPr>
        <w:t> </w:t>
      </w:r>
      <w:r w:rsidRPr="00411A60">
        <w:rPr>
          <w:lang w:val="es-ES"/>
        </w:rPr>
        <w:t>BR, la Secretaría General y las autoridades del país anfitrión. Se espera poder firmar el acuerdo antes de la</w:t>
      </w:r>
      <w:r w:rsidR="00091B52">
        <w:rPr>
          <w:lang w:val="es-ES"/>
        </w:rPr>
        <w:t> </w:t>
      </w:r>
      <w:r w:rsidRPr="00411A60">
        <w:rPr>
          <w:lang w:val="es-ES"/>
        </w:rPr>
        <w:t>PP</w:t>
      </w:r>
      <w:r w:rsidR="00091B52">
        <w:rPr>
          <w:lang w:val="es-ES"/>
        </w:rPr>
        <w:noBreakHyphen/>
      </w:r>
      <w:r w:rsidRPr="00411A60">
        <w:rPr>
          <w:lang w:val="es-ES"/>
        </w:rPr>
        <w:t>26. El acuerdo se hará público una vez firmado.</w:t>
      </w:r>
    </w:p>
    <w:p w14:paraId="2BFD8792" w14:textId="12E950D1" w:rsidR="00411A60" w:rsidRPr="005B66FB" w:rsidRDefault="00411A60" w:rsidP="00B4641B">
      <w:pPr>
        <w:jc w:val="both"/>
        <w:rPr>
          <w:spacing w:val="-2"/>
          <w:lang w:val="es-ES"/>
        </w:rPr>
      </w:pPr>
      <w:r w:rsidRPr="005B66FB">
        <w:rPr>
          <w:spacing w:val="-2"/>
          <w:lang w:val="es-ES"/>
        </w:rPr>
        <w:t>2.7</w:t>
      </w:r>
      <w:r w:rsidRPr="005B66FB">
        <w:rPr>
          <w:spacing w:val="-2"/>
          <w:lang w:val="es-ES"/>
        </w:rPr>
        <w:tab/>
        <w:t xml:space="preserve">El Consejo </w:t>
      </w:r>
      <w:r w:rsidRPr="005B66FB">
        <w:rPr>
          <w:b/>
          <w:bCs/>
          <w:spacing w:val="-2"/>
          <w:lang w:val="es-ES"/>
        </w:rPr>
        <w:t xml:space="preserve">toma nota </w:t>
      </w:r>
      <w:r w:rsidRPr="005B66FB">
        <w:rPr>
          <w:spacing w:val="-2"/>
          <w:lang w:val="es-ES"/>
        </w:rPr>
        <w:t>del avance de los preparativos para la</w:t>
      </w:r>
      <w:r w:rsidR="00091B52" w:rsidRPr="005B66FB">
        <w:rPr>
          <w:spacing w:val="-2"/>
          <w:lang w:val="es-ES"/>
        </w:rPr>
        <w:t> </w:t>
      </w:r>
      <w:r w:rsidRPr="005B66FB">
        <w:rPr>
          <w:spacing w:val="-2"/>
          <w:lang w:val="es-ES"/>
        </w:rPr>
        <w:t>AR</w:t>
      </w:r>
      <w:r w:rsidR="00091B52" w:rsidRPr="005B66FB">
        <w:rPr>
          <w:spacing w:val="-2"/>
          <w:lang w:val="es-ES"/>
        </w:rPr>
        <w:noBreakHyphen/>
      </w:r>
      <w:r w:rsidRPr="005B66FB">
        <w:rPr>
          <w:spacing w:val="-2"/>
          <w:lang w:val="es-ES"/>
        </w:rPr>
        <w:t>27, la</w:t>
      </w:r>
      <w:r w:rsidR="00091B52" w:rsidRPr="005B66FB">
        <w:rPr>
          <w:spacing w:val="-2"/>
          <w:lang w:val="es-ES"/>
        </w:rPr>
        <w:t> </w:t>
      </w:r>
      <w:r w:rsidRPr="005B66FB">
        <w:rPr>
          <w:spacing w:val="-2"/>
          <w:lang w:val="es-ES"/>
        </w:rPr>
        <w:t>CMR</w:t>
      </w:r>
      <w:r w:rsidR="00091B52" w:rsidRPr="005B66FB">
        <w:rPr>
          <w:spacing w:val="-2"/>
          <w:lang w:val="es-ES"/>
        </w:rPr>
        <w:noBreakHyphen/>
      </w:r>
      <w:r w:rsidRPr="005B66FB">
        <w:rPr>
          <w:spacing w:val="-2"/>
          <w:lang w:val="es-ES"/>
        </w:rPr>
        <w:t>27 y la</w:t>
      </w:r>
      <w:r w:rsidR="00091B52" w:rsidRPr="005B66FB">
        <w:rPr>
          <w:spacing w:val="-2"/>
          <w:lang w:val="es-ES"/>
        </w:rPr>
        <w:t> </w:t>
      </w:r>
      <w:r w:rsidRPr="005B66FB">
        <w:rPr>
          <w:spacing w:val="-2"/>
          <w:lang w:val="es-ES"/>
        </w:rPr>
        <w:t>RPC31</w:t>
      </w:r>
      <w:r w:rsidR="00091B52" w:rsidRPr="005B66FB">
        <w:rPr>
          <w:spacing w:val="-2"/>
          <w:lang w:val="es-ES"/>
        </w:rPr>
        <w:noBreakHyphen/>
      </w:r>
      <w:r w:rsidRPr="005B66FB">
        <w:rPr>
          <w:spacing w:val="-2"/>
          <w:lang w:val="es-ES"/>
        </w:rPr>
        <w:t>1.</w:t>
      </w:r>
    </w:p>
    <w:p w14:paraId="3846A85B" w14:textId="35152C44" w:rsidR="00411A60" w:rsidRPr="00411A60" w:rsidRDefault="00411A60" w:rsidP="00D24FB0">
      <w:pPr>
        <w:pStyle w:val="Heading1"/>
        <w:spacing w:before="240"/>
        <w:rPr>
          <w:lang w:val="es-ES"/>
        </w:rPr>
      </w:pPr>
      <w:r w:rsidRPr="00411A60">
        <w:rPr>
          <w:lang w:val="es-ES"/>
        </w:rPr>
        <w:t>3</w:t>
      </w:r>
      <w:r w:rsidRPr="00411A60">
        <w:rPr>
          <w:lang w:val="es-ES"/>
        </w:rPr>
        <w:tab/>
        <w:t xml:space="preserve">Declaraciones de </w:t>
      </w:r>
      <w:r>
        <w:rPr>
          <w:lang w:val="es-ES"/>
        </w:rPr>
        <w:t xml:space="preserve">los </w:t>
      </w:r>
      <w:r w:rsidRPr="00411A60">
        <w:rPr>
          <w:lang w:val="es-ES"/>
        </w:rPr>
        <w:t>consejeros y observadores sobre la interferencia causada a las comunicaciones por satélite</w:t>
      </w:r>
    </w:p>
    <w:p w14:paraId="09B58D5E" w14:textId="1BCE3087" w:rsidR="00411A60" w:rsidRPr="00B4641B" w:rsidRDefault="00411A60" w:rsidP="00B4641B">
      <w:pPr>
        <w:jc w:val="both"/>
        <w:rPr>
          <w:spacing w:val="-2"/>
          <w:lang w:val="es-ES"/>
        </w:rPr>
      </w:pPr>
      <w:r w:rsidRPr="00B4641B">
        <w:rPr>
          <w:spacing w:val="-2"/>
          <w:lang w:val="es-ES"/>
        </w:rPr>
        <w:t>3.1</w:t>
      </w:r>
      <w:r w:rsidRPr="00B4641B">
        <w:rPr>
          <w:spacing w:val="-2"/>
          <w:lang w:val="es-ES"/>
        </w:rPr>
        <w:tab/>
        <w:t xml:space="preserve">El consejero de Polonia, en nombre de nueve países de la región europea y con el </w:t>
      </w:r>
      <w:r w:rsidR="00016F53" w:rsidRPr="00B4641B">
        <w:rPr>
          <w:spacing w:val="-2"/>
          <w:lang w:val="es-ES"/>
        </w:rPr>
        <w:t>a</w:t>
      </w:r>
      <w:r w:rsidRPr="00B4641B">
        <w:rPr>
          <w:spacing w:val="-2"/>
          <w:lang w:val="es-ES"/>
        </w:rPr>
        <w:t>poyo de otro</w:t>
      </w:r>
      <w:r w:rsidR="00016F53" w:rsidRPr="00B4641B">
        <w:rPr>
          <w:spacing w:val="-2"/>
          <w:lang w:val="es-ES"/>
        </w:rPr>
        <w:t>s</w:t>
      </w:r>
      <w:r w:rsidRPr="00B4641B">
        <w:rPr>
          <w:spacing w:val="-2"/>
          <w:lang w:val="es-ES"/>
        </w:rPr>
        <w:t xml:space="preserve"> 24</w:t>
      </w:r>
      <w:r w:rsidR="00016F53" w:rsidRPr="00B4641B">
        <w:rPr>
          <w:spacing w:val="-2"/>
          <w:lang w:val="es-ES"/>
        </w:rPr>
        <w:t> </w:t>
      </w:r>
      <w:r w:rsidRPr="00B4641B">
        <w:rPr>
          <w:spacing w:val="-2"/>
          <w:lang w:val="es-ES"/>
        </w:rPr>
        <w:t xml:space="preserve">países, pronuncia la declaración que puede consultarse en </w:t>
      </w:r>
      <w:hyperlink r:id="rId15" w:history="1">
        <w:r w:rsidRPr="00B4641B">
          <w:rPr>
            <w:rStyle w:val="Hyperlink"/>
            <w:rFonts w:eastAsia="Times New Roman" w:cs="Times New Roman"/>
            <w:spacing w:val="-2"/>
            <w:szCs w:val="20"/>
            <w:lang w:val="es-ES"/>
          </w:rPr>
          <w:t>council.itu.int/2026/wp-content/uploads/sites/6/20</w:t>
        </w:r>
        <w:r w:rsidRPr="00B4641B">
          <w:rPr>
            <w:rStyle w:val="Hyperlink"/>
            <w:rFonts w:eastAsia="Times New Roman" w:cs="Times New Roman"/>
            <w:spacing w:val="-2"/>
            <w:szCs w:val="20"/>
            <w:lang w:val="es-ES"/>
          </w:rPr>
          <w:t>2</w:t>
        </w:r>
        <w:r w:rsidRPr="00B4641B">
          <w:rPr>
            <w:rStyle w:val="Hyperlink"/>
            <w:rFonts w:eastAsia="Times New Roman" w:cs="Times New Roman"/>
            <w:spacing w:val="-2"/>
            <w:szCs w:val="20"/>
            <w:lang w:val="es-ES"/>
          </w:rPr>
          <w:t>6/06/26.04.30-Poland_EU-Interferences-statement-PL3.pdf</w:t>
        </w:r>
      </w:hyperlink>
      <w:r w:rsidRPr="00B4641B">
        <w:rPr>
          <w:spacing w:val="-2"/>
          <w:lang w:val="es-ES"/>
        </w:rPr>
        <w:t>.</w:t>
      </w:r>
    </w:p>
    <w:p w14:paraId="14FD0E9E" w14:textId="77777777" w:rsidR="00411A60" w:rsidRPr="00411A60" w:rsidRDefault="00411A60" w:rsidP="00B4641B">
      <w:pPr>
        <w:jc w:val="both"/>
        <w:rPr>
          <w:lang w:val="es-ES"/>
        </w:rPr>
      </w:pPr>
      <w:r w:rsidRPr="00411A60">
        <w:rPr>
          <w:lang w:val="es-ES"/>
        </w:rPr>
        <w:t>3.2</w:t>
      </w:r>
      <w:r w:rsidRPr="00411A60">
        <w:rPr>
          <w:lang w:val="es-ES"/>
        </w:rPr>
        <w:tab/>
        <w:t>Otros dos consejeros dan su apoyo a la declaración.</w:t>
      </w:r>
    </w:p>
    <w:p w14:paraId="4B26711B" w14:textId="4ECB6EB9" w:rsidR="00411A60" w:rsidRPr="00B4641B" w:rsidRDefault="00411A60" w:rsidP="00B4641B">
      <w:pPr>
        <w:jc w:val="both"/>
        <w:rPr>
          <w:spacing w:val="-2"/>
          <w:lang w:val="es-ES"/>
        </w:rPr>
      </w:pPr>
      <w:r w:rsidRPr="00B4641B">
        <w:rPr>
          <w:spacing w:val="-2"/>
          <w:lang w:val="es-ES"/>
        </w:rPr>
        <w:t>3.3</w:t>
      </w:r>
      <w:r w:rsidRPr="00B4641B">
        <w:rPr>
          <w:spacing w:val="-2"/>
          <w:lang w:val="es-ES"/>
        </w:rPr>
        <w:tab/>
        <w:t xml:space="preserve">El observador de la Federación de Rusia pronuncia la declaración que puede consultarse en </w:t>
      </w:r>
      <w:hyperlink r:id="rId16" w:history="1">
        <w:r w:rsidRPr="00B4641B">
          <w:rPr>
            <w:rStyle w:val="Hyperlink"/>
            <w:rFonts w:eastAsia="Times New Roman" w:cs="Times New Roman"/>
            <w:spacing w:val="-2"/>
            <w:szCs w:val="20"/>
            <w:lang w:val="es-ES"/>
          </w:rPr>
          <w:t>council.itu.int/2026/wp-conte</w:t>
        </w:r>
        <w:r w:rsidRPr="00B4641B">
          <w:rPr>
            <w:rStyle w:val="Hyperlink"/>
            <w:rFonts w:eastAsia="Times New Roman" w:cs="Times New Roman"/>
            <w:spacing w:val="-2"/>
            <w:szCs w:val="20"/>
            <w:lang w:val="es-ES"/>
          </w:rPr>
          <w:t>n</w:t>
        </w:r>
        <w:r w:rsidRPr="00B4641B">
          <w:rPr>
            <w:rStyle w:val="Hyperlink"/>
            <w:rFonts w:eastAsia="Times New Roman" w:cs="Times New Roman"/>
            <w:spacing w:val="-2"/>
            <w:szCs w:val="20"/>
            <w:lang w:val="es-ES"/>
          </w:rPr>
          <w:t>t/uploads/sites/6/2026/06/26.04.30-E-Russian-Federation-statement-PL3.pdf</w:t>
        </w:r>
      </w:hyperlink>
      <w:r w:rsidRPr="00B4641B">
        <w:rPr>
          <w:spacing w:val="-2"/>
          <w:lang w:val="es-ES"/>
        </w:rPr>
        <w:t>.</w:t>
      </w:r>
    </w:p>
    <w:p w14:paraId="1CCDEB02" w14:textId="078F8349" w:rsidR="00411A60" w:rsidRPr="00411A60" w:rsidRDefault="00411A60" w:rsidP="00D24FB0">
      <w:pPr>
        <w:pStyle w:val="Heading1"/>
        <w:spacing w:before="240"/>
        <w:rPr>
          <w:lang w:val="es-ES"/>
        </w:rPr>
      </w:pPr>
      <w:r w:rsidRPr="00411A60">
        <w:rPr>
          <w:lang w:val="es-ES"/>
        </w:rPr>
        <w:t>4</w:t>
      </w:r>
      <w:r w:rsidRPr="00411A60">
        <w:rPr>
          <w:lang w:val="es-ES"/>
        </w:rPr>
        <w:tab/>
        <w:t>Preparación para el Foro Mundial de Política de las Telecomunicaciones/TIC de 2026 (Documento</w:t>
      </w:r>
      <w:r>
        <w:rPr>
          <w:lang w:val="es-ES"/>
        </w:rPr>
        <w:t> </w:t>
      </w:r>
      <w:proofErr w:type="spellStart"/>
      <w:r>
        <w:fldChar w:fldCharType="begin"/>
      </w:r>
      <w:r>
        <w:instrText>HYPERLINK "https://www.itu.int/md/S26-CL-C-0005/es" \h</w:instrText>
      </w:r>
      <w:r>
        <w:fldChar w:fldCharType="separate"/>
      </w:r>
      <w:r w:rsidRPr="00411A60">
        <w:rPr>
          <w:rStyle w:val="Hyperlink"/>
          <w:rFonts w:eastAsia="Times New Roman" w:cs="Times New Roman"/>
          <w:szCs w:val="20"/>
          <w:lang w:val="es-ES"/>
        </w:rPr>
        <w:t>C26</w:t>
      </w:r>
      <w:proofErr w:type="spellEnd"/>
      <w:r w:rsidRPr="00411A60">
        <w:rPr>
          <w:rStyle w:val="Hyperlink"/>
          <w:rFonts w:eastAsia="Times New Roman" w:cs="Times New Roman"/>
          <w:szCs w:val="20"/>
          <w:lang w:val="es-ES"/>
        </w:rPr>
        <w:t>/</w:t>
      </w:r>
      <w:proofErr w:type="spellStart"/>
      <w:r w:rsidRPr="00411A60">
        <w:rPr>
          <w:rStyle w:val="Hyperlink"/>
          <w:rFonts w:eastAsia="Times New Roman" w:cs="Times New Roman"/>
          <w:szCs w:val="20"/>
          <w:lang w:val="es-ES"/>
        </w:rPr>
        <w:t>5+Add.1</w:t>
      </w:r>
      <w:proofErr w:type="spellEnd"/>
      <w:r>
        <w:fldChar w:fldCharType="end"/>
      </w:r>
      <w:r w:rsidRPr="00411A60">
        <w:rPr>
          <w:lang w:val="es-ES"/>
        </w:rPr>
        <w:t>)</w:t>
      </w:r>
    </w:p>
    <w:p w14:paraId="22BD692B" w14:textId="35A8BB2F" w:rsidR="00411A60" w:rsidRPr="00411A60" w:rsidRDefault="00411A60" w:rsidP="00B4641B">
      <w:pPr>
        <w:jc w:val="both"/>
        <w:rPr>
          <w:lang w:val="es-ES"/>
        </w:rPr>
      </w:pPr>
      <w:r w:rsidRPr="00411A60">
        <w:rPr>
          <w:lang w:val="es-ES"/>
        </w:rPr>
        <w:t>4.1</w:t>
      </w:r>
      <w:r w:rsidRPr="00411A60">
        <w:rPr>
          <w:lang w:val="es-ES"/>
        </w:rPr>
        <w:tab/>
        <w:t>Un representante de la Secretaría General presenta el Documento</w:t>
      </w:r>
      <w:r w:rsidR="00091B52">
        <w:rPr>
          <w:lang w:val="es-ES"/>
        </w:rPr>
        <w:t> </w:t>
      </w:r>
      <w:r w:rsidRPr="00411A60">
        <w:rPr>
          <w:lang w:val="es-ES"/>
        </w:rPr>
        <w:t>C26/5, en el que se informa al Consejo del estado de los preparativos para la organización del</w:t>
      </w:r>
      <w:r w:rsidR="009526ED">
        <w:rPr>
          <w:lang w:val="es-ES"/>
        </w:rPr>
        <w:t> </w:t>
      </w:r>
      <w:r w:rsidRPr="00411A60">
        <w:rPr>
          <w:lang w:val="es-ES"/>
        </w:rPr>
        <w:t>FMPT</w:t>
      </w:r>
      <w:r w:rsidR="009526ED">
        <w:rPr>
          <w:lang w:val="es-ES"/>
        </w:rPr>
        <w:noBreakHyphen/>
      </w:r>
      <w:r w:rsidRPr="00411A60">
        <w:rPr>
          <w:lang w:val="es-ES"/>
        </w:rPr>
        <w:t xml:space="preserve">26, cuya </w:t>
      </w:r>
      <w:r w:rsidRPr="00411A60">
        <w:rPr>
          <w:lang w:val="es-ES"/>
        </w:rPr>
        <w:lastRenderedPageBreak/>
        <w:t>celebración está prevista en Nassau (Bahamas) del 9 al 11 de junio de</w:t>
      </w:r>
      <w:r w:rsidR="009526ED">
        <w:rPr>
          <w:lang w:val="es-ES"/>
        </w:rPr>
        <w:t> </w:t>
      </w:r>
      <w:r w:rsidRPr="00411A60">
        <w:rPr>
          <w:lang w:val="es-ES"/>
        </w:rPr>
        <w:t>2026, precedido del Diálogo Estratégico el 8 de junio de</w:t>
      </w:r>
      <w:r w:rsidR="009526ED">
        <w:rPr>
          <w:lang w:val="es-ES"/>
        </w:rPr>
        <w:t> </w:t>
      </w:r>
      <w:r w:rsidRPr="00411A60">
        <w:rPr>
          <w:lang w:val="es-ES"/>
        </w:rPr>
        <w:t>2026.</w:t>
      </w:r>
    </w:p>
    <w:p w14:paraId="57786E5C" w14:textId="77777777" w:rsidR="00411A60" w:rsidRPr="00411A60" w:rsidRDefault="00411A60" w:rsidP="00B4641B">
      <w:pPr>
        <w:jc w:val="both"/>
        <w:rPr>
          <w:lang w:val="es-ES"/>
        </w:rPr>
      </w:pPr>
      <w:r w:rsidRPr="00411A60">
        <w:rPr>
          <w:lang w:val="es-ES"/>
        </w:rPr>
        <w:t>4.2</w:t>
      </w:r>
      <w:r w:rsidRPr="00411A60">
        <w:rPr>
          <w:lang w:val="es-ES"/>
        </w:rPr>
        <w:tab/>
        <w:t>Los preparativos para el evento van conforme a lo previsto y está en curso la coordinación con el país anfitrión. La Secretaría sigue invirtiendo, oficial y oficiosamente, esfuerzos, incluso a través de las Oficinas Regionales, para promocionar el Foro y facilitar una amplia participación presencial y a distancia.</w:t>
      </w:r>
    </w:p>
    <w:p w14:paraId="422EB429" w14:textId="6A53B06E" w:rsidR="00411A60" w:rsidRPr="00411A60" w:rsidRDefault="00411A60" w:rsidP="00B4641B">
      <w:pPr>
        <w:jc w:val="both"/>
        <w:rPr>
          <w:lang w:val="es-ES"/>
        </w:rPr>
      </w:pPr>
      <w:r w:rsidRPr="00411A60">
        <w:rPr>
          <w:lang w:val="es-ES"/>
        </w:rPr>
        <w:t>4.3</w:t>
      </w:r>
      <w:r w:rsidRPr="00411A60">
        <w:rPr>
          <w:lang w:val="es-ES"/>
        </w:rPr>
        <w:tab/>
        <w:t>El consejero de Brasil, en nombre del Presidente del Grupo Oficioso de Expertos sobre el</w:t>
      </w:r>
      <w:r w:rsidR="009526ED">
        <w:rPr>
          <w:lang w:val="es-ES"/>
        </w:rPr>
        <w:t> </w:t>
      </w:r>
      <w:r w:rsidRPr="00411A60">
        <w:rPr>
          <w:lang w:val="es-ES"/>
        </w:rPr>
        <w:t>FMPT</w:t>
      </w:r>
      <w:r w:rsidR="009526ED">
        <w:rPr>
          <w:lang w:val="es-ES"/>
        </w:rPr>
        <w:noBreakHyphen/>
      </w:r>
      <w:r w:rsidRPr="00411A60">
        <w:rPr>
          <w:lang w:val="es-ES"/>
        </w:rPr>
        <w:t>26, expone las actividades del Grupo para preparar el FMPT-26, entre las que se cuentan cuatro reuniones oficiales y un intenso programa de consultas oficiosas sobre las cinco áreas temáticas. Los proyectos de Opinión preparados por el Grupo ofrecerán una sólida base para que los debates del</w:t>
      </w:r>
      <w:r w:rsidR="009526ED">
        <w:rPr>
          <w:lang w:val="es-ES"/>
        </w:rPr>
        <w:t> </w:t>
      </w:r>
      <w:r w:rsidRPr="00411A60">
        <w:rPr>
          <w:lang w:val="es-ES"/>
        </w:rPr>
        <w:t>FMPT-26 sean productivos. Da las gracias a los participantes por su implicación y a la Secretaría General por su apoyo.</w:t>
      </w:r>
    </w:p>
    <w:p w14:paraId="14C26296" w14:textId="71CEDDCD" w:rsidR="00411A60" w:rsidRPr="00411A60" w:rsidRDefault="00411A60" w:rsidP="00B4641B">
      <w:pPr>
        <w:jc w:val="both"/>
        <w:rPr>
          <w:lang w:val="es-ES"/>
        </w:rPr>
      </w:pPr>
      <w:r w:rsidRPr="00411A60">
        <w:rPr>
          <w:lang w:val="es-ES"/>
        </w:rPr>
        <w:t>4.4</w:t>
      </w:r>
      <w:r w:rsidRPr="00411A60">
        <w:rPr>
          <w:lang w:val="es-ES"/>
        </w:rPr>
        <w:tab/>
        <w:t>El consejero de Bahamas, asimismo Presidente designado del</w:t>
      </w:r>
      <w:r w:rsidR="009526ED">
        <w:rPr>
          <w:lang w:val="es-ES"/>
        </w:rPr>
        <w:t> </w:t>
      </w:r>
      <w:r w:rsidRPr="00411A60">
        <w:rPr>
          <w:lang w:val="es-ES"/>
        </w:rPr>
        <w:t>FMPT</w:t>
      </w:r>
      <w:r w:rsidR="009526ED">
        <w:rPr>
          <w:lang w:val="es-ES"/>
        </w:rPr>
        <w:noBreakHyphen/>
      </w:r>
      <w:r w:rsidRPr="00411A60">
        <w:rPr>
          <w:lang w:val="es-ES"/>
        </w:rPr>
        <w:t>26, presenta el Addéndum</w:t>
      </w:r>
      <w:r w:rsidR="00016F53">
        <w:rPr>
          <w:lang w:val="es-ES"/>
        </w:rPr>
        <w:t> </w:t>
      </w:r>
      <w:r w:rsidRPr="00411A60">
        <w:rPr>
          <w:lang w:val="es-ES"/>
        </w:rPr>
        <w:t>1 al Documento</w:t>
      </w:r>
      <w:r w:rsidR="00016F53">
        <w:rPr>
          <w:lang w:val="es-ES"/>
        </w:rPr>
        <w:t> </w:t>
      </w:r>
      <w:r w:rsidRPr="00411A60">
        <w:rPr>
          <w:lang w:val="es-ES"/>
        </w:rPr>
        <w:t>C26/5, que contiene una comunicación relativa al acuerdo de país anfitrión.</w:t>
      </w:r>
    </w:p>
    <w:p w14:paraId="004CD83B" w14:textId="2025D163" w:rsidR="00411A60" w:rsidRPr="00411A60" w:rsidRDefault="00411A60" w:rsidP="00B4641B">
      <w:pPr>
        <w:jc w:val="both"/>
        <w:rPr>
          <w:lang w:val="es-ES"/>
        </w:rPr>
      </w:pPr>
      <w:r w:rsidRPr="00411A60">
        <w:rPr>
          <w:lang w:val="es-ES"/>
        </w:rPr>
        <w:t>4.5</w:t>
      </w:r>
      <w:r w:rsidRPr="00411A60">
        <w:rPr>
          <w:lang w:val="es-ES"/>
        </w:rPr>
        <w:tab/>
        <w:t>El FMPT-26 supone una oportunidad para el diálogo inclusivo sobre temas políticos importantes, esenciales para el futuro del desarrollo digital en el futuro, en particular en los países en desarrollo. En tanto que PEID, Bahamas espera atraer una mayor visibilidad hacia las prioridades y realidades particulares de los</w:t>
      </w:r>
      <w:r w:rsidR="009526ED">
        <w:rPr>
          <w:lang w:val="es-ES"/>
        </w:rPr>
        <w:t> </w:t>
      </w:r>
      <w:r w:rsidRPr="00411A60">
        <w:rPr>
          <w:lang w:val="es-ES"/>
        </w:rPr>
        <w:t>PEID de cara a la</w:t>
      </w:r>
      <w:r w:rsidR="009526ED">
        <w:rPr>
          <w:lang w:val="es-ES"/>
        </w:rPr>
        <w:t> </w:t>
      </w:r>
      <w:r w:rsidRPr="00411A60">
        <w:rPr>
          <w:lang w:val="es-ES"/>
        </w:rPr>
        <w:t>PP</w:t>
      </w:r>
      <w:r w:rsidR="009526ED">
        <w:rPr>
          <w:lang w:val="es-ES"/>
        </w:rPr>
        <w:noBreakHyphen/>
      </w:r>
      <w:r w:rsidRPr="00411A60">
        <w:rPr>
          <w:lang w:val="es-ES"/>
        </w:rPr>
        <w:t>26.</w:t>
      </w:r>
    </w:p>
    <w:p w14:paraId="1F100AB4" w14:textId="1243CFF6" w:rsidR="00411A60" w:rsidRPr="00411A60" w:rsidRDefault="00411A60" w:rsidP="00B4641B">
      <w:pPr>
        <w:jc w:val="both"/>
        <w:rPr>
          <w:lang w:val="es-ES"/>
        </w:rPr>
      </w:pPr>
      <w:r w:rsidRPr="00411A60">
        <w:rPr>
          <w:lang w:val="es-ES"/>
        </w:rPr>
        <w:t>4.6</w:t>
      </w:r>
      <w:r w:rsidRPr="00411A60">
        <w:rPr>
          <w:lang w:val="es-ES"/>
        </w:rPr>
        <w:tab/>
        <w:t>Aunque los preparativos para el</w:t>
      </w:r>
      <w:r w:rsidR="009526ED">
        <w:rPr>
          <w:lang w:val="es-ES"/>
        </w:rPr>
        <w:t> </w:t>
      </w:r>
      <w:r w:rsidRPr="00411A60">
        <w:rPr>
          <w:lang w:val="es-ES"/>
        </w:rPr>
        <w:t>FMPT</w:t>
      </w:r>
      <w:r w:rsidR="009526ED">
        <w:rPr>
          <w:lang w:val="es-ES"/>
        </w:rPr>
        <w:noBreakHyphen/>
      </w:r>
      <w:r w:rsidRPr="00411A60">
        <w:rPr>
          <w:lang w:val="es-ES"/>
        </w:rPr>
        <w:t>26 están muy avanzados, en la actualidad el número de participantes confirmados es inferior a las estimaciones sobre las que se han basado esos preparativos, lo que supone un grave riesgo operativo y financiero para su país. Tras considerarlo detenidamente, Bahamas propone retrasar la celebración del</w:t>
      </w:r>
      <w:r w:rsidR="009526ED">
        <w:rPr>
          <w:lang w:val="es-ES"/>
        </w:rPr>
        <w:t> </w:t>
      </w:r>
      <w:r w:rsidRPr="00411A60">
        <w:rPr>
          <w:lang w:val="es-ES"/>
        </w:rPr>
        <w:t>FMPT-26 hasta el 2-4 de septiembre de</w:t>
      </w:r>
      <w:r w:rsidR="009526ED">
        <w:rPr>
          <w:lang w:val="es-ES"/>
        </w:rPr>
        <w:t> </w:t>
      </w:r>
      <w:r w:rsidRPr="00411A60">
        <w:rPr>
          <w:lang w:val="es-ES"/>
        </w:rPr>
        <w:t>2026, precedido del Diálogo Estratégico el 1 de septiembre, a fin de poder celebrar un evento adecuadamente dimensionado y que cumpla las expectativas de la Unión. La fecha propuesta permitiría además celebrar un diálogo interregional más significativo sobre los resultados del Foro en el contexto de las propuestas regionales comunes para la</w:t>
      </w:r>
      <w:r w:rsidR="009526ED">
        <w:rPr>
          <w:lang w:val="es-ES"/>
        </w:rPr>
        <w:t> </w:t>
      </w:r>
      <w:r w:rsidRPr="00411A60">
        <w:rPr>
          <w:lang w:val="es-ES"/>
        </w:rPr>
        <w:t>PP</w:t>
      </w:r>
      <w:r w:rsidR="009526ED">
        <w:rPr>
          <w:lang w:val="es-ES"/>
        </w:rPr>
        <w:noBreakHyphen/>
      </w:r>
      <w:r w:rsidRPr="00411A60">
        <w:rPr>
          <w:lang w:val="es-ES"/>
        </w:rPr>
        <w:t>26.</w:t>
      </w:r>
    </w:p>
    <w:p w14:paraId="457768DE" w14:textId="77777777" w:rsidR="00411A60" w:rsidRPr="00411A60" w:rsidRDefault="00411A60" w:rsidP="00B4641B">
      <w:pPr>
        <w:jc w:val="both"/>
        <w:rPr>
          <w:lang w:val="es-ES"/>
        </w:rPr>
      </w:pPr>
      <w:r w:rsidRPr="00411A60">
        <w:rPr>
          <w:lang w:val="es-ES"/>
        </w:rPr>
        <w:t>4.7</w:t>
      </w:r>
      <w:r w:rsidRPr="00411A60">
        <w:rPr>
          <w:lang w:val="es-ES"/>
        </w:rPr>
        <w:tab/>
        <w:t>Los inconvenientes, en particular para las delegaciones que ya se han organizado para junio, son lamentables, por lo que su delegación se dice dispuesta a colaborar con los Estados Miembros para resolver sus problemas. Bahamas sigue estando plenamente comprometida a ofrecer un evento satisfactorio con una asistencia presencial adecuada.</w:t>
      </w:r>
    </w:p>
    <w:p w14:paraId="10FEEDD5" w14:textId="3E790B58" w:rsidR="00411A60" w:rsidRPr="00411A60" w:rsidRDefault="00411A60" w:rsidP="00B4641B">
      <w:pPr>
        <w:jc w:val="both"/>
        <w:rPr>
          <w:lang w:val="es-ES"/>
        </w:rPr>
      </w:pPr>
      <w:r w:rsidRPr="00411A60">
        <w:rPr>
          <w:lang w:val="es-ES"/>
        </w:rPr>
        <w:t>4.8</w:t>
      </w:r>
      <w:r w:rsidRPr="00411A60">
        <w:rPr>
          <w:lang w:val="es-ES"/>
        </w:rPr>
        <w:tab/>
        <w:t>Los consejeros dan las gracias al Presidente y los Vicepresidentes del Grupo Oficioso de Expertos y a la Secretaría General por la preparación del Informe del Secretario General y las correspondientes Opiniones, que abren la vía del consenso sobre temas que también se tratarán en la</w:t>
      </w:r>
      <w:r w:rsidR="009526ED">
        <w:rPr>
          <w:lang w:val="es-ES"/>
        </w:rPr>
        <w:t> </w:t>
      </w:r>
      <w:r w:rsidRPr="00411A60">
        <w:rPr>
          <w:lang w:val="es-ES"/>
        </w:rPr>
        <w:t>PP</w:t>
      </w:r>
      <w:r w:rsidR="009526ED">
        <w:rPr>
          <w:lang w:val="es-ES"/>
        </w:rPr>
        <w:noBreakHyphen/>
      </w:r>
      <w:r w:rsidRPr="00411A60">
        <w:rPr>
          <w:lang w:val="es-ES"/>
        </w:rPr>
        <w:t>26. Aplaudiendo la generosidad y los extraordinarios esfuerzos invertidos por el país anfitrión para preparar el</w:t>
      </w:r>
      <w:r w:rsidR="009526ED">
        <w:rPr>
          <w:lang w:val="es-ES"/>
        </w:rPr>
        <w:t> </w:t>
      </w:r>
      <w:r w:rsidRPr="00411A60">
        <w:rPr>
          <w:lang w:val="es-ES"/>
        </w:rPr>
        <w:t>FMPT</w:t>
      </w:r>
      <w:r w:rsidR="009526ED">
        <w:rPr>
          <w:lang w:val="es-ES"/>
        </w:rPr>
        <w:noBreakHyphen/>
      </w:r>
      <w:r w:rsidRPr="00411A60">
        <w:rPr>
          <w:lang w:val="es-ES"/>
        </w:rPr>
        <w:t>26, varios consejeros respaldan la propuesta de retrasar el evento por considerarla razonable y responsable. Un consejero destaca la importancia de preservar el valor de los amplios preparativos ya realizados.</w:t>
      </w:r>
    </w:p>
    <w:p w14:paraId="1EF6CE69" w14:textId="6AD5ECA3" w:rsidR="00411A60" w:rsidRPr="00411A60" w:rsidRDefault="00411A60" w:rsidP="00B4641B">
      <w:pPr>
        <w:jc w:val="both"/>
        <w:rPr>
          <w:lang w:val="es-ES"/>
        </w:rPr>
      </w:pPr>
      <w:r w:rsidRPr="00411A60">
        <w:rPr>
          <w:lang w:val="es-ES"/>
        </w:rPr>
        <w:t>4.9</w:t>
      </w:r>
      <w:r w:rsidRPr="00411A60">
        <w:rPr>
          <w:lang w:val="es-ES"/>
        </w:rPr>
        <w:tab/>
        <w:t>Algunos consejeros, aunque entienden la posición del país anfitrión, temen que las nuevas fechas propuestas reduzcan aún más la participación, en particular porque inmediatamente después se celebrará la última reunión preparatoria para la</w:t>
      </w:r>
      <w:r w:rsidR="009526ED">
        <w:rPr>
          <w:lang w:val="es-ES"/>
        </w:rPr>
        <w:t> </w:t>
      </w:r>
      <w:r w:rsidRPr="00411A60">
        <w:rPr>
          <w:lang w:val="es-ES"/>
        </w:rPr>
        <w:t>PP</w:t>
      </w:r>
      <w:r w:rsidR="009526ED">
        <w:rPr>
          <w:lang w:val="es-ES"/>
        </w:rPr>
        <w:noBreakHyphen/>
      </w:r>
      <w:r w:rsidRPr="00411A60">
        <w:rPr>
          <w:lang w:val="es-ES"/>
        </w:rPr>
        <w:t>26 de la región europea.</w:t>
      </w:r>
    </w:p>
    <w:p w14:paraId="7D59574D" w14:textId="12A24C6D" w:rsidR="00411A60" w:rsidRPr="00411A60" w:rsidRDefault="00411A60" w:rsidP="00B4641B">
      <w:pPr>
        <w:jc w:val="both"/>
        <w:rPr>
          <w:lang w:val="es-ES"/>
        </w:rPr>
      </w:pPr>
      <w:r w:rsidRPr="00411A60">
        <w:rPr>
          <w:lang w:val="es-ES"/>
        </w:rPr>
        <w:lastRenderedPageBreak/>
        <w:t>4.10</w:t>
      </w:r>
      <w:r w:rsidRPr="00411A60">
        <w:rPr>
          <w:lang w:val="es-ES"/>
        </w:rPr>
        <w:tab/>
        <w:t xml:space="preserve">El consejero de Brasil, recordando que la </w:t>
      </w:r>
      <w:r w:rsidR="005569F3" w:rsidRPr="00411A60">
        <w:rPr>
          <w:lang w:val="es-ES"/>
        </w:rPr>
        <w:t xml:space="preserve">secretaría </w:t>
      </w:r>
      <w:r w:rsidRPr="00411A60">
        <w:rPr>
          <w:lang w:val="es-ES"/>
        </w:rPr>
        <w:t>rechazó la oferta de su país de celebrar el Simposio Mundial para Organismos Reguladores en septiembre de</w:t>
      </w:r>
      <w:r w:rsidR="009526ED">
        <w:rPr>
          <w:lang w:val="es-ES"/>
        </w:rPr>
        <w:t> </w:t>
      </w:r>
      <w:r w:rsidRPr="00411A60">
        <w:rPr>
          <w:lang w:val="es-ES"/>
        </w:rPr>
        <w:t>2026 aduciendo que en ese mes ya se celebraban demasiados eventos, teme que el retraso del</w:t>
      </w:r>
      <w:r w:rsidR="009526ED">
        <w:rPr>
          <w:lang w:val="es-ES"/>
        </w:rPr>
        <w:t> </w:t>
      </w:r>
      <w:r w:rsidRPr="00411A60">
        <w:rPr>
          <w:lang w:val="es-ES"/>
        </w:rPr>
        <w:t>FMPT</w:t>
      </w:r>
      <w:r w:rsidR="009526ED">
        <w:rPr>
          <w:lang w:val="es-ES"/>
        </w:rPr>
        <w:noBreakHyphen/>
      </w:r>
      <w:r w:rsidRPr="00411A60">
        <w:rPr>
          <w:lang w:val="es-ES"/>
        </w:rPr>
        <w:t>26 hasta septiembre repercuta negativamente en ése o en otros eventos.</w:t>
      </w:r>
    </w:p>
    <w:p w14:paraId="677717E9" w14:textId="0077CD3E" w:rsidR="00411A60" w:rsidRPr="00411A60" w:rsidRDefault="00411A60" w:rsidP="00B4641B">
      <w:pPr>
        <w:jc w:val="both"/>
        <w:rPr>
          <w:lang w:val="es-ES"/>
        </w:rPr>
      </w:pPr>
      <w:r w:rsidRPr="00411A60">
        <w:rPr>
          <w:lang w:val="es-ES"/>
        </w:rPr>
        <w:t>4.11</w:t>
      </w:r>
      <w:r w:rsidRPr="00411A60">
        <w:rPr>
          <w:lang w:val="es-ES"/>
        </w:rPr>
        <w:tab/>
        <w:t>Algunos consejeros señalan el intenso calendario de eventos de la</w:t>
      </w:r>
      <w:r w:rsidR="009526ED">
        <w:rPr>
          <w:lang w:val="es-ES"/>
        </w:rPr>
        <w:t> </w:t>
      </w:r>
      <w:r w:rsidRPr="00411A60">
        <w:rPr>
          <w:lang w:val="es-ES"/>
        </w:rPr>
        <w:t>UIT, y la carga financiera conexa para la</w:t>
      </w:r>
      <w:r w:rsidR="009526ED">
        <w:rPr>
          <w:lang w:val="es-ES"/>
        </w:rPr>
        <w:t> </w:t>
      </w:r>
      <w:r w:rsidRPr="00411A60">
        <w:rPr>
          <w:lang w:val="es-ES"/>
        </w:rPr>
        <w:t>UIT y para los Estados Miembros, y piden una racionalización de los eventos. Cabe aprender de esta situación cuando llegue el momento de determinar la demanda de eventos en el futuro. Un consejero reitera que esta situación no debe sentar precedente, dada la importancia que para los Estados Miembros tiene la planificación por adelantado. Otro consejero anima al país anfitrión a colaborar estrechamente con las delegaciones que ya han adoptado sus disposiciones de viaje para junio.</w:t>
      </w:r>
    </w:p>
    <w:p w14:paraId="5EDD380F" w14:textId="527305F0" w:rsidR="00411A60" w:rsidRPr="00411A60" w:rsidRDefault="00411A60" w:rsidP="00B4641B">
      <w:pPr>
        <w:jc w:val="both"/>
        <w:rPr>
          <w:lang w:val="es-ES"/>
        </w:rPr>
      </w:pPr>
      <w:r w:rsidRPr="00411A60">
        <w:rPr>
          <w:lang w:val="es-ES"/>
        </w:rPr>
        <w:t>4.12</w:t>
      </w:r>
      <w:r w:rsidRPr="00411A60">
        <w:rPr>
          <w:lang w:val="es-ES"/>
        </w:rPr>
        <w:tab/>
        <w:t>En respuesta a las observaciones de algunos consejeros, un representante de la Secretaría General dice que el retraso es un caso excepcional. Las nuevas fechas propuestas se han seleccionado tras examinar detenidamente el calendario de eventos de la</w:t>
      </w:r>
      <w:r w:rsidR="009526ED">
        <w:rPr>
          <w:lang w:val="es-ES"/>
        </w:rPr>
        <w:t> </w:t>
      </w:r>
      <w:r w:rsidRPr="00411A60">
        <w:rPr>
          <w:lang w:val="es-ES"/>
        </w:rPr>
        <w:t xml:space="preserve">UIT. Se hará todo lo posible por garantizar que ningún participante se ve perjudicado por el retraso. La </w:t>
      </w:r>
      <w:r w:rsidR="009526ED" w:rsidRPr="00411A60">
        <w:rPr>
          <w:lang w:val="es-ES"/>
        </w:rPr>
        <w:t xml:space="preserve">Secretaría </w:t>
      </w:r>
      <w:r w:rsidRPr="00411A60">
        <w:rPr>
          <w:lang w:val="es-ES"/>
        </w:rPr>
        <w:t>toma buena nota de los comentarios sobre la necesidad de racionalizar el calendario de eventos.</w:t>
      </w:r>
    </w:p>
    <w:p w14:paraId="67BC7F4C" w14:textId="557C2E57" w:rsidR="00411A60" w:rsidRPr="00411A60" w:rsidRDefault="00411A60" w:rsidP="00B4641B">
      <w:pPr>
        <w:jc w:val="both"/>
        <w:rPr>
          <w:lang w:val="es-ES"/>
        </w:rPr>
      </w:pPr>
      <w:r w:rsidRPr="00411A60">
        <w:rPr>
          <w:lang w:val="es-ES"/>
        </w:rPr>
        <w:t>4.13</w:t>
      </w:r>
      <w:r w:rsidRPr="00411A60">
        <w:rPr>
          <w:lang w:val="es-ES"/>
        </w:rPr>
        <w:tab/>
        <w:t xml:space="preserve">El Consejo </w:t>
      </w:r>
      <w:r w:rsidRPr="00411A60">
        <w:rPr>
          <w:b/>
          <w:bCs/>
          <w:lang w:val="es-ES"/>
        </w:rPr>
        <w:t xml:space="preserve">toma nota </w:t>
      </w:r>
      <w:r w:rsidRPr="00411A60">
        <w:rPr>
          <w:lang w:val="es-ES"/>
        </w:rPr>
        <w:t>del informe del Documento</w:t>
      </w:r>
      <w:r w:rsidR="00016F53">
        <w:rPr>
          <w:lang w:val="es-ES"/>
        </w:rPr>
        <w:t> </w:t>
      </w:r>
      <w:r w:rsidRPr="00411A60">
        <w:rPr>
          <w:lang w:val="es-ES"/>
        </w:rPr>
        <w:t xml:space="preserve">C26/5; </w:t>
      </w:r>
      <w:r w:rsidRPr="00411A60">
        <w:rPr>
          <w:b/>
          <w:bCs/>
          <w:lang w:val="es-ES"/>
        </w:rPr>
        <w:t xml:space="preserve">aprueba </w:t>
      </w:r>
      <w:r w:rsidRPr="00411A60">
        <w:rPr>
          <w:lang w:val="es-ES"/>
        </w:rPr>
        <w:t>las nuevas fechas de celebración del</w:t>
      </w:r>
      <w:r w:rsidR="00BD4654">
        <w:rPr>
          <w:lang w:val="es-ES"/>
        </w:rPr>
        <w:t> </w:t>
      </w:r>
      <w:r w:rsidRPr="00411A60">
        <w:rPr>
          <w:lang w:val="es-ES"/>
        </w:rPr>
        <w:t>FMPT-26 del 2 al 4 de septiembre de</w:t>
      </w:r>
      <w:r w:rsidR="00BD4654">
        <w:rPr>
          <w:lang w:val="es-ES"/>
        </w:rPr>
        <w:t> </w:t>
      </w:r>
      <w:r w:rsidRPr="00411A60">
        <w:rPr>
          <w:lang w:val="es-ES"/>
        </w:rPr>
        <w:t>2026 y el 1 de septiembre de</w:t>
      </w:r>
      <w:r w:rsidR="00016F53">
        <w:rPr>
          <w:lang w:val="es-ES"/>
        </w:rPr>
        <w:t> </w:t>
      </w:r>
      <w:r w:rsidRPr="00411A60">
        <w:rPr>
          <w:lang w:val="es-ES"/>
        </w:rPr>
        <w:t xml:space="preserve">2026 para el Diálogo Estratégico, y </w:t>
      </w:r>
      <w:r w:rsidRPr="00411A60">
        <w:rPr>
          <w:b/>
          <w:bCs/>
          <w:lang w:val="es-ES"/>
        </w:rPr>
        <w:t>acuerda</w:t>
      </w:r>
      <w:r w:rsidRPr="00411A60">
        <w:rPr>
          <w:lang w:val="es-ES"/>
        </w:rPr>
        <w:t xml:space="preserve"> revisar en consecuencia el </w:t>
      </w:r>
      <w:r w:rsidRPr="00411A60">
        <w:rPr>
          <w:i/>
          <w:iCs/>
          <w:lang w:val="es-ES"/>
        </w:rPr>
        <w:t>acuerda</w:t>
      </w:r>
      <w:r w:rsidR="00016F53">
        <w:rPr>
          <w:lang w:val="es-ES"/>
        </w:rPr>
        <w:t> </w:t>
      </w:r>
      <w:r w:rsidRPr="00411A60">
        <w:rPr>
          <w:lang w:val="es-ES"/>
        </w:rPr>
        <w:t>1 del Acuerdo</w:t>
      </w:r>
      <w:r w:rsidR="00BD4654">
        <w:rPr>
          <w:lang w:val="es-ES"/>
        </w:rPr>
        <w:t> </w:t>
      </w:r>
      <w:r w:rsidRPr="00411A60">
        <w:rPr>
          <w:lang w:val="es-ES"/>
        </w:rPr>
        <w:t>641 (C24, modificado C25) y su Anexo</w:t>
      </w:r>
      <w:r w:rsidR="00E74DB8">
        <w:rPr>
          <w:lang w:val="es-ES"/>
        </w:rPr>
        <w:t> </w:t>
      </w:r>
      <w:r w:rsidRPr="00411A60">
        <w:rPr>
          <w:lang w:val="es-ES"/>
        </w:rPr>
        <w:t>2.</w:t>
      </w:r>
    </w:p>
    <w:p w14:paraId="456C7D5F" w14:textId="13EF8888" w:rsidR="00411A60" w:rsidRPr="00411A60" w:rsidRDefault="00411A60" w:rsidP="00B4641B">
      <w:pPr>
        <w:jc w:val="both"/>
        <w:rPr>
          <w:lang w:val="es-ES"/>
        </w:rPr>
      </w:pPr>
      <w:r w:rsidRPr="00411A60">
        <w:rPr>
          <w:lang w:val="es-ES"/>
        </w:rPr>
        <w:t>4.14</w:t>
      </w:r>
      <w:r w:rsidRPr="00411A60">
        <w:rPr>
          <w:lang w:val="es-ES"/>
        </w:rPr>
        <w:tab/>
        <w:t xml:space="preserve">La Secretaria General alaba la dedicación del Grupo Oficioso de Expertos. Los proyectos de Opinión sirven de valiosa orientación a los responsables políticos a la hora de afrontar un panorama tecnológico cada vez más complejo. Agradece a Bahamas su activa colaboración con la Secretaría y los </w:t>
      </w:r>
      <w:r w:rsidR="00E74DB8">
        <w:rPr>
          <w:lang w:val="es-ES"/>
        </w:rPr>
        <w:t>m</w:t>
      </w:r>
      <w:r w:rsidRPr="00411A60">
        <w:rPr>
          <w:lang w:val="es-ES"/>
        </w:rPr>
        <w:t>iembros de la</w:t>
      </w:r>
      <w:r w:rsidR="00E74DB8">
        <w:rPr>
          <w:lang w:val="es-ES"/>
        </w:rPr>
        <w:t> </w:t>
      </w:r>
      <w:r w:rsidRPr="00411A60">
        <w:rPr>
          <w:lang w:val="es-ES"/>
        </w:rPr>
        <w:t>UIT y dice que la Secretaría seguirá cooperando estrechamente con el país para garantizar el éxito del</w:t>
      </w:r>
      <w:r w:rsidR="00E74DB8">
        <w:rPr>
          <w:lang w:val="es-ES"/>
        </w:rPr>
        <w:t> </w:t>
      </w:r>
      <w:r w:rsidRPr="00411A60">
        <w:rPr>
          <w:lang w:val="es-ES"/>
        </w:rPr>
        <w:t>FMPT</w:t>
      </w:r>
      <w:r w:rsidR="00E74DB8">
        <w:rPr>
          <w:lang w:val="es-ES"/>
        </w:rPr>
        <w:noBreakHyphen/>
      </w:r>
      <w:r w:rsidRPr="00411A60">
        <w:rPr>
          <w:lang w:val="es-ES"/>
        </w:rPr>
        <w:t>26.</w:t>
      </w:r>
    </w:p>
    <w:p w14:paraId="6E127B87" w14:textId="7AB0EFFF" w:rsidR="00411A60" w:rsidRPr="00411A60" w:rsidRDefault="00411A60" w:rsidP="00411A60">
      <w:pPr>
        <w:pStyle w:val="Heading1"/>
        <w:rPr>
          <w:lang w:val="es-ES"/>
        </w:rPr>
      </w:pPr>
      <w:r w:rsidRPr="00411A60">
        <w:rPr>
          <w:lang w:val="es-ES"/>
        </w:rPr>
        <w:t>5</w:t>
      </w:r>
      <w:r w:rsidRPr="00411A60">
        <w:rPr>
          <w:lang w:val="es-ES"/>
        </w:rPr>
        <w:tab/>
        <w:t>Informe del Presidente del Grupo de Trabajo del Consejo sobre cuestiones de política pública internacional relacionadas con Internet (Documento</w:t>
      </w:r>
      <w:r>
        <w:rPr>
          <w:lang w:val="es-ES"/>
        </w:rPr>
        <w:t> </w:t>
      </w:r>
      <w:proofErr w:type="spellStart"/>
      <w:r>
        <w:fldChar w:fldCharType="begin"/>
      </w:r>
      <w:r>
        <w:instrText>HYPERLINK "https://www.itu.int/md/S26-CL-C-0051/es" \h</w:instrText>
      </w:r>
      <w:r>
        <w:fldChar w:fldCharType="separate"/>
      </w:r>
      <w:r w:rsidRPr="00411A60">
        <w:rPr>
          <w:rStyle w:val="Hyperlink"/>
          <w:rFonts w:eastAsia="Times New Roman" w:cs="Times New Roman"/>
          <w:szCs w:val="20"/>
          <w:lang w:val="es-ES"/>
        </w:rPr>
        <w:t>C26</w:t>
      </w:r>
      <w:proofErr w:type="spellEnd"/>
      <w:r w:rsidRPr="00411A60">
        <w:rPr>
          <w:rStyle w:val="Hyperlink"/>
          <w:rFonts w:eastAsia="Times New Roman" w:cs="Times New Roman"/>
          <w:szCs w:val="20"/>
          <w:lang w:val="es-ES"/>
        </w:rPr>
        <w:t>/51</w:t>
      </w:r>
      <w:r>
        <w:fldChar w:fldCharType="end"/>
      </w:r>
      <w:r w:rsidRPr="00411A60">
        <w:rPr>
          <w:lang w:val="es-ES"/>
        </w:rPr>
        <w:t>)</w:t>
      </w:r>
    </w:p>
    <w:p w14:paraId="5619D7F6" w14:textId="166C284B" w:rsidR="00411A60" w:rsidRPr="00411A60" w:rsidRDefault="00411A60" w:rsidP="005569F3">
      <w:pPr>
        <w:jc w:val="both"/>
        <w:rPr>
          <w:lang w:val="es-ES"/>
        </w:rPr>
      </w:pPr>
      <w:r w:rsidRPr="00411A60">
        <w:rPr>
          <w:lang w:val="es-ES"/>
        </w:rPr>
        <w:t>5.1</w:t>
      </w:r>
      <w:r w:rsidRPr="00411A60">
        <w:rPr>
          <w:lang w:val="es-ES"/>
        </w:rPr>
        <w:tab/>
        <w:t>El Vicepresidente del Grupo de Trabajo del Consejo sobre cuestiones de política pública internacional relacionadas con Internet (GTC-Internet) presenta el Documento</w:t>
      </w:r>
      <w:r>
        <w:rPr>
          <w:lang w:val="es-ES"/>
        </w:rPr>
        <w:t> </w:t>
      </w:r>
      <w:r w:rsidRPr="00411A60">
        <w:rPr>
          <w:lang w:val="es-ES"/>
        </w:rPr>
        <w:t xml:space="preserve">C26/51, en el que se resumen los resultados de las </w:t>
      </w:r>
      <w:r w:rsidR="00016F53" w:rsidRPr="00411A60">
        <w:rPr>
          <w:lang w:val="es-ES"/>
        </w:rPr>
        <w:t xml:space="preserve">reuniones </w:t>
      </w:r>
      <w:r w:rsidRPr="00411A60">
        <w:rPr>
          <w:lang w:val="es-ES"/>
        </w:rPr>
        <w:t>22</w:t>
      </w:r>
      <w:r w:rsidR="00016F53">
        <w:rPr>
          <w:lang w:val="es-ES"/>
        </w:rPr>
        <w:t>.</w:t>
      </w:r>
      <w:r w:rsidRPr="00411A60">
        <w:rPr>
          <w:lang w:val="es-ES"/>
        </w:rPr>
        <w:t>ª y 23</w:t>
      </w:r>
      <w:r w:rsidR="00016F53">
        <w:rPr>
          <w:lang w:val="es-ES"/>
        </w:rPr>
        <w:t>.</w:t>
      </w:r>
      <w:r w:rsidRPr="00411A60">
        <w:rPr>
          <w:lang w:val="es-ES"/>
        </w:rPr>
        <w:t>ª del Grupo.</w:t>
      </w:r>
    </w:p>
    <w:p w14:paraId="387EE431" w14:textId="4FCB8AB6" w:rsidR="00411A60" w:rsidRPr="00411A60" w:rsidRDefault="00411A60" w:rsidP="00B4641B">
      <w:pPr>
        <w:jc w:val="both"/>
        <w:rPr>
          <w:lang w:val="es-ES"/>
        </w:rPr>
      </w:pPr>
      <w:r w:rsidRPr="00411A60">
        <w:rPr>
          <w:lang w:val="es-ES"/>
        </w:rPr>
        <w:t>5.2</w:t>
      </w:r>
      <w:r w:rsidRPr="00411A60">
        <w:rPr>
          <w:lang w:val="es-ES"/>
        </w:rPr>
        <w:tab/>
        <w:t>Los consejeros reciben con agrado el valioso trabajo del</w:t>
      </w:r>
      <w:r w:rsidR="00E74DB8">
        <w:rPr>
          <w:lang w:val="es-ES"/>
        </w:rPr>
        <w:t> </w:t>
      </w:r>
      <w:r w:rsidRPr="00411A60">
        <w:rPr>
          <w:lang w:val="es-ES"/>
        </w:rPr>
        <w:t>GTC-Internet, que demuestra una eficaz e inclusiva cooperación entre Miembros y partes interesadas. Uno de ellos pide que las prioridades de los países en desarrollo sean uno de los ejes de la contribución de la Unión al proceso de examen de la Cumbre Mundial sobre la Sociedad de la Información +20 e insta a la Secretaría a garantizar que todo el material pertinente esté disponible para la</w:t>
      </w:r>
      <w:r w:rsidR="00E74DB8">
        <w:rPr>
          <w:lang w:val="es-ES"/>
        </w:rPr>
        <w:t> </w:t>
      </w:r>
      <w:r w:rsidRPr="00411A60">
        <w:rPr>
          <w:lang w:val="es-ES"/>
        </w:rPr>
        <w:t>PP</w:t>
      </w:r>
      <w:r w:rsidR="00E74DB8">
        <w:rPr>
          <w:lang w:val="es-ES"/>
        </w:rPr>
        <w:noBreakHyphen/>
      </w:r>
      <w:r w:rsidRPr="00411A60">
        <w:rPr>
          <w:lang w:val="es-ES"/>
        </w:rPr>
        <w:t>26 con suficiente antelación. Otro consejero destaca la necesidad de coordinación con otras organizaciones para evitar la duplicación de esfuerzos y subraya la contribución del</w:t>
      </w:r>
      <w:r w:rsidR="00E74DB8">
        <w:rPr>
          <w:lang w:val="es-ES"/>
        </w:rPr>
        <w:t> </w:t>
      </w:r>
      <w:r w:rsidRPr="00411A60">
        <w:rPr>
          <w:lang w:val="es-ES"/>
        </w:rPr>
        <w:t>GTC</w:t>
      </w:r>
      <w:r w:rsidR="00016F53">
        <w:rPr>
          <w:lang w:val="es-ES"/>
        </w:rPr>
        <w:noBreakHyphen/>
      </w:r>
      <w:r w:rsidRPr="00411A60">
        <w:rPr>
          <w:lang w:val="es-ES"/>
        </w:rPr>
        <w:t xml:space="preserve">Internet para la definición de cuestiones de política internacional para fomentar que el entorno de Internet sea inclusivo y resiliente para los Estados Miembros. </w:t>
      </w:r>
    </w:p>
    <w:p w14:paraId="7704EDE2" w14:textId="3FFA88C3" w:rsidR="00411A60" w:rsidRPr="00411A60" w:rsidRDefault="00411A60" w:rsidP="00411A60">
      <w:pPr>
        <w:rPr>
          <w:lang w:val="es-ES"/>
        </w:rPr>
      </w:pPr>
      <w:r w:rsidRPr="00411A60">
        <w:rPr>
          <w:lang w:val="es-ES"/>
        </w:rPr>
        <w:t>5.3</w:t>
      </w:r>
      <w:r w:rsidRPr="00411A60">
        <w:rPr>
          <w:lang w:val="es-ES"/>
        </w:rPr>
        <w:tab/>
        <w:t xml:space="preserve">Se </w:t>
      </w:r>
      <w:r w:rsidRPr="00411A60">
        <w:rPr>
          <w:b/>
          <w:bCs/>
          <w:lang w:val="es-ES"/>
        </w:rPr>
        <w:t xml:space="preserve">toma nota </w:t>
      </w:r>
      <w:r w:rsidRPr="00411A60">
        <w:rPr>
          <w:lang w:val="es-ES"/>
        </w:rPr>
        <w:t>del Documento</w:t>
      </w:r>
      <w:r w:rsidR="00016F53">
        <w:rPr>
          <w:lang w:val="es-ES"/>
        </w:rPr>
        <w:t> </w:t>
      </w:r>
      <w:r w:rsidRPr="00411A60">
        <w:rPr>
          <w:lang w:val="es-ES"/>
        </w:rPr>
        <w:t>C26/51.</w:t>
      </w:r>
    </w:p>
    <w:p w14:paraId="1326FF40" w14:textId="6E742AFE" w:rsidR="00411A60" w:rsidRPr="00411A60" w:rsidRDefault="00411A60" w:rsidP="00411A60">
      <w:pPr>
        <w:pStyle w:val="Heading1"/>
        <w:rPr>
          <w:lang w:val="es-ES"/>
        </w:rPr>
      </w:pPr>
      <w:r w:rsidRPr="00411A60">
        <w:rPr>
          <w:lang w:val="es-ES"/>
        </w:rPr>
        <w:lastRenderedPageBreak/>
        <w:t>6</w:t>
      </w:r>
      <w:r w:rsidRPr="00411A60">
        <w:rPr>
          <w:lang w:val="es-ES"/>
        </w:rPr>
        <w:tab/>
        <w:t>Informe cuatrienal del Grupo de Trabajo del Consejo sobre cuestiones de política pública internacional relacionadas con Internet (Documentos</w:t>
      </w:r>
      <w:r w:rsidR="00016F53">
        <w:rPr>
          <w:lang w:val="es-ES"/>
        </w:rPr>
        <w:t> </w:t>
      </w:r>
      <w:proofErr w:type="spellStart"/>
      <w:r>
        <w:fldChar w:fldCharType="begin"/>
      </w:r>
      <w:r>
        <w:instrText>HYPERLINK "https://www.itu.int/md/S26-CL-C-0052/es" \h</w:instrText>
      </w:r>
      <w:r>
        <w:fldChar w:fldCharType="separate"/>
      </w:r>
      <w:r w:rsidRPr="00411A60">
        <w:rPr>
          <w:rStyle w:val="Hyperlink"/>
          <w:rFonts w:eastAsia="Times New Roman" w:cs="Times New Roman"/>
          <w:szCs w:val="20"/>
          <w:lang w:val="es-ES"/>
        </w:rPr>
        <w:t>C26</w:t>
      </w:r>
      <w:proofErr w:type="spellEnd"/>
      <w:r w:rsidRPr="00411A60">
        <w:rPr>
          <w:rStyle w:val="Hyperlink"/>
          <w:rFonts w:eastAsia="Times New Roman" w:cs="Times New Roman"/>
          <w:szCs w:val="20"/>
          <w:lang w:val="es-ES"/>
        </w:rPr>
        <w:t>/52</w:t>
      </w:r>
      <w:r>
        <w:fldChar w:fldCharType="end"/>
      </w:r>
      <w:r w:rsidRPr="00411A60">
        <w:rPr>
          <w:lang w:val="es-ES"/>
        </w:rPr>
        <w:t xml:space="preserve">, </w:t>
      </w:r>
      <w:hyperlink r:id="rId17">
        <w:proofErr w:type="spellStart"/>
        <w:r w:rsidRPr="00411A60">
          <w:rPr>
            <w:rStyle w:val="Hyperlink"/>
            <w:rFonts w:eastAsia="Times New Roman" w:cs="Times New Roman"/>
            <w:szCs w:val="20"/>
            <w:lang w:val="es-ES"/>
          </w:rPr>
          <w:t>C26</w:t>
        </w:r>
        <w:proofErr w:type="spellEnd"/>
        <w:r w:rsidRPr="00411A60">
          <w:rPr>
            <w:rStyle w:val="Hyperlink"/>
            <w:rFonts w:eastAsia="Times New Roman" w:cs="Times New Roman"/>
            <w:szCs w:val="20"/>
            <w:lang w:val="es-ES"/>
          </w:rPr>
          <w:t>/94</w:t>
        </w:r>
      </w:hyperlink>
      <w:r w:rsidRPr="00411A60">
        <w:rPr>
          <w:lang w:val="es-ES"/>
        </w:rPr>
        <w:t xml:space="preserve">, </w:t>
      </w:r>
      <w:hyperlink r:id="rId18">
        <w:proofErr w:type="spellStart"/>
        <w:r w:rsidRPr="00411A60">
          <w:rPr>
            <w:rStyle w:val="Hyperlink"/>
            <w:rFonts w:eastAsia="Times New Roman" w:cs="Times New Roman"/>
            <w:szCs w:val="20"/>
            <w:lang w:val="es-ES"/>
          </w:rPr>
          <w:t>C26</w:t>
        </w:r>
        <w:proofErr w:type="spellEnd"/>
        <w:r w:rsidRPr="00411A60">
          <w:rPr>
            <w:rStyle w:val="Hyperlink"/>
            <w:rFonts w:eastAsia="Times New Roman" w:cs="Times New Roman"/>
            <w:szCs w:val="20"/>
            <w:lang w:val="es-ES"/>
          </w:rPr>
          <w:t>/99</w:t>
        </w:r>
      </w:hyperlink>
      <w:r w:rsidRPr="00411A60">
        <w:rPr>
          <w:lang w:val="es-ES"/>
        </w:rPr>
        <w:t xml:space="preserve"> y </w:t>
      </w:r>
      <w:hyperlink r:id="rId19">
        <w:proofErr w:type="spellStart"/>
        <w:r w:rsidRPr="00411A60">
          <w:rPr>
            <w:rStyle w:val="Hyperlink"/>
            <w:rFonts w:eastAsia="Times New Roman" w:cs="Times New Roman"/>
            <w:szCs w:val="20"/>
            <w:lang w:val="es-ES"/>
          </w:rPr>
          <w:t>C26</w:t>
        </w:r>
        <w:proofErr w:type="spellEnd"/>
        <w:r w:rsidRPr="00411A60">
          <w:rPr>
            <w:rStyle w:val="Hyperlink"/>
            <w:rFonts w:eastAsia="Times New Roman" w:cs="Times New Roman"/>
            <w:szCs w:val="20"/>
            <w:lang w:val="es-ES"/>
          </w:rPr>
          <w:t>/101(</w:t>
        </w:r>
        <w:proofErr w:type="spellStart"/>
        <w:r w:rsidRPr="00411A60">
          <w:rPr>
            <w:rStyle w:val="Hyperlink"/>
            <w:rFonts w:eastAsia="Times New Roman" w:cs="Times New Roman"/>
            <w:szCs w:val="20"/>
            <w:lang w:val="es-ES"/>
          </w:rPr>
          <w:t>Rev.1</w:t>
        </w:r>
        <w:proofErr w:type="spellEnd"/>
        <w:r w:rsidRPr="00411A60">
          <w:rPr>
            <w:rStyle w:val="Hyperlink"/>
            <w:rFonts w:eastAsia="Times New Roman" w:cs="Times New Roman"/>
            <w:szCs w:val="20"/>
            <w:lang w:val="es-ES"/>
          </w:rPr>
          <w:t>)</w:t>
        </w:r>
      </w:hyperlink>
      <w:r w:rsidRPr="00411A60">
        <w:rPr>
          <w:lang w:val="es-ES"/>
        </w:rPr>
        <w:t>)</w:t>
      </w:r>
    </w:p>
    <w:p w14:paraId="5A1AEF5F" w14:textId="6A71137F" w:rsidR="00411A60" w:rsidRPr="00411A60" w:rsidRDefault="00411A60" w:rsidP="00B4641B">
      <w:pPr>
        <w:jc w:val="both"/>
        <w:rPr>
          <w:lang w:val="es-ES"/>
        </w:rPr>
      </w:pPr>
      <w:r w:rsidRPr="00411A60">
        <w:rPr>
          <w:lang w:val="es-ES"/>
        </w:rPr>
        <w:t>6.1</w:t>
      </w:r>
      <w:r w:rsidRPr="00411A60">
        <w:rPr>
          <w:lang w:val="es-ES"/>
        </w:rPr>
        <w:tab/>
        <w:t>El Vicepresidente del GTC-Internet presenta el Documento</w:t>
      </w:r>
      <w:r w:rsidR="00016F53">
        <w:rPr>
          <w:lang w:val="es-ES"/>
        </w:rPr>
        <w:t> </w:t>
      </w:r>
      <w:r w:rsidRPr="00411A60">
        <w:rPr>
          <w:lang w:val="es-ES"/>
        </w:rPr>
        <w:t>C26/52, en el que se resumen los principales resultados de todas las reuniones celebradas por el</w:t>
      </w:r>
      <w:r w:rsidR="00E74DB8">
        <w:rPr>
          <w:lang w:val="es-ES"/>
        </w:rPr>
        <w:t> </w:t>
      </w:r>
      <w:r w:rsidRPr="00411A60">
        <w:rPr>
          <w:lang w:val="es-ES"/>
        </w:rPr>
        <w:t>GTC-Internet entre octubre de</w:t>
      </w:r>
      <w:r w:rsidR="00E74DB8">
        <w:rPr>
          <w:lang w:val="es-ES"/>
        </w:rPr>
        <w:t> </w:t>
      </w:r>
      <w:r w:rsidRPr="00411A60">
        <w:rPr>
          <w:lang w:val="es-ES"/>
        </w:rPr>
        <w:t>2023 y enero de</w:t>
      </w:r>
      <w:r w:rsidR="00E74DB8">
        <w:rPr>
          <w:lang w:val="es-ES"/>
        </w:rPr>
        <w:t> </w:t>
      </w:r>
      <w:r w:rsidRPr="00411A60">
        <w:rPr>
          <w:lang w:val="es-ES"/>
        </w:rPr>
        <w:t>2026.</w:t>
      </w:r>
    </w:p>
    <w:p w14:paraId="565E0765" w14:textId="44AB9958" w:rsidR="00411A60" w:rsidRPr="00411A60" w:rsidRDefault="00411A60" w:rsidP="00B4641B">
      <w:pPr>
        <w:jc w:val="both"/>
        <w:rPr>
          <w:lang w:val="es-ES"/>
        </w:rPr>
      </w:pPr>
      <w:r w:rsidRPr="00411A60">
        <w:rPr>
          <w:lang w:val="es-ES"/>
        </w:rPr>
        <w:t>6.2</w:t>
      </w:r>
      <w:r w:rsidRPr="00411A60">
        <w:rPr>
          <w:lang w:val="es-ES"/>
        </w:rPr>
        <w:tab/>
        <w:t>El consejero de Arabia Saudita presenta la contribución, presentada por varios países en el Documento</w:t>
      </w:r>
      <w:r w:rsidR="00016F53">
        <w:rPr>
          <w:lang w:val="es-ES"/>
        </w:rPr>
        <w:t> </w:t>
      </w:r>
      <w:r w:rsidRPr="00411A60">
        <w:rPr>
          <w:lang w:val="es-ES"/>
        </w:rPr>
        <w:t>C26/99, en nombre de siete países diciendo que desde la</w:t>
      </w:r>
      <w:r w:rsidR="00E74DB8">
        <w:rPr>
          <w:lang w:val="es-ES"/>
        </w:rPr>
        <w:t> </w:t>
      </w:r>
      <w:r w:rsidRPr="00411A60">
        <w:rPr>
          <w:lang w:val="es-ES"/>
        </w:rPr>
        <w:t>PP</w:t>
      </w:r>
      <w:r w:rsidR="00E74DB8">
        <w:rPr>
          <w:lang w:val="es-ES"/>
        </w:rPr>
        <w:noBreakHyphen/>
      </w:r>
      <w:r w:rsidRPr="00411A60">
        <w:rPr>
          <w:lang w:val="es-ES"/>
        </w:rPr>
        <w:t>2</w:t>
      </w:r>
      <w:r w:rsidR="00E271C3">
        <w:rPr>
          <w:lang w:val="es-ES"/>
        </w:rPr>
        <w:t>2</w:t>
      </w:r>
      <w:r w:rsidRPr="00411A60">
        <w:rPr>
          <w:lang w:val="es-ES"/>
        </w:rPr>
        <w:t xml:space="preserve"> el GTC</w:t>
      </w:r>
      <w:r w:rsidR="00016F53">
        <w:rPr>
          <w:lang w:val="es-ES"/>
        </w:rPr>
        <w:noBreakHyphen/>
      </w:r>
      <w:r w:rsidRPr="00411A60">
        <w:rPr>
          <w:lang w:val="es-ES"/>
        </w:rPr>
        <w:t>Internet ha puesto el acento en las consultas abiertas. El objetivo de la propuesta presentada en el Documento</w:t>
      </w:r>
      <w:r w:rsidR="00016F53">
        <w:rPr>
          <w:lang w:val="es-ES"/>
        </w:rPr>
        <w:t> </w:t>
      </w:r>
      <w:r w:rsidRPr="00411A60">
        <w:rPr>
          <w:lang w:val="es-ES"/>
        </w:rPr>
        <w:t>C26/99 es intensificar la adopción de productos prácticos y pragmáticos sobre las cuestiones relacionadas con Internet, mejorar la vinculación entre las consultas abiertas y los resultados sustantivos y alentar la elaboración de productos como resúmenes, conclusiones clave y directrices que faciliten los trabajos del Consejo. Se invita al Consejo a adjuntar la contribución al Informe cuatrienal del</w:t>
      </w:r>
      <w:r w:rsidR="00E74DB8">
        <w:rPr>
          <w:lang w:val="es-ES"/>
        </w:rPr>
        <w:t> </w:t>
      </w:r>
      <w:r w:rsidRPr="00411A60">
        <w:rPr>
          <w:lang w:val="es-ES"/>
        </w:rPr>
        <w:t>GTC-Internet.</w:t>
      </w:r>
    </w:p>
    <w:p w14:paraId="704E9F81" w14:textId="32A9B378" w:rsidR="00411A60" w:rsidRPr="00411A60" w:rsidRDefault="00411A60" w:rsidP="00B4641B">
      <w:pPr>
        <w:jc w:val="both"/>
        <w:rPr>
          <w:lang w:val="es-ES"/>
        </w:rPr>
      </w:pPr>
      <w:r w:rsidRPr="00411A60">
        <w:rPr>
          <w:lang w:val="es-ES"/>
        </w:rPr>
        <w:t>6.3</w:t>
      </w:r>
      <w:r w:rsidRPr="00411A60">
        <w:rPr>
          <w:lang w:val="es-ES"/>
        </w:rPr>
        <w:tab/>
        <w:t>El consejero de Sudáfrica presenta la contribución, presentada por varios países en el Documento</w:t>
      </w:r>
      <w:r w:rsidR="00E74DB8">
        <w:rPr>
          <w:lang w:val="es-ES"/>
        </w:rPr>
        <w:t> </w:t>
      </w:r>
      <w:r w:rsidRPr="00411A60">
        <w:rPr>
          <w:lang w:val="es-ES"/>
        </w:rPr>
        <w:t>C26/101(Rev.1), en nombre de cuatro países. En esa contribución se exponen las dificultades recurrentes a que se enfrenta el</w:t>
      </w:r>
      <w:r w:rsidR="00E74DB8">
        <w:rPr>
          <w:lang w:val="es-ES"/>
        </w:rPr>
        <w:t> </w:t>
      </w:r>
      <w:r w:rsidRPr="00411A60">
        <w:rPr>
          <w:lang w:val="es-ES"/>
        </w:rPr>
        <w:t>GTC-Internet, incluso para llegar a un consenso sobre los temas de consulta, la necesidad de una mayor continuidad en los trabajos del Grupo y las cada vez mayores inquietudes que rodean a la estabilidad y la resiliencia de los recursos de Internet esenciales. En la contribución se propone un enfoque pragmático coherente con el mandato del Grupo que preservaría su carácter intergubernamental y político. Se sugiere que el Consejo tome nota de la contribución, refrende los principios rectores que en ella se presentan y encargue al GTC-Internet la preparación de un marco temático no vinculante para 2026-2030 y al mismo tiempo siga dando prioridad a la conectividad inclusiva y la colaboración constructiva con otros Grupos pertinentes.</w:t>
      </w:r>
    </w:p>
    <w:p w14:paraId="134A14B2" w14:textId="5367336F" w:rsidR="00411A60" w:rsidRPr="00411A60" w:rsidRDefault="00411A60" w:rsidP="00B4641B">
      <w:pPr>
        <w:jc w:val="both"/>
        <w:rPr>
          <w:lang w:val="es-ES"/>
        </w:rPr>
      </w:pPr>
      <w:r w:rsidRPr="00411A60">
        <w:rPr>
          <w:lang w:val="es-ES"/>
        </w:rPr>
        <w:t>6.4</w:t>
      </w:r>
      <w:r w:rsidRPr="00411A60">
        <w:rPr>
          <w:lang w:val="es-ES"/>
        </w:rPr>
        <w:tab/>
        <w:t>El observador de la Federación de Rusia presenta el Documento</w:t>
      </w:r>
      <w:r w:rsidR="00016F53">
        <w:rPr>
          <w:lang w:val="es-ES"/>
        </w:rPr>
        <w:t> </w:t>
      </w:r>
      <w:r w:rsidRPr="00411A60">
        <w:rPr>
          <w:lang w:val="es-ES"/>
        </w:rPr>
        <w:t>C26/94, en el que se formulan varias propuestas para mejorar los trabajos del GTC-Internet. Aunque los debates temáticos del Grupo son apreciables, éste ha formulado pocas recomendaciones específicas en los últimos años y no ha elaborado documento alguno que pueda servir de base para resolver cuestiones políticas relacionadas con la gobernanza de Internet. El mandato del Grupo no debe ser una mera formalidad, sino tener efectos prácticos.</w:t>
      </w:r>
    </w:p>
    <w:p w14:paraId="1C08BBD2" w14:textId="77777777" w:rsidR="00411A60" w:rsidRPr="00411A60" w:rsidRDefault="00411A60" w:rsidP="00B4641B">
      <w:pPr>
        <w:jc w:val="both"/>
        <w:rPr>
          <w:lang w:val="es-ES"/>
        </w:rPr>
      </w:pPr>
      <w:r w:rsidRPr="00411A60">
        <w:rPr>
          <w:lang w:val="es-ES"/>
        </w:rPr>
        <w:t>6.5</w:t>
      </w:r>
      <w:r w:rsidRPr="00411A60">
        <w:rPr>
          <w:lang w:val="es-ES"/>
        </w:rPr>
        <w:tab/>
        <w:t>El Presidente dice que el examen de los documentos proseguirá en la próxima Sesión Plenaria.</w:t>
      </w:r>
    </w:p>
    <w:p w14:paraId="161A21E3" w14:textId="77777777" w:rsidR="00411A60" w:rsidRPr="00411A60" w:rsidRDefault="00411A60" w:rsidP="00411A60">
      <w:pPr>
        <w:pStyle w:val="Heading1"/>
        <w:rPr>
          <w:lang w:val="es-ES"/>
        </w:rPr>
      </w:pPr>
      <w:r w:rsidRPr="00411A60">
        <w:rPr>
          <w:lang w:val="es-ES"/>
        </w:rPr>
        <w:t>7</w:t>
      </w:r>
      <w:r w:rsidRPr="00411A60">
        <w:rPr>
          <w:lang w:val="es-ES"/>
        </w:rPr>
        <w:tab/>
        <w:t>Declaraciones de los consejeros</w:t>
      </w:r>
    </w:p>
    <w:p w14:paraId="0392B698" w14:textId="3356DF82" w:rsidR="00411A60" w:rsidRPr="00411A60" w:rsidRDefault="00411A60" w:rsidP="00B4641B">
      <w:pPr>
        <w:jc w:val="both"/>
        <w:rPr>
          <w:lang w:val="es-ES"/>
        </w:rPr>
      </w:pPr>
      <w:r w:rsidRPr="00411A60">
        <w:rPr>
          <w:lang w:val="es-ES"/>
        </w:rPr>
        <w:t>7.1</w:t>
      </w:r>
      <w:r w:rsidRPr="00411A60">
        <w:rPr>
          <w:lang w:val="es-ES"/>
        </w:rPr>
        <w:tab/>
        <w:t>Los consejeros de</w:t>
      </w:r>
      <w:r w:rsidR="00E74DB8">
        <w:rPr>
          <w:lang w:val="es-ES"/>
        </w:rPr>
        <w:t>l</w:t>
      </w:r>
      <w:r w:rsidRPr="00411A60">
        <w:rPr>
          <w:lang w:val="es-ES"/>
        </w:rPr>
        <w:t xml:space="preserve"> Reino Unido y Tanzanía anuncian la candidatura de sus países a la reelección al Consejo.</w:t>
      </w:r>
    </w:p>
    <w:p w14:paraId="2E739061" w14:textId="77777777" w:rsidR="00411A60" w:rsidRPr="00411A60" w:rsidRDefault="00411A60" w:rsidP="00B4641B">
      <w:pPr>
        <w:jc w:val="both"/>
        <w:rPr>
          <w:lang w:val="es-ES"/>
        </w:rPr>
      </w:pPr>
      <w:r w:rsidRPr="00411A60">
        <w:rPr>
          <w:lang w:val="es-ES"/>
        </w:rPr>
        <w:t>7.2</w:t>
      </w:r>
      <w:r w:rsidRPr="00411A60">
        <w:rPr>
          <w:lang w:val="es-ES"/>
        </w:rPr>
        <w:tab/>
        <w:t>Los observadores de Cabo Verde, Iraq y Qatar anuncian la candidatura de sus países a la elección al Consejo.</w:t>
      </w:r>
    </w:p>
    <w:p w14:paraId="64C9E3E3" w14:textId="10C346CD" w:rsidR="000147ED" w:rsidRPr="00EA311B" w:rsidRDefault="000147ED" w:rsidP="00832703">
      <w:pPr>
        <w:tabs>
          <w:tab w:val="clear" w:pos="2268"/>
          <w:tab w:val="clear" w:pos="2835"/>
          <w:tab w:val="left" w:pos="6237"/>
        </w:tabs>
        <w:spacing w:before="840"/>
        <w:rPr>
          <w:lang w:val="es-ES"/>
        </w:rPr>
      </w:pPr>
      <w:r w:rsidRPr="000147ED">
        <w:rPr>
          <w:lang w:val="es-ES"/>
        </w:rPr>
        <w:t>La Secretaria General:</w:t>
      </w:r>
      <w:r w:rsidRPr="000147ED">
        <w:rPr>
          <w:lang w:val="es-ES"/>
        </w:rPr>
        <w:tab/>
        <w:t>El Presidente:</w:t>
      </w:r>
      <w:r w:rsidR="00832703">
        <w:rPr>
          <w:lang w:val="es-ES"/>
        </w:rPr>
        <w:br/>
      </w:r>
      <w:r w:rsidRPr="00EA311B">
        <w:rPr>
          <w:lang w:val="es-ES"/>
        </w:rPr>
        <w:t>D. BOGDAN-MARTIN</w:t>
      </w:r>
      <w:r w:rsidRPr="00EA311B">
        <w:rPr>
          <w:lang w:val="es-ES"/>
        </w:rPr>
        <w:tab/>
        <w:t>B. TIJANI</w:t>
      </w:r>
    </w:p>
    <w:sectPr w:rsidR="000147ED" w:rsidRPr="00EA311B" w:rsidSect="00C538FC">
      <w:footerReference w:type="default" r:id="rId20"/>
      <w:headerReference w:type="first" r:id="rId21"/>
      <w:footerReference w:type="first" r:id="rId22"/>
      <w:pgSz w:w="11907" w:h="16834"/>
      <w:pgMar w:top="1418" w:right="1418" w:bottom="1418" w:left="1418" w:header="720" w:footer="720" w:gutter="0"/>
      <w:paperSrc w:first="286" w:other="286"/>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B6C025" w14:textId="77777777" w:rsidR="007E581F" w:rsidRDefault="007E581F">
      <w:r>
        <w:separator/>
      </w:r>
    </w:p>
  </w:endnote>
  <w:endnote w:type="continuationSeparator" w:id="0">
    <w:p w14:paraId="5E836C11" w14:textId="77777777" w:rsidR="007E581F" w:rsidRDefault="007E58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G Times">
    <w:altName w:val="Times New Roman"/>
    <w:panose1 w:val="00000000000000000000"/>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5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06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3"/>
      <w:gridCol w:w="8261"/>
    </w:tblGrid>
    <w:tr w:rsidR="003273A4" w:rsidRPr="00784011" w14:paraId="20555E03" w14:textId="77777777" w:rsidTr="00E31DCE">
      <w:trPr>
        <w:jc w:val="center"/>
      </w:trPr>
      <w:tc>
        <w:tcPr>
          <w:tcW w:w="1803" w:type="dxa"/>
          <w:vAlign w:val="center"/>
        </w:tcPr>
        <w:p w14:paraId="0F678F2F" w14:textId="1F6E4FE9" w:rsidR="003273A4" w:rsidRDefault="00832703" w:rsidP="003273A4">
          <w:pPr>
            <w:pStyle w:val="Header"/>
            <w:jc w:val="left"/>
            <w:rPr>
              <w:noProof/>
            </w:rPr>
          </w:pPr>
          <w:r>
            <w:rPr>
              <w:noProof/>
            </w:rPr>
            <w:t>26013</w:t>
          </w:r>
          <w:r w:rsidR="007777C1">
            <w:rPr>
              <w:noProof/>
            </w:rPr>
            <w:t>40</w:t>
          </w:r>
        </w:p>
      </w:tc>
      <w:tc>
        <w:tcPr>
          <w:tcW w:w="8261" w:type="dxa"/>
        </w:tcPr>
        <w:p w14:paraId="12ECC52F" w14:textId="62E0C671" w:rsidR="003273A4" w:rsidRPr="00E06FD5" w:rsidRDefault="003273A4" w:rsidP="00B060DF">
          <w:pPr>
            <w:pStyle w:val="Header"/>
            <w:tabs>
              <w:tab w:val="left" w:pos="6731"/>
              <w:tab w:val="right" w:pos="8505"/>
              <w:tab w:val="right" w:pos="9639"/>
            </w:tabs>
            <w:jc w:val="left"/>
            <w:rPr>
              <w:rFonts w:ascii="Arial" w:hAnsi="Arial" w:cs="Arial"/>
              <w:b/>
              <w:bCs/>
              <w:szCs w:val="18"/>
            </w:rPr>
          </w:pPr>
          <w:r>
            <w:rPr>
              <w:bCs/>
            </w:rPr>
            <w:tab/>
          </w:r>
          <w:r w:rsidRPr="00623AE3">
            <w:rPr>
              <w:bCs/>
            </w:rPr>
            <w:t>C</w:t>
          </w:r>
          <w:r>
            <w:rPr>
              <w:bCs/>
            </w:rPr>
            <w:t>2</w:t>
          </w:r>
          <w:r w:rsidR="00F85E5C">
            <w:rPr>
              <w:bCs/>
            </w:rPr>
            <w:t>6</w:t>
          </w:r>
          <w:r w:rsidRPr="00623AE3">
            <w:rPr>
              <w:bCs/>
            </w:rPr>
            <w:t>/</w:t>
          </w:r>
          <w:r w:rsidR="00832703">
            <w:rPr>
              <w:bCs/>
            </w:rPr>
            <w:t>1</w:t>
          </w:r>
          <w:r w:rsidR="00016F53">
            <w:rPr>
              <w:bCs/>
            </w:rPr>
            <w:t>20</w:t>
          </w:r>
          <w:r w:rsidRPr="00623AE3">
            <w:rPr>
              <w:bCs/>
            </w:rPr>
            <w:t>-</w:t>
          </w:r>
          <w:r>
            <w:rPr>
              <w:bCs/>
            </w:rPr>
            <w:t>S</w:t>
          </w:r>
          <w:r>
            <w:rPr>
              <w:bCs/>
            </w:rPr>
            <w:tab/>
          </w:r>
          <w:r>
            <w:fldChar w:fldCharType="begin"/>
          </w:r>
          <w:r>
            <w:instrText>PAGE</w:instrText>
          </w:r>
          <w:r>
            <w:fldChar w:fldCharType="separate"/>
          </w:r>
          <w:r>
            <w:t>1</w:t>
          </w:r>
          <w:r>
            <w:rPr>
              <w:noProof/>
            </w:rPr>
            <w:fldChar w:fldCharType="end"/>
          </w:r>
        </w:p>
      </w:tc>
    </w:tr>
  </w:tbl>
  <w:p w14:paraId="06046CF0" w14:textId="77777777" w:rsidR="00760F1C" w:rsidRPr="003273A4" w:rsidRDefault="00760F1C" w:rsidP="003273A4">
    <w:pPr>
      <w:pStyle w:val="Footer"/>
      <w:rPr>
        <w:b/>
        <w:b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06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3"/>
      <w:gridCol w:w="8261"/>
    </w:tblGrid>
    <w:tr w:rsidR="00F24B71" w:rsidRPr="00784011" w14:paraId="4A19E555" w14:textId="77777777" w:rsidTr="00E31DCE">
      <w:trPr>
        <w:jc w:val="center"/>
      </w:trPr>
      <w:tc>
        <w:tcPr>
          <w:tcW w:w="1803" w:type="dxa"/>
          <w:vAlign w:val="center"/>
        </w:tcPr>
        <w:p w14:paraId="66B3775A" w14:textId="63063E21" w:rsidR="00F24B71" w:rsidRPr="002946E2" w:rsidRDefault="00F85E5C" w:rsidP="00F24B71">
          <w:pPr>
            <w:pStyle w:val="Header"/>
            <w:jc w:val="left"/>
            <w:rPr>
              <w:noProof/>
            </w:rPr>
          </w:pPr>
          <w:hyperlink r:id="rId1" w:anchor="/es" w:history="1">
            <w:r>
              <w:rPr>
                <w:rStyle w:val="Hyperlink"/>
                <w:noProof/>
              </w:rPr>
              <w:t>council.itu.int/2026</w:t>
            </w:r>
          </w:hyperlink>
        </w:p>
      </w:tc>
      <w:tc>
        <w:tcPr>
          <w:tcW w:w="8261" w:type="dxa"/>
        </w:tcPr>
        <w:p w14:paraId="0DF6A4B8" w14:textId="407FB783" w:rsidR="00F24B71" w:rsidRPr="00E06FD5" w:rsidRDefault="00F24B71" w:rsidP="00B060DF">
          <w:pPr>
            <w:pStyle w:val="Header"/>
            <w:tabs>
              <w:tab w:val="left" w:pos="6731"/>
              <w:tab w:val="right" w:pos="8505"/>
              <w:tab w:val="right" w:pos="9639"/>
            </w:tabs>
            <w:jc w:val="left"/>
            <w:rPr>
              <w:rFonts w:ascii="Arial" w:hAnsi="Arial" w:cs="Arial"/>
              <w:b/>
              <w:bCs/>
              <w:szCs w:val="18"/>
            </w:rPr>
          </w:pPr>
          <w:r>
            <w:rPr>
              <w:bCs/>
            </w:rPr>
            <w:tab/>
          </w:r>
          <w:r w:rsidRPr="00623AE3">
            <w:rPr>
              <w:bCs/>
            </w:rPr>
            <w:t>C</w:t>
          </w:r>
          <w:r>
            <w:rPr>
              <w:bCs/>
            </w:rPr>
            <w:t>2</w:t>
          </w:r>
          <w:r w:rsidR="00F85E5C">
            <w:rPr>
              <w:bCs/>
            </w:rPr>
            <w:t>6</w:t>
          </w:r>
          <w:r w:rsidRPr="00623AE3">
            <w:rPr>
              <w:bCs/>
            </w:rPr>
            <w:t>/</w:t>
          </w:r>
          <w:r w:rsidR="00016F53">
            <w:rPr>
              <w:bCs/>
            </w:rPr>
            <w:t>120</w:t>
          </w:r>
          <w:r w:rsidRPr="00623AE3">
            <w:rPr>
              <w:bCs/>
            </w:rPr>
            <w:t>-</w:t>
          </w:r>
          <w:r w:rsidR="003273A4">
            <w:rPr>
              <w:bCs/>
            </w:rPr>
            <w:t>S</w:t>
          </w:r>
          <w:r>
            <w:rPr>
              <w:bCs/>
            </w:rPr>
            <w:tab/>
          </w:r>
          <w:r>
            <w:fldChar w:fldCharType="begin"/>
          </w:r>
          <w:r>
            <w:instrText>PAGE</w:instrText>
          </w:r>
          <w:r>
            <w:fldChar w:fldCharType="separate"/>
          </w:r>
          <w:r>
            <w:t>1</w:t>
          </w:r>
          <w:r>
            <w:rPr>
              <w:noProof/>
            </w:rPr>
            <w:fldChar w:fldCharType="end"/>
          </w:r>
        </w:p>
      </w:tc>
    </w:tr>
  </w:tbl>
  <w:p w14:paraId="5E7FDA73" w14:textId="77777777" w:rsidR="00760F1C" w:rsidRPr="00F24B71" w:rsidRDefault="00760F1C" w:rsidP="00F24B7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729DE8" w14:textId="77777777" w:rsidR="007E581F" w:rsidRDefault="007E581F">
      <w:r>
        <w:t>____________________</w:t>
      </w:r>
    </w:p>
  </w:footnote>
  <w:footnote w:type="continuationSeparator" w:id="0">
    <w:p w14:paraId="78F9657B" w14:textId="77777777" w:rsidR="007E581F" w:rsidRDefault="007E58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D687D" w14:textId="77777777" w:rsidR="001559F5" w:rsidRPr="00B1560D" w:rsidRDefault="00B1560D" w:rsidP="00B1560D">
    <w:pPr>
      <w:pStyle w:val="Header"/>
    </w:pPr>
    <w:r>
      <w:rPr>
        <w:noProof/>
      </w:rPr>
      <w:drawing>
        <wp:inline distT="0" distB="0" distL="0" distR="0" wp14:anchorId="77E234E2" wp14:editId="3C13B62B">
          <wp:extent cx="5760085" cy="840740"/>
          <wp:effectExtent l="0" t="0" r="0" b="0"/>
          <wp:docPr id="3978753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7875340" name="Picture 397875340"/>
                  <pic:cNvPicPr/>
                </pic:nvPicPr>
                <pic:blipFill>
                  <a:blip r:embed="rId1">
                    <a:extLst>
                      <a:ext uri="{28A0092B-C50C-407E-A947-70E740481C1C}">
                        <a14:useLocalDpi xmlns:a14="http://schemas.microsoft.com/office/drawing/2010/main" val="0"/>
                      </a:ext>
                    </a:extLst>
                  </a:blip>
                  <a:stretch>
                    <a:fillRect/>
                  </a:stretch>
                </pic:blipFill>
                <pic:spPr>
                  <a:xfrm>
                    <a:off x="0" y="0"/>
                    <a:ext cx="5760085" cy="84074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0770"/>
    <w:rsid w:val="000007D1"/>
    <w:rsid w:val="00010425"/>
    <w:rsid w:val="000147ED"/>
    <w:rsid w:val="00016F53"/>
    <w:rsid w:val="0006007D"/>
    <w:rsid w:val="00091B52"/>
    <w:rsid w:val="00093EEB"/>
    <w:rsid w:val="000B0D00"/>
    <w:rsid w:val="000B7C15"/>
    <w:rsid w:val="000D1D0F"/>
    <w:rsid w:val="000E3F07"/>
    <w:rsid w:val="000F5290"/>
    <w:rsid w:val="000F5A95"/>
    <w:rsid w:val="0010165C"/>
    <w:rsid w:val="00137BDC"/>
    <w:rsid w:val="00146BFB"/>
    <w:rsid w:val="00155333"/>
    <w:rsid w:val="001559F5"/>
    <w:rsid w:val="00157AC4"/>
    <w:rsid w:val="0016169C"/>
    <w:rsid w:val="001958F5"/>
    <w:rsid w:val="001B6E2B"/>
    <w:rsid w:val="001F14A2"/>
    <w:rsid w:val="001F4406"/>
    <w:rsid w:val="0020641D"/>
    <w:rsid w:val="00277DEA"/>
    <w:rsid w:val="002801AA"/>
    <w:rsid w:val="002946E2"/>
    <w:rsid w:val="002C3F32"/>
    <w:rsid w:val="002C4676"/>
    <w:rsid w:val="002C70B0"/>
    <w:rsid w:val="002F3CC4"/>
    <w:rsid w:val="003032E2"/>
    <w:rsid w:val="0031300A"/>
    <w:rsid w:val="003273A4"/>
    <w:rsid w:val="0034796E"/>
    <w:rsid w:val="003B6D8C"/>
    <w:rsid w:val="003C3B9A"/>
    <w:rsid w:val="00411A60"/>
    <w:rsid w:val="004571B0"/>
    <w:rsid w:val="00465C35"/>
    <w:rsid w:val="00473962"/>
    <w:rsid w:val="004B5D49"/>
    <w:rsid w:val="004D3A3C"/>
    <w:rsid w:val="00513630"/>
    <w:rsid w:val="005569F3"/>
    <w:rsid w:val="00560125"/>
    <w:rsid w:val="00585553"/>
    <w:rsid w:val="005B34D9"/>
    <w:rsid w:val="005B66FB"/>
    <w:rsid w:val="005D0CCF"/>
    <w:rsid w:val="005E1BD3"/>
    <w:rsid w:val="005E3F36"/>
    <w:rsid w:val="005F0915"/>
    <w:rsid w:val="005F3BCB"/>
    <w:rsid w:val="005F410F"/>
    <w:rsid w:val="0060149A"/>
    <w:rsid w:val="00601924"/>
    <w:rsid w:val="006447EA"/>
    <w:rsid w:val="0064481D"/>
    <w:rsid w:val="0064731F"/>
    <w:rsid w:val="00664572"/>
    <w:rsid w:val="00666D09"/>
    <w:rsid w:val="00670579"/>
    <w:rsid w:val="006710F6"/>
    <w:rsid w:val="00677A97"/>
    <w:rsid w:val="006C1B56"/>
    <w:rsid w:val="006D4761"/>
    <w:rsid w:val="00726872"/>
    <w:rsid w:val="00760F1C"/>
    <w:rsid w:val="007657F0"/>
    <w:rsid w:val="00770770"/>
    <w:rsid w:val="0077110E"/>
    <w:rsid w:val="0077252D"/>
    <w:rsid w:val="007777C1"/>
    <w:rsid w:val="007955DA"/>
    <w:rsid w:val="007E581F"/>
    <w:rsid w:val="007E5DD3"/>
    <w:rsid w:val="007F350B"/>
    <w:rsid w:val="00820BE4"/>
    <w:rsid w:val="00825E63"/>
    <w:rsid w:val="00832703"/>
    <w:rsid w:val="008451E8"/>
    <w:rsid w:val="0084546D"/>
    <w:rsid w:val="008A5340"/>
    <w:rsid w:val="008F6ABC"/>
    <w:rsid w:val="00913B9C"/>
    <w:rsid w:val="00927F93"/>
    <w:rsid w:val="00947D28"/>
    <w:rsid w:val="009526ED"/>
    <w:rsid w:val="00956E77"/>
    <w:rsid w:val="009A338E"/>
    <w:rsid w:val="009A57D1"/>
    <w:rsid w:val="009A76A8"/>
    <w:rsid w:val="009F4811"/>
    <w:rsid w:val="00A01F4F"/>
    <w:rsid w:val="00A04080"/>
    <w:rsid w:val="00A109AF"/>
    <w:rsid w:val="00A94438"/>
    <w:rsid w:val="00AA390C"/>
    <w:rsid w:val="00AD5A4D"/>
    <w:rsid w:val="00AF0EAC"/>
    <w:rsid w:val="00B0200A"/>
    <w:rsid w:val="00B060DF"/>
    <w:rsid w:val="00B12533"/>
    <w:rsid w:val="00B1560D"/>
    <w:rsid w:val="00B4641B"/>
    <w:rsid w:val="00B574DB"/>
    <w:rsid w:val="00B826C2"/>
    <w:rsid w:val="00B8298E"/>
    <w:rsid w:val="00BB6FD8"/>
    <w:rsid w:val="00BD0723"/>
    <w:rsid w:val="00BD2518"/>
    <w:rsid w:val="00BD4654"/>
    <w:rsid w:val="00BF1D1C"/>
    <w:rsid w:val="00C20C59"/>
    <w:rsid w:val="00C2727F"/>
    <w:rsid w:val="00C4421B"/>
    <w:rsid w:val="00C474D1"/>
    <w:rsid w:val="00C538FC"/>
    <w:rsid w:val="00C55B1F"/>
    <w:rsid w:val="00C74BEC"/>
    <w:rsid w:val="00CC1FAF"/>
    <w:rsid w:val="00CF1A67"/>
    <w:rsid w:val="00D24FB0"/>
    <w:rsid w:val="00D2750E"/>
    <w:rsid w:val="00D375E0"/>
    <w:rsid w:val="00D50A36"/>
    <w:rsid w:val="00D62446"/>
    <w:rsid w:val="00DA4EA2"/>
    <w:rsid w:val="00DC3D3E"/>
    <w:rsid w:val="00DE2C90"/>
    <w:rsid w:val="00DE3B24"/>
    <w:rsid w:val="00DE7376"/>
    <w:rsid w:val="00E06947"/>
    <w:rsid w:val="00E11319"/>
    <w:rsid w:val="00E21444"/>
    <w:rsid w:val="00E271C3"/>
    <w:rsid w:val="00E34072"/>
    <w:rsid w:val="00E3592D"/>
    <w:rsid w:val="00E50D76"/>
    <w:rsid w:val="00E74DB8"/>
    <w:rsid w:val="00E8018B"/>
    <w:rsid w:val="00E92DE8"/>
    <w:rsid w:val="00EA311B"/>
    <w:rsid w:val="00EB1212"/>
    <w:rsid w:val="00ED65AB"/>
    <w:rsid w:val="00F12850"/>
    <w:rsid w:val="00F24B71"/>
    <w:rsid w:val="00F33BF4"/>
    <w:rsid w:val="00F7105E"/>
    <w:rsid w:val="00F75F57"/>
    <w:rsid w:val="00F82FEE"/>
    <w:rsid w:val="00F85E5C"/>
    <w:rsid w:val="00F92BED"/>
    <w:rsid w:val="00FD57D3"/>
    <w:rsid w:val="00FE57F6"/>
    <w:rsid w:val="00FF11B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718FB3"/>
  <w15:docId w15:val="{1F5B70C9-BADA-4E08-A3C6-F8237D4459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F5A95"/>
    <w:pPr>
      <w:tabs>
        <w:tab w:val="left" w:pos="567"/>
        <w:tab w:val="left" w:pos="1134"/>
        <w:tab w:val="left" w:pos="1701"/>
        <w:tab w:val="left" w:pos="2268"/>
        <w:tab w:val="left" w:pos="2835"/>
      </w:tabs>
      <w:overflowPunct w:val="0"/>
      <w:autoSpaceDE w:val="0"/>
      <w:autoSpaceDN w:val="0"/>
      <w:adjustRightInd w:val="0"/>
      <w:spacing w:before="120"/>
      <w:textAlignment w:val="baseline"/>
    </w:pPr>
    <w:rPr>
      <w:rFonts w:ascii="Calibri" w:hAnsi="Calibri"/>
      <w:sz w:val="24"/>
      <w:lang w:val="fr-FR" w:eastAsia="en-US"/>
    </w:rPr>
  </w:style>
  <w:style w:type="paragraph" w:styleId="Heading1">
    <w:name w:val="heading 1"/>
    <w:basedOn w:val="Normal"/>
    <w:next w:val="Normal"/>
    <w:qFormat/>
    <w:rsid w:val="000F5A95"/>
    <w:pPr>
      <w:keepNext/>
      <w:keepLines/>
      <w:spacing w:before="360"/>
      <w:ind w:left="567" w:hanging="567"/>
      <w:outlineLvl w:val="0"/>
    </w:pPr>
    <w:rPr>
      <w:b/>
      <w:sz w:val="28"/>
    </w:rPr>
  </w:style>
  <w:style w:type="paragraph" w:styleId="Heading2">
    <w:name w:val="heading 2"/>
    <w:basedOn w:val="Heading1"/>
    <w:next w:val="Normal"/>
    <w:qFormat/>
    <w:rsid w:val="000F5A95"/>
    <w:pPr>
      <w:spacing w:before="200"/>
      <w:outlineLvl w:val="1"/>
    </w:pPr>
    <w:rPr>
      <w:sz w:val="24"/>
    </w:rPr>
  </w:style>
  <w:style w:type="paragraph" w:styleId="Heading3">
    <w:name w:val="heading 3"/>
    <w:basedOn w:val="Heading1"/>
    <w:next w:val="Normal"/>
    <w:qFormat/>
    <w:rsid w:val="000F5A95"/>
    <w:pPr>
      <w:spacing w:before="200"/>
      <w:outlineLvl w:val="2"/>
    </w:pPr>
    <w:rPr>
      <w:sz w:val="24"/>
    </w:rPr>
  </w:style>
  <w:style w:type="paragraph" w:styleId="Heading4">
    <w:name w:val="heading 4"/>
    <w:basedOn w:val="Heading3"/>
    <w:next w:val="Normal"/>
    <w:qFormat/>
    <w:rsid w:val="000F5A95"/>
    <w:pPr>
      <w:ind w:left="1134" w:hanging="1134"/>
      <w:outlineLvl w:val="3"/>
    </w:pPr>
  </w:style>
  <w:style w:type="paragraph" w:styleId="Heading5">
    <w:name w:val="heading 5"/>
    <w:basedOn w:val="Heading4"/>
    <w:next w:val="Normal"/>
    <w:qFormat/>
    <w:rsid w:val="000F5A95"/>
    <w:pPr>
      <w:outlineLvl w:val="4"/>
    </w:pPr>
  </w:style>
  <w:style w:type="paragraph" w:styleId="Heading6">
    <w:name w:val="heading 6"/>
    <w:basedOn w:val="Heading4"/>
    <w:next w:val="Normal"/>
    <w:qFormat/>
    <w:rsid w:val="000F5A95"/>
    <w:pPr>
      <w:outlineLvl w:val="5"/>
    </w:pPr>
  </w:style>
  <w:style w:type="paragraph" w:styleId="Heading7">
    <w:name w:val="heading 7"/>
    <w:basedOn w:val="Heading4"/>
    <w:next w:val="Normal"/>
    <w:qFormat/>
    <w:rsid w:val="000F5A95"/>
    <w:pPr>
      <w:ind w:left="1701" w:hanging="1701"/>
      <w:outlineLvl w:val="6"/>
    </w:pPr>
  </w:style>
  <w:style w:type="paragraph" w:styleId="Heading8">
    <w:name w:val="heading 8"/>
    <w:basedOn w:val="Heading4"/>
    <w:next w:val="Normal"/>
    <w:qFormat/>
    <w:rsid w:val="000F5A95"/>
    <w:pPr>
      <w:ind w:left="1701" w:hanging="1701"/>
      <w:outlineLvl w:val="7"/>
    </w:pPr>
  </w:style>
  <w:style w:type="paragraph" w:styleId="Heading9">
    <w:name w:val="heading 9"/>
    <w:basedOn w:val="Heading4"/>
    <w:next w:val="Normal"/>
    <w:qFormat/>
    <w:rsid w:val="000F5A95"/>
    <w:pPr>
      <w:ind w:left="1701" w:hanging="1701"/>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8">
    <w:name w:val="toc 8"/>
    <w:basedOn w:val="TOC7"/>
    <w:next w:val="Normal"/>
    <w:rsid w:val="000F5A95"/>
  </w:style>
  <w:style w:type="paragraph" w:styleId="TOC4">
    <w:name w:val="toc 4"/>
    <w:basedOn w:val="TOC1"/>
    <w:next w:val="Normal"/>
    <w:rsid w:val="000F5A95"/>
  </w:style>
  <w:style w:type="paragraph" w:styleId="TOC3">
    <w:name w:val="toc 3"/>
    <w:basedOn w:val="TOC1"/>
    <w:next w:val="Normal"/>
    <w:rsid w:val="000F5A95"/>
  </w:style>
  <w:style w:type="paragraph" w:styleId="TOC2">
    <w:name w:val="toc 2"/>
    <w:basedOn w:val="TOC1"/>
    <w:next w:val="Normal"/>
    <w:rsid w:val="000F5A95"/>
    <w:pPr>
      <w:spacing w:before="160"/>
    </w:pPr>
  </w:style>
  <w:style w:type="paragraph" w:styleId="TOC1">
    <w:name w:val="toc 1"/>
    <w:basedOn w:val="Normal"/>
    <w:rsid w:val="000F5A95"/>
    <w:pPr>
      <w:tabs>
        <w:tab w:val="clear" w:pos="567"/>
        <w:tab w:val="clear" w:pos="1134"/>
        <w:tab w:val="clear" w:pos="1701"/>
        <w:tab w:val="clear" w:pos="2268"/>
        <w:tab w:val="clear" w:pos="2835"/>
        <w:tab w:val="left" w:pos="964"/>
        <w:tab w:val="left" w:leader="dot" w:pos="7938"/>
        <w:tab w:val="right" w:pos="9072"/>
      </w:tabs>
      <w:spacing w:before="200"/>
      <w:ind w:left="964" w:hanging="964"/>
    </w:pPr>
  </w:style>
  <w:style w:type="paragraph" w:styleId="TOC7">
    <w:name w:val="toc 7"/>
    <w:basedOn w:val="TOC6"/>
    <w:next w:val="Normal"/>
    <w:rsid w:val="000F5A95"/>
  </w:style>
  <w:style w:type="paragraph" w:styleId="TOC6">
    <w:name w:val="toc 6"/>
    <w:basedOn w:val="TOC5"/>
    <w:next w:val="Normal"/>
    <w:rsid w:val="000F5A95"/>
  </w:style>
  <w:style w:type="paragraph" w:styleId="TOC5">
    <w:name w:val="toc 5"/>
    <w:basedOn w:val="TOC4"/>
    <w:next w:val="Normal"/>
    <w:rsid w:val="000F5A95"/>
    <w:rPr>
      <w:lang w:val="fr-CH"/>
    </w:rPr>
  </w:style>
  <w:style w:type="paragraph" w:styleId="Index7">
    <w:name w:val="index 7"/>
    <w:basedOn w:val="Normal"/>
    <w:next w:val="Normal"/>
    <w:rsid w:val="000F5A95"/>
    <w:pPr>
      <w:ind w:left="1698"/>
    </w:pPr>
  </w:style>
  <w:style w:type="paragraph" w:styleId="Index6">
    <w:name w:val="index 6"/>
    <w:basedOn w:val="Normal"/>
    <w:next w:val="Normal"/>
    <w:rsid w:val="000F5A95"/>
    <w:pPr>
      <w:ind w:left="1415"/>
    </w:pPr>
  </w:style>
  <w:style w:type="paragraph" w:styleId="Index5">
    <w:name w:val="index 5"/>
    <w:basedOn w:val="Normal"/>
    <w:next w:val="Normal"/>
    <w:rsid w:val="000F5A95"/>
    <w:pPr>
      <w:ind w:left="1132"/>
    </w:pPr>
  </w:style>
  <w:style w:type="paragraph" w:styleId="Index4">
    <w:name w:val="index 4"/>
    <w:basedOn w:val="Normal"/>
    <w:next w:val="Normal"/>
    <w:rsid w:val="000F5A95"/>
    <w:pPr>
      <w:ind w:left="849"/>
    </w:pPr>
  </w:style>
  <w:style w:type="paragraph" w:styleId="Index3">
    <w:name w:val="index 3"/>
    <w:basedOn w:val="Normal"/>
    <w:next w:val="Normal"/>
    <w:rsid w:val="000F5A95"/>
    <w:pPr>
      <w:ind w:left="566"/>
    </w:pPr>
  </w:style>
  <w:style w:type="paragraph" w:styleId="Index2">
    <w:name w:val="index 2"/>
    <w:basedOn w:val="Normal"/>
    <w:next w:val="Normal"/>
    <w:rsid w:val="000F5A95"/>
    <w:pPr>
      <w:ind w:left="283"/>
    </w:pPr>
  </w:style>
  <w:style w:type="paragraph" w:styleId="Index1">
    <w:name w:val="index 1"/>
    <w:basedOn w:val="Normal"/>
    <w:next w:val="Normal"/>
    <w:rsid w:val="000F5A95"/>
  </w:style>
  <w:style w:type="character" w:styleId="LineNumber">
    <w:name w:val="line number"/>
    <w:basedOn w:val="DefaultParagraphFont"/>
    <w:rsid w:val="000F5A95"/>
  </w:style>
  <w:style w:type="paragraph" w:styleId="IndexHeading">
    <w:name w:val="index heading"/>
    <w:basedOn w:val="Normal"/>
    <w:next w:val="Index1"/>
    <w:rsid w:val="000F5A95"/>
  </w:style>
  <w:style w:type="paragraph" w:styleId="Footer">
    <w:name w:val="footer"/>
    <w:basedOn w:val="Normal"/>
    <w:rsid w:val="000F5A95"/>
    <w:pPr>
      <w:tabs>
        <w:tab w:val="clear" w:pos="567"/>
        <w:tab w:val="clear" w:pos="1134"/>
        <w:tab w:val="clear" w:pos="1701"/>
        <w:tab w:val="clear" w:pos="2268"/>
        <w:tab w:val="clear" w:pos="2835"/>
        <w:tab w:val="left" w:pos="5954"/>
        <w:tab w:val="right" w:pos="9639"/>
      </w:tabs>
      <w:spacing w:before="0"/>
    </w:pPr>
    <w:rPr>
      <w:caps/>
      <w:noProof/>
      <w:sz w:val="16"/>
    </w:rPr>
  </w:style>
  <w:style w:type="paragraph" w:styleId="Header">
    <w:name w:val="header"/>
    <w:basedOn w:val="Normal"/>
    <w:link w:val="HeaderChar"/>
    <w:uiPriority w:val="99"/>
    <w:rsid w:val="000F5A95"/>
    <w:pPr>
      <w:tabs>
        <w:tab w:val="clear" w:pos="567"/>
        <w:tab w:val="clear" w:pos="1134"/>
        <w:tab w:val="clear" w:pos="1701"/>
        <w:tab w:val="clear" w:pos="2268"/>
        <w:tab w:val="clear" w:pos="2835"/>
      </w:tabs>
      <w:spacing w:before="0"/>
      <w:jc w:val="center"/>
    </w:pPr>
    <w:rPr>
      <w:sz w:val="18"/>
    </w:rPr>
  </w:style>
  <w:style w:type="character" w:styleId="FootnoteReference">
    <w:name w:val="footnote reference"/>
    <w:basedOn w:val="DefaultParagraphFont"/>
    <w:rsid w:val="000F5A95"/>
    <w:rPr>
      <w:rFonts w:ascii="Calibri" w:hAnsi="Calibri"/>
      <w:position w:val="6"/>
      <w:sz w:val="16"/>
    </w:rPr>
  </w:style>
  <w:style w:type="paragraph" w:styleId="FootnoteText">
    <w:name w:val="footnote text"/>
    <w:basedOn w:val="Normal"/>
    <w:rsid w:val="000F5A95"/>
    <w:pPr>
      <w:keepLines/>
      <w:tabs>
        <w:tab w:val="left" w:pos="256"/>
      </w:tabs>
      <w:ind w:left="256" w:hanging="256"/>
    </w:pPr>
    <w:rPr>
      <w:sz w:val="22"/>
    </w:rPr>
  </w:style>
  <w:style w:type="paragraph" w:styleId="NormalIndent">
    <w:name w:val="Normal Indent"/>
    <w:basedOn w:val="Normal"/>
    <w:rsid w:val="000F5A95"/>
    <w:pPr>
      <w:ind w:left="567"/>
    </w:pPr>
  </w:style>
  <w:style w:type="paragraph" w:customStyle="1" w:styleId="AnnexNo">
    <w:name w:val="Annex_No"/>
    <w:basedOn w:val="Normal"/>
    <w:next w:val="Annexref"/>
    <w:rsid w:val="000F5A95"/>
    <w:pPr>
      <w:keepNext/>
      <w:keepLines/>
      <w:spacing w:before="720"/>
      <w:jc w:val="center"/>
    </w:pPr>
    <w:rPr>
      <w:caps/>
      <w:sz w:val="28"/>
    </w:rPr>
  </w:style>
  <w:style w:type="paragraph" w:customStyle="1" w:styleId="Annextitle">
    <w:name w:val="Annex_title"/>
    <w:basedOn w:val="Normal"/>
    <w:next w:val="Normalaftertitle"/>
    <w:rsid w:val="000F5A95"/>
    <w:pPr>
      <w:keepNext/>
      <w:keepLines/>
      <w:spacing w:before="240" w:after="240"/>
      <w:jc w:val="center"/>
    </w:pPr>
    <w:rPr>
      <w:b/>
      <w:sz w:val="28"/>
    </w:rPr>
  </w:style>
  <w:style w:type="paragraph" w:customStyle="1" w:styleId="Annexref">
    <w:name w:val="Annex_ref"/>
    <w:basedOn w:val="Normal"/>
    <w:next w:val="Annextitle"/>
    <w:rsid w:val="000F5A95"/>
    <w:pPr>
      <w:keepNext/>
      <w:keepLines/>
      <w:jc w:val="center"/>
    </w:pPr>
    <w:rPr>
      <w:sz w:val="28"/>
    </w:rPr>
  </w:style>
  <w:style w:type="paragraph" w:customStyle="1" w:styleId="Normalaftertitle">
    <w:name w:val="Normal after title"/>
    <w:basedOn w:val="Normal"/>
    <w:next w:val="Normal"/>
    <w:rsid w:val="000F5A95"/>
    <w:pPr>
      <w:spacing w:before="240"/>
    </w:pPr>
  </w:style>
  <w:style w:type="paragraph" w:customStyle="1" w:styleId="AppendixNo">
    <w:name w:val="Appendix_No"/>
    <w:basedOn w:val="AnnexNo"/>
    <w:next w:val="Appendixref"/>
    <w:rsid w:val="000F5A95"/>
  </w:style>
  <w:style w:type="paragraph" w:customStyle="1" w:styleId="Appendixtitle">
    <w:name w:val="Appendix_title"/>
    <w:basedOn w:val="Annextitle"/>
    <w:next w:val="Normalaftertitle"/>
    <w:rsid w:val="000F5A95"/>
  </w:style>
  <w:style w:type="paragraph" w:customStyle="1" w:styleId="Appendixref">
    <w:name w:val="Appendix_ref"/>
    <w:basedOn w:val="Annexref"/>
    <w:next w:val="Appendixtitle"/>
    <w:rsid w:val="000F5A95"/>
  </w:style>
  <w:style w:type="paragraph" w:customStyle="1" w:styleId="enumlev1">
    <w:name w:val="enumlev1"/>
    <w:basedOn w:val="Normal"/>
    <w:rsid w:val="000F5A95"/>
    <w:pPr>
      <w:spacing w:before="80"/>
      <w:ind w:left="567" w:hanging="567"/>
    </w:pPr>
  </w:style>
  <w:style w:type="paragraph" w:customStyle="1" w:styleId="enumlev2">
    <w:name w:val="enumlev2"/>
    <w:basedOn w:val="enumlev1"/>
    <w:rsid w:val="000F5A95"/>
    <w:pPr>
      <w:ind w:left="1134"/>
    </w:pPr>
  </w:style>
  <w:style w:type="paragraph" w:customStyle="1" w:styleId="enumlev3">
    <w:name w:val="enumlev3"/>
    <w:basedOn w:val="enumlev2"/>
    <w:rsid w:val="000F5A95"/>
    <w:pPr>
      <w:ind w:left="1701"/>
    </w:pPr>
  </w:style>
  <w:style w:type="paragraph" w:customStyle="1" w:styleId="Artheading">
    <w:name w:val="Art_heading"/>
    <w:basedOn w:val="Normal"/>
    <w:next w:val="Normalaftertitle"/>
    <w:rsid w:val="000F5A95"/>
    <w:pPr>
      <w:tabs>
        <w:tab w:val="clear" w:pos="567"/>
        <w:tab w:val="clear" w:pos="1134"/>
        <w:tab w:val="clear" w:pos="1701"/>
        <w:tab w:val="clear" w:pos="2268"/>
        <w:tab w:val="clear" w:pos="2835"/>
      </w:tabs>
      <w:spacing w:before="480"/>
      <w:jc w:val="center"/>
    </w:pPr>
    <w:rPr>
      <w:b/>
    </w:rPr>
  </w:style>
  <w:style w:type="paragraph" w:customStyle="1" w:styleId="ArtNo">
    <w:name w:val="Art_No"/>
    <w:basedOn w:val="Normal"/>
    <w:next w:val="Arttitle"/>
    <w:rsid w:val="000F5A95"/>
    <w:pPr>
      <w:keepNext/>
      <w:keepLines/>
      <w:tabs>
        <w:tab w:val="clear" w:pos="567"/>
        <w:tab w:val="clear" w:pos="1134"/>
        <w:tab w:val="clear" w:pos="1701"/>
        <w:tab w:val="clear" w:pos="2268"/>
        <w:tab w:val="clear" w:pos="2835"/>
      </w:tabs>
      <w:spacing w:before="600"/>
      <w:jc w:val="center"/>
    </w:pPr>
    <w:rPr>
      <w:caps/>
      <w:sz w:val="28"/>
    </w:rPr>
  </w:style>
  <w:style w:type="paragraph" w:customStyle="1" w:styleId="Arttitle">
    <w:name w:val="Art_title"/>
    <w:basedOn w:val="Normal"/>
    <w:next w:val="Normal"/>
    <w:rsid w:val="000F5A95"/>
    <w:pPr>
      <w:keepNext/>
      <w:keepLines/>
      <w:tabs>
        <w:tab w:val="clear" w:pos="567"/>
        <w:tab w:val="clear" w:pos="1134"/>
        <w:tab w:val="clear" w:pos="1701"/>
        <w:tab w:val="clear" w:pos="2268"/>
        <w:tab w:val="clear" w:pos="2835"/>
      </w:tabs>
      <w:spacing w:before="240" w:after="240"/>
      <w:jc w:val="center"/>
    </w:pPr>
    <w:rPr>
      <w:b/>
      <w:sz w:val="28"/>
    </w:rPr>
  </w:style>
  <w:style w:type="paragraph" w:customStyle="1" w:styleId="Call">
    <w:name w:val="Call"/>
    <w:basedOn w:val="Normal"/>
    <w:next w:val="Normal"/>
    <w:rsid w:val="000F5A95"/>
    <w:pPr>
      <w:keepNext/>
      <w:keepLines/>
      <w:tabs>
        <w:tab w:val="clear" w:pos="1134"/>
        <w:tab w:val="clear" w:pos="1701"/>
        <w:tab w:val="clear" w:pos="2268"/>
        <w:tab w:val="clear" w:pos="2835"/>
      </w:tabs>
      <w:spacing w:before="160"/>
      <w:ind w:left="567"/>
    </w:pPr>
    <w:rPr>
      <w:i/>
    </w:rPr>
  </w:style>
  <w:style w:type="paragraph" w:customStyle="1" w:styleId="ChapNo">
    <w:name w:val="Chap_No"/>
    <w:basedOn w:val="ArtNo"/>
    <w:next w:val="Chaptitle"/>
    <w:rsid w:val="000F5A95"/>
  </w:style>
  <w:style w:type="paragraph" w:customStyle="1" w:styleId="Chaptitle">
    <w:name w:val="Chap_title"/>
    <w:basedOn w:val="Arttitle"/>
    <w:next w:val="Normalaftertitle"/>
    <w:rsid w:val="000F5A95"/>
  </w:style>
  <w:style w:type="paragraph" w:customStyle="1" w:styleId="Equationlegend">
    <w:name w:val="Equation_legend"/>
    <w:basedOn w:val="NormalIndent"/>
    <w:rsid w:val="000F5A95"/>
    <w:pPr>
      <w:tabs>
        <w:tab w:val="right" w:pos="1531"/>
      </w:tabs>
      <w:spacing w:before="80"/>
      <w:ind w:left="1701" w:hanging="1701"/>
    </w:pPr>
  </w:style>
  <w:style w:type="paragraph" w:customStyle="1" w:styleId="Figure">
    <w:name w:val="Figure"/>
    <w:basedOn w:val="Normal"/>
    <w:next w:val="Normal"/>
    <w:rsid w:val="000F5A95"/>
    <w:pPr>
      <w:spacing w:after="240"/>
      <w:jc w:val="center"/>
    </w:pPr>
  </w:style>
  <w:style w:type="paragraph" w:customStyle="1" w:styleId="Figuretitle">
    <w:name w:val="Figure_title"/>
    <w:basedOn w:val="Tabletitle"/>
    <w:next w:val="Normalaftertitle"/>
    <w:rsid w:val="000F5A95"/>
    <w:pPr>
      <w:spacing w:before="120" w:after="0"/>
    </w:pPr>
  </w:style>
  <w:style w:type="paragraph" w:customStyle="1" w:styleId="Tabletitle">
    <w:name w:val="Table_title"/>
    <w:basedOn w:val="TableNo"/>
    <w:next w:val="Tabletext"/>
    <w:rsid w:val="000F5A95"/>
    <w:pPr>
      <w:tabs>
        <w:tab w:val="clear" w:pos="567"/>
        <w:tab w:val="clear" w:pos="1134"/>
        <w:tab w:val="clear" w:pos="1701"/>
        <w:tab w:val="clear" w:pos="2268"/>
        <w:tab w:val="clear" w:pos="2835"/>
        <w:tab w:val="left" w:pos="2948"/>
        <w:tab w:val="left" w:pos="4082"/>
      </w:tabs>
      <w:spacing w:before="0"/>
    </w:pPr>
    <w:rPr>
      <w:b/>
      <w:caps w:val="0"/>
    </w:rPr>
  </w:style>
  <w:style w:type="paragraph" w:customStyle="1" w:styleId="TableNo">
    <w:name w:val="Table_No"/>
    <w:basedOn w:val="Normal"/>
    <w:next w:val="Tabletitle"/>
    <w:rsid w:val="000F5A95"/>
    <w:pPr>
      <w:keepNext/>
      <w:keepLines/>
      <w:spacing w:before="480" w:after="120"/>
      <w:jc w:val="center"/>
    </w:pPr>
    <w:rPr>
      <w:caps/>
    </w:rPr>
  </w:style>
  <w:style w:type="paragraph" w:customStyle="1" w:styleId="Tabletext">
    <w:name w:val="Table_text"/>
    <w:basedOn w:val="Normal"/>
    <w:rsid w:val="000F5A95"/>
    <w:pPr>
      <w:tabs>
        <w:tab w:val="clear" w:pos="1134"/>
        <w:tab w:val="clear" w:pos="1701"/>
        <w:tab w:val="clear" w:pos="2268"/>
        <w:tab w:val="clear" w:pos="2835"/>
        <w:tab w:val="left" w:pos="284"/>
        <w:tab w:val="left" w:pos="851"/>
      </w:tabs>
      <w:spacing w:before="40" w:after="40"/>
    </w:pPr>
    <w:rPr>
      <w:sz w:val="22"/>
    </w:rPr>
  </w:style>
  <w:style w:type="paragraph" w:customStyle="1" w:styleId="Figurelegend">
    <w:name w:val="Figure_legend"/>
    <w:basedOn w:val="Normal"/>
    <w:next w:val="Normal"/>
    <w:rsid w:val="000F5A95"/>
    <w:pPr>
      <w:spacing w:before="20" w:after="240"/>
    </w:pPr>
    <w:rPr>
      <w:sz w:val="18"/>
    </w:rPr>
  </w:style>
  <w:style w:type="paragraph" w:customStyle="1" w:styleId="Equation">
    <w:name w:val="Equation"/>
    <w:basedOn w:val="Normal"/>
    <w:rsid w:val="000F5A95"/>
    <w:pPr>
      <w:tabs>
        <w:tab w:val="center" w:pos="4820"/>
        <w:tab w:val="right" w:pos="9639"/>
      </w:tabs>
    </w:pPr>
  </w:style>
  <w:style w:type="paragraph" w:customStyle="1" w:styleId="Head">
    <w:name w:val="Head"/>
    <w:basedOn w:val="Normal"/>
    <w:rsid w:val="000F5A95"/>
    <w:pPr>
      <w:tabs>
        <w:tab w:val="left" w:pos="6663"/>
      </w:tabs>
      <w:overflowPunct/>
      <w:autoSpaceDE/>
      <w:autoSpaceDN/>
      <w:adjustRightInd/>
      <w:spacing w:before="0"/>
      <w:textAlignment w:val="auto"/>
    </w:pPr>
  </w:style>
  <w:style w:type="paragraph" w:customStyle="1" w:styleId="toc0">
    <w:name w:val="toc 0"/>
    <w:basedOn w:val="Normal"/>
    <w:next w:val="TOC1"/>
    <w:rsid w:val="000F5A95"/>
    <w:pPr>
      <w:tabs>
        <w:tab w:val="clear" w:pos="567"/>
        <w:tab w:val="clear" w:pos="1134"/>
        <w:tab w:val="clear" w:pos="1701"/>
        <w:tab w:val="clear" w:pos="2268"/>
        <w:tab w:val="clear" w:pos="2835"/>
        <w:tab w:val="right" w:pos="9781"/>
      </w:tabs>
    </w:pPr>
    <w:rPr>
      <w:b/>
    </w:rPr>
  </w:style>
  <w:style w:type="paragraph" w:styleId="List">
    <w:name w:val="List"/>
    <w:basedOn w:val="Normal"/>
    <w:rsid w:val="000F5A95"/>
    <w:pPr>
      <w:tabs>
        <w:tab w:val="left" w:pos="2127"/>
      </w:tabs>
      <w:ind w:left="2127" w:hanging="2127"/>
    </w:pPr>
  </w:style>
  <w:style w:type="paragraph" w:customStyle="1" w:styleId="Part">
    <w:name w:val="Part"/>
    <w:basedOn w:val="Normal"/>
    <w:rsid w:val="000F5A95"/>
    <w:pPr>
      <w:tabs>
        <w:tab w:val="left" w:pos="1276"/>
      </w:tabs>
      <w:spacing w:before="199"/>
      <w:ind w:left="1701" w:hanging="1701"/>
    </w:pPr>
    <w:rPr>
      <w:caps/>
    </w:rPr>
  </w:style>
  <w:style w:type="paragraph" w:customStyle="1" w:styleId="Figurewithouttitle">
    <w:name w:val="Figure_without_title"/>
    <w:basedOn w:val="Figure"/>
    <w:next w:val="Normal"/>
    <w:rsid w:val="000F5A95"/>
  </w:style>
  <w:style w:type="character" w:styleId="PageNumber">
    <w:name w:val="page number"/>
    <w:basedOn w:val="DefaultParagraphFont"/>
    <w:rsid w:val="000F5A95"/>
    <w:rPr>
      <w:rFonts w:ascii="Calibri" w:hAnsi="Calibri"/>
    </w:rPr>
  </w:style>
  <w:style w:type="paragraph" w:customStyle="1" w:styleId="meeting">
    <w:name w:val="meeting"/>
    <w:basedOn w:val="Head"/>
    <w:next w:val="Head"/>
    <w:rsid w:val="000F5A95"/>
    <w:pPr>
      <w:tabs>
        <w:tab w:val="left" w:pos="7371"/>
      </w:tabs>
      <w:spacing w:after="567"/>
    </w:pPr>
  </w:style>
  <w:style w:type="paragraph" w:customStyle="1" w:styleId="PartNo">
    <w:name w:val="Part_No"/>
    <w:basedOn w:val="AnnexNo"/>
    <w:next w:val="Parttitle"/>
    <w:rsid w:val="000F5A95"/>
  </w:style>
  <w:style w:type="paragraph" w:customStyle="1" w:styleId="Parttitle">
    <w:name w:val="Part_title"/>
    <w:basedOn w:val="Annextitle"/>
    <w:next w:val="Partref"/>
    <w:rsid w:val="000F5A95"/>
  </w:style>
  <w:style w:type="paragraph" w:customStyle="1" w:styleId="Partref">
    <w:name w:val="Part_ref"/>
    <w:basedOn w:val="Annexref"/>
    <w:next w:val="Normalaftertitle"/>
    <w:rsid w:val="000F5A95"/>
  </w:style>
  <w:style w:type="paragraph" w:customStyle="1" w:styleId="Headingb">
    <w:name w:val="Heading_b"/>
    <w:basedOn w:val="Heading3"/>
    <w:next w:val="Normal"/>
    <w:rsid w:val="000F5A95"/>
    <w:pPr>
      <w:spacing w:before="160"/>
      <w:ind w:left="0" w:firstLine="0"/>
      <w:outlineLvl w:val="0"/>
    </w:pPr>
  </w:style>
  <w:style w:type="paragraph" w:customStyle="1" w:styleId="Subject">
    <w:name w:val="Subject"/>
    <w:basedOn w:val="Normal"/>
    <w:next w:val="Source"/>
    <w:rsid w:val="000F5A95"/>
    <w:pPr>
      <w:tabs>
        <w:tab w:val="left" w:pos="709"/>
      </w:tabs>
      <w:spacing w:before="0"/>
      <w:ind w:left="709" w:hanging="709"/>
    </w:pPr>
  </w:style>
  <w:style w:type="paragraph" w:customStyle="1" w:styleId="Source">
    <w:name w:val="Source"/>
    <w:basedOn w:val="Normal"/>
    <w:next w:val="Title1"/>
    <w:rsid w:val="000F5A95"/>
    <w:pPr>
      <w:spacing w:before="840"/>
      <w:jc w:val="center"/>
    </w:pPr>
    <w:rPr>
      <w:b/>
      <w:sz w:val="28"/>
    </w:rPr>
  </w:style>
  <w:style w:type="paragraph" w:customStyle="1" w:styleId="Data">
    <w:name w:val="Data"/>
    <w:basedOn w:val="Subject"/>
    <w:next w:val="Subject"/>
    <w:rsid w:val="000F5A95"/>
  </w:style>
  <w:style w:type="character" w:styleId="Hyperlink">
    <w:name w:val="Hyperlink"/>
    <w:basedOn w:val="DefaultParagraphFont"/>
    <w:rsid w:val="00B4641B"/>
    <w:rPr>
      <w:rFonts w:eastAsiaTheme="minorHAnsi" w:cstheme="minorBidi"/>
      <w:color w:val="4F81BD" w:themeColor="accent1"/>
      <w:szCs w:val="22"/>
      <w:u w:val="single"/>
    </w:rPr>
  </w:style>
  <w:style w:type="character" w:styleId="FollowedHyperlink">
    <w:name w:val="FollowedHyperlink"/>
    <w:basedOn w:val="DefaultParagraphFont"/>
    <w:rsid w:val="000F5A95"/>
    <w:rPr>
      <w:color w:val="800080"/>
      <w:u w:val="single"/>
    </w:rPr>
  </w:style>
  <w:style w:type="paragraph" w:customStyle="1" w:styleId="FirstFooter">
    <w:name w:val="FirstFooter"/>
    <w:basedOn w:val="Footer"/>
    <w:rsid w:val="000F5A95"/>
    <w:rPr>
      <w:caps w:val="0"/>
    </w:rPr>
  </w:style>
  <w:style w:type="paragraph" w:customStyle="1" w:styleId="Note">
    <w:name w:val="Note"/>
    <w:basedOn w:val="Normal"/>
    <w:rsid w:val="000F5A95"/>
    <w:pPr>
      <w:spacing w:before="80"/>
    </w:pPr>
    <w:rPr>
      <w:sz w:val="22"/>
    </w:rPr>
  </w:style>
  <w:style w:type="paragraph" w:styleId="TOC9">
    <w:name w:val="toc 9"/>
    <w:basedOn w:val="Normal"/>
    <w:next w:val="Normal"/>
    <w:rsid w:val="000F5A95"/>
    <w:pPr>
      <w:tabs>
        <w:tab w:val="clear" w:pos="567"/>
        <w:tab w:val="clear" w:pos="1134"/>
        <w:tab w:val="clear" w:pos="1701"/>
        <w:tab w:val="clear" w:pos="2268"/>
        <w:tab w:val="clear" w:pos="2835"/>
        <w:tab w:val="right" w:leader="dot" w:pos="9645"/>
      </w:tabs>
      <w:ind w:left="1920"/>
    </w:pPr>
  </w:style>
  <w:style w:type="paragraph" w:customStyle="1" w:styleId="Headingi">
    <w:name w:val="Heading_i"/>
    <w:basedOn w:val="Heading3"/>
    <w:next w:val="Normal"/>
    <w:rsid w:val="000F5A95"/>
    <w:pPr>
      <w:spacing w:before="160"/>
      <w:ind w:left="0" w:firstLine="0"/>
      <w:outlineLvl w:val="0"/>
    </w:pPr>
    <w:rPr>
      <w:b w:val="0"/>
      <w:i/>
    </w:rPr>
  </w:style>
  <w:style w:type="paragraph" w:customStyle="1" w:styleId="Title1">
    <w:name w:val="Title 1"/>
    <w:basedOn w:val="Normal"/>
    <w:next w:val="Normalaftertitle"/>
    <w:rsid w:val="000F5A95"/>
    <w:pPr>
      <w:spacing w:before="360"/>
      <w:jc w:val="center"/>
    </w:pPr>
    <w:rPr>
      <w:caps/>
    </w:rPr>
  </w:style>
  <w:style w:type="paragraph" w:customStyle="1" w:styleId="Title2">
    <w:name w:val="Title 2"/>
    <w:basedOn w:val="Title1"/>
    <w:next w:val="Normalaftertitle"/>
    <w:rsid w:val="000F5A95"/>
    <w:pPr>
      <w:keepNext/>
      <w:keepLines/>
      <w:spacing w:before="240"/>
    </w:pPr>
    <w:rPr>
      <w:b/>
      <w:caps w:val="0"/>
    </w:rPr>
  </w:style>
  <w:style w:type="paragraph" w:customStyle="1" w:styleId="Title3">
    <w:name w:val="Title 3"/>
    <w:basedOn w:val="Title2"/>
    <w:next w:val="Normalaftertitle"/>
    <w:rsid w:val="000F5A95"/>
    <w:rPr>
      <w:b w:val="0"/>
      <w:caps/>
    </w:rPr>
  </w:style>
  <w:style w:type="paragraph" w:customStyle="1" w:styleId="Title4">
    <w:name w:val="Title 4"/>
    <w:basedOn w:val="Annextitle"/>
    <w:next w:val="Normal"/>
    <w:rsid w:val="000F5A95"/>
    <w:pPr>
      <w:spacing w:after="120"/>
    </w:pPr>
    <w:rPr>
      <w:b w:val="0"/>
    </w:rPr>
  </w:style>
  <w:style w:type="paragraph" w:customStyle="1" w:styleId="dnum">
    <w:name w:val="dnum"/>
    <w:basedOn w:val="Normal"/>
    <w:rsid w:val="000F5A95"/>
    <w:pPr>
      <w:framePr w:hSpace="181" w:wrap="notBeside" w:vAnchor="page" w:hAnchor="margin" w:x="1" w:y="852"/>
      <w:shd w:val="solid" w:color="FFFFFF" w:fill="FFFFFF"/>
      <w:tabs>
        <w:tab w:val="left" w:pos="1871"/>
      </w:tabs>
    </w:pPr>
    <w:rPr>
      <w:b/>
      <w:bCs/>
    </w:rPr>
  </w:style>
  <w:style w:type="paragraph" w:customStyle="1" w:styleId="ddate">
    <w:name w:val="ddate"/>
    <w:basedOn w:val="Normal"/>
    <w:rsid w:val="000F5A95"/>
    <w:pPr>
      <w:framePr w:hSpace="181" w:wrap="notBeside" w:vAnchor="page" w:hAnchor="margin" w:x="1" w:y="852"/>
      <w:shd w:val="solid" w:color="FFFFFF" w:fill="FFFFFF"/>
      <w:tabs>
        <w:tab w:val="left" w:pos="1871"/>
      </w:tabs>
      <w:spacing w:before="0"/>
    </w:pPr>
    <w:rPr>
      <w:b/>
      <w:bCs/>
    </w:rPr>
  </w:style>
  <w:style w:type="paragraph" w:customStyle="1" w:styleId="dorlang">
    <w:name w:val="dorlang"/>
    <w:basedOn w:val="Normal"/>
    <w:rsid w:val="000F5A95"/>
    <w:pPr>
      <w:framePr w:hSpace="181" w:wrap="notBeside" w:vAnchor="page" w:hAnchor="margin" w:x="1" w:y="852"/>
      <w:shd w:val="solid" w:color="FFFFFF" w:fill="FFFFFF"/>
      <w:tabs>
        <w:tab w:val="left" w:pos="1871"/>
      </w:tabs>
      <w:spacing w:before="0"/>
    </w:pPr>
    <w:rPr>
      <w:b/>
      <w:bCs/>
    </w:rPr>
  </w:style>
  <w:style w:type="paragraph" w:customStyle="1" w:styleId="RecNo">
    <w:name w:val="Rec_No"/>
    <w:basedOn w:val="Normal"/>
    <w:next w:val="Rectitle"/>
    <w:rsid w:val="000F5A95"/>
    <w:pPr>
      <w:keepNext/>
      <w:keepLines/>
      <w:spacing w:before="720"/>
      <w:jc w:val="center"/>
    </w:pPr>
    <w:rPr>
      <w:caps/>
      <w:sz w:val="28"/>
    </w:rPr>
  </w:style>
  <w:style w:type="paragraph" w:customStyle="1" w:styleId="Rectitle">
    <w:name w:val="Rec_title"/>
    <w:basedOn w:val="Normal"/>
    <w:next w:val="Heading1"/>
    <w:rsid w:val="000F5A95"/>
    <w:pPr>
      <w:keepNext/>
      <w:keepLines/>
      <w:jc w:val="center"/>
    </w:pPr>
    <w:rPr>
      <w:b/>
      <w:sz w:val="28"/>
    </w:rPr>
  </w:style>
  <w:style w:type="paragraph" w:customStyle="1" w:styleId="Recref">
    <w:name w:val="Rec_ref"/>
    <w:basedOn w:val="Rectitle"/>
    <w:next w:val="Recdate"/>
    <w:rsid w:val="000F5A95"/>
    <w:rPr>
      <w:rFonts w:ascii="Times New Roman" w:hAnsi="Times New Roman"/>
      <w:b w:val="0"/>
      <w:sz w:val="24"/>
    </w:rPr>
  </w:style>
  <w:style w:type="paragraph" w:customStyle="1" w:styleId="Recdate">
    <w:name w:val="Rec_date"/>
    <w:basedOn w:val="Recref"/>
    <w:next w:val="Normalaftertitle"/>
    <w:rsid w:val="000F5A95"/>
    <w:pPr>
      <w:jc w:val="right"/>
    </w:pPr>
    <w:rPr>
      <w:sz w:val="22"/>
    </w:rPr>
  </w:style>
  <w:style w:type="paragraph" w:customStyle="1" w:styleId="Questiondate">
    <w:name w:val="Question_date"/>
    <w:basedOn w:val="Recdate"/>
    <w:next w:val="Normalaftertitle"/>
    <w:rsid w:val="000F5A95"/>
  </w:style>
  <w:style w:type="paragraph" w:customStyle="1" w:styleId="QuestionNo">
    <w:name w:val="Question_No"/>
    <w:basedOn w:val="RecNo"/>
    <w:next w:val="Questiontitle"/>
    <w:rsid w:val="000F5A95"/>
  </w:style>
  <w:style w:type="paragraph" w:customStyle="1" w:styleId="Questiontitle">
    <w:name w:val="Question_title"/>
    <w:basedOn w:val="Rectitle"/>
    <w:next w:val="Questionref"/>
    <w:rsid w:val="000F5A95"/>
  </w:style>
  <w:style w:type="paragraph" w:customStyle="1" w:styleId="Questionref">
    <w:name w:val="Question_ref"/>
    <w:basedOn w:val="Recref"/>
    <w:next w:val="Questiondate"/>
    <w:rsid w:val="000F5A95"/>
  </w:style>
  <w:style w:type="paragraph" w:customStyle="1" w:styleId="Reftext">
    <w:name w:val="Ref_text"/>
    <w:basedOn w:val="Normal"/>
    <w:rsid w:val="000F5A95"/>
    <w:pPr>
      <w:ind w:left="567" w:hanging="567"/>
    </w:pPr>
  </w:style>
  <w:style w:type="paragraph" w:customStyle="1" w:styleId="Reftitle">
    <w:name w:val="Ref_title"/>
    <w:basedOn w:val="Normal"/>
    <w:next w:val="Reftext"/>
    <w:rsid w:val="000F5A95"/>
    <w:pPr>
      <w:spacing w:before="480"/>
      <w:jc w:val="center"/>
    </w:pPr>
    <w:rPr>
      <w:caps/>
      <w:sz w:val="28"/>
    </w:rPr>
  </w:style>
  <w:style w:type="paragraph" w:customStyle="1" w:styleId="Repdate">
    <w:name w:val="Rep_date"/>
    <w:basedOn w:val="Recdate"/>
    <w:next w:val="Normalaftertitle"/>
    <w:rsid w:val="000F5A95"/>
  </w:style>
  <w:style w:type="paragraph" w:customStyle="1" w:styleId="RepNo">
    <w:name w:val="Rep_No"/>
    <w:basedOn w:val="RecNo"/>
    <w:next w:val="Reptitle"/>
    <w:rsid w:val="000F5A95"/>
  </w:style>
  <w:style w:type="paragraph" w:customStyle="1" w:styleId="Reptitle">
    <w:name w:val="Rep_title"/>
    <w:basedOn w:val="Rectitle"/>
    <w:next w:val="Repref"/>
    <w:rsid w:val="000F5A95"/>
  </w:style>
  <w:style w:type="paragraph" w:customStyle="1" w:styleId="Repref">
    <w:name w:val="Rep_ref"/>
    <w:basedOn w:val="Recref"/>
    <w:next w:val="Repdate"/>
    <w:rsid w:val="000F5A95"/>
  </w:style>
  <w:style w:type="paragraph" w:customStyle="1" w:styleId="Resdate">
    <w:name w:val="Res_date"/>
    <w:basedOn w:val="Recdate"/>
    <w:next w:val="Normalaftertitle"/>
    <w:rsid w:val="000F5A95"/>
  </w:style>
  <w:style w:type="paragraph" w:customStyle="1" w:styleId="ResNo">
    <w:name w:val="Res_No"/>
    <w:basedOn w:val="AnnexNo"/>
    <w:next w:val="Restitle"/>
    <w:rsid w:val="000F5A95"/>
  </w:style>
  <w:style w:type="paragraph" w:customStyle="1" w:styleId="Restitle">
    <w:name w:val="Res_title"/>
    <w:basedOn w:val="Annextitle"/>
    <w:next w:val="Normal"/>
    <w:rsid w:val="000F5A95"/>
  </w:style>
  <w:style w:type="paragraph" w:customStyle="1" w:styleId="Resref">
    <w:name w:val="Res_ref"/>
    <w:basedOn w:val="Recref"/>
    <w:next w:val="Resdate"/>
    <w:rsid w:val="000F5A95"/>
  </w:style>
  <w:style w:type="paragraph" w:customStyle="1" w:styleId="SectionNo">
    <w:name w:val="Section_No"/>
    <w:basedOn w:val="AnnexNo"/>
    <w:next w:val="Sectiontitle"/>
    <w:rsid w:val="000F5A95"/>
  </w:style>
  <w:style w:type="paragraph" w:customStyle="1" w:styleId="Sectiontitle">
    <w:name w:val="Section_title"/>
    <w:basedOn w:val="Normal"/>
    <w:next w:val="Normalaftertitle"/>
    <w:rsid w:val="000F5A95"/>
    <w:rPr>
      <w:sz w:val="28"/>
    </w:rPr>
  </w:style>
  <w:style w:type="paragraph" w:customStyle="1" w:styleId="SpecialFooter">
    <w:name w:val="Special Footer"/>
    <w:basedOn w:val="Footer"/>
    <w:rsid w:val="000F5A95"/>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Tabletext"/>
    <w:rsid w:val="000F5A95"/>
    <w:pPr>
      <w:keepNext/>
      <w:keepLines/>
      <w:spacing w:before="80" w:after="80"/>
      <w:jc w:val="center"/>
    </w:pPr>
    <w:rPr>
      <w:b/>
    </w:rPr>
  </w:style>
  <w:style w:type="paragraph" w:customStyle="1" w:styleId="Tablelegend">
    <w:name w:val="Table_legend"/>
    <w:basedOn w:val="Tabletext"/>
    <w:rsid w:val="000F5A95"/>
    <w:pPr>
      <w:ind w:left="284" w:hanging="284"/>
    </w:pPr>
    <w:rPr>
      <w:sz w:val="20"/>
    </w:rPr>
  </w:style>
  <w:style w:type="paragraph" w:customStyle="1" w:styleId="Tableref">
    <w:name w:val="Table_ref"/>
    <w:basedOn w:val="Normal"/>
    <w:next w:val="Tabletitle"/>
    <w:rsid w:val="000F5A95"/>
    <w:pPr>
      <w:keepNext/>
      <w:keepLines/>
      <w:jc w:val="center"/>
    </w:pPr>
    <w:rPr>
      <w:sz w:val="20"/>
    </w:rPr>
  </w:style>
  <w:style w:type="paragraph" w:customStyle="1" w:styleId="Reasons">
    <w:name w:val="Reasons"/>
    <w:basedOn w:val="Normal"/>
    <w:qFormat/>
    <w:rsid w:val="000F5A95"/>
  </w:style>
  <w:style w:type="paragraph" w:customStyle="1" w:styleId="FigureNo">
    <w:name w:val="Figure_No"/>
    <w:basedOn w:val="Normal"/>
    <w:next w:val="Figuretitle"/>
    <w:rsid w:val="000F5A95"/>
    <w:pPr>
      <w:keepNext/>
      <w:keepLines/>
      <w:spacing w:before="480" w:after="120"/>
      <w:jc w:val="center"/>
    </w:pPr>
    <w:rPr>
      <w:caps/>
    </w:rPr>
  </w:style>
  <w:style w:type="paragraph" w:customStyle="1" w:styleId="Table">
    <w:name w:val="Table_#"/>
    <w:basedOn w:val="Normal"/>
    <w:next w:val="Normal"/>
    <w:rsid w:val="00093EEB"/>
    <w:pPr>
      <w:keepNext/>
      <w:overflowPunct/>
      <w:autoSpaceDE/>
      <w:autoSpaceDN/>
      <w:adjustRightInd/>
      <w:spacing w:before="560" w:after="120"/>
      <w:jc w:val="center"/>
      <w:textAlignment w:val="auto"/>
    </w:pPr>
    <w:rPr>
      <w:caps/>
      <w:lang w:val="en-GB"/>
    </w:rPr>
  </w:style>
  <w:style w:type="paragraph" w:customStyle="1" w:styleId="Subtitle">
    <w:name w:val="Sub_title"/>
    <w:basedOn w:val="Normal"/>
    <w:qFormat/>
    <w:rsid w:val="000F5A95"/>
    <w:pPr>
      <w:framePr w:hSpace="180" w:wrap="around" w:hAnchor="page" w:x="1821" w:y="2317"/>
      <w:spacing w:after="160"/>
    </w:pPr>
    <w:rPr>
      <w:sz w:val="34"/>
      <w:lang w:val="en-GB"/>
    </w:rPr>
  </w:style>
  <w:style w:type="character" w:customStyle="1" w:styleId="HeaderChar">
    <w:name w:val="Header Char"/>
    <w:basedOn w:val="DefaultParagraphFont"/>
    <w:link w:val="Header"/>
    <w:uiPriority w:val="99"/>
    <w:rsid w:val="000F5A95"/>
    <w:rPr>
      <w:rFonts w:ascii="Calibri" w:hAnsi="Calibri"/>
      <w:sz w:val="18"/>
      <w:lang w:val="fr-FR" w:eastAsia="en-US"/>
    </w:rPr>
  </w:style>
  <w:style w:type="table" w:styleId="TableGrid">
    <w:name w:val="Table Grid"/>
    <w:basedOn w:val="TableNormal"/>
    <w:uiPriority w:val="39"/>
    <w:rsid w:val="000F5A95"/>
    <w:rPr>
      <w:rFonts w:asciiTheme="minorHAnsi" w:eastAsiaTheme="minorHAnsi" w:hAnsiTheme="minorHAnsi" w:cstheme="minorBidi"/>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0F5A95"/>
    <w:rPr>
      <w:color w:val="666666"/>
    </w:rPr>
  </w:style>
  <w:style w:type="character" w:styleId="UnresolvedMention">
    <w:name w:val="Unresolved Mention"/>
    <w:basedOn w:val="DefaultParagraphFont"/>
    <w:uiPriority w:val="99"/>
    <w:semiHidden/>
    <w:unhideWhenUsed/>
    <w:rsid w:val="002946E2"/>
    <w:rPr>
      <w:color w:val="605E5C"/>
      <w:shd w:val="clear" w:color="auto" w:fill="E1DFDD"/>
    </w:rPr>
  </w:style>
  <w:style w:type="paragraph" w:customStyle="1" w:styleId="firstfooter0">
    <w:name w:val="firstfooter"/>
    <w:basedOn w:val="Normal"/>
    <w:rsid w:val="000F5A95"/>
    <w:pPr>
      <w:tabs>
        <w:tab w:val="clear" w:pos="567"/>
        <w:tab w:val="clear" w:pos="1134"/>
        <w:tab w:val="clear" w:pos="1701"/>
        <w:tab w:val="clear" w:pos="2268"/>
        <w:tab w:val="clear" w:pos="2835"/>
      </w:tabs>
      <w:overflowPunct/>
      <w:autoSpaceDE/>
      <w:autoSpaceDN/>
      <w:adjustRightInd/>
      <w:spacing w:before="100" w:beforeAutospacing="1" w:after="100" w:afterAutospacing="1"/>
      <w:textAlignment w:val="auto"/>
    </w:pPr>
    <w:rPr>
      <w:rFonts w:eastAsia="SimSun"/>
      <w:szCs w:val="24"/>
      <w:lang w:val="en-US" w:eastAsia="zh-CN"/>
    </w:rPr>
  </w:style>
  <w:style w:type="paragraph" w:customStyle="1" w:styleId="Object">
    <w:name w:val="Object"/>
    <w:basedOn w:val="Subject"/>
    <w:next w:val="Subject"/>
    <w:rsid w:val="000F5A95"/>
  </w:style>
  <w:style w:type="paragraph" w:customStyle="1" w:styleId="Referencetext">
    <w:name w:val="Reference_text"/>
    <w:basedOn w:val="Normal"/>
    <w:rsid w:val="000F5A95"/>
    <w:pPr>
      <w:framePr w:hSpace="181" w:wrap="around" w:vAnchor="page" w:hAnchor="page" w:x="1589" w:y="2314"/>
      <w:spacing w:after="160"/>
    </w:pPr>
    <w:rPr>
      <w:i/>
      <w:iCs/>
      <w:sz w:val="22"/>
      <w:szCs w:val="22"/>
    </w:rPr>
  </w:style>
  <w:style w:type="paragraph" w:styleId="Revision">
    <w:name w:val="Revision"/>
    <w:hidden/>
    <w:uiPriority w:val="99"/>
    <w:semiHidden/>
    <w:rsid w:val="005E3F36"/>
    <w:rPr>
      <w:rFonts w:ascii="Calibri" w:hAnsi="Calibri"/>
      <w:sz w:val="24"/>
      <w:lang w:val="fr-F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itu.int/md/S26-CL-C-0006/es" TargetMode="External"/><Relationship Id="rId13" Type="http://schemas.openxmlformats.org/officeDocument/2006/relationships/hyperlink" Target="https://www.itu.int/md/S26-CL-C-0099/es" TargetMode="External"/><Relationship Id="rId18" Type="http://schemas.openxmlformats.org/officeDocument/2006/relationships/hyperlink" Target="https://www.itu.int/md/S26-CL-C-0099/es"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s://www.itu.int/md/S26-CL-C-0004/es" TargetMode="External"/><Relationship Id="rId12" Type="http://schemas.openxmlformats.org/officeDocument/2006/relationships/hyperlink" Target="https://www.itu.int/md/S26-CL-C-0094/es" TargetMode="External"/><Relationship Id="rId17" Type="http://schemas.openxmlformats.org/officeDocument/2006/relationships/hyperlink" Target="https://www.itu.int/md/S26-CL-C-0094/es" TargetMode="External"/><Relationship Id="rId2" Type="http://schemas.openxmlformats.org/officeDocument/2006/relationships/styles" Target="styles.xml"/><Relationship Id="rId16" Type="http://schemas.openxmlformats.org/officeDocument/2006/relationships/hyperlink" Target="http://council.itu.int/2026/wp-content/uploads/sites/6/2026/06/26.04.30-E-Russian-Federation-statement-PL3.pdf"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ww.itu.int/md/S26-CL-C-0052/es"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council.itu.int/2026/wp-content/uploads/sites/6/2026/06/26.04.30-Poland_EU-Interferences-statement-PL3.pdf" TargetMode="External"/><Relationship Id="rId23" Type="http://schemas.openxmlformats.org/officeDocument/2006/relationships/fontTable" Target="fontTable.xml"/><Relationship Id="rId10" Type="http://schemas.openxmlformats.org/officeDocument/2006/relationships/hyperlink" Target="https://www.itu.int/md/S26-CL-C-0051/es" TargetMode="External"/><Relationship Id="rId19" Type="http://schemas.openxmlformats.org/officeDocument/2006/relationships/hyperlink" Target="https://www.itu.int/md/S26-CL-C-0101/es" TargetMode="External"/><Relationship Id="rId4" Type="http://schemas.openxmlformats.org/officeDocument/2006/relationships/webSettings" Target="webSettings.xml"/><Relationship Id="rId9" Type="http://schemas.openxmlformats.org/officeDocument/2006/relationships/hyperlink" Target="https://www.itu.int/md/S26-CL-C-0005/es" TargetMode="External"/><Relationship Id="rId14" Type="http://schemas.openxmlformats.org/officeDocument/2006/relationships/hyperlink" Target="https://www.itu.int/md/S26-CL-C-0101/es" TargetMode="External"/><Relationship Id="rId22"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https://council.itu.int/2026/e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Q:\TEMPLATE\ITUOffice2007\POOL\POOL%20S%20-%20ITU\GS\PS_Council2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33B289-2409-48B1-88FF-B82D6C16FE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PS_Council26.dotx</Template>
  <TotalTime>9</TotalTime>
  <Pages>7</Pages>
  <Words>3260</Words>
  <Characters>19108</Characters>
  <Application>Microsoft Office Word</Application>
  <DocSecurity>0</DocSecurity>
  <Lines>329</Lines>
  <Paragraphs>110</Paragraphs>
  <ScaleCrop>false</ScaleCrop>
  <HeadingPairs>
    <vt:vector size="4" baseType="variant">
      <vt:variant>
        <vt:lpstr>Title</vt:lpstr>
      </vt:variant>
      <vt:variant>
        <vt:i4>1</vt:i4>
      </vt:variant>
      <vt:variant>
        <vt:lpstr>UNIÓN INTERNACIONAL DE TELECOMUNICACIONES	</vt:lpstr>
      </vt:variant>
      <vt:variant>
        <vt:i4>0</vt:i4>
      </vt:variant>
    </vt:vector>
  </HeadingPairs>
  <TitlesOfParts>
    <vt:vector size="1" baseType="lpstr">
      <vt:lpstr>Resumen de los debates de la tercera Sesión Plenaria</vt:lpstr>
    </vt:vector>
  </TitlesOfParts>
  <Manager>Secretaría General - Pool</Manager>
  <Company>International Telecommunication Union</Company>
  <LinksUpToDate>false</LinksUpToDate>
  <CharactersWithSpaces>22258</CharactersWithSpaces>
  <SharedDoc>false</SharedDoc>
  <HLinks>
    <vt:vector size="6" baseType="variant">
      <vt:variant>
        <vt:i4>3342371</vt:i4>
      </vt:variant>
      <vt:variant>
        <vt:i4>12</vt:i4>
      </vt:variant>
      <vt:variant>
        <vt:i4>0</vt:i4>
      </vt:variant>
      <vt:variant>
        <vt:i4>5</vt:i4>
      </vt:variant>
      <vt:variant>
        <vt:lpwstr>http://www.itu.int/council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Resumen de los debates de la tercera Sesión Plenaria</dc:title>
  <dc:subject>Consejo 2026 de la UIT</dc:subject>
  <cp:keywords>C26; C2026; Council 2026; PP26</cp:keywords>
  <dc:description/>
  <cp:lastPrinted>2006-03-24T09:51:00Z</cp:lastPrinted>
  <dcterms:created xsi:type="dcterms:W3CDTF">2026-08-05T08:13:00Z</dcterms:created>
  <dcterms:modified xsi:type="dcterms:W3CDTF">2026-08-05T09:05:00Z</dcterms:modified>
  <cp:category>Conference document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Documento C17/-S</vt:lpwstr>
  </property>
  <property fmtid="{D5CDD505-2E9C-101B-9397-08002B2CF9AE}" pid="3" name="Docdate">
    <vt:lpwstr>enero de 2017</vt:lpwstr>
  </property>
  <property fmtid="{D5CDD505-2E9C-101B-9397-08002B2CF9AE}" pid="4" name="Docorlang">
    <vt:lpwstr>Original: inglés</vt:lpwstr>
  </property>
  <property fmtid="{D5CDD505-2E9C-101B-9397-08002B2CF9AE}" pid="5" name="Docbluepink">
    <vt:lpwstr>Consejo 2017 Ginebra, 15-25 de mayo de 2017</vt:lpwstr>
  </property>
  <property fmtid="{D5CDD505-2E9C-101B-9397-08002B2CF9AE}" pid="6" name="Docdest">
    <vt:lpwstr/>
  </property>
  <property fmtid="{D5CDD505-2E9C-101B-9397-08002B2CF9AE}" pid="7" name="Docauthor">
    <vt:lpwstr/>
  </property>
  <property fmtid="{D5CDD505-2E9C-101B-9397-08002B2CF9AE}" pid="8" name="GrammarlyDocumentId">
    <vt:lpwstr>5c03a5c9b91678b956e25536f0296632c716f66cf9a10e87f22af88ff3e788b1</vt:lpwstr>
  </property>
</Properties>
</file>